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p>
      <w:pPr>
        <w:spacing w:line="1776" w:lineRule="exact"/>
        <w:ind w:left="40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5"/>
          <w:sz w:val="20"/>
          <w:szCs w:val="20"/>
        </w:rPr>
        <w:drawing>
          <wp:inline distT="0" distB="0" distL="0" distR="0">
            <wp:extent cx="1127760" cy="1127759"/>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127760" cy="1127759"/>
                    </a:xfrm>
                    <a:prstGeom prst="rect">
                      <a:avLst/>
                    </a:prstGeom>
                  </pic:spPr>
                </pic:pic>
              </a:graphicData>
            </a:graphic>
          </wp:inline>
        </w:drawing>
      </w:r>
      <w:r>
        <w:rPr>
          <w:rFonts w:ascii="Times New Roman" w:hAnsi="Times New Roman" w:cs="Times New Roman" w:eastAsia="Times New Roman" w:hint="default"/>
          <w:position w:val="-35"/>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spacing w:line="460" w:lineRule="exact" w:before="0"/>
        <w:ind w:left="0" w:right="980" w:firstLine="0"/>
        <w:jc w:val="center"/>
        <w:rPr>
          <w:rFonts w:ascii="宋体" w:hAnsi="宋体" w:cs="宋体" w:eastAsia="宋体" w:hint="default"/>
          <w:sz w:val="36"/>
          <w:szCs w:val="36"/>
        </w:rPr>
      </w:pPr>
      <w:r>
        <w:rPr>
          <w:rFonts w:ascii="宋体" w:hAnsi="宋体" w:cs="宋体" w:eastAsia="宋体" w:hint="default"/>
          <w:b/>
          <w:bCs/>
          <w:sz w:val="36"/>
          <w:szCs w:val="36"/>
        </w:rPr>
        <w:t>吉林紫鑫药业股份有限公司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0" w:right="98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0" w:right="97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1133"/>
        <w:jc w:val="left"/>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公司负责人封有顺、主管会计工作负责人栾福梅及会计机构负责人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李长婷声明：保证年度报告中财务报告的真实、准确、完整。</w:t>
      </w:r>
      <w:r>
        <w:rPr>
          <w:rFonts w:ascii="宋体" w:hAnsi="宋体" w:cs="宋体" w:eastAsia="宋体" w:hint="default"/>
          <w:sz w:val="28"/>
          <w:szCs w:val="28"/>
        </w:rPr>
      </w:r>
    </w:p>
    <w:p>
      <w:pPr>
        <w:spacing w:line="472" w:lineRule="auto" w:before="14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公司可能存在新产品开发风险、规模快速扩张带来的管理风险、原材料风</w:t>
      </w:r>
      <w:r>
        <w:rPr>
          <w:rFonts w:ascii="宋体" w:hAnsi="宋体" w:cs="宋体" w:eastAsia="宋体" w:hint="default"/>
          <w:spacing w:val="2"/>
          <w:sz w:val="28"/>
          <w:szCs w:val="28"/>
        </w:rPr>
      </w:r>
    </w:p>
    <w:p>
      <w:pPr>
        <w:spacing w:line="393" w:lineRule="auto" w:before="0"/>
        <w:ind w:left="152" w:right="1131" w:firstLine="0"/>
        <w:jc w:val="both"/>
        <w:rPr>
          <w:rFonts w:ascii="宋体" w:hAnsi="宋体" w:cs="宋体" w:eastAsia="宋体" w:hint="default"/>
          <w:sz w:val="28"/>
          <w:szCs w:val="28"/>
        </w:rPr>
      </w:pPr>
      <w:r>
        <w:rPr>
          <w:rFonts w:ascii="宋体" w:hAnsi="宋体" w:cs="宋体" w:eastAsia="宋体" w:hint="default"/>
          <w:b/>
          <w:bCs/>
          <w:spacing w:val="-2"/>
          <w:sz w:val="28"/>
          <w:szCs w:val="28"/>
        </w:rPr>
        <w:t>险、人才储备风险等，具体风险详见第四节经营情况讨论与分析第九部分</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公司</w:t>
      </w:r>
      <w:r>
        <w:rPr>
          <w:rFonts w:ascii="宋体" w:hAnsi="宋体" w:cs="宋体" w:eastAsia="宋体" w:hint="default"/>
          <w:b/>
          <w:bCs/>
          <w:spacing w:val="-131"/>
          <w:sz w:val="28"/>
          <w:szCs w:val="28"/>
        </w:rPr>
        <w:t> </w:t>
      </w:r>
      <w:r>
        <w:rPr>
          <w:rFonts w:ascii="宋体" w:hAnsi="宋体" w:cs="宋体" w:eastAsia="宋体" w:hint="default"/>
          <w:b/>
          <w:bCs/>
          <w:spacing w:val="-2"/>
          <w:sz w:val="28"/>
          <w:szCs w:val="28"/>
        </w:rPr>
        <w:t>未来发展的展望</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中可能面对的风险。本报告中如有涉及未来的计划、发展战略</w:t>
      </w:r>
      <w:r>
        <w:rPr>
          <w:rFonts w:ascii="宋体" w:hAnsi="宋体" w:cs="宋体" w:eastAsia="宋体" w:hint="default"/>
          <w:b/>
          <w:bCs/>
          <w:spacing w:val="-133"/>
          <w:sz w:val="28"/>
          <w:szCs w:val="28"/>
        </w:rPr>
        <w:t> </w:t>
      </w:r>
      <w:r>
        <w:rPr>
          <w:rFonts w:ascii="宋体" w:hAnsi="宋体" w:cs="宋体" w:eastAsia="宋体" w:hint="default"/>
          <w:b/>
          <w:bCs/>
          <w:spacing w:val="-133"/>
          <w:sz w:val="28"/>
          <w:szCs w:val="28"/>
        </w:rPr>
      </w:r>
      <w:r>
        <w:rPr>
          <w:rFonts w:ascii="宋体" w:hAnsi="宋体" w:cs="宋体" w:eastAsia="宋体" w:hint="default"/>
          <w:b/>
          <w:bCs/>
          <w:spacing w:val="2"/>
          <w:sz w:val="28"/>
          <w:szCs w:val="28"/>
        </w:rPr>
        <w:t>等方面的内容，均不构成本公司对投资者的实质承诺，敬请广大投资者注意投</w:t>
      </w:r>
      <w:r>
        <w:rPr>
          <w:rFonts w:ascii="宋体" w:hAnsi="宋体" w:cs="宋体" w:eastAsia="宋体" w:hint="default"/>
          <w:b/>
          <w:bCs/>
          <w:w w:val="99"/>
          <w:sz w:val="28"/>
          <w:szCs w:val="28"/>
        </w:rPr>
        <w:t> </w:t>
      </w:r>
      <w:r>
        <w:rPr>
          <w:rFonts w:ascii="宋体" w:hAnsi="宋体" w:cs="宋体" w:eastAsia="宋体" w:hint="default"/>
          <w:b/>
          <w:bCs/>
          <w:sz w:val="28"/>
          <w:szCs w:val="28"/>
        </w:rPr>
        <w:t>资风险。</w:t>
      </w:r>
      <w:r>
        <w:rPr>
          <w:rFonts w:ascii="宋体" w:hAnsi="宋体" w:cs="宋体" w:eastAsia="宋体" w:hint="default"/>
          <w:sz w:val="28"/>
          <w:szCs w:val="28"/>
        </w:rPr>
      </w:r>
    </w:p>
    <w:p>
      <w:pPr>
        <w:spacing w:before="179"/>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0" w:right="97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before="21"/>
            <w:ind w:right="0"/>
            <w:jc w:val="left"/>
            <w:rPr>
              <w:rFonts w:ascii="Times New Roman" w:hAnsi="Times New Roman" w:cs="Times New Roman" w:eastAsia="Times New Roman" w:hint="default"/>
              <w:b w:val="0"/>
              <w:bCs w:val="0"/>
            </w:rPr>
          </w:pPr>
          <w:hyperlink w:history="true" w:anchor="_bookmark1">
            <w:r>
              <w:rPr/>
              <w:t>第二节公司简介和主要财务指标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before="18"/>
            <w:ind w:right="0"/>
            <w:jc w:val="left"/>
            <w:rPr>
              <w:rFonts w:ascii="Times New Roman" w:hAnsi="Times New Roman" w:cs="Times New Roman" w:eastAsia="Times New Roman" w:hint="default"/>
              <w:b w:val="0"/>
              <w:bCs w:val="0"/>
            </w:rPr>
          </w:pPr>
          <w:hyperlink w:history="true" w:anchor="_bookmark2">
            <w:r>
              <w:rPr/>
              <w:t>第三节公司业务概要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第四节经营情况讨论与分析</w:t>
            </w:r>
            <w:r>
              <w:rPr>
                <w:rFonts w:ascii="Times New Roman" w:hAnsi="Times New Roman" w:cs="Times New Roman" w:eastAsia="Times New Roman" w:hint="default"/>
              </w:rPr>
              <w:tab/>
              <w:t>19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第五节重要事项</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9783" w:val="right" w:leader="dot"/>
            </w:tabs>
            <w:spacing w:line="240" w:lineRule="auto" w:before="18"/>
            <w:ind w:right="0"/>
            <w:jc w:val="left"/>
            <w:rPr>
              <w:rFonts w:ascii="Times New Roman" w:hAnsi="Times New Roman" w:cs="Times New Roman" w:eastAsia="Times New Roman" w:hint="default"/>
              <w:b w:val="0"/>
              <w:bCs w:val="0"/>
            </w:rPr>
          </w:pPr>
          <w:hyperlink w:history="true" w:anchor="_bookmark5">
            <w:r>
              <w:rPr/>
              <w:t>第六节股份变动及股东情况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第七节优先股相关情况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第八节可转换公司债券相关情况</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9783" w:val="right" w:leader="dot"/>
            </w:tabs>
            <w:spacing w:line="240" w:lineRule="auto" w:before="18"/>
            <w:ind w:right="0"/>
            <w:jc w:val="left"/>
            <w:rPr>
              <w:rFonts w:ascii="Times New Roman" w:hAnsi="Times New Roman" w:cs="Times New Roman" w:eastAsia="Times New Roman" w:hint="default"/>
              <w:b w:val="0"/>
              <w:bCs w:val="0"/>
            </w:rPr>
          </w:pPr>
          <w:hyperlink w:history="true" w:anchor="_bookmark8">
            <w:r>
              <w:rPr/>
              <w:t>第九节董事、监事、高级管理人员和员工情况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第十节公司治理</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第十一节公司债券相关情况</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9783" w:val="right" w:leader="dot"/>
            </w:tabs>
            <w:spacing w:line="240" w:lineRule="auto" w:before="18"/>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财务报告</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9783" w:val="right" w:leader="dot"/>
            </w:tabs>
            <w:spacing w:line="240" w:lineRule="auto" w:before="21"/>
            <w:ind w:right="0"/>
            <w:jc w:val="left"/>
            <w:rPr>
              <w:rFonts w:ascii="Times New Roman" w:hAnsi="Times New Roman" w:cs="Times New Roman" w:eastAsia="Times New Roman" w:hint="default"/>
              <w:b w:val="0"/>
              <w:bCs w:val="0"/>
            </w:rPr>
          </w:pPr>
          <w:hyperlink w:history="true" w:anchor="_bookmark12">
            <w:r>
              <w:rPr/>
              <w:t>第十三节</w:t>
            </w:r>
            <w:r>
              <w:rPr>
                <w:spacing w:val="-2"/>
              </w:rPr>
              <w:t> </w:t>
            </w:r>
            <w:r>
              <w:rPr/>
              <w:t>备查文件目录</w:t>
            </w:r>
            <w:r>
              <w:rPr>
                <w:rFonts w:ascii="Times New Roman" w:hAnsi="Times New Roman" w:cs="Times New Roman" w:eastAsia="Times New Roman" w:hint="default"/>
              </w:rPr>
              <w:tab/>
              <w:t>197</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0" w:top="1060" w:bottom="1160" w:left="980" w:right="0"/>
        </w:sectPr>
      </w:pPr>
    </w:p>
    <w:p>
      <w:pPr>
        <w:spacing w:before="945"/>
        <w:ind w:left="0" w:right="97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公司、本公司、紫鑫药业、紫鑫</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控股股东、第一大股东、康平公司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敦化市康平投资有限责任公司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敦化医药材</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吉林紫鑫敦化医药药材有限公司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红石种养殖</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吉林紫鑫红石种养殖有限公司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草还丹药业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吉林草还丹药业有限公司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紫鑫般若</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吉林紫鑫般若药业有限公司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紫鑫初元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吉林紫鑫初元药业有限公司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紫鑫药研</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吉林紫鑫药物研究有限公司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紫鑫禺拙</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吉林紫鑫禺拙药业有限公司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紫鑫参研</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吉林紫鑫人参研发有限公司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紫鑫金桂药业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吉林紫鑫金桂药业有限公司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紫鑫高科技食品</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吉林紫鑫高科技功能食品有限公司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紫鑫大药房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吉林紫鑫药业大药房有限公司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紫鑫参售</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吉林紫鑫人参销售有限公司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紫鑫医药产业孵化器</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吉林紫鑫医药产业园孵化器管理有限公司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紫鑫进出口</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吉林紫鑫进出口贸易有限公司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桂鹤药业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吉林紫鑫桂鹤医药有限公司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吉林中科紫鑫</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吉林中科紫鑫科技有限公司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香港中科紫鑫</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香港中科紫鑫科技有限公司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北京中科紫鑫</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北京中科紫鑫科技有限责任公司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敦化中科紫鑫</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敦化市中科紫鑫科技有限公司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汪清药业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吉林紫鑫汪清药业有限公司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环能交易所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北方环境能源交易所有限公司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紫鑫美国子公司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Zixin Pharmaceuticals USA</w:t>
            </w:r>
            <w:r>
              <w:rPr>
                <w:rFonts w:ascii="Times New Roman"/>
                <w:spacing w:val="-21"/>
                <w:sz w:val="18"/>
              </w:rPr>
              <w:t> </w:t>
            </w:r>
            <w:r>
              <w:rPr>
                <w:rFonts w:ascii="Times New Roman"/>
                <w:sz w:val="18"/>
              </w:rPr>
              <w:t>CORP</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FFEW</w:t>
            </w:r>
            <w:r>
              <w:rPr>
                <w:rFonts w:ascii="Times New Roman"/>
                <w:spacing w:val="-2"/>
                <w:sz w:val="18"/>
              </w:rPr>
              <w:t> </w:t>
            </w:r>
            <w:r>
              <w:rPr>
                <w:rFonts w:ascii="Times New Roman"/>
                <w:spacing w:val="-7"/>
                <w:sz w:val="18"/>
              </w:rPr>
              <w:t>B.V.</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Fytagoras</w:t>
            </w:r>
            <w:r>
              <w:rPr>
                <w:rFonts w:ascii="Times New Roman"/>
                <w:spacing w:val="-4"/>
                <w:sz w:val="18"/>
              </w:rPr>
              <w:t> </w:t>
            </w:r>
            <w:r>
              <w:rPr>
                <w:rFonts w:ascii="Times New Roman"/>
                <w:spacing w:val="-6"/>
                <w:sz w:val="18"/>
              </w:rPr>
              <w:t>B.V.</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紫鑫参工堂</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吉林紫鑫参工堂生物科技有限公司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吉林众创</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吉林省众创碳资产管理有限公司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长春农商行</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长春农村商业银行股份有限公司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吉林紫鑫药业股份有限公司董事会</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吉林紫鑫药业股份有限公司监事会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吉林紫鑫药业股份有限公司章程</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OTC</w:t>
            </w:r>
            <w:r>
              <w:rPr>
                <w:rFonts w:ascii="宋体" w:hAnsi="宋体" w:cs="宋体" w:eastAsia="宋体" w:hint="default"/>
                <w:sz w:val="18"/>
                <w:szCs w:val="18"/>
              </w:rPr>
              <w:t>、非处方药</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9"/>
              <w:jc w:val="left"/>
              <w:rPr>
                <w:rFonts w:ascii="宋体" w:hAnsi="宋体" w:cs="宋体" w:eastAsia="宋体" w:hint="default"/>
                <w:sz w:val="18"/>
                <w:szCs w:val="18"/>
              </w:rPr>
            </w:pPr>
            <w:r>
              <w:rPr>
                <w:rFonts w:ascii="宋体" w:hAnsi="宋体" w:cs="宋体" w:eastAsia="宋体" w:hint="default"/>
                <w:sz w:val="18"/>
                <w:szCs w:val="18"/>
              </w:rPr>
              <w:t>不需凭执业医师或执业助理医师开具的处方便可自行购买和使用的 药品</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处方药</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凭执业医师或执业助理医师开具的处方才可以调配、购买和使用的药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品</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中准会计师事务所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2"/>
                <w:sz w:val="18"/>
                <w:szCs w:val="18"/>
              </w:rPr>
              <w:t>中准会计师事务所有限公司，后更名为中准会计师事务所（特殊普通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京都律师事务所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北京市京都律师事务所</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年度非公开发行人民币普通股（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股）股票</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员工持股计划</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年员工持股计划</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指人民币元、人民币万元</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月的会计期间</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723" w:right="1133"/>
        <w:jc w:val="left"/>
        <w:rPr>
          <w:b w:val="0"/>
          <w:bCs w:val="0"/>
        </w:rPr>
      </w:pPr>
      <w:bookmarkStart w:name="第二节公司简介和主要财务指标" w:id="3"/>
      <w:bookmarkEnd w:id="3"/>
      <w:r>
        <w:rPr>
          <w:b w:val="0"/>
          <w:bCs w:val="0"/>
        </w:rPr>
      </w:r>
      <w:bookmarkStart w:name="_bookmark1" w:id="4"/>
      <w:bookmarkEnd w:id="4"/>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133"/>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紫鑫药业</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002118</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紫鑫药业</w:t>
            </w:r>
          </w:p>
        </w:tc>
      </w:tr>
      <w:tr>
        <w:trPr>
          <w:trHeight w:val="40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JILIN</w:t>
            </w:r>
            <w:r>
              <w:rPr>
                <w:rFonts w:ascii="Times New Roman"/>
                <w:spacing w:val="-6"/>
                <w:sz w:val="18"/>
              </w:rPr>
              <w:t> </w:t>
            </w:r>
            <w:r>
              <w:rPr>
                <w:rFonts w:ascii="Times New Roman"/>
                <w:sz w:val="18"/>
              </w:rPr>
              <w:t>ZIXIN</w:t>
            </w:r>
            <w:r>
              <w:rPr>
                <w:rFonts w:ascii="Times New Roman"/>
                <w:spacing w:val="-8"/>
                <w:sz w:val="18"/>
              </w:rPr>
              <w:t> </w:t>
            </w:r>
            <w:r>
              <w:rPr>
                <w:rFonts w:ascii="Times New Roman"/>
                <w:sz w:val="18"/>
              </w:rPr>
              <w:t>PHARMACEUTICAL</w:t>
            </w:r>
            <w:r>
              <w:rPr>
                <w:rFonts w:ascii="Times New Roman"/>
                <w:spacing w:val="-15"/>
                <w:sz w:val="18"/>
              </w:rPr>
              <w:t> </w:t>
            </w:r>
            <w:r>
              <w:rPr>
                <w:rFonts w:ascii="Times New Roman"/>
                <w:sz w:val="18"/>
              </w:rPr>
              <w:t>INDUSTRIAL</w:t>
            </w:r>
            <w:r>
              <w:rPr>
                <w:rFonts w:ascii="Times New Roman"/>
                <w:spacing w:val="-15"/>
                <w:sz w:val="18"/>
              </w:rPr>
              <w:t> </w:t>
            </w:r>
            <w:r>
              <w:rPr>
                <w:rFonts w:ascii="Times New Roman"/>
                <w:sz w:val="18"/>
              </w:rPr>
              <w:t>CO.,LTD.</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封有顺</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吉林省柳河县英利路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135300</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吉林省长春市南关区东头道街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137 </w:t>
            </w:r>
            <w:r>
              <w:rPr>
                <w:rFonts w:ascii="宋体" w:hAnsi="宋体" w:cs="宋体" w:eastAsia="宋体" w:hint="default"/>
                <w:sz w:val="18"/>
                <w:szCs w:val="18"/>
              </w:rPr>
              <w:t>号</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130041</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http://www.jilinzixin.com.cn</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zixin@zxpc.cc</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1133"/>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张万恒</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吉林省长春市南关区东头道街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137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0431-81916633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0431-88698366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zixin@zxpc.cc</w:t>
              </w:r>
            </w:hyperlink>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3"/>
        <w:spacing w:line="240" w:lineRule="auto" w:before="26"/>
        <w:ind w:right="1133"/>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1"/>
        <w:rPr>
          <w:rFonts w:ascii="宋体" w:hAnsi="宋体" w:cs="宋体" w:eastAsia="宋体" w:hint="default"/>
          <w:b/>
          <w:bCs/>
          <w:sz w:val="18"/>
          <w:szCs w:val="18"/>
        </w:rPr>
      </w:pPr>
    </w:p>
    <w:p>
      <w:pPr>
        <w:pStyle w:val="Heading3"/>
        <w:spacing w:line="240" w:lineRule="auto" w:before="26"/>
        <w:ind w:right="1133"/>
        <w:jc w:val="left"/>
        <w:rPr>
          <w:b w:val="0"/>
          <w:bCs w:val="0"/>
        </w:rPr>
      </w:pPr>
      <w:bookmarkStart w:name="四、注册变更情况" w:id="8"/>
      <w:bookmarkEnd w:id="8"/>
      <w:r>
        <w:rPr>
          <w:b w:val="0"/>
          <w:bCs w:val="0"/>
        </w:rPr>
      </w:r>
      <w:r>
        <w:rPr/>
        <w:t>四、注册变更情况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4"/>
          <w:szCs w:val="24"/>
        </w:rPr>
      </w:pPr>
    </w:p>
    <w:p>
      <w:pPr>
        <w:spacing w:before="44"/>
        <w:ind w:left="0" w:right="1139" w:firstLine="0"/>
        <w:jc w:val="right"/>
        <w:rPr>
          <w:rFonts w:ascii="宋体" w:hAnsi="宋体" w:cs="宋体" w:eastAsia="宋体" w:hint="default"/>
          <w:sz w:val="18"/>
          <w:szCs w:val="18"/>
        </w:rPr>
      </w:pPr>
      <w:r>
        <w:rPr/>
        <w:pict>
          <v:shape style="position:absolute;margin-left:56.459999pt;margin-top:-49.468292pt;width:479.2pt;height:296.350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6380"/>
                  </w:tblGrid>
                  <w:tr>
                    <w:trPr>
                      <w:trHeight w:val="55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50"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年第二次临时股东大会审议通过《关于变更营业范 </w:t>
                        </w:r>
                        <w:r>
                          <w:rPr>
                            <w:rFonts w:ascii="宋体" w:hAnsi="宋体" w:cs="宋体" w:eastAsia="宋体" w:hint="default"/>
                            <w:spacing w:val="-8"/>
                            <w:sz w:val="18"/>
                            <w:szCs w:val="18"/>
                          </w:rPr>
                          <w:t>围并修订公司章程的议案》。</w:t>
                        </w:r>
                      </w:p>
                      <w:p>
                        <w:pPr>
                          <w:pStyle w:val="TableParagraph"/>
                          <w:spacing w:line="314" w:lineRule="auto" w:before="70"/>
                          <w:ind w:left="23" w:right="-46" w:firstLine="362"/>
                          <w:jc w:val="left"/>
                          <w:rPr>
                            <w:rFonts w:ascii="宋体" w:hAnsi="宋体" w:cs="宋体" w:eastAsia="宋体" w:hint="default"/>
                            <w:sz w:val="18"/>
                            <w:szCs w:val="18"/>
                          </w:rPr>
                        </w:pPr>
                        <w:r>
                          <w:rPr>
                            <w:rFonts w:ascii="宋体" w:hAnsi="宋体" w:cs="宋体" w:eastAsia="宋体" w:hint="default"/>
                            <w:sz w:val="18"/>
                            <w:szCs w:val="18"/>
                          </w:rPr>
                          <w:t>修改前：经依法登记，公司的经营范围：加工销售中成药，化学药制剂（口 </w:t>
                        </w:r>
                        <w:r>
                          <w:rPr>
                            <w:rFonts w:ascii="宋体" w:hAnsi="宋体" w:cs="宋体" w:eastAsia="宋体" w:hint="default"/>
                            <w:spacing w:val="-8"/>
                            <w:sz w:val="18"/>
                            <w:szCs w:val="18"/>
                          </w:rPr>
                          <w:t>服液，片剂，胶囊），药材原料，针织品加工，种养殖业；设计，制作，代理电视</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报纸，灯箱，路牌广告业务，经营本企业自产产品及相关技术的出口业务（国家 </w:t>
                        </w:r>
                        <w:r>
                          <w:rPr>
                            <w:rFonts w:ascii="宋体" w:hAnsi="宋体" w:cs="宋体" w:eastAsia="宋体" w:hint="default"/>
                            <w:spacing w:val="-5"/>
                            <w:sz w:val="18"/>
                            <w:szCs w:val="18"/>
                          </w:rPr>
                          <w:t>限定公司经营或禁止出口的商品除外）；经营本企业生产科研所需的原辅材料、机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械设备、仪器仪表、零配件及相关技术的进出口业务（国家限定公司经营或禁止 </w:t>
                        </w:r>
                        <w:r>
                          <w:rPr>
                            <w:rFonts w:ascii="宋体" w:hAnsi="宋体" w:cs="宋体" w:eastAsia="宋体" w:hint="default"/>
                            <w:spacing w:val="-4"/>
                            <w:w w:val="100"/>
                            <w:sz w:val="18"/>
                            <w:szCs w:val="18"/>
                          </w:rPr>
                          <w:t>进口的商品除外）；经营本企业的进料加工和</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三来一补</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业务；生产脱脂棉球；土</w:t>
                        </w:r>
                        <w:r>
                          <w:rPr>
                            <w:rFonts w:ascii="宋体" w:hAnsi="宋体" w:cs="宋体" w:eastAsia="宋体" w:hint="default"/>
                            <w:spacing w:val="-84"/>
                            <w:w w:val="100"/>
                            <w:sz w:val="18"/>
                            <w:szCs w:val="18"/>
                          </w:rPr>
                          <w:t> </w:t>
                        </w:r>
                        <w:r>
                          <w:rPr>
                            <w:rFonts w:ascii="宋体" w:hAnsi="宋体" w:cs="宋体" w:eastAsia="宋体" w:hint="default"/>
                            <w:spacing w:val="-84"/>
                            <w:w w:val="100"/>
                            <w:sz w:val="18"/>
                            <w:szCs w:val="18"/>
                          </w:rPr>
                        </w:r>
                        <w:r>
                          <w:rPr>
                            <w:rFonts w:ascii="宋体" w:hAnsi="宋体" w:cs="宋体" w:eastAsia="宋体" w:hint="default"/>
                            <w:sz w:val="18"/>
                            <w:szCs w:val="18"/>
                          </w:rPr>
                          <w:t>特产品销售。</w:t>
                        </w:r>
                        <w:r>
                          <w:rPr>
                            <w:rFonts w:ascii="Times New Roman" w:hAnsi="Times New Roman" w:cs="Times New Roman" w:eastAsia="Times New Roman" w:hint="default"/>
                            <w:sz w:val="18"/>
                            <w:szCs w:val="18"/>
                          </w:rPr>
                          <w:t>***</w:t>
                        </w:r>
                        <w:r>
                          <w:rPr>
                            <w:rFonts w:ascii="宋体" w:hAnsi="宋体" w:cs="宋体" w:eastAsia="宋体" w:hint="default"/>
                            <w:sz w:val="18"/>
                            <w:szCs w:val="18"/>
                          </w:rPr>
                          <w:t>（依法须经批准的项目，经相关部门批准后方可开展经营活动）</w:t>
                        </w:r>
                      </w:p>
                      <w:p>
                        <w:pPr>
                          <w:pStyle w:val="TableParagraph"/>
                          <w:spacing w:line="314" w:lineRule="auto" w:before="82"/>
                          <w:ind w:left="23" w:right="22" w:firstLine="362"/>
                          <w:jc w:val="both"/>
                          <w:rPr>
                            <w:rFonts w:ascii="宋体" w:hAnsi="宋体" w:cs="宋体" w:eastAsia="宋体" w:hint="default"/>
                            <w:sz w:val="18"/>
                            <w:szCs w:val="18"/>
                          </w:rPr>
                        </w:pPr>
                        <w:r>
                          <w:rPr>
                            <w:rFonts w:ascii="宋体" w:hAnsi="宋体" w:cs="宋体" w:eastAsia="宋体" w:hint="default"/>
                            <w:sz w:val="18"/>
                            <w:szCs w:val="18"/>
                          </w:rPr>
                          <w:t>修改后：经依法登记，公司的经营范围：加工销售中成药，化学药制剂（口 </w:t>
                        </w:r>
                        <w:r>
                          <w:rPr>
                            <w:rFonts w:ascii="宋体" w:hAnsi="宋体" w:cs="宋体" w:eastAsia="宋体" w:hint="default"/>
                            <w:spacing w:val="-5"/>
                            <w:sz w:val="18"/>
                            <w:szCs w:val="18"/>
                          </w:rPr>
                          <w:t>服液，片剂，胶囊），中药饮片，药材原料，农副产品，针织品加工；中药材的种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植与销售，种养殖业；设计，制作，代理电视，报纸，灯箱，路牌广告业务，经 营本企业自产产品及相关技术的出口业务（国家限定公司经营或禁止出口的商品 </w:t>
                        </w:r>
                        <w:r>
                          <w:rPr>
                            <w:rFonts w:ascii="宋体" w:hAnsi="宋体" w:cs="宋体" w:eastAsia="宋体" w:hint="default"/>
                            <w:spacing w:val="-5"/>
                            <w:sz w:val="18"/>
                            <w:szCs w:val="18"/>
                          </w:rPr>
                          <w:t>除外）；经营本企业生产科研所需的原辅材料、机械设备、仪器仪表、零配件及相</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关技术的进出口业务（国家限定公司经营或禁止进口的商品除外）；经营本企业的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进料加工和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三来一补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业务；生产脱脂棉球；土特产品销售。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（依法须经批准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的项目，经相关部门批准后方可开展经营活动）</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3"/>
        <w:spacing w:line="240" w:lineRule="auto" w:before="26"/>
        <w:ind w:right="1133"/>
        <w:jc w:val="left"/>
        <w:rPr>
          <w:b w:val="0"/>
          <w:bCs w:val="0"/>
        </w:rPr>
      </w:pPr>
      <w:bookmarkStart w:name="五、其他有关资料" w:id="9"/>
      <w:bookmarkEnd w:id="9"/>
      <w:r>
        <w:rPr>
          <w:b w:val="0"/>
          <w:bCs w:val="0"/>
        </w:rPr>
      </w: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中准会计师事务所（特殊普通合伙）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北京市海淀区首体南路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号国兴大厦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刘昆、常明</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4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公司聘请的报告期内履行持续督导职责的财务顾问</w:t>
      </w:r>
    </w:p>
    <w:p>
      <w:pPr>
        <w:spacing w:before="41"/>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133"/>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8"/>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859,289,244.11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1,324,961,112.13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1,327,230,839.27</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70,289,863.49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174,072,146.42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371,577,386.43</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-34,699,990.86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160,195,727.91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-121.66%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365,984,300.53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-323,279,896.35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-767,432,118.44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-1,320,518,734.20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-64.29%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0.29</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0.29</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-2.51%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9.46%</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10,658,639,431.93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9,919,199,057.86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7.45%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8,879,497,809.11</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4,444,025,079.80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4,307,534,261.90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4,130,820,879.57</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3"/>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2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7"/>
        <w:rPr>
          <w:rFonts w:ascii="宋体" w:hAnsi="宋体" w:cs="宋体" w:eastAsia="宋体" w:hint="default"/>
          <w:sz w:val="21"/>
          <w:szCs w:val="21"/>
        </w:rPr>
      </w:pPr>
    </w:p>
    <w:p>
      <w:pPr>
        <w:pStyle w:val="Heading5"/>
        <w:spacing w:line="240" w:lineRule="auto"/>
        <w:ind w:right="1133"/>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2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3"/>
        <w:spacing w:line="240" w:lineRule="auto"/>
        <w:ind w:right="1133"/>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162,482,666.21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351,069,971.78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199,583,618.00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146,152,988.12</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-18,495,042.01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76,409,207.45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15,457,609.56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-3,081,911.51</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-23,466,675.87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66,491,892.19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-15,970,193.27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-61,755,013.91</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-477,786,277.38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-91,666,856.18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94,054,501.41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152,118,735.80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3"/>
        <w:spacing w:line="240" w:lineRule="auto"/>
        <w:ind w:right="1133"/>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85"/>
        <w:gridCol w:w="1532"/>
        <w:gridCol w:w="1520"/>
        <w:gridCol w:w="1522"/>
        <w:gridCol w:w="1711"/>
      </w:tblGrid>
      <w:tr>
        <w:trPr>
          <w:trHeight w:val="401"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center"/>
              <w:rPr>
                <w:rFonts w:ascii="宋体" w:hAnsi="宋体" w:cs="宋体" w:eastAsia="宋体" w:hint="default"/>
                <w:sz w:val="18"/>
                <w:szCs w:val="18"/>
              </w:rPr>
            </w:pPr>
            <w:r>
              <w:rPr>
                <w:rFonts w:ascii="宋体" w:hAnsi="宋体" w:cs="宋体" w:eastAsia="宋体" w:hint="default"/>
                <w:sz w:val="18"/>
                <w:szCs w:val="18"/>
              </w:rPr>
              <w:t>非流动资产处置损益（包括已计提资产减</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-554,044.53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-134,201.81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36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值准备的冲销部分）</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126,609,201.36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19,726,427.92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36,896,291.54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-3,444,638.74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-3,963,357.10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-9,386,533.41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-16,861,049.65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17,620,636.07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1,752,450.50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5,055,622.58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27.67</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104,989,854.35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13,876,418.51</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5,593,085.90</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3"/>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84"/>
        <w:jc w:val="center"/>
        <w:rPr>
          <w:b w:val="0"/>
          <w:bCs w:val="0"/>
        </w:rPr>
      </w:pPr>
      <w:bookmarkStart w:name="第三节公司业务概要" w:id="16"/>
      <w:bookmarkEnd w:id="16"/>
      <w:r>
        <w:rPr>
          <w:b w:val="0"/>
          <w:bCs w:val="0"/>
        </w:rPr>
      </w:r>
      <w:bookmarkStart w:name="_bookmark2" w:id="17"/>
      <w:bookmarkEnd w:id="17"/>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8"/>
        <w:rPr>
          <w:rFonts w:ascii="宋体" w:hAnsi="宋体" w:cs="宋体" w:eastAsia="宋体" w:hint="default"/>
          <w:b/>
          <w:bCs/>
          <w:sz w:val="30"/>
          <w:szCs w:val="30"/>
        </w:rPr>
      </w:pPr>
    </w:p>
    <w:p>
      <w:pPr>
        <w:pStyle w:val="BodyText"/>
        <w:spacing w:line="400" w:lineRule="auto" w:before="0"/>
        <w:ind w:right="0" w:firstLine="420"/>
        <w:jc w:val="left"/>
      </w:pPr>
      <w:r>
        <w:rPr/>
        <w:t>（一）报告期内，我国医药产业持续转型，医疗体制改革持续深化，相关政策的密集出台使</w:t>
      </w:r>
      <w:r>
        <w:rPr>
          <w:rFonts w:ascii="Times New Roman" w:hAnsi="Times New Roman" w:cs="Times New Roman" w:eastAsia="Times New Roman" w:hint="default"/>
        </w:rPr>
        <w:t>2019</w:t>
      </w:r>
      <w:r>
        <w:rPr/>
        <w:t>年医</w:t>
      </w:r>
      <w:r>
        <w:rPr>
          <w:w w:val="100"/>
        </w:rPr>
        <w:t> </w:t>
      </w:r>
      <w:r>
        <w:rPr/>
        <w:t>疗行业面临政策的</w:t>
      </w:r>
      <w:r>
        <w:rPr>
          <w:rFonts w:ascii="Times New Roman" w:hAnsi="Times New Roman" w:cs="Times New Roman" w:eastAsia="Times New Roman" w:hint="default"/>
        </w:rPr>
        <w:t>“</w:t>
      </w:r>
      <w:r>
        <w:rPr/>
        <w:t>大考</w:t>
      </w:r>
      <w:r>
        <w:rPr>
          <w:rFonts w:ascii="Times New Roman" w:hAnsi="Times New Roman" w:cs="Times New Roman" w:eastAsia="Times New Roman" w:hint="default"/>
        </w:rPr>
        <w:t>”</w:t>
      </w:r>
      <w:r>
        <w:rPr/>
        <w:t>，医保控费、两票制、</w:t>
      </w:r>
      <w:r>
        <w:rPr>
          <w:rFonts w:ascii="Times New Roman" w:hAnsi="Times New Roman" w:cs="Times New Roman" w:eastAsia="Times New Roman" w:hint="default"/>
        </w:rPr>
        <w:t>4+7</w:t>
      </w:r>
      <w:r>
        <w:rPr/>
        <w:t>药品带量采购等政策陆续实施，对传统医药行业的市</w:t>
      </w:r>
      <w:r>
        <w:rPr>
          <w:w w:val="100"/>
        </w:rPr>
        <w:t> </w:t>
      </w:r>
      <w:r>
        <w:rPr>
          <w:spacing w:val="-5"/>
        </w:rPr>
        <w:t>场格局带来巨大冲击。公司董事会面对国家宏观经济调整、医药行业监管力度加大等环境变化，积极应对， </w:t>
      </w:r>
      <w:r>
        <w:rPr>
          <w:spacing w:val="-5"/>
        </w:rPr>
      </w:r>
      <w:r>
        <w:rPr>
          <w:spacing w:val="-2"/>
        </w:rPr>
        <w:t>狠抓市场建设，优化产品结构，积极挖潜增效，加强资金管理，强化质量控制，加快科研开发，公司在立</w:t>
      </w:r>
      <w:r>
        <w:rPr>
          <w:spacing w:val="-42"/>
        </w:rPr>
        <w:t> </w:t>
      </w:r>
      <w:r>
        <w:rPr>
          <w:spacing w:val="-42"/>
        </w:rPr>
      </w:r>
      <w:r>
        <w:rPr>
          <w:spacing w:val="-2"/>
        </w:rPr>
        <w:t>足主营业务板块的同时，有计划分步骤的进军工业大麻领域，统筹兼顾推进各项工作，在此基础上取得了</w:t>
      </w:r>
      <w:r>
        <w:rPr>
          <w:spacing w:val="-44"/>
        </w:rPr>
        <w:t> </w:t>
      </w:r>
      <w:r>
        <w:rPr>
          <w:spacing w:val="-44"/>
        </w:rPr>
      </w:r>
      <w:r>
        <w:rPr/>
        <w:t>较好的生产经营业绩。</w:t>
      </w:r>
    </w:p>
    <w:p>
      <w:pPr>
        <w:pStyle w:val="BodyText"/>
        <w:spacing w:line="408" w:lineRule="auto" w:before="52"/>
        <w:ind w:left="573" w:right="1133"/>
        <w:jc w:val="left"/>
      </w:pPr>
      <w:r>
        <w:rPr/>
        <w:t>（二）报告期内，公司所从事的主要业务及产品</w:t>
      </w:r>
      <w:r>
        <w:rPr>
          <w:w w:val="100"/>
        </w:rPr>
        <w:t> </w:t>
      </w:r>
      <w:r>
        <w:rPr>
          <w:spacing w:val="-2"/>
        </w:rPr>
        <w:t>报告期内，公司主要从事中成药产业、人参产业，目前正在积极拓展工业大麻等产业。在工业大麻领</w:t>
      </w:r>
    </w:p>
    <w:p>
      <w:pPr>
        <w:pStyle w:val="BodyText"/>
        <w:spacing w:line="408" w:lineRule="auto"/>
        <w:ind w:right="1126"/>
        <w:jc w:val="both"/>
      </w:pPr>
      <w:r>
        <w:rPr>
          <w:spacing w:val="-2"/>
        </w:rPr>
        <w:t>域，公司正在将位于荷兰子公司的部分工业大麻种子引进国内，后续通过与黑龙江省齐齐哈尔市甘南县人</w:t>
      </w:r>
      <w:r>
        <w:rPr>
          <w:spacing w:val="-44"/>
        </w:rPr>
        <w:t> </w:t>
      </w:r>
      <w:r>
        <w:rPr>
          <w:spacing w:val="-44"/>
        </w:rPr>
      </w:r>
      <w:r>
        <w:rPr>
          <w:spacing w:val="-2"/>
        </w:rPr>
        <w:t>民政府及齐齐哈尔市市场监督管理局合作，综合黑龙江省工业大麻行业政策、合法合规地域及地方政府政</w:t>
      </w:r>
      <w:r>
        <w:rPr>
          <w:spacing w:val="-44"/>
        </w:rPr>
        <w:t> </w:t>
      </w:r>
      <w:r>
        <w:rPr>
          <w:spacing w:val="-44"/>
        </w:rPr>
      </w:r>
      <w:r>
        <w:rPr>
          <w:spacing w:val="-2"/>
        </w:rPr>
        <w:t>策，同时利用荷兰子公司工业大麻的育种、栽培、生物活性成分研究和化合物提取等方面的技术，计划研</w:t>
      </w:r>
      <w:r>
        <w:rPr>
          <w:spacing w:val="-47"/>
        </w:rPr>
        <w:t> </w:t>
      </w:r>
      <w:r>
        <w:rPr>
          <w:spacing w:val="-47"/>
        </w:rPr>
      </w:r>
      <w:r>
        <w:rPr>
          <w:spacing w:val="-2"/>
        </w:rPr>
        <w:t>发以工业大麻为主要原材料的产品，并为其他企业提供工业大麻作物种植相关的技术服务，尽快推动公司</w:t>
      </w:r>
      <w:r>
        <w:rPr>
          <w:spacing w:val="-42"/>
        </w:rPr>
        <w:t> </w:t>
      </w:r>
      <w:r>
        <w:rPr>
          <w:spacing w:val="-42"/>
        </w:rPr>
      </w:r>
      <w:r>
        <w:rPr/>
        <w:t>在国内工业大麻领域的产业布局，为公司带来经济效益。</w:t>
      </w:r>
    </w:p>
    <w:p>
      <w:pPr>
        <w:pStyle w:val="BodyText"/>
        <w:spacing w:line="240" w:lineRule="auto"/>
        <w:ind w:left="573" w:right="1133"/>
        <w:jc w:val="left"/>
      </w:pPr>
      <w:r>
        <w:rPr/>
        <w:t>公司的主要产品如下：</w:t>
      </w:r>
    </w:p>
    <w:p>
      <w:pPr>
        <w:spacing w:line="240" w:lineRule="auto" w:before="10"/>
        <w:rPr>
          <w:rFonts w:ascii="宋体" w:hAnsi="宋体" w:cs="宋体" w:eastAsia="宋体" w:hint="default"/>
          <w:sz w:val="14"/>
          <w:szCs w:val="14"/>
        </w:rPr>
      </w:pPr>
    </w:p>
    <w:p>
      <w:pPr>
        <w:pStyle w:val="BodyText"/>
        <w:spacing w:line="386" w:lineRule="auto" w:before="0"/>
        <w:ind w:left="573" w:right="1133"/>
        <w:jc w:val="left"/>
      </w:pPr>
      <w:r>
        <w:rPr>
          <w:rFonts w:ascii="Times New Roman" w:hAnsi="Times New Roman" w:cs="Times New Roman" w:eastAsia="Times New Roman" w:hint="default"/>
        </w:rPr>
        <w:t>1</w:t>
      </w:r>
      <w:r>
        <w:rPr/>
        <w:t>、中成药产业概况</w:t>
      </w:r>
      <w:r>
        <w:rPr>
          <w:w w:val="100"/>
        </w:rPr>
        <w:t> </w:t>
      </w:r>
      <w:r>
        <w:rPr>
          <w:spacing w:val="-2"/>
        </w:rPr>
        <w:t>公司生产的中成药以治疗风湿免疫类、耳鼻喉类、泌尿系统、心脑血管、肝胆类和消化系统类疾病为</w:t>
      </w:r>
    </w:p>
    <w:p>
      <w:pPr>
        <w:pStyle w:val="BodyText"/>
        <w:spacing w:line="386" w:lineRule="auto" w:before="65"/>
        <w:ind w:right="1126"/>
        <w:jc w:val="both"/>
      </w:pPr>
      <w:r>
        <w:rPr/>
        <w:t>主，生产药品的剂型共分为</w:t>
      </w:r>
      <w:r>
        <w:rPr>
          <w:rFonts w:ascii="Times New Roman" w:hAnsi="Times New Roman" w:cs="Times New Roman" w:eastAsia="Times New Roman" w:hint="default"/>
        </w:rPr>
        <w:t>9</w:t>
      </w:r>
      <w:r>
        <w:rPr/>
        <w:t>种，包括丸剂、片剂、硬胶囊剂、口服液、颗粒剂、口服溶液剂、合剂、软</w:t>
      </w:r>
      <w:r>
        <w:rPr>
          <w:spacing w:val="-24"/>
        </w:rPr>
        <w:t> </w:t>
      </w:r>
      <w:r>
        <w:rPr>
          <w:spacing w:val="-24"/>
        </w:rPr>
      </w:r>
      <w:r>
        <w:rPr>
          <w:spacing w:val="-2"/>
        </w:rPr>
        <w:t>胶囊剂和锭剂。公司中成药产品储备丰富，目前共取得药品批准文号</w:t>
      </w:r>
      <w:r>
        <w:rPr>
          <w:rFonts w:ascii="Times New Roman" w:hAnsi="Times New Roman" w:cs="Times New Roman" w:eastAsia="Times New Roman" w:hint="default"/>
          <w:spacing w:val="-2"/>
        </w:rPr>
        <w:t>205</w:t>
      </w:r>
      <w:r>
        <w:rPr>
          <w:spacing w:val="-2"/>
        </w:rPr>
        <w:t>个，涉及</w:t>
      </w:r>
      <w:r>
        <w:rPr>
          <w:rFonts w:ascii="Times New Roman" w:hAnsi="Times New Roman" w:cs="Times New Roman" w:eastAsia="Times New Roman" w:hint="default"/>
          <w:spacing w:val="-2"/>
        </w:rPr>
        <w:t>172</w:t>
      </w:r>
      <w:r>
        <w:rPr>
          <w:spacing w:val="-2"/>
        </w:rPr>
        <w:t>种药品（在生产药品</w:t>
      </w:r>
      <w:r>
        <w:rPr>
          <w:spacing w:val="-46"/>
        </w:rPr>
        <w:t> </w:t>
      </w:r>
      <w:r>
        <w:rPr>
          <w:spacing w:val="-46"/>
        </w:rPr>
      </w:r>
      <w:r>
        <w:rPr>
          <w:rFonts w:ascii="Times New Roman" w:hAnsi="Times New Roman" w:cs="Times New Roman" w:eastAsia="Times New Roman" w:hint="default"/>
          <w:spacing w:val="-2"/>
        </w:rPr>
        <w:t>67</w:t>
      </w:r>
      <w:r>
        <w:rPr>
          <w:spacing w:val="-2"/>
        </w:rPr>
        <w:t>种），其中</w:t>
      </w:r>
      <w:r>
        <w:rPr>
          <w:rFonts w:ascii="Times New Roman" w:hAnsi="Times New Roman" w:cs="Times New Roman" w:eastAsia="Times New Roman" w:hint="default"/>
          <w:spacing w:val="-2"/>
        </w:rPr>
        <w:t>OTC</w:t>
      </w:r>
      <w:r>
        <w:rPr>
          <w:spacing w:val="-2"/>
        </w:rPr>
        <w:t>药品</w:t>
      </w:r>
      <w:r>
        <w:rPr>
          <w:rFonts w:ascii="Times New Roman" w:hAnsi="Times New Roman" w:cs="Times New Roman" w:eastAsia="Times New Roman" w:hint="default"/>
          <w:spacing w:val="-2"/>
        </w:rPr>
        <w:t>92</w:t>
      </w:r>
      <w:r>
        <w:rPr>
          <w:spacing w:val="-2"/>
        </w:rPr>
        <w:t>个药品批准文号，处方药品</w:t>
      </w:r>
      <w:r>
        <w:rPr>
          <w:rFonts w:ascii="Times New Roman" w:hAnsi="Times New Roman" w:cs="Times New Roman" w:eastAsia="Times New Roman" w:hint="default"/>
          <w:spacing w:val="-2"/>
        </w:rPr>
        <w:t>113</w:t>
      </w:r>
      <w:r>
        <w:rPr>
          <w:spacing w:val="-2"/>
        </w:rPr>
        <w:t>个药品批准文号。公司目前拥有独家品种</w:t>
      </w:r>
      <w:r>
        <w:rPr>
          <w:rFonts w:ascii="Times New Roman" w:hAnsi="Times New Roman" w:cs="Times New Roman" w:eastAsia="Times New Roman" w:hint="default"/>
          <w:spacing w:val="-2"/>
        </w:rPr>
        <w:t>5</w:t>
      </w:r>
      <w:r>
        <w:rPr>
          <w:spacing w:val="-2"/>
        </w:rPr>
        <w:t>种，优</w:t>
      </w:r>
      <w:r>
        <w:rPr>
          <w:spacing w:val="-40"/>
        </w:rPr>
        <w:t> </w:t>
      </w:r>
      <w:r>
        <w:rPr>
          <w:spacing w:val="-40"/>
        </w:rPr>
      </w:r>
      <w:r>
        <w:rPr/>
        <w:t>质优价药品</w:t>
      </w:r>
      <w:r>
        <w:rPr>
          <w:rFonts w:ascii="Times New Roman" w:hAnsi="Times New Roman" w:cs="Times New Roman" w:eastAsia="Times New Roman" w:hint="default"/>
        </w:rPr>
        <w:t>8</w:t>
      </w:r>
      <w:r>
        <w:rPr/>
        <w:t>种，国家中药二级保护药品</w:t>
      </w:r>
      <w:r>
        <w:rPr>
          <w:rFonts w:ascii="Times New Roman" w:hAnsi="Times New Roman" w:cs="Times New Roman" w:eastAsia="Times New Roman" w:hint="default"/>
        </w:rPr>
        <w:t>3</w:t>
      </w:r>
      <w:r>
        <w:rPr/>
        <w:t>种，有</w:t>
      </w:r>
      <w:r>
        <w:rPr>
          <w:rFonts w:ascii="Times New Roman" w:hAnsi="Times New Roman" w:cs="Times New Roman" w:eastAsia="Times New Roman" w:hint="default"/>
        </w:rPr>
        <w:t>30</w:t>
      </w:r>
      <w:r>
        <w:rPr/>
        <w:t>个药品批准文号的药品入选 </w:t>
      </w:r>
      <w:r>
        <w:rPr>
          <w:rFonts w:ascii="Times New Roman" w:hAnsi="Times New Roman" w:cs="Times New Roman" w:eastAsia="Times New Roman" w:hint="default"/>
        </w:rPr>
        <w:t>2018</w:t>
      </w:r>
      <w:r>
        <w:rPr>
          <w:rFonts w:ascii="Times New Roman" w:hAnsi="Times New Roman" w:cs="Times New Roman" w:eastAsia="Times New Roman" w:hint="default"/>
          <w:spacing w:val="25"/>
        </w:rPr>
        <w:t> </w:t>
      </w:r>
      <w:r>
        <w:rPr/>
        <w:t>年版《国家基本药物</w:t>
      </w:r>
      <w:r>
        <w:rPr>
          <w:w w:val="100"/>
        </w:rPr>
        <w:t> </w:t>
      </w:r>
      <w:r>
        <w:rPr/>
        <w:t>目录》，</w:t>
      </w:r>
      <w:r>
        <w:rPr>
          <w:rFonts w:ascii="Times New Roman" w:hAnsi="Times New Roman" w:cs="Times New Roman" w:eastAsia="Times New Roman" w:hint="default"/>
        </w:rPr>
        <w:t>124</w:t>
      </w:r>
      <w:r>
        <w:rPr/>
        <w:t>个品种纳入《国家医保目录（</w:t>
      </w:r>
      <w:r>
        <w:rPr>
          <w:rFonts w:ascii="Times New Roman" w:hAnsi="Times New Roman" w:cs="Times New Roman" w:eastAsia="Times New Roman" w:hint="default"/>
        </w:rPr>
        <w:t>2019</w:t>
      </w:r>
      <w:r>
        <w:rPr/>
        <w:t>版）》，公司主要中成药产品包括四妙丸、藿胆片、肾复</w:t>
      </w:r>
      <w:r>
        <w:rPr>
          <w:spacing w:val="-28"/>
        </w:rPr>
        <w:t> </w:t>
      </w:r>
      <w:r>
        <w:rPr>
          <w:spacing w:val="-28"/>
        </w:rPr>
      </w:r>
      <w:r>
        <w:rPr/>
        <w:t>康胶囊、活血通脉片、萆薢分清丸、内消瘰疬丸、二丁颗粒、小儿白贝和海贝胃疡等产品。</w:t>
      </w:r>
    </w:p>
    <w:p>
      <w:pPr>
        <w:pStyle w:val="BodyText"/>
        <w:spacing w:line="386" w:lineRule="auto" w:before="65"/>
        <w:ind w:left="573" w:right="1133"/>
        <w:jc w:val="left"/>
      </w:pPr>
      <w:r>
        <w:rPr>
          <w:rFonts w:ascii="Times New Roman" w:hAnsi="Times New Roman" w:cs="Times New Roman" w:eastAsia="Times New Roman" w:hint="default"/>
        </w:rPr>
        <w:t>2</w:t>
      </w:r>
      <w:r>
        <w:rPr/>
        <w:t>、人参产业概况</w:t>
      </w:r>
      <w:r>
        <w:rPr>
          <w:w w:val="100"/>
        </w:rPr>
        <w:t> </w:t>
      </w:r>
      <w:r>
        <w:rPr>
          <w:spacing w:val="-2"/>
        </w:rPr>
        <w:t>公司自进入人参产业以来，积极响应吉林省委、省政府的号召，不断加大对人参产业的投入力度，在</w:t>
      </w:r>
    </w:p>
    <w:p>
      <w:pPr>
        <w:pStyle w:val="BodyText"/>
        <w:spacing w:line="240" w:lineRule="auto" w:before="65"/>
        <w:ind w:right="0"/>
        <w:jc w:val="both"/>
      </w:pPr>
      <w:r>
        <w:rPr/>
        <w:t>人参种植和培育、人参库存的战略性储备、人参生产加工的产业升级、人参产品的低中高端新产品研发方</w:t>
      </w:r>
    </w:p>
    <w:p>
      <w:pPr>
        <w:spacing w:after="0" w:line="24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93" w:lineRule="auto" w:before="175"/>
        <w:ind w:right="1126"/>
        <w:jc w:val="both"/>
      </w:pPr>
      <w:r>
        <w:rPr>
          <w:spacing w:val="-2"/>
        </w:rPr>
        <w:t>面，有效的形成了人参产业化的体系化建设；鉴于公司人参产业板块已由战略储备期进入经济效益的收获</w:t>
      </w:r>
      <w:r>
        <w:rPr>
          <w:spacing w:val="-43"/>
        </w:rPr>
        <w:t> </w:t>
      </w:r>
      <w:r>
        <w:rPr>
          <w:spacing w:val="-43"/>
        </w:rPr>
      </w:r>
      <w:r>
        <w:rPr>
          <w:spacing w:val="-2"/>
        </w:rPr>
        <w:t>期，为抓住新的发展机遇，实现把公司建设成人参行业现代化的人参产业龙头企业的目标，公司于</w:t>
      </w:r>
      <w:r>
        <w:rPr>
          <w:rFonts w:ascii="Times New Roman" w:hAnsi="Times New Roman" w:cs="Times New Roman" w:eastAsia="Times New Roman" w:hint="default"/>
          <w:spacing w:val="-2"/>
        </w:rPr>
        <w:t>2018</w:t>
      </w:r>
      <w:r>
        <w:rPr>
          <w:spacing w:val="-2"/>
        </w:rPr>
        <w:t>年</w:t>
      </w:r>
      <w:r>
        <w:rPr>
          <w:spacing w:val="-41"/>
        </w:rPr>
        <w:t> </w:t>
      </w:r>
      <w:r>
        <w:rPr>
          <w:rFonts w:ascii="Times New Roman" w:hAnsi="Times New Roman" w:cs="Times New Roman" w:eastAsia="Times New Roman" w:hint="default"/>
        </w:rPr>
        <w:t>4</w:t>
      </w:r>
      <w:r>
        <w:rPr/>
        <w:t>月制定并发布了《人参产业发展战略规划（</w:t>
      </w:r>
      <w:r>
        <w:rPr>
          <w:rFonts w:ascii="Times New Roman" w:hAnsi="Times New Roman" w:cs="Times New Roman" w:eastAsia="Times New Roman" w:hint="default"/>
        </w:rPr>
        <w:t>2018</w:t>
      </w:r>
      <w:r>
        <w:rPr>
          <w:rFonts w:ascii="Times New Roman" w:hAnsi="Times New Roman" w:cs="Times New Roman" w:eastAsia="Times New Roman" w:hint="default"/>
        </w:rPr>
        <w:t>—</w:t>
      </w:r>
      <w:r>
        <w:rPr>
          <w:rFonts w:ascii="Times New Roman" w:hAnsi="Times New Roman" w:cs="Times New Roman" w:eastAsia="Times New Roman" w:hint="default"/>
        </w:rPr>
        <w:t>2022</w:t>
      </w:r>
      <w:r>
        <w:rPr>
          <w:rFonts w:ascii="Times New Roman" w:hAnsi="Times New Roman" w:cs="Times New Roman" w:eastAsia="Times New Roman" w:hint="default"/>
          <w:spacing w:val="22"/>
        </w:rPr>
        <w:t> </w:t>
      </w:r>
      <w:r>
        <w:rPr/>
        <w:t>年）》。报告期内，公司按照战略规划部署，逐</w:t>
      </w:r>
      <w:r>
        <w:rPr>
          <w:w w:val="100"/>
        </w:rPr>
        <w:t> </w:t>
      </w:r>
      <w:r>
        <w:rPr/>
        <w:t>步推进，稳步落实。</w:t>
      </w:r>
    </w:p>
    <w:p>
      <w:pPr>
        <w:pStyle w:val="BodyText"/>
        <w:spacing w:line="386" w:lineRule="auto" w:before="58"/>
        <w:ind w:left="633" w:right="1133" w:hanging="60"/>
        <w:jc w:val="left"/>
      </w:pPr>
      <w:r>
        <w:rPr>
          <w:rFonts w:ascii="Times New Roman" w:hAnsi="Times New Roman" w:cs="Times New Roman" w:eastAsia="Times New Roman" w:hint="default"/>
        </w:rPr>
        <w:t>3</w:t>
      </w:r>
      <w:r>
        <w:rPr/>
        <w:t>、工业大麻产业情况</w:t>
      </w:r>
      <w:r>
        <w:rPr>
          <w:w w:val="100"/>
        </w:rPr>
        <w:t> </w:t>
      </w:r>
      <w:r>
        <w:rPr>
          <w:spacing w:val="-2"/>
        </w:rPr>
        <w:t>工业大麻是公司目前大力发展的业务，公司欧洲荷兰全资子公司</w:t>
      </w:r>
      <w:r>
        <w:rPr>
          <w:rFonts w:ascii="Times New Roman" w:hAnsi="Times New Roman" w:cs="Times New Roman" w:eastAsia="Times New Roman" w:hint="default"/>
          <w:spacing w:val="-2"/>
        </w:rPr>
        <w:t>Fytagoras</w:t>
      </w:r>
      <w:r>
        <w:rPr>
          <w:spacing w:val="-2"/>
        </w:rPr>
        <w:t>为工业大麻的产业主体，</w:t>
      </w:r>
    </w:p>
    <w:p>
      <w:pPr>
        <w:pStyle w:val="BodyText"/>
        <w:spacing w:line="388" w:lineRule="auto" w:before="35"/>
        <w:ind w:right="1133"/>
        <w:jc w:val="left"/>
      </w:pPr>
      <w:r>
        <w:rPr>
          <w:rFonts w:ascii="Times New Roman" w:hAnsi="Times New Roman" w:cs="Times New Roman" w:eastAsia="Times New Roman" w:hint="default"/>
          <w:spacing w:val="-2"/>
        </w:rPr>
        <w:t>Fytagoras</w:t>
      </w:r>
      <w:r>
        <w:rPr>
          <w:spacing w:val="-2"/>
        </w:rPr>
        <w:t>公司是欧洲境内为数不多的允许合法进行大麻研究和开发的机构，具有</w:t>
      </w:r>
      <w:r>
        <w:rPr>
          <w:rFonts w:ascii="Times New Roman" w:hAnsi="Times New Roman" w:cs="Times New Roman" w:eastAsia="Times New Roman" w:hint="default"/>
          <w:spacing w:val="-2"/>
        </w:rPr>
        <w:t>20</w:t>
      </w:r>
      <w:r>
        <w:rPr>
          <w:spacing w:val="-2"/>
        </w:rPr>
        <w:t>多年植物研究的丰富经</w:t>
      </w:r>
      <w:r>
        <w:rPr>
          <w:spacing w:val="-21"/>
        </w:rPr>
        <w:t> </w:t>
      </w:r>
      <w:r>
        <w:rPr>
          <w:spacing w:val="-21"/>
        </w:rPr>
      </w:r>
      <w:r>
        <w:rPr>
          <w:spacing w:val="-2"/>
        </w:rPr>
        <w:t>验，公司为将</w:t>
      </w:r>
      <w:r>
        <w:rPr>
          <w:rFonts w:ascii="Times New Roman" w:hAnsi="Times New Roman" w:cs="Times New Roman" w:eastAsia="Times New Roman" w:hint="default"/>
          <w:spacing w:val="-2"/>
        </w:rPr>
        <w:t>Fytagoras</w:t>
      </w:r>
      <w:r>
        <w:rPr>
          <w:spacing w:val="-2"/>
        </w:rPr>
        <w:t>公司在工业大麻研发领域的技术引进国内，加快推动公司在国内工业大麻领域的布</w:t>
      </w:r>
      <w:r>
        <w:rPr>
          <w:spacing w:val="-22"/>
        </w:rPr>
        <w:t> </w:t>
      </w:r>
      <w:r>
        <w:rPr>
          <w:spacing w:val="-22"/>
        </w:rPr>
      </w:r>
      <w:r>
        <w:rPr>
          <w:spacing w:val="-2"/>
        </w:rPr>
        <w:t>局，于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15</w:t>
      </w:r>
      <w:r>
        <w:rPr>
          <w:spacing w:val="-2"/>
        </w:rPr>
        <w:t>日决定设立全资子公司吉林紫鑫汉麻研发有限公司，由其逐步承接</w:t>
      </w:r>
      <w:r>
        <w:rPr>
          <w:rFonts w:ascii="Times New Roman" w:hAnsi="Times New Roman" w:cs="Times New Roman" w:eastAsia="Times New Roman" w:hint="default"/>
          <w:spacing w:val="-2"/>
        </w:rPr>
        <w:t>FG</w:t>
      </w:r>
      <w:r>
        <w:rPr>
          <w:spacing w:val="-2"/>
        </w:rPr>
        <w:t>公司在国外工业</w:t>
      </w:r>
      <w:r>
        <w:rPr>
          <w:spacing w:val="-13"/>
        </w:rPr>
        <w:t> </w:t>
      </w:r>
      <w:r>
        <w:rPr>
          <w:spacing w:val="-13"/>
        </w:rPr>
      </w:r>
      <w:r>
        <w:rPr/>
        <w:t>大麻技术领域的研发成果，以确立公司在国内工业大麻领域的技术优势，提升公司核心竞争力。</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rFonts w:ascii="Times New Roman" w:hAnsi="Times New Roman" w:cs="Times New Roman" w:eastAsia="Times New Roman" w:hint="default"/>
          <w:w w:val="100"/>
        </w:rPr>
        <w:t> </w:t>
      </w:r>
      <w:r>
        <w:rPr>
          <w:spacing w:val="-2"/>
        </w:rPr>
        <w:t>月</w:t>
      </w:r>
      <w:r>
        <w:rPr>
          <w:rFonts w:ascii="Times New Roman" w:hAnsi="Times New Roman" w:cs="Times New Roman" w:eastAsia="Times New Roman" w:hint="default"/>
          <w:spacing w:val="-2"/>
        </w:rPr>
        <w:t>29</w:t>
      </w:r>
      <w:r>
        <w:rPr>
          <w:spacing w:val="-2"/>
        </w:rPr>
        <w:t>日，公司与北大荒垦丰种业股份有限公司签署了《委托协议书》，委托北大荒垦丰种业股份有限公司</w:t>
      </w:r>
      <w:r>
        <w:rPr>
          <w:spacing w:val="-42"/>
        </w:rPr>
        <w:t> </w:t>
      </w:r>
      <w:r>
        <w:rPr>
          <w:spacing w:val="-42"/>
        </w:rPr>
      </w:r>
      <w:r>
        <w:rPr>
          <w:spacing w:val="-5"/>
        </w:rPr>
        <w:t>将</w:t>
      </w:r>
      <w:r>
        <w:rPr>
          <w:rFonts w:ascii="Times New Roman" w:hAnsi="Times New Roman" w:cs="Times New Roman" w:eastAsia="Times New Roman" w:hint="default"/>
          <w:spacing w:val="-5"/>
        </w:rPr>
        <w:t>FG</w:t>
      </w:r>
      <w:r>
        <w:rPr>
          <w:spacing w:val="-5"/>
        </w:rPr>
        <w:t>公司遴选的工业大麻种子从荷兰引进至中国境内。待委托公司将工业大麻种子引进后，公司将指派</w:t>
      </w:r>
      <w:r>
        <w:rPr>
          <w:rFonts w:ascii="Times New Roman" w:hAnsi="Times New Roman" w:cs="Times New Roman" w:eastAsia="Times New Roman" w:hint="default"/>
          <w:spacing w:val="-5"/>
        </w:rPr>
        <w:t>FG</w:t>
      </w:r>
      <w:r>
        <w:rPr>
          <w:rFonts w:ascii="Times New Roman" w:hAnsi="Times New Roman" w:cs="Times New Roman" w:eastAsia="Times New Roman" w:hint="default"/>
          <w:spacing w:val="32"/>
        </w:rPr>
        <w:t> </w:t>
      </w:r>
      <w:r>
        <w:rPr>
          <w:spacing w:val="-2"/>
        </w:rPr>
        <w:t>公司的工业大麻专家对国内子公司的相关人员进行技术指导，并结合国内种植环境，培育出适合中国境内</w:t>
      </w:r>
      <w:r>
        <w:rPr>
          <w:spacing w:val="-43"/>
        </w:rPr>
        <w:t> </w:t>
      </w:r>
      <w:r>
        <w:rPr>
          <w:spacing w:val="-43"/>
        </w:rPr>
      </w:r>
      <w:r>
        <w:rPr/>
        <w:t>环境要求的工业大麻种子，落实在工业大麻领域的战略部署。</w:t>
      </w:r>
    </w:p>
    <w:p>
      <w:pPr>
        <w:pStyle w:val="BodyText"/>
        <w:spacing w:line="400" w:lineRule="auto" w:before="63"/>
        <w:ind w:right="1126" w:firstLine="480"/>
        <w:jc w:val="both"/>
      </w:pP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5</w:t>
      </w:r>
      <w:r>
        <w:rPr>
          <w:spacing w:val="-4"/>
        </w:rPr>
        <w:t>日，公司与长春海关技术中心签署了《战略合作意向书》，双方计划在工业大麻项目、人</w:t>
      </w:r>
      <w:r>
        <w:rPr>
          <w:w w:val="100"/>
        </w:rPr>
        <w:t> </w:t>
      </w:r>
      <w:r>
        <w:rPr>
          <w:spacing w:val="-2"/>
        </w:rPr>
        <w:t>参及中药材检测鉴定、火麻油进口项目、进出口产品、科研立项等领域开展深度和广度合作，发挥双方科</w:t>
      </w:r>
      <w:r>
        <w:rPr>
          <w:spacing w:val="-50"/>
        </w:rPr>
        <w:t> </w:t>
      </w:r>
      <w:r>
        <w:rPr>
          <w:spacing w:val="-50"/>
        </w:rPr>
      </w:r>
      <w:r>
        <w:rPr>
          <w:spacing w:val="-2"/>
        </w:rPr>
        <w:t>研技术和产业资源优势，共同研发人参及工业大麻领域的相关产品，以技术及产品推动相关产业的发展和</w:t>
      </w:r>
      <w:r>
        <w:rPr>
          <w:spacing w:val="-43"/>
        </w:rPr>
        <w:t> </w:t>
      </w:r>
      <w:r>
        <w:rPr>
          <w:spacing w:val="-43"/>
        </w:rPr>
      </w:r>
      <w:r>
        <w:rPr/>
        <w:t>升级。</w:t>
      </w:r>
    </w:p>
    <w:p>
      <w:pPr>
        <w:pStyle w:val="BodyText"/>
        <w:spacing w:line="405" w:lineRule="auto" w:before="52"/>
        <w:ind w:right="1105" w:firstLine="480"/>
        <w:jc w:val="both"/>
      </w:pP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19</w:t>
      </w:r>
      <w:r>
        <w:rPr>
          <w:spacing w:val="-4"/>
        </w:rPr>
        <w:t>日，公司与黑龙江省齐齐哈尔市甘南县人民政府、齐齐哈尔市市场监督管理局共同签订</w:t>
      </w:r>
      <w:r>
        <w:rPr>
          <w:w w:val="100"/>
        </w:rPr>
        <w:t> </w:t>
      </w:r>
      <w:r>
        <w:rPr>
          <w:spacing w:val="-2"/>
        </w:rPr>
        <w:t>了《工业大麻产业发展战略合作框架协议书》根据齐齐哈尔市工业大麻产业战略规划、公司工业大麻业务</w:t>
      </w:r>
      <w:r>
        <w:rPr>
          <w:spacing w:val="-44"/>
        </w:rPr>
        <w:t> </w:t>
      </w:r>
      <w:r>
        <w:rPr>
          <w:spacing w:val="-44"/>
        </w:rPr>
      </w:r>
      <w:r>
        <w:rPr>
          <w:spacing w:val="-2"/>
        </w:rPr>
        <w:t>发展需求，充分发挥公司工业大麻创新育种及多学科联合攻关的优势，三方在工业大麻育种、品种筛选、</w:t>
      </w:r>
      <w:r>
        <w:rPr>
          <w:spacing w:val="-21"/>
        </w:rPr>
        <w:t> </w:t>
      </w:r>
      <w:r>
        <w:rPr>
          <w:spacing w:val="-21"/>
        </w:rPr>
      </w:r>
      <w:r>
        <w:rPr>
          <w:spacing w:val="-2"/>
        </w:rPr>
        <w:t>工业化种植、种植环境优化、加工提取、产业模式升级等方面进行全面合作。此次合作加快推动公司在国</w:t>
      </w:r>
      <w:r>
        <w:rPr>
          <w:spacing w:val="-47"/>
        </w:rPr>
        <w:t> </w:t>
      </w:r>
      <w:r>
        <w:rPr>
          <w:spacing w:val="-47"/>
        </w:rPr>
      </w:r>
      <w:r>
        <w:rPr>
          <w:spacing w:val="-2"/>
        </w:rPr>
        <w:t>内工业大麻领域的布局，有利于公司加快实施将国外工业大麻科技成果快速转化为国内产业，有利于拓宽</w:t>
      </w:r>
      <w:r>
        <w:rPr>
          <w:spacing w:val="-43"/>
        </w:rPr>
        <w:t> </w:t>
      </w:r>
      <w:r>
        <w:rPr>
          <w:spacing w:val="-43"/>
        </w:rPr>
      </w:r>
      <w:r>
        <w:rPr>
          <w:spacing w:val="-2"/>
        </w:rPr>
        <w:t>公司未来发展空间，为公司带来新的利润增长点，符合公司的战略发展方向，对公司的生产经营产生积极</w:t>
      </w:r>
      <w:r>
        <w:rPr>
          <w:spacing w:val="-43"/>
        </w:rPr>
        <w:t> </w:t>
      </w:r>
      <w:r>
        <w:rPr>
          <w:spacing w:val="-43"/>
        </w:rPr>
      </w:r>
      <w:r>
        <w:rPr/>
        <w:t>影响。</w:t>
      </w:r>
    </w:p>
    <w:p>
      <w:pPr>
        <w:pStyle w:val="BodyText"/>
        <w:spacing w:line="240" w:lineRule="auto" w:before="48"/>
        <w:ind w:left="573" w:right="1133"/>
        <w:jc w:val="left"/>
      </w:pPr>
      <w:r>
        <w:rPr/>
        <w:t>（三）经营模式</w:t>
      </w:r>
    </w:p>
    <w:p>
      <w:pPr>
        <w:spacing w:line="240" w:lineRule="auto" w:before="10"/>
        <w:rPr>
          <w:rFonts w:ascii="宋体" w:hAnsi="宋体" w:cs="宋体" w:eastAsia="宋体" w:hint="default"/>
          <w:sz w:val="14"/>
          <w:szCs w:val="14"/>
        </w:rPr>
      </w:pPr>
    </w:p>
    <w:p>
      <w:pPr>
        <w:pStyle w:val="BodyText"/>
        <w:spacing w:line="240" w:lineRule="auto" w:before="0"/>
        <w:ind w:left="573" w:right="1133"/>
        <w:jc w:val="left"/>
      </w:pPr>
      <w:r>
        <w:rPr>
          <w:rFonts w:ascii="Times New Roman" w:hAnsi="Times New Roman" w:cs="Times New Roman" w:eastAsia="Times New Roman" w:hint="default"/>
        </w:rPr>
        <w:t>1</w:t>
      </w:r>
      <w:r>
        <w:rPr/>
        <w:t>、采购模式</w:t>
      </w:r>
    </w:p>
    <w:p>
      <w:pPr>
        <w:pStyle w:val="BodyText"/>
        <w:spacing w:line="386" w:lineRule="auto" w:before="177"/>
        <w:ind w:left="573" w:right="1133"/>
        <w:jc w:val="left"/>
      </w:pPr>
      <w:r>
        <w:rPr/>
        <w:t>（</w:t>
      </w:r>
      <w:r>
        <w:rPr>
          <w:rFonts w:ascii="Times New Roman" w:hAnsi="Times New Roman" w:cs="Times New Roman" w:eastAsia="Times New Roman" w:hint="default"/>
        </w:rPr>
        <w:t>1</w:t>
      </w:r>
      <w:r>
        <w:rPr/>
        <w:t>）中药原材料的采购模式</w:t>
      </w:r>
      <w:r>
        <w:rPr>
          <w:w w:val="100"/>
        </w:rPr>
        <w:t> </w:t>
      </w:r>
      <w:r>
        <w:rPr>
          <w:spacing w:val="-2"/>
        </w:rPr>
        <w:t>公司中药原材料主要通过招标采购。受自然条件的限制，我国中药材四分之三以上的品种产于黄河以</w:t>
      </w:r>
    </w:p>
    <w:p>
      <w:pPr>
        <w:pStyle w:val="BodyText"/>
        <w:spacing w:line="240" w:lineRule="auto" w:before="65"/>
        <w:ind w:right="0"/>
        <w:jc w:val="left"/>
      </w:pPr>
      <w:r>
        <w:rPr/>
        <w:t>南，形成了安徽亳州、河北安国、河南禹州和江西樟树四大药材交易市场，公司目前的中药原材料主要通</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left="573" w:right="1133" w:hanging="421"/>
        <w:jc w:val="left"/>
      </w:pPr>
      <w:r>
        <w:rPr/>
        <w:t>过亳州和安国两大市场进行采购。</w:t>
      </w:r>
      <w:r>
        <w:rPr>
          <w:w w:val="100"/>
        </w:rPr>
        <w:t> </w:t>
      </w:r>
      <w:r>
        <w:rPr>
          <w:spacing w:val="-2"/>
        </w:rPr>
        <w:t>对于大宗包装材料、辅助原材料采购，公司通过对供应商评估选择供货单位，签订购货合同，明确双</w:t>
      </w:r>
    </w:p>
    <w:p>
      <w:pPr>
        <w:pStyle w:val="BodyText"/>
        <w:spacing w:line="408" w:lineRule="auto"/>
        <w:ind w:right="1105"/>
        <w:jc w:val="both"/>
      </w:pPr>
      <w:r>
        <w:rPr>
          <w:spacing w:val="-2"/>
        </w:rPr>
        <w:t>方责任。购货合同要经过供应部、法务部、质检部、财务部和主管经理（主管经理授权人）审阅后方可执</w:t>
      </w:r>
      <w:r>
        <w:rPr>
          <w:spacing w:val="-42"/>
        </w:rPr>
        <w:t> </w:t>
      </w:r>
      <w:r>
        <w:rPr>
          <w:spacing w:val="-42"/>
        </w:rPr>
      </w:r>
      <w:r>
        <w:rPr>
          <w:spacing w:val="-2"/>
        </w:rPr>
        <w:t>行。另外采购部门要储存两家或两家以上供应单位的详细资料，以备选择，保证特殊情况时能及时保质、</w:t>
      </w:r>
      <w:r>
        <w:rPr>
          <w:spacing w:val="-21"/>
        </w:rPr>
        <w:t> </w:t>
      </w:r>
      <w:r>
        <w:rPr>
          <w:spacing w:val="-21"/>
        </w:rPr>
      </w:r>
      <w:r>
        <w:rPr>
          <w:spacing w:val="-2"/>
        </w:rPr>
        <w:t>保量地满足生产所需材料。质检部要对供应商进行质量体系审核并做出认定，认定资料由质量保证部存档</w:t>
      </w:r>
      <w:r>
        <w:rPr>
          <w:spacing w:val="-44"/>
        </w:rPr>
        <w:t> </w:t>
      </w:r>
      <w:r>
        <w:rPr>
          <w:spacing w:val="-44"/>
        </w:rPr>
      </w:r>
      <w:r>
        <w:rPr/>
        <w:t>备查。</w:t>
      </w:r>
    </w:p>
    <w:p>
      <w:pPr>
        <w:pStyle w:val="BodyText"/>
        <w:spacing w:line="408" w:lineRule="auto"/>
        <w:ind w:right="1133" w:firstLine="420"/>
        <w:jc w:val="left"/>
      </w:pPr>
      <w:r>
        <w:rPr>
          <w:spacing w:val="-2"/>
        </w:rPr>
        <w:t>对于地产中药材实行当地直接采购，例如人参、五味子、细辛等，从种植户直接采购既保证了质量，</w:t>
      </w:r>
      <w:r>
        <w:rPr>
          <w:w w:val="100"/>
        </w:rPr>
        <w:t> </w:t>
      </w:r>
      <w:r>
        <w:rPr/>
        <w:t>又降低了采购成本。</w:t>
      </w:r>
    </w:p>
    <w:p>
      <w:pPr>
        <w:pStyle w:val="BodyText"/>
        <w:spacing w:line="386" w:lineRule="auto"/>
        <w:ind w:left="573" w:right="1133"/>
        <w:jc w:val="left"/>
      </w:pPr>
      <w:r>
        <w:rPr/>
        <w:t>（</w:t>
      </w:r>
      <w:r>
        <w:rPr>
          <w:rFonts w:ascii="Times New Roman" w:hAnsi="Times New Roman" w:cs="Times New Roman" w:eastAsia="Times New Roman" w:hint="default"/>
        </w:rPr>
        <w:t>2</w:t>
      </w:r>
      <w:r>
        <w:rPr/>
        <w:t>）人参的采购模式</w:t>
      </w:r>
      <w:r>
        <w:rPr>
          <w:w w:val="100"/>
        </w:rPr>
        <w:t> </w:t>
      </w:r>
      <w:r>
        <w:rPr>
          <w:spacing w:val="-2"/>
        </w:rPr>
        <w:t>公司人参主要以向本地贸易商采购的方式完成。人参按产鲜季节和加工季节不同，所采购人参分水参</w:t>
      </w:r>
    </w:p>
    <w:p>
      <w:pPr>
        <w:pStyle w:val="BodyText"/>
        <w:spacing w:line="408" w:lineRule="auto" w:before="65"/>
        <w:ind w:right="1126"/>
        <w:jc w:val="both"/>
      </w:pPr>
      <w:r>
        <w:rPr>
          <w:spacing w:val="-2"/>
        </w:rPr>
        <w:t>和干品。人参作为吉林省的地道药材，吉林省内现有多个根据人参产地半径而形成的人参交易市场，如万</w:t>
      </w:r>
      <w:r>
        <w:rPr>
          <w:spacing w:val="-42"/>
        </w:rPr>
        <w:t> </w:t>
      </w:r>
      <w:r>
        <w:rPr>
          <w:spacing w:val="-42"/>
        </w:rPr>
      </w:r>
      <w:r>
        <w:rPr>
          <w:spacing w:val="-2"/>
        </w:rPr>
        <w:t>良人参市场、通化人参市场、青河人参市场等，公司通过向人参市场的贸易商进行采购。为保证所采人参</w:t>
      </w:r>
      <w:r>
        <w:rPr>
          <w:spacing w:val="-47"/>
        </w:rPr>
        <w:t> </w:t>
      </w:r>
      <w:r>
        <w:rPr>
          <w:spacing w:val="-47"/>
        </w:rPr>
      </w:r>
      <w:r>
        <w:rPr>
          <w:spacing w:val="-2"/>
        </w:rPr>
        <w:t>的规格和质量符合标准，公司首先对贸易商进行评估，包括资信评估和货品质量评估等，选择合格供应商</w:t>
      </w:r>
      <w:r>
        <w:rPr>
          <w:spacing w:val="-42"/>
        </w:rPr>
        <w:t> </w:t>
      </w:r>
      <w:r>
        <w:rPr>
          <w:spacing w:val="-42"/>
        </w:rPr>
      </w:r>
      <w:r>
        <w:rPr>
          <w:spacing w:val="-2"/>
        </w:rPr>
        <w:t>后与之签订购货合同，明确双方责任。购货合同要经过供应部、法务部、质检部、财务部和主管经理（主</w:t>
      </w:r>
      <w:r>
        <w:rPr>
          <w:spacing w:val="-45"/>
        </w:rPr>
        <w:t> </w:t>
      </w:r>
      <w:r>
        <w:rPr>
          <w:spacing w:val="-45"/>
        </w:rPr>
      </w:r>
      <w:r>
        <w:rPr/>
        <w:t>管经理授权人）审阅后方可执行。</w:t>
      </w:r>
    </w:p>
    <w:p>
      <w:pPr>
        <w:pStyle w:val="BodyText"/>
        <w:spacing w:line="386" w:lineRule="auto"/>
        <w:ind w:left="573" w:right="1133"/>
        <w:jc w:val="left"/>
      </w:pPr>
      <w:r>
        <w:rPr>
          <w:rFonts w:ascii="Times New Roman" w:hAnsi="Times New Roman" w:cs="Times New Roman" w:eastAsia="Times New Roman" w:hint="default"/>
        </w:rPr>
        <w:t>2</w:t>
      </w:r>
      <w:r>
        <w:rPr/>
        <w:t>、生产模式</w:t>
      </w:r>
      <w:r>
        <w:rPr>
          <w:w w:val="100"/>
        </w:rPr>
        <w:t> </w:t>
      </w:r>
      <w:r>
        <w:rPr>
          <w:spacing w:val="-3"/>
        </w:rPr>
        <w:t>公司及生产型子公司所有中成药产品均严格按照</w:t>
      </w:r>
      <w:r>
        <w:rPr>
          <w:rFonts w:ascii="Times New Roman" w:hAnsi="Times New Roman" w:cs="Times New Roman" w:eastAsia="Times New Roman" w:hint="default"/>
          <w:spacing w:val="-3"/>
        </w:rPr>
        <w:t>GMP</w:t>
      </w:r>
      <w:r>
        <w:rPr>
          <w:spacing w:val="-3"/>
        </w:rPr>
        <w:t>规范进行生产，计划部门根据销售部门提供的各</w:t>
      </w:r>
    </w:p>
    <w:p>
      <w:pPr>
        <w:pStyle w:val="BodyText"/>
        <w:spacing w:line="408" w:lineRule="auto" w:before="35"/>
        <w:ind w:right="1126"/>
        <w:jc w:val="both"/>
      </w:pPr>
      <w:r>
        <w:rPr>
          <w:spacing w:val="-2"/>
        </w:rPr>
        <w:t>产品年度销售预测以及月度发货情况，结合各产品产能，制定生产计划；生产部门协调和督促生产计划的</w:t>
      </w:r>
      <w:r>
        <w:rPr>
          <w:spacing w:val="-43"/>
        </w:rPr>
        <w:t> </w:t>
      </w:r>
      <w:r>
        <w:rPr>
          <w:spacing w:val="-43"/>
        </w:rPr>
      </w:r>
      <w:r>
        <w:rPr>
          <w:spacing w:val="-2"/>
        </w:rPr>
        <w:t>完成，同时对产品的生产过程、质量标准、卫生规范等执行情况进行严格监督管理，由各生产车间负责具</w:t>
      </w:r>
      <w:r>
        <w:rPr>
          <w:spacing w:val="-47"/>
        </w:rPr>
        <w:t> </w:t>
      </w:r>
      <w:r>
        <w:rPr>
          <w:spacing w:val="-47"/>
        </w:rPr>
      </w:r>
      <w:r>
        <w:rPr>
          <w:spacing w:val="-2"/>
        </w:rPr>
        <w:t>体产品的生产管理；质量保证部、质量检验部对在整个生产过程中关键生产环节的原料、中间产品、半成</w:t>
      </w:r>
      <w:r>
        <w:rPr>
          <w:spacing w:val="-47"/>
        </w:rPr>
        <w:t> </w:t>
      </w:r>
      <w:r>
        <w:rPr>
          <w:spacing w:val="-47"/>
        </w:rPr>
      </w:r>
      <w:r>
        <w:rPr/>
        <w:t>品、产成品的质量进行检验监控。</w:t>
      </w:r>
    </w:p>
    <w:p>
      <w:pPr>
        <w:pStyle w:val="BodyText"/>
        <w:spacing w:line="240" w:lineRule="auto"/>
        <w:ind w:left="573" w:right="1133"/>
        <w:jc w:val="left"/>
      </w:pPr>
      <w:r>
        <w:rPr>
          <w:rFonts w:ascii="Times New Roman" w:hAnsi="Times New Roman" w:cs="Times New Roman" w:eastAsia="Times New Roman" w:hint="default"/>
        </w:rPr>
        <w:t>3</w:t>
      </w:r>
      <w:r>
        <w:rPr/>
        <w:t>、销售模式</w:t>
      </w:r>
    </w:p>
    <w:p>
      <w:pPr>
        <w:pStyle w:val="BodyText"/>
        <w:spacing w:line="386" w:lineRule="auto" w:before="177"/>
        <w:ind w:left="573" w:right="1133"/>
        <w:jc w:val="left"/>
      </w:pPr>
      <w:r>
        <w:rPr/>
        <w:t>（</w:t>
      </w:r>
      <w:r>
        <w:rPr>
          <w:rFonts w:ascii="Times New Roman" w:hAnsi="Times New Roman" w:cs="Times New Roman" w:eastAsia="Times New Roman" w:hint="default"/>
        </w:rPr>
        <w:t>1</w:t>
      </w:r>
      <w:r>
        <w:rPr/>
        <w:t>）中成药产品的销售模式</w:t>
      </w:r>
      <w:r>
        <w:rPr>
          <w:w w:val="100"/>
        </w:rPr>
        <w:t> </w:t>
      </w:r>
      <w:r>
        <w:rPr>
          <w:spacing w:val="-2"/>
        </w:rPr>
        <w:t>在中成药产品方面，公司现已形成两类三种分销管理渠道：一类为国家基本药物销售渠道；另一类为</w:t>
      </w:r>
    </w:p>
    <w:p>
      <w:pPr>
        <w:pStyle w:val="BodyText"/>
        <w:spacing w:line="240" w:lineRule="auto" w:before="65"/>
        <w:ind w:right="0"/>
        <w:jc w:val="both"/>
      </w:pPr>
      <w:r>
        <w:rPr/>
        <w:t>非国家基本药物销售渠道，分为处方药销售渠道和</w:t>
      </w:r>
      <w:r>
        <w:rPr>
          <w:rFonts w:ascii="Times New Roman" w:hAnsi="Times New Roman" w:cs="Times New Roman" w:eastAsia="Times New Roman" w:hint="default"/>
        </w:rPr>
        <w:t>OTC</w:t>
      </w:r>
      <w:r>
        <w:rPr/>
        <w:t>销售渠道两种，具体形式如下：</w:t>
      </w:r>
    </w:p>
    <w:p>
      <w:pPr>
        <w:pStyle w:val="BodyText"/>
        <w:spacing w:line="386" w:lineRule="auto" w:before="177"/>
        <w:ind w:left="573" w:right="1133"/>
        <w:jc w:val="left"/>
      </w:pPr>
      <w:r>
        <w:rPr/>
        <w:t>（</w:t>
      </w:r>
      <w:r>
        <w:rPr>
          <w:rFonts w:ascii="Times New Roman" w:hAnsi="Times New Roman" w:cs="Times New Roman" w:eastAsia="Times New Roman" w:hint="default"/>
        </w:rPr>
        <w:t>1</w:t>
      </w:r>
      <w:r>
        <w:rPr/>
        <w:t>）国家基本药物销售</w:t>
      </w:r>
      <w:r>
        <w:rPr>
          <w:w w:val="100"/>
        </w:rPr>
        <w:t> </w:t>
      </w:r>
      <w:r>
        <w:rPr>
          <w:spacing w:val="-2"/>
        </w:rPr>
        <w:t>近年来国家大力深化医疗改革，积极推行全民医保制度。由于国家基本药物全部纳入国家医保目录，</w:t>
      </w:r>
    </w:p>
    <w:p>
      <w:pPr>
        <w:pStyle w:val="BodyText"/>
        <w:spacing w:line="408" w:lineRule="auto" w:before="65"/>
        <w:ind w:right="1126"/>
        <w:jc w:val="both"/>
      </w:pPr>
      <w:r>
        <w:rPr>
          <w:spacing w:val="-2"/>
        </w:rPr>
        <w:t>并实行全额报销，使得基本药物对于普通老百姓有着很强的吸引力。国家基本药物制度的建立和推广，增</w:t>
      </w:r>
      <w:r>
        <w:rPr>
          <w:spacing w:val="-44"/>
        </w:rPr>
        <w:t> </w:t>
      </w:r>
      <w:r>
        <w:rPr>
          <w:spacing w:val="-44"/>
        </w:rPr>
      </w:r>
      <w:r>
        <w:rPr>
          <w:spacing w:val="-2"/>
        </w:rPr>
        <w:t>加了政府对农村、基层医疗机构资源的投入，同时推动基本药物向大医院覆盖，这对基本药物的销售市场</w:t>
      </w:r>
      <w:r>
        <w:rPr>
          <w:spacing w:val="-43"/>
        </w:rPr>
        <w:t> </w:t>
      </w:r>
      <w:r>
        <w:rPr>
          <w:spacing w:val="-43"/>
        </w:rPr>
      </w:r>
      <w:r>
        <w:rPr>
          <w:spacing w:val="-2"/>
        </w:rPr>
        <w:t>形成刚性支柱。考虑到基本药物在国家医保中的核心地位和在我国医药市场的巨大优势，公司积极响应国</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jc w:val="both"/>
      </w:pPr>
      <w:r>
        <w:rPr>
          <w:spacing w:val="-2"/>
        </w:rPr>
        <w:t>家政策，成立专门营销团队负责国家基本药物销售，积极参与各省基本药物的招标采购，并将基药销售作</w:t>
      </w:r>
      <w:r>
        <w:rPr>
          <w:spacing w:val="-43"/>
        </w:rPr>
        <w:t> </w:t>
      </w:r>
      <w:r>
        <w:rPr>
          <w:spacing w:val="-43"/>
        </w:rPr>
      </w:r>
      <w:r>
        <w:rPr/>
        <w:t>为公司未来中成药销售的重点。</w:t>
      </w:r>
    </w:p>
    <w:p>
      <w:pPr>
        <w:pStyle w:val="BodyText"/>
        <w:spacing w:line="398" w:lineRule="auto"/>
        <w:ind w:right="1128" w:firstLine="420"/>
        <w:jc w:val="both"/>
      </w:pPr>
      <w:r>
        <w:rPr>
          <w:spacing w:val="2"/>
        </w:rPr>
        <w:t>公司基本药物销售模式具体为：政府或医院通过基本药物集中采购平台对基本药物实行统一招标采</w:t>
      </w:r>
      <w:r>
        <w:rPr>
          <w:w w:val="100"/>
        </w:rPr>
        <w:t> </w:t>
      </w:r>
      <w:r>
        <w:rPr>
          <w:spacing w:val="-4"/>
        </w:rPr>
        <w:t>购，公司根据国家相关政策在全国范围内对基本药物进行投标，产品中标后，通过公开招标的方式确定</w:t>
      </w:r>
      <w:r>
        <w:rPr>
          <w:rFonts w:ascii="Times New Roman" w:hAnsi="Times New Roman" w:cs="Times New Roman" w:eastAsia="Times New Roman" w:hint="default"/>
          <w:spacing w:val="-4"/>
        </w:rPr>
        <w:t>2-3</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t>家药品经营企业，对基本药物进行统一配送。</w:t>
      </w:r>
    </w:p>
    <w:p>
      <w:pPr>
        <w:pStyle w:val="BodyText"/>
        <w:spacing w:line="240" w:lineRule="auto" w:before="54"/>
        <w:ind w:left="573" w:right="1133"/>
        <w:jc w:val="left"/>
      </w:pPr>
      <w:r>
        <w:rPr/>
        <w:t>（</w:t>
      </w:r>
      <w:r>
        <w:rPr>
          <w:rFonts w:ascii="Times New Roman" w:hAnsi="Times New Roman" w:cs="Times New Roman" w:eastAsia="Times New Roman" w:hint="default"/>
        </w:rPr>
        <w:t>2</w:t>
      </w:r>
      <w:r>
        <w:rPr/>
        <w:t>）非国家基本药物销售</w:t>
      </w:r>
    </w:p>
    <w:p>
      <w:pPr>
        <w:pStyle w:val="BodyText"/>
        <w:spacing w:line="408" w:lineRule="auto" w:before="177"/>
        <w:ind w:left="573" w:right="1133"/>
        <w:jc w:val="left"/>
      </w:pPr>
      <w:r>
        <w:rPr/>
        <w:t>①处方药销售</w:t>
      </w:r>
      <w:r>
        <w:rPr>
          <w:w w:val="100"/>
        </w:rPr>
        <w:t> </w:t>
      </w:r>
      <w:r>
        <w:rPr>
          <w:spacing w:val="-2"/>
        </w:rPr>
        <w:t>处方药销售又称为临床销售，是公司的主要销售模式之一。近年来我国老龄化问题日趋严重，恶性肿</w:t>
      </w:r>
    </w:p>
    <w:p>
      <w:pPr>
        <w:pStyle w:val="BodyText"/>
        <w:spacing w:line="386" w:lineRule="auto"/>
        <w:ind w:right="1128"/>
        <w:jc w:val="both"/>
      </w:pPr>
      <w:r>
        <w:rPr>
          <w:spacing w:val="-3"/>
        </w:rPr>
        <w:t>瘤和慢性疾病高发，使得市场对处方药的需求日益旺盛。目前，公司与全国</w:t>
      </w:r>
      <w:r>
        <w:rPr>
          <w:rFonts w:ascii="Times New Roman" w:hAnsi="Times New Roman" w:cs="Times New Roman" w:eastAsia="Times New Roman" w:hint="default"/>
          <w:spacing w:val="-3"/>
        </w:rPr>
        <w:t>4,000</w:t>
      </w:r>
      <w:r>
        <w:rPr>
          <w:spacing w:val="-3"/>
        </w:rPr>
        <w:t>多家二级甲等以上的医院</w:t>
      </w:r>
      <w:r>
        <w:rPr>
          <w:spacing w:val="-48"/>
        </w:rPr>
        <w:t> </w:t>
      </w:r>
      <w:r>
        <w:rPr>
          <w:spacing w:val="-48"/>
        </w:rPr>
      </w:r>
      <w:r>
        <w:rPr/>
        <w:t>以及</w:t>
      </w:r>
      <w:r>
        <w:rPr>
          <w:rFonts w:ascii="Times New Roman" w:hAnsi="Times New Roman" w:cs="Times New Roman" w:eastAsia="Times New Roman" w:hint="default"/>
        </w:rPr>
        <w:t>900</w:t>
      </w:r>
      <w:r>
        <w:rPr/>
        <w:t>多家医药经销单位建立了长期稳定的业务关系，并且凭借优良的产品质量获得了较高的市场忠诚</w:t>
      </w:r>
      <w:r>
        <w:rPr>
          <w:spacing w:val="-26"/>
        </w:rPr>
        <w:t> </w:t>
      </w:r>
      <w:r>
        <w:rPr>
          <w:spacing w:val="-26"/>
        </w:rPr>
      </w:r>
      <w:r>
        <w:rPr/>
        <w:t>度和信任度。</w:t>
      </w:r>
    </w:p>
    <w:p>
      <w:pPr>
        <w:pStyle w:val="BodyText"/>
        <w:spacing w:line="408" w:lineRule="auto" w:before="65"/>
        <w:ind w:right="1126" w:firstLine="420"/>
        <w:jc w:val="both"/>
      </w:pPr>
      <w:r>
        <w:rPr>
          <w:spacing w:val="-2"/>
        </w:rPr>
        <w:t>公司处方药销售模式具体为：各地医院对药品进行集中招标采购，药品中标后通过当地几家有实力且</w:t>
      </w:r>
      <w:r>
        <w:rPr>
          <w:w w:val="100"/>
        </w:rPr>
        <w:t> </w:t>
      </w:r>
      <w:r>
        <w:rPr/>
        <w:t>经当地政府和医院批准的药品批发公司进行配送，经过药事委员会的许可进入医院。</w:t>
      </w:r>
    </w:p>
    <w:p>
      <w:pPr>
        <w:pStyle w:val="BodyText"/>
        <w:spacing w:line="240" w:lineRule="auto"/>
        <w:ind w:left="573" w:right="1133"/>
        <w:jc w:val="left"/>
      </w:pPr>
      <w:r>
        <w:rPr/>
        <w:t>②</w:t>
      </w:r>
      <w:r>
        <w:rPr>
          <w:rFonts w:ascii="Times New Roman" w:hAnsi="Times New Roman" w:cs="Times New Roman" w:eastAsia="Times New Roman" w:hint="default"/>
        </w:rPr>
        <w:t>OTC</w:t>
      </w:r>
      <w:r>
        <w:rPr/>
        <w:t>销售</w:t>
      </w:r>
    </w:p>
    <w:p>
      <w:pPr>
        <w:pStyle w:val="BodyText"/>
        <w:spacing w:line="386" w:lineRule="auto" w:before="177"/>
        <w:ind w:right="1126" w:firstLine="420"/>
        <w:jc w:val="both"/>
      </w:pPr>
      <w:r>
        <w:rPr>
          <w:rFonts w:ascii="Times New Roman" w:hAnsi="Times New Roman" w:cs="Times New Roman" w:eastAsia="Times New Roman" w:hint="default"/>
          <w:spacing w:val="-2"/>
        </w:rPr>
        <w:t>OTC</w:t>
      </w:r>
      <w:r>
        <w:rPr>
          <w:spacing w:val="-2"/>
        </w:rPr>
        <w:t>销售又称零售市场销售。随着我国居民人均收入的增长、卫生保健知识的丰富、专利到期处方药</w:t>
      </w:r>
      <w:r>
        <w:rPr>
          <w:w w:val="100"/>
        </w:rPr>
        <w:t> </w:t>
      </w:r>
      <w:r>
        <w:rPr>
          <w:spacing w:val="-2"/>
        </w:rPr>
        <w:t>向</w:t>
      </w:r>
      <w:r>
        <w:rPr>
          <w:rFonts w:ascii="Times New Roman" w:hAnsi="Times New Roman" w:cs="Times New Roman" w:eastAsia="Times New Roman" w:hint="default"/>
          <w:spacing w:val="-2"/>
        </w:rPr>
        <w:t>OTC</w:t>
      </w:r>
      <w:r>
        <w:rPr>
          <w:spacing w:val="-2"/>
        </w:rPr>
        <w:t>转变的加快，</w:t>
      </w:r>
      <w:r>
        <w:rPr>
          <w:rFonts w:ascii="Times New Roman" w:hAnsi="Times New Roman" w:cs="Times New Roman" w:eastAsia="Times New Roman" w:hint="default"/>
          <w:spacing w:val="-2"/>
        </w:rPr>
        <w:t>OTC</w:t>
      </w:r>
      <w:r>
        <w:rPr>
          <w:spacing w:val="-2"/>
        </w:rPr>
        <w:t>市场的巨大潜力开始逐步得到体现。公司在保证原有销售体系稳定的基础上，逐</w:t>
      </w:r>
      <w:r>
        <w:rPr>
          <w:spacing w:val="-41"/>
        </w:rPr>
        <w:t> </w:t>
      </w:r>
      <w:r>
        <w:rPr>
          <w:spacing w:val="-41"/>
        </w:rPr>
      </w:r>
      <w:r>
        <w:rPr/>
        <w:t>步加大零售市场的开发。</w:t>
      </w:r>
    </w:p>
    <w:p>
      <w:pPr>
        <w:pStyle w:val="BodyText"/>
        <w:spacing w:line="396" w:lineRule="auto" w:before="65"/>
        <w:ind w:right="0" w:firstLine="420"/>
        <w:jc w:val="left"/>
      </w:pPr>
      <w:r>
        <w:rPr>
          <w:spacing w:val="-5"/>
        </w:rPr>
        <w:t>公司</w:t>
      </w:r>
      <w:r>
        <w:rPr>
          <w:rFonts w:ascii="Times New Roman" w:hAnsi="Times New Roman" w:cs="Times New Roman" w:eastAsia="Times New Roman" w:hint="default"/>
          <w:spacing w:val="-5"/>
        </w:rPr>
        <w:t>OTC</w:t>
      </w:r>
      <w:r>
        <w:rPr>
          <w:spacing w:val="-5"/>
        </w:rPr>
        <w:t>销售包含两种模式：一是管理办事处模式，即公司将全国市场分为华东、华南、华北、华中、</w:t>
      </w:r>
      <w:r>
        <w:rPr>
          <w:w w:val="100"/>
        </w:rPr>
        <w:t> </w:t>
      </w:r>
      <w:r>
        <w:rPr/>
        <w:t>西南、西北等</w:t>
      </w:r>
      <w:r>
        <w:rPr>
          <w:rFonts w:ascii="Times New Roman" w:hAnsi="Times New Roman" w:cs="Times New Roman" w:eastAsia="Times New Roman" w:hint="default"/>
        </w:rPr>
        <w:t>6</w:t>
      </w:r>
      <w:r>
        <w:rPr/>
        <w:t>个销售区域，设立各区域的</w:t>
      </w:r>
      <w:r>
        <w:rPr>
          <w:rFonts w:ascii="Times New Roman" w:hAnsi="Times New Roman" w:cs="Times New Roman" w:eastAsia="Times New Roman" w:hint="default"/>
        </w:rPr>
        <w:t>OTC</w:t>
      </w:r>
      <w:r>
        <w:rPr/>
        <w:t>销售管理办事处，由销售管理办事处根据公司制定的销售</w:t>
      </w:r>
      <w:r>
        <w:rPr>
          <w:spacing w:val="-27"/>
        </w:rPr>
        <w:t> </w:t>
      </w:r>
      <w:r>
        <w:rPr>
          <w:spacing w:val="-27"/>
        </w:rPr>
      </w:r>
      <w:r>
        <w:rPr>
          <w:spacing w:val="-2"/>
        </w:rPr>
        <w:t>任务指标完成销售任务，负责建立和管理销售区域内的营销网络，制定各终端客户销售政策，执行监督各</w:t>
      </w:r>
      <w:r>
        <w:rPr>
          <w:spacing w:val="-44"/>
        </w:rPr>
        <w:t> </w:t>
      </w:r>
      <w:r>
        <w:rPr>
          <w:spacing w:val="-44"/>
        </w:rPr>
      </w:r>
      <w:r>
        <w:rPr/>
        <w:t>项销售目标，并对区域内的经销代理商进行有效管理；二是终端直供模式，即公司成立</w:t>
      </w:r>
      <w:r>
        <w:rPr>
          <w:rFonts w:ascii="Times New Roman" w:hAnsi="Times New Roman" w:cs="Times New Roman" w:eastAsia="Times New Roman" w:hint="default"/>
        </w:rPr>
        <w:t>OTC</w:t>
      </w:r>
      <w:r>
        <w:rPr/>
        <w:t>招商管理事业</w:t>
      </w:r>
      <w:r>
        <w:rPr>
          <w:w w:val="100"/>
        </w:rPr>
        <w:t> </w:t>
      </w:r>
      <w:r>
        <w:rPr>
          <w:spacing w:val="-2"/>
        </w:rPr>
        <w:t>部，直接与国内大型连锁药店展开合作，由生产企业将产品直接供货到大型连锁药店公司。目前与公司建</w:t>
      </w:r>
      <w:r>
        <w:rPr>
          <w:spacing w:val="-44"/>
        </w:rPr>
        <w:t> </w:t>
      </w:r>
      <w:r>
        <w:rPr>
          <w:spacing w:val="-44"/>
        </w:rPr>
      </w:r>
      <w:r>
        <w:rPr/>
        <w:t>立合作关系的大型连锁药店有</w:t>
      </w:r>
      <w:r>
        <w:rPr>
          <w:rFonts w:ascii="Times New Roman" w:hAnsi="Times New Roman" w:cs="Times New Roman" w:eastAsia="Times New Roman" w:hint="default"/>
        </w:rPr>
        <w:t>27</w:t>
      </w:r>
      <w:r>
        <w:rPr/>
        <w:t>家，其中全国百强连锁店</w:t>
      </w:r>
      <w:r>
        <w:rPr>
          <w:rFonts w:ascii="Times New Roman" w:hAnsi="Times New Roman" w:cs="Times New Roman" w:eastAsia="Times New Roman" w:hint="default"/>
        </w:rPr>
        <w:t>17</w:t>
      </w:r>
      <w:r>
        <w:rPr/>
        <w:t>家。</w:t>
      </w:r>
    </w:p>
    <w:p>
      <w:pPr>
        <w:pStyle w:val="BodyText"/>
        <w:spacing w:line="386" w:lineRule="auto" w:before="26"/>
        <w:ind w:left="573" w:right="1133"/>
        <w:jc w:val="left"/>
      </w:pPr>
      <w:r>
        <w:rPr/>
        <w:t>（</w:t>
      </w:r>
      <w:r>
        <w:rPr>
          <w:rFonts w:ascii="Times New Roman" w:hAnsi="Times New Roman" w:cs="Times New Roman" w:eastAsia="Times New Roman" w:hint="default"/>
        </w:rPr>
        <w:t>2</w:t>
      </w:r>
      <w:r>
        <w:rPr/>
        <w:t>）人参产品的销售模式</w:t>
      </w:r>
      <w:r>
        <w:rPr>
          <w:w w:val="100"/>
        </w:rPr>
        <w:t> </w:t>
      </w:r>
      <w:r>
        <w:rPr>
          <w:spacing w:val="-2"/>
        </w:rPr>
        <w:t>在人参产品方面，报告期内公司主要销售的为人参粗加工产品，主要客户为医药制造公司、药材批发</w:t>
      </w:r>
    </w:p>
    <w:p>
      <w:pPr>
        <w:pStyle w:val="BodyText"/>
        <w:spacing w:line="386" w:lineRule="auto" w:before="65"/>
        <w:ind w:right="1126"/>
        <w:jc w:val="both"/>
      </w:pPr>
      <w:r>
        <w:rPr>
          <w:spacing w:val="-2"/>
        </w:rPr>
        <w:t>流通公司、连锁药店以及贸易公司等。</w:t>
      </w:r>
      <w:r>
        <w:rPr>
          <w:rFonts w:ascii="Times New Roman" w:hAnsi="Times New Roman" w:cs="Times New Roman" w:eastAsia="Times New Roman" w:hint="default"/>
          <w:spacing w:val="-2"/>
        </w:rPr>
        <w:t>2014</w:t>
      </w:r>
      <w:r>
        <w:rPr>
          <w:spacing w:val="-2"/>
        </w:rPr>
        <w:t>年度公司的人参深加工产品逐步推向市场，人参深加工产品主</w:t>
      </w:r>
      <w:r>
        <w:rPr>
          <w:spacing w:val="-41"/>
        </w:rPr>
        <w:t> </w:t>
      </w:r>
      <w:r>
        <w:rPr>
          <w:spacing w:val="-41"/>
        </w:rPr>
      </w:r>
      <w:r>
        <w:rPr/>
        <w:t>要通过两种销售渠道，即流通渠道和药店渠道，具体形式如下：</w:t>
      </w:r>
    </w:p>
    <w:p>
      <w:pPr>
        <w:pStyle w:val="BodyText"/>
        <w:spacing w:line="386" w:lineRule="auto" w:before="65"/>
        <w:ind w:left="573" w:right="1133"/>
        <w:jc w:val="left"/>
      </w:pPr>
      <w:r>
        <w:rPr/>
        <w:t>（</w:t>
      </w:r>
      <w:r>
        <w:rPr>
          <w:rFonts w:ascii="Times New Roman" w:hAnsi="Times New Roman" w:cs="Times New Roman" w:eastAsia="Times New Roman" w:hint="default"/>
        </w:rPr>
        <w:t>1</w:t>
      </w:r>
      <w:r>
        <w:rPr/>
        <w:t>）流通渠道销售</w:t>
      </w:r>
      <w:r>
        <w:rPr>
          <w:w w:val="100"/>
        </w:rPr>
        <w:t> </w:t>
      </w:r>
      <w:r>
        <w:rPr>
          <w:spacing w:val="-2"/>
        </w:rPr>
        <w:t>流通渠道销售主要是针对大型商超、参茸店、专卖店等进行系统运作。公司目前以长春市场为核心，</w:t>
      </w:r>
    </w:p>
    <w:p>
      <w:pPr>
        <w:pStyle w:val="BodyText"/>
        <w:spacing w:line="240" w:lineRule="auto" w:before="65"/>
        <w:ind w:right="0"/>
        <w:jc w:val="both"/>
      </w:pPr>
      <w:r>
        <w:rPr/>
        <w:t>先后入驻了长春百货专柜、长春欧亚卖场超市、长春国商超市、亚泰超市、北京华联超市以及中东福万家</w:t>
      </w:r>
    </w:p>
    <w:p>
      <w:pPr>
        <w:spacing w:after="0" w:line="24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0"/>
        <w:jc w:val="both"/>
      </w:pPr>
      <w:r>
        <w:rPr/>
        <w:t>超市等，并以点带面在外埠市场开展渠道建设工作。</w:t>
      </w:r>
    </w:p>
    <w:p>
      <w:pPr>
        <w:spacing w:line="240" w:lineRule="auto" w:before="10"/>
        <w:rPr>
          <w:rFonts w:ascii="宋体" w:hAnsi="宋体" w:cs="宋体" w:eastAsia="宋体" w:hint="default"/>
          <w:sz w:val="14"/>
          <w:szCs w:val="14"/>
        </w:rPr>
      </w:pPr>
    </w:p>
    <w:p>
      <w:pPr>
        <w:pStyle w:val="BodyText"/>
        <w:spacing w:line="386" w:lineRule="auto" w:before="0"/>
        <w:ind w:left="573" w:right="1133"/>
        <w:jc w:val="left"/>
      </w:pPr>
      <w:r>
        <w:rPr/>
        <w:t>（</w:t>
      </w:r>
      <w:r>
        <w:rPr>
          <w:rFonts w:ascii="Times New Roman" w:hAnsi="Times New Roman" w:cs="Times New Roman" w:eastAsia="Times New Roman" w:hint="default"/>
        </w:rPr>
        <w:t>2</w:t>
      </w:r>
      <w:r>
        <w:rPr/>
        <w:t>）药店模式</w:t>
      </w:r>
      <w:r>
        <w:rPr>
          <w:w w:val="100"/>
        </w:rPr>
        <w:t> </w:t>
      </w:r>
      <w:r>
        <w:rPr>
          <w:spacing w:val="-2"/>
        </w:rPr>
        <w:t>由于人参具有特殊的药用价值，公司与各大连锁药房进行洽谈，通过产品入驻或设立专柜的形式，进</w:t>
      </w:r>
    </w:p>
    <w:p>
      <w:pPr>
        <w:pStyle w:val="BodyText"/>
        <w:spacing w:line="408" w:lineRule="auto" w:before="65"/>
        <w:ind w:right="1126"/>
        <w:jc w:val="both"/>
      </w:pPr>
      <w:r>
        <w:rPr>
          <w:spacing w:val="-2"/>
        </w:rPr>
        <w:t>行药店渠道的市场销售。公司通过药店渠道的建设，将在全国各大连锁药房形成有效覆盖，提高公司人参</w:t>
      </w:r>
      <w:r>
        <w:rPr>
          <w:spacing w:val="-44"/>
        </w:rPr>
        <w:t> </w:t>
      </w:r>
      <w:r>
        <w:rPr>
          <w:spacing w:val="-44"/>
        </w:rPr>
      </w:r>
      <w:r>
        <w:rPr/>
        <w:t>产品的渗透力。</w:t>
      </w:r>
    </w:p>
    <w:p>
      <w:pPr>
        <w:pStyle w:val="BodyText"/>
        <w:spacing w:line="408" w:lineRule="auto"/>
        <w:ind w:left="573" w:right="1133"/>
        <w:jc w:val="left"/>
      </w:pPr>
      <w:r>
        <w:rPr/>
        <w:t>（四）主要业绩驱动</w:t>
      </w:r>
      <w:r>
        <w:rPr>
          <w:w w:val="100"/>
        </w:rPr>
        <w:t> </w:t>
      </w:r>
      <w:r>
        <w:rPr>
          <w:spacing w:val="-2"/>
        </w:rPr>
        <w:t>公司业绩驱动因素主要为以下五个方面：一是国家对健康产业重视，公司产品资源丰富、质量过硬带</w:t>
      </w:r>
    </w:p>
    <w:p>
      <w:pPr>
        <w:pStyle w:val="BodyText"/>
        <w:spacing w:line="400" w:lineRule="auto"/>
        <w:ind w:right="1126"/>
        <w:jc w:val="both"/>
      </w:pPr>
      <w:r>
        <w:rPr>
          <w:spacing w:val="-2"/>
        </w:rPr>
        <w:t>来发展新机遇；二是公司中成药</w:t>
      </w:r>
      <w:r>
        <w:rPr>
          <w:rFonts w:ascii="Times New Roman" w:hAnsi="Times New Roman" w:cs="Times New Roman" w:eastAsia="Times New Roman" w:hint="default"/>
          <w:spacing w:val="-2"/>
        </w:rPr>
        <w:t>OTC</w:t>
      </w:r>
      <w:r>
        <w:rPr>
          <w:spacing w:val="-2"/>
        </w:rPr>
        <w:t>销售、人参深加工产品销售取得的成绩，通过研发进行产品结构的调</w:t>
      </w:r>
      <w:r>
        <w:rPr>
          <w:spacing w:val="-43"/>
        </w:rPr>
        <w:t> </w:t>
      </w:r>
      <w:r>
        <w:rPr>
          <w:spacing w:val="-43"/>
        </w:rPr>
      </w:r>
      <w:r>
        <w:rPr>
          <w:spacing w:val="-2"/>
        </w:rPr>
        <w:t>整；三是公司产品结构不断优化，不断进行新市场和新产能的投放；四是持续推进精益生产，加强成本管</w:t>
      </w:r>
      <w:r>
        <w:rPr>
          <w:spacing w:val="-50"/>
        </w:rPr>
        <w:t> </w:t>
      </w:r>
      <w:r>
        <w:rPr>
          <w:spacing w:val="-50"/>
        </w:rPr>
      </w:r>
      <w:r>
        <w:rPr>
          <w:spacing w:val="-2"/>
        </w:rPr>
        <w:t>控，产品盈利能力提升；五是营销模式加速创新，持续进行内部精益生产管理，节能降耗，提高企业生产</w:t>
      </w:r>
      <w:r>
        <w:rPr>
          <w:spacing w:val="-43"/>
        </w:rPr>
        <w:t> </w:t>
      </w:r>
      <w:r>
        <w:rPr>
          <w:spacing w:val="-43"/>
        </w:rPr>
      </w:r>
      <w:r>
        <w:rPr/>
        <w:t>效率。未来，公司将继续稳步推各项驱动因素，确保公司业绩可持续增长。</w:t>
      </w:r>
    </w:p>
    <w:p>
      <w:pPr>
        <w:spacing w:line="240" w:lineRule="auto" w:before="2"/>
        <w:rPr>
          <w:rFonts w:ascii="宋体" w:hAnsi="宋体" w:cs="宋体" w:eastAsia="宋体" w:hint="default"/>
          <w:sz w:val="19"/>
          <w:szCs w:val="19"/>
        </w:rPr>
      </w:pPr>
    </w:p>
    <w:p>
      <w:pPr>
        <w:pStyle w:val="Heading3"/>
        <w:spacing w:line="240" w:lineRule="auto"/>
        <w:ind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0"/>
        <w:gridCol w:w="6519"/>
      </w:tblGrid>
      <w:tr>
        <w:trPr>
          <w:trHeight w:val="764"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bl>
    <w:p>
      <w:pPr>
        <w:spacing w:line="240" w:lineRule="auto" w:before="4"/>
        <w:rPr>
          <w:rFonts w:ascii="宋体" w:hAnsi="宋体" w:cs="宋体" w:eastAsia="宋体" w:hint="default"/>
          <w:b/>
          <w:bCs/>
          <w:sz w:val="19"/>
          <w:szCs w:val="19"/>
        </w:rPr>
      </w:pPr>
    </w:p>
    <w:p>
      <w:pPr>
        <w:pStyle w:val="Heading5"/>
        <w:spacing w:line="240" w:lineRule="auto" w:before="36"/>
        <w:ind w:right="1133"/>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6"/>
        <w:gridCol w:w="1064"/>
        <w:gridCol w:w="1063"/>
        <w:gridCol w:w="1066"/>
        <w:gridCol w:w="1061"/>
        <w:gridCol w:w="1061"/>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8" w:right="75" w:hanging="272"/>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20"/>
              <w:jc w:val="left"/>
              <w:rPr>
                <w:rFonts w:ascii="Times New Roman" w:hAnsi="Times New Roman" w:cs="Times New Roman" w:eastAsia="Times New Roman" w:hint="default"/>
                <w:sz w:val="18"/>
                <w:szCs w:val="18"/>
              </w:rPr>
            </w:pPr>
            <w:r>
              <w:rPr>
                <w:rFonts w:ascii="Times New Roman"/>
                <w:sz w:val="18"/>
              </w:rPr>
              <w:t>Fytagoras</w:t>
            </w:r>
            <w:r>
              <w:rPr>
                <w:rFonts w:ascii="Times New Roman"/>
                <w:w w:val="99"/>
                <w:sz w:val="18"/>
              </w:rPr>
              <w:t> </w:t>
            </w:r>
            <w:r>
              <w:rPr>
                <w:rFonts w:ascii="Times New Roman"/>
                <w:spacing w:val="-6"/>
                <w:sz w:val="18"/>
              </w:rPr>
              <w:t>B.V.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对外投资</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加强风险管 控</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89"/>
              <w:jc w:val="left"/>
              <w:rPr>
                <w:rFonts w:ascii="Times New Roman" w:hAnsi="Times New Roman" w:cs="Times New Roman" w:eastAsia="Times New Roman" w:hint="default"/>
                <w:sz w:val="18"/>
                <w:szCs w:val="18"/>
              </w:rPr>
            </w:pPr>
            <w:r>
              <w:rPr>
                <w:rFonts w:ascii="Times New Roman"/>
                <w:sz w:val="18"/>
              </w:rPr>
              <w:t>ZixinPharma ceuticals</w:t>
            </w:r>
            <w:r>
              <w:rPr>
                <w:rFonts w:ascii="Times New Roman"/>
                <w:w w:val="99"/>
                <w:sz w:val="18"/>
              </w:rPr>
              <w:t> </w:t>
            </w:r>
            <w:r>
              <w:rPr>
                <w:rFonts w:ascii="Times New Roman"/>
                <w:sz w:val="18"/>
              </w:rPr>
              <w:t>USA</w:t>
            </w:r>
            <w:r>
              <w:rPr>
                <w:rFonts w:ascii="Times New Roman"/>
                <w:spacing w:val="-13"/>
                <w:sz w:val="18"/>
              </w:rPr>
              <w:t> </w:t>
            </w:r>
            <w:r>
              <w:rPr>
                <w:rFonts w:ascii="Times New Roman"/>
                <w:sz w:val="18"/>
              </w:rPr>
              <w:t>CORP</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27"/>
              <w:jc w:val="left"/>
              <w:rPr>
                <w:rFonts w:ascii="宋体" w:hAnsi="宋体" w:cs="宋体" w:eastAsia="宋体" w:hint="default"/>
                <w:sz w:val="18"/>
                <w:szCs w:val="18"/>
              </w:rPr>
            </w:pPr>
            <w:r>
              <w:rPr>
                <w:rFonts w:ascii="宋体" w:hAnsi="宋体" w:cs="宋体" w:eastAsia="宋体" w:hint="default"/>
                <w:sz w:val="18"/>
                <w:szCs w:val="18"/>
              </w:rPr>
              <w:t>加强风险管 控</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left="573" w:right="1133"/>
        <w:jc w:val="left"/>
      </w:pPr>
      <w:r>
        <w:rPr/>
        <w:t>（一）品牌优势</w:t>
      </w:r>
      <w:r>
        <w:rPr>
          <w:spacing w:val="-103"/>
        </w:rPr>
        <w:t> </w:t>
      </w:r>
      <w:r>
        <w:rPr>
          <w:spacing w:val="-103"/>
        </w:rPr>
      </w:r>
      <w:r>
        <w:rPr>
          <w:spacing w:val="-3"/>
        </w:rPr>
        <w:t>公司</w:t>
      </w:r>
      <w:r>
        <w:rPr>
          <w:rFonts w:ascii="Times New Roman" w:hAnsi="Times New Roman" w:cs="Times New Roman" w:eastAsia="Times New Roman" w:hint="default"/>
          <w:spacing w:val="-3"/>
        </w:rPr>
        <w:t>“</w:t>
      </w:r>
      <w:r>
        <w:rPr>
          <w:spacing w:val="-3"/>
        </w:rPr>
        <w:t>紫鑫</w:t>
      </w:r>
      <w:r>
        <w:rPr>
          <w:rFonts w:ascii="Times New Roman" w:hAnsi="Times New Roman" w:cs="Times New Roman" w:eastAsia="Times New Roman" w:hint="default"/>
          <w:spacing w:val="-3"/>
        </w:rPr>
        <w:t>”</w:t>
      </w:r>
      <w:r>
        <w:rPr>
          <w:spacing w:val="-3"/>
        </w:rPr>
        <w:t>商标为中国驰名商标和吉林省著名商标。公司被评为</w:t>
      </w:r>
      <w:r>
        <w:rPr>
          <w:rFonts w:ascii="Times New Roman" w:hAnsi="Times New Roman" w:cs="Times New Roman" w:eastAsia="Times New Roman" w:hint="default"/>
          <w:spacing w:val="-3"/>
        </w:rPr>
        <w:t>“</w:t>
      </w:r>
      <w:r>
        <w:rPr>
          <w:spacing w:val="-3"/>
        </w:rPr>
        <w:t>中国医药行业重质量单位</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吉林省</w:t>
      </w:r>
    </w:p>
    <w:p>
      <w:pPr>
        <w:pStyle w:val="BodyText"/>
        <w:spacing w:line="240" w:lineRule="auto" w:before="14"/>
        <w:ind w:right="1133"/>
        <w:jc w:val="left"/>
      </w:pPr>
      <w:r>
        <w:rPr>
          <w:spacing w:val="-4"/>
        </w:rPr>
        <w:t>百姓口碑最佳信誉单位</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中国医药行业无假货单位</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“AAA</w:t>
      </w:r>
      <w:r>
        <w:rPr>
          <w:spacing w:val="-4"/>
        </w:rPr>
        <w:t>级中国诚信企业</w:t>
      </w:r>
      <w:r>
        <w:rPr>
          <w:rFonts w:ascii="Times New Roman" w:hAnsi="Times New Roman" w:cs="Times New Roman" w:eastAsia="Times New Roman" w:hint="default"/>
          <w:spacing w:val="-4"/>
        </w:rPr>
        <w:t>”</w:t>
      </w:r>
      <w:r>
        <w:rPr>
          <w:spacing w:val="-4"/>
        </w:rPr>
        <w:t>。民众的美誉度、忠诚度非</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5"/>
        <w:ind w:right="1126"/>
        <w:jc w:val="both"/>
      </w:pPr>
      <w:r>
        <w:rPr>
          <w:spacing w:val="-2"/>
        </w:rPr>
        <w:t>常高，在医药行业已经树立起良好的医药品牌形象。公司的</w:t>
      </w:r>
      <w:r>
        <w:rPr>
          <w:rFonts w:ascii="Times New Roman" w:hAnsi="Times New Roman" w:cs="Times New Roman" w:eastAsia="Times New Roman" w:hint="default"/>
          <w:spacing w:val="-2"/>
        </w:rPr>
        <w:t>“</w:t>
      </w:r>
      <w:r>
        <w:rPr>
          <w:spacing w:val="-2"/>
        </w:rPr>
        <w:t>紫鑫国参</w:t>
      </w:r>
      <w:r>
        <w:rPr>
          <w:rFonts w:ascii="Times New Roman" w:hAnsi="Times New Roman" w:cs="Times New Roman" w:eastAsia="Times New Roman" w:hint="default"/>
          <w:spacing w:val="-2"/>
        </w:rPr>
        <w:t>”</w:t>
      </w:r>
      <w:r>
        <w:rPr>
          <w:spacing w:val="-2"/>
        </w:rPr>
        <w:t>品牌在业界具有一定的优势，人参</w:t>
      </w:r>
      <w:r>
        <w:rPr>
          <w:spacing w:val="-17"/>
        </w:rPr>
        <w:t> </w:t>
      </w:r>
      <w:r>
        <w:rPr>
          <w:spacing w:val="-17"/>
        </w:rPr>
      </w:r>
      <w:r>
        <w:rPr>
          <w:spacing w:val="-2"/>
        </w:rPr>
        <w:t>果蔬发酵饮料、鲜人参蜜片及红参红枣固体饮料于</w:t>
      </w:r>
      <w:r>
        <w:rPr>
          <w:rFonts w:ascii="Times New Roman" w:hAnsi="Times New Roman" w:cs="Times New Roman" w:eastAsia="Times New Roman" w:hint="default"/>
          <w:spacing w:val="-2"/>
        </w:rPr>
        <w:t>2013</w:t>
      </w:r>
      <w:r>
        <w:rPr>
          <w:spacing w:val="-2"/>
        </w:rPr>
        <w:t>年获得</w:t>
      </w:r>
      <w:r>
        <w:rPr>
          <w:rFonts w:ascii="Times New Roman" w:hAnsi="Times New Roman" w:cs="Times New Roman" w:eastAsia="Times New Roman" w:hint="default"/>
          <w:spacing w:val="-2"/>
        </w:rPr>
        <w:t>“</w:t>
      </w:r>
      <w:r>
        <w:rPr>
          <w:spacing w:val="-2"/>
        </w:rPr>
        <w:t>长白山人参</w:t>
      </w:r>
      <w:r>
        <w:rPr>
          <w:rFonts w:ascii="Times New Roman" w:hAnsi="Times New Roman" w:cs="Times New Roman" w:eastAsia="Times New Roman" w:hint="default"/>
          <w:spacing w:val="-2"/>
        </w:rPr>
        <w:t>”</w:t>
      </w:r>
      <w:r>
        <w:rPr>
          <w:spacing w:val="-2"/>
        </w:rPr>
        <w:t>品牌产品认证；第五届国际食</w:t>
      </w:r>
      <w:r>
        <w:rPr>
          <w:spacing w:val="-17"/>
        </w:rPr>
        <w:t> </w:t>
      </w:r>
      <w:r>
        <w:rPr>
          <w:spacing w:val="-17"/>
        </w:rPr>
      </w:r>
      <w:r>
        <w:rPr>
          <w:spacing w:val="-2"/>
        </w:rPr>
        <w:t>品安全年度峰会召开，公司主打的人参双耳饮料</w:t>
      </w:r>
      <w:r>
        <w:rPr>
          <w:rFonts w:ascii="Times New Roman" w:hAnsi="Times New Roman" w:cs="Times New Roman" w:eastAsia="Times New Roman" w:hint="default"/>
          <w:spacing w:val="-2"/>
        </w:rPr>
        <w:t>“</w:t>
      </w:r>
      <w:r>
        <w:rPr>
          <w:spacing w:val="-2"/>
        </w:rPr>
        <w:t>参呼吸</w:t>
      </w:r>
      <w:r>
        <w:rPr>
          <w:rFonts w:ascii="Times New Roman" w:hAnsi="Times New Roman" w:cs="Times New Roman" w:eastAsia="Times New Roman" w:hint="default"/>
          <w:spacing w:val="-2"/>
        </w:rPr>
        <w:t>”</w:t>
      </w:r>
      <w:r>
        <w:rPr>
          <w:spacing w:val="-2"/>
        </w:rPr>
        <w:t>荣获国际食品安全协会指定饮品。</w:t>
      </w:r>
      <w:r>
        <w:rPr>
          <w:rFonts w:ascii="Times New Roman" w:hAnsi="Times New Roman" w:cs="Times New Roman" w:eastAsia="Times New Roman" w:hint="default"/>
          <w:spacing w:val="-2"/>
        </w:rPr>
        <w:t>2016</w:t>
      </w:r>
      <w:r>
        <w:rPr>
          <w:spacing w:val="-2"/>
        </w:rPr>
        <w:t>年度中国</w:t>
      </w:r>
      <w:r>
        <w:rPr>
          <w:spacing w:val="-20"/>
        </w:rPr>
        <w:t> </w:t>
      </w:r>
      <w:r>
        <w:rPr>
          <w:spacing w:val="-20"/>
        </w:rPr>
      </w:r>
      <w:r>
        <w:rPr/>
        <w:t>医药行业成长五十强企业、优质道地中药材十佳规范化种植基地、医药工业十佳集团金牌采购商。</w:t>
      </w:r>
    </w:p>
    <w:p>
      <w:pPr>
        <w:pStyle w:val="BodyText"/>
        <w:spacing w:line="408" w:lineRule="auto" w:before="65"/>
        <w:ind w:left="573" w:right="1133"/>
        <w:jc w:val="left"/>
      </w:pPr>
      <w:r>
        <w:rPr/>
        <w:t>（二）营销渠道优势</w:t>
      </w:r>
      <w:r>
        <w:rPr>
          <w:w w:val="100"/>
        </w:rPr>
        <w:t> </w:t>
      </w:r>
      <w:r>
        <w:rPr>
          <w:spacing w:val="-2"/>
        </w:rPr>
        <w:t>公司中成药产业、人参产业拥有完善的销售系统和市场支持体系，通过长期培育，目前公司建立了一</w:t>
      </w:r>
    </w:p>
    <w:p>
      <w:pPr>
        <w:pStyle w:val="BodyText"/>
        <w:spacing w:line="396" w:lineRule="auto"/>
        <w:ind w:right="1126"/>
        <w:jc w:val="both"/>
      </w:pPr>
      <w:r>
        <w:rPr>
          <w:spacing w:val="-2"/>
        </w:rPr>
        <w:t>支经验丰富、市场开拓能力突出的一流销售队伍，销售目标区域以东北三省地区、江浙地区为中心，辐射</w:t>
      </w:r>
      <w:r>
        <w:rPr>
          <w:spacing w:val="-47"/>
        </w:rPr>
        <w:t> </w:t>
      </w:r>
      <w:r>
        <w:rPr>
          <w:spacing w:val="-47"/>
        </w:rPr>
      </w:r>
      <w:r>
        <w:rPr>
          <w:spacing w:val="-2"/>
        </w:rPr>
        <w:t>港澳及全国除台湾、西藏藏族自治区以外的</w:t>
      </w:r>
      <w:r>
        <w:rPr>
          <w:rFonts w:ascii="Times New Roman" w:hAnsi="Times New Roman" w:cs="Times New Roman" w:eastAsia="Times New Roman" w:hint="default"/>
          <w:spacing w:val="-2"/>
        </w:rPr>
        <w:t>30</w:t>
      </w:r>
      <w:r>
        <w:rPr>
          <w:spacing w:val="-2"/>
        </w:rPr>
        <w:t>个省、市和自治区，与全国近</w:t>
      </w:r>
      <w:r>
        <w:rPr>
          <w:rFonts w:ascii="Times New Roman" w:hAnsi="Times New Roman" w:cs="Times New Roman" w:eastAsia="Times New Roman" w:hint="default"/>
          <w:spacing w:val="-2"/>
        </w:rPr>
        <w:t>7000</w:t>
      </w:r>
      <w:r>
        <w:rPr>
          <w:spacing w:val="-2"/>
        </w:rPr>
        <w:t>多家医疗机构、</w:t>
      </w:r>
      <w:r>
        <w:rPr>
          <w:rFonts w:ascii="Times New Roman" w:hAnsi="Times New Roman" w:cs="Times New Roman" w:eastAsia="Times New Roman" w:hint="default"/>
          <w:spacing w:val="-2"/>
        </w:rPr>
        <w:t>47</w:t>
      </w:r>
      <w:r>
        <w:rPr>
          <w:spacing w:val="-2"/>
        </w:rPr>
        <w:t>家百强</w:t>
      </w:r>
      <w:r>
        <w:rPr>
          <w:spacing w:val="-42"/>
        </w:rPr>
        <w:t> </w:t>
      </w:r>
      <w:r>
        <w:rPr>
          <w:spacing w:val="-2"/>
        </w:rPr>
        <w:t>连锁，覆盖终端约</w:t>
      </w:r>
      <w:r>
        <w:rPr>
          <w:rFonts w:ascii="Times New Roman" w:hAnsi="Times New Roman" w:cs="Times New Roman" w:eastAsia="Times New Roman" w:hint="default"/>
          <w:spacing w:val="-2"/>
        </w:rPr>
        <w:t>22</w:t>
      </w:r>
      <w:r>
        <w:rPr>
          <w:spacing w:val="-2"/>
        </w:rPr>
        <w:t>万家药店，建立了长期稳定的业务关系；同时在境外以荷兰、美国为中心分别搭建了</w:t>
      </w:r>
      <w:r>
        <w:rPr>
          <w:spacing w:val="-48"/>
        </w:rPr>
        <w:t> </w:t>
      </w:r>
      <w:r>
        <w:rPr>
          <w:spacing w:val="-48"/>
        </w:rPr>
      </w:r>
      <w:r>
        <w:rPr>
          <w:spacing w:val="-2"/>
        </w:rPr>
        <w:t>北美洲及欧洲等国家和地区的平台，使公司能够第一时间接触和投资世界最先进项目的机会，及时获取国</w:t>
      </w:r>
      <w:r>
        <w:rPr>
          <w:spacing w:val="-43"/>
        </w:rPr>
        <w:t> </w:t>
      </w:r>
      <w:r>
        <w:rPr>
          <w:spacing w:val="-43"/>
        </w:rPr>
      </w:r>
      <w:r>
        <w:rPr>
          <w:spacing w:val="-3"/>
        </w:rPr>
        <w:t>际市场的最新信息，将国际先进药品产品及研发、名贵中草药种植培育技术引进国内市场</w:t>
      </w:r>
      <w:r>
        <w:rPr>
          <w:rFonts w:ascii="Times New Roman" w:hAnsi="Times New Roman" w:cs="Times New Roman" w:eastAsia="Times New Roman" w:hint="default"/>
          <w:spacing w:val="-3"/>
        </w:rPr>
        <w:t>,</w:t>
      </w:r>
      <w:r>
        <w:rPr>
          <w:spacing w:val="-3"/>
        </w:rPr>
        <w:t>加速推进公司品</w:t>
      </w:r>
      <w:r>
        <w:rPr>
          <w:spacing w:val="-49"/>
        </w:rPr>
        <w:t> </w:t>
      </w:r>
      <w:r>
        <w:rPr>
          <w:spacing w:val="-49"/>
        </w:rPr>
      </w:r>
      <w:r>
        <w:rPr/>
        <w:t>牌、生产、人才、技术的国际化运作，提升品牌形象，进一步提升公司核心竞争力。</w:t>
      </w:r>
    </w:p>
    <w:p>
      <w:pPr>
        <w:pStyle w:val="BodyText"/>
        <w:spacing w:line="408" w:lineRule="auto" w:before="56"/>
        <w:ind w:left="573" w:right="1133"/>
        <w:jc w:val="left"/>
      </w:pPr>
      <w:r>
        <w:rPr/>
        <w:t>（三）质量保证体系优势</w:t>
      </w:r>
      <w:r>
        <w:rPr>
          <w:w w:val="100"/>
        </w:rPr>
        <w:t> </w:t>
      </w:r>
      <w:r>
        <w:rPr>
          <w:spacing w:val="-2"/>
        </w:rPr>
        <w:t>公司的主导品种以治疗心脑血管、骨伤类、消化系统、泌尿系统和风湿免疫类疾病为主，主要产品有</w:t>
      </w:r>
    </w:p>
    <w:p>
      <w:pPr>
        <w:pStyle w:val="BodyText"/>
        <w:spacing w:line="400" w:lineRule="auto"/>
        <w:ind w:right="1126"/>
        <w:jc w:val="both"/>
      </w:pPr>
      <w:r>
        <w:rPr>
          <w:spacing w:val="-2"/>
        </w:rPr>
        <w:t>活血通脉片、醒脑再造胶囊、麝香接骨胶囊、复方益肝灵片、补肾安神口服液、四妙丸等。生产药品剂型</w:t>
      </w:r>
      <w:r>
        <w:rPr>
          <w:spacing w:val="-42"/>
        </w:rPr>
        <w:t> </w:t>
      </w:r>
      <w:r>
        <w:rPr>
          <w:spacing w:val="-42"/>
        </w:rPr>
      </w:r>
      <w:r>
        <w:rPr>
          <w:spacing w:val="-2"/>
        </w:rPr>
        <w:t>包括片剂、硬胶囊剂、口服液、丸剂、颗粒剂、口服溶液剂、合剂和锭剂，公司及公司子公司相关生产线</w:t>
      </w:r>
      <w:r>
        <w:rPr>
          <w:spacing w:val="-47"/>
        </w:rPr>
        <w:t> </w:t>
      </w:r>
      <w:r>
        <w:rPr>
          <w:spacing w:val="-47"/>
        </w:rPr>
      </w:r>
      <w:r>
        <w:rPr>
          <w:spacing w:val="-4"/>
        </w:rPr>
        <w:t>已通过新版《药品生产质量管理规范》（</w:t>
      </w:r>
      <w:r>
        <w:rPr>
          <w:rFonts w:ascii="Times New Roman" w:hAnsi="Times New Roman" w:cs="Times New Roman" w:eastAsia="Times New Roman" w:hint="default"/>
          <w:spacing w:val="-4"/>
        </w:rPr>
        <w:t>GMP</w:t>
      </w:r>
      <w:r>
        <w:rPr>
          <w:spacing w:val="-4"/>
        </w:rPr>
        <w:t>）认证，并获得《药品</w:t>
      </w:r>
      <w:r>
        <w:rPr>
          <w:rFonts w:ascii="Times New Roman" w:hAnsi="Times New Roman" w:cs="Times New Roman" w:eastAsia="Times New Roman" w:hint="default"/>
          <w:spacing w:val="-4"/>
        </w:rPr>
        <w:t>GMP</w:t>
      </w:r>
      <w:r>
        <w:rPr>
          <w:spacing w:val="-4"/>
        </w:rPr>
        <w:t>证书》。公司产品历次无重大质</w:t>
      </w:r>
      <w:r>
        <w:rPr>
          <w:spacing w:val="-17"/>
        </w:rPr>
        <w:t> </w:t>
      </w:r>
      <w:r>
        <w:rPr>
          <w:spacing w:val="-17"/>
        </w:rPr>
      </w:r>
      <w:r>
        <w:rPr/>
        <w:t>量事故发生，在市场上享有良好声誉。</w:t>
      </w:r>
    </w:p>
    <w:p>
      <w:pPr>
        <w:pStyle w:val="BodyText"/>
        <w:spacing w:line="408" w:lineRule="auto" w:before="52"/>
        <w:ind w:left="573" w:right="1133"/>
        <w:jc w:val="left"/>
      </w:pPr>
      <w:r>
        <w:rPr/>
        <w:t>（四）丰富的资源优势</w:t>
      </w:r>
      <w:r>
        <w:rPr>
          <w:w w:val="100"/>
        </w:rPr>
        <w:t> </w:t>
      </w:r>
      <w:r>
        <w:rPr>
          <w:spacing w:val="-2"/>
        </w:rPr>
        <w:t>公司生产的中成药以治疗风湿免疫类、耳鼻喉类、泌尿系统、心脑血管、肝胆类和消化系统类疾病为</w:t>
      </w:r>
    </w:p>
    <w:p>
      <w:pPr>
        <w:pStyle w:val="BodyText"/>
        <w:spacing w:line="386" w:lineRule="auto"/>
        <w:ind w:right="0"/>
        <w:jc w:val="left"/>
      </w:pPr>
      <w:r>
        <w:rPr/>
        <w:t>主，生产药品的剂型共分为</w:t>
      </w:r>
      <w:r>
        <w:rPr>
          <w:rFonts w:ascii="Times New Roman" w:hAnsi="Times New Roman" w:cs="Times New Roman" w:eastAsia="Times New Roman" w:hint="default"/>
        </w:rPr>
        <w:t>9</w:t>
      </w:r>
      <w:r>
        <w:rPr/>
        <w:t>种，包括丸剂、片剂、硬胶囊剂、口服液、颗粒剂、口服溶液剂、合剂、软</w:t>
      </w:r>
      <w:r>
        <w:rPr>
          <w:w w:val="100"/>
        </w:rPr>
        <w:t> </w:t>
      </w:r>
      <w:r>
        <w:rPr>
          <w:spacing w:val="-2"/>
        </w:rPr>
        <w:t>胶囊剂和锭剂。公司中成药产品储备丰富，目前共取得药品批准文号</w:t>
      </w:r>
      <w:r>
        <w:rPr>
          <w:rFonts w:ascii="Times New Roman" w:hAnsi="Times New Roman" w:cs="Times New Roman" w:eastAsia="Times New Roman" w:hint="default"/>
          <w:spacing w:val="-2"/>
        </w:rPr>
        <w:t>205</w:t>
      </w:r>
      <w:r>
        <w:rPr>
          <w:spacing w:val="-2"/>
        </w:rPr>
        <w:t>个，涉及</w:t>
      </w:r>
      <w:r>
        <w:rPr>
          <w:rFonts w:ascii="Times New Roman" w:hAnsi="Times New Roman" w:cs="Times New Roman" w:eastAsia="Times New Roman" w:hint="default"/>
          <w:spacing w:val="-2"/>
        </w:rPr>
        <w:t>172</w:t>
      </w:r>
      <w:r>
        <w:rPr>
          <w:spacing w:val="-2"/>
        </w:rPr>
        <w:t>种药品（在生产药品</w:t>
      </w:r>
      <w:r>
        <w:rPr>
          <w:spacing w:val="-46"/>
        </w:rPr>
        <w:t> </w:t>
      </w:r>
      <w:r>
        <w:rPr>
          <w:spacing w:val="-46"/>
        </w:rPr>
      </w:r>
      <w:r>
        <w:rPr>
          <w:rFonts w:ascii="Times New Roman" w:hAnsi="Times New Roman" w:cs="Times New Roman" w:eastAsia="Times New Roman" w:hint="default"/>
          <w:spacing w:val="-2"/>
        </w:rPr>
        <w:t>67</w:t>
      </w:r>
      <w:r>
        <w:rPr>
          <w:spacing w:val="-2"/>
        </w:rPr>
        <w:t>种），其中</w:t>
      </w:r>
      <w:r>
        <w:rPr>
          <w:rFonts w:ascii="Times New Roman" w:hAnsi="Times New Roman" w:cs="Times New Roman" w:eastAsia="Times New Roman" w:hint="default"/>
          <w:spacing w:val="-2"/>
        </w:rPr>
        <w:t>OTC</w:t>
      </w:r>
      <w:r>
        <w:rPr>
          <w:spacing w:val="-2"/>
        </w:rPr>
        <w:t>药品</w:t>
      </w:r>
      <w:r>
        <w:rPr>
          <w:rFonts w:ascii="Times New Roman" w:hAnsi="Times New Roman" w:cs="Times New Roman" w:eastAsia="Times New Roman" w:hint="default"/>
          <w:spacing w:val="-2"/>
        </w:rPr>
        <w:t>92</w:t>
      </w:r>
      <w:r>
        <w:rPr>
          <w:spacing w:val="-2"/>
        </w:rPr>
        <w:t>个药品批准文号，处方药品</w:t>
      </w:r>
      <w:r>
        <w:rPr>
          <w:rFonts w:ascii="Times New Roman" w:hAnsi="Times New Roman" w:cs="Times New Roman" w:eastAsia="Times New Roman" w:hint="default"/>
          <w:spacing w:val="-2"/>
        </w:rPr>
        <w:t>113</w:t>
      </w:r>
      <w:r>
        <w:rPr>
          <w:spacing w:val="-2"/>
        </w:rPr>
        <w:t>个药品批准文号。公司目前拥有独家品种</w:t>
      </w:r>
      <w:r>
        <w:rPr>
          <w:rFonts w:ascii="Times New Roman" w:hAnsi="Times New Roman" w:cs="Times New Roman" w:eastAsia="Times New Roman" w:hint="default"/>
          <w:spacing w:val="-2"/>
        </w:rPr>
        <w:t>5</w:t>
      </w:r>
      <w:r>
        <w:rPr>
          <w:spacing w:val="-2"/>
        </w:rPr>
        <w:t>种，优</w:t>
      </w:r>
      <w:r>
        <w:rPr>
          <w:spacing w:val="-40"/>
        </w:rPr>
        <w:t> </w:t>
      </w:r>
      <w:r>
        <w:rPr>
          <w:spacing w:val="-40"/>
        </w:rPr>
      </w:r>
      <w:r>
        <w:rPr/>
        <w:t>质优价药品</w:t>
      </w:r>
      <w:r>
        <w:rPr>
          <w:rFonts w:ascii="Times New Roman" w:hAnsi="Times New Roman" w:cs="Times New Roman" w:eastAsia="Times New Roman" w:hint="default"/>
        </w:rPr>
        <w:t>8</w:t>
      </w:r>
      <w:r>
        <w:rPr/>
        <w:t>种，国家中药二级保护药品</w:t>
      </w:r>
      <w:r>
        <w:rPr>
          <w:rFonts w:ascii="Times New Roman" w:hAnsi="Times New Roman" w:cs="Times New Roman" w:eastAsia="Times New Roman" w:hint="default"/>
        </w:rPr>
        <w:t>3</w:t>
      </w:r>
      <w:r>
        <w:rPr/>
        <w:t>种，有</w:t>
      </w:r>
      <w:r>
        <w:rPr>
          <w:rFonts w:ascii="Times New Roman" w:hAnsi="Times New Roman" w:cs="Times New Roman" w:eastAsia="Times New Roman" w:hint="default"/>
        </w:rPr>
        <w:t>30</w:t>
      </w:r>
      <w:r>
        <w:rPr/>
        <w:t>个药品批准文号的药品入选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年版《国家基本药物</w:t>
      </w:r>
      <w:r>
        <w:rPr>
          <w:w w:val="100"/>
        </w:rPr>
        <w:t> </w:t>
      </w:r>
      <w:r>
        <w:rPr/>
        <w:t>目录》，</w:t>
      </w:r>
      <w:r>
        <w:rPr>
          <w:rFonts w:ascii="Times New Roman" w:hAnsi="Times New Roman" w:cs="Times New Roman" w:eastAsia="Times New Roman" w:hint="default"/>
        </w:rPr>
        <w:t>124</w:t>
      </w:r>
      <w:r>
        <w:rPr/>
        <w:t>个品种纳入《国家医保目录（</w:t>
      </w:r>
      <w:r>
        <w:rPr>
          <w:rFonts w:ascii="Times New Roman" w:hAnsi="Times New Roman" w:cs="Times New Roman" w:eastAsia="Times New Roman" w:hint="default"/>
        </w:rPr>
        <w:t>2019</w:t>
      </w:r>
      <w:r>
        <w:rPr/>
        <w:t>版）》。公司主要中成药产品包括四妙丸、藿胆片、肾复</w:t>
      </w:r>
      <w:r>
        <w:rPr>
          <w:w w:val="100"/>
        </w:rPr>
        <w:t> </w:t>
      </w:r>
      <w:r>
        <w:rPr/>
        <w:t>康胶囊、活血通脉片、萆薢分清丸、内消瘰疬丸、二丁颗粒、小儿白贝和海贝胃疡等产品。</w:t>
      </w:r>
    </w:p>
    <w:p>
      <w:pPr>
        <w:pStyle w:val="BodyText"/>
        <w:spacing w:line="240" w:lineRule="auto" w:before="65"/>
        <w:ind w:left="573" w:right="1133"/>
        <w:jc w:val="left"/>
      </w:pPr>
      <w:r>
        <w:rPr/>
        <w:t>（五）核心技术优势</w:t>
      </w:r>
    </w:p>
    <w:p>
      <w:pPr>
        <w:spacing w:line="240" w:lineRule="auto" w:before="10"/>
        <w:rPr>
          <w:rFonts w:ascii="宋体" w:hAnsi="宋体" w:cs="宋体" w:eastAsia="宋体" w:hint="default"/>
          <w:sz w:val="14"/>
          <w:szCs w:val="14"/>
        </w:rPr>
      </w:pPr>
    </w:p>
    <w:p>
      <w:pPr>
        <w:pStyle w:val="BodyText"/>
        <w:spacing w:line="240" w:lineRule="auto" w:before="0"/>
        <w:ind w:left="741" w:right="1133"/>
        <w:jc w:val="left"/>
      </w:pPr>
      <w:r>
        <w:rPr>
          <w:rFonts w:ascii="Times New Roman" w:hAnsi="Times New Roman" w:cs="Times New Roman" w:eastAsia="Times New Roman" w:hint="default"/>
        </w:rPr>
        <w:t>1</w:t>
      </w:r>
      <w:r>
        <w:rPr/>
        <w:t>、公司在中成药领域的核心技术主要包括以下方面：</w:t>
      </w:r>
    </w:p>
    <w:p>
      <w:pPr>
        <w:pStyle w:val="BodyText"/>
        <w:spacing w:line="386" w:lineRule="auto" w:before="177"/>
        <w:ind w:left="573" w:right="1133"/>
        <w:jc w:val="left"/>
      </w:pPr>
      <w:r>
        <w:rPr/>
        <w:t>（</w:t>
      </w:r>
      <w:r>
        <w:rPr>
          <w:rFonts w:ascii="Times New Roman" w:hAnsi="Times New Roman" w:cs="Times New Roman" w:eastAsia="Times New Roman" w:hint="default"/>
        </w:rPr>
        <w:t>1</w:t>
      </w:r>
      <w:r>
        <w:rPr/>
        <w:t>）桑麻口服液、补肾安神口服液的包合技术</w:t>
      </w:r>
      <w:r>
        <w:rPr>
          <w:w w:val="100"/>
        </w:rPr>
        <w:t> </w:t>
      </w:r>
      <w:r>
        <w:rPr>
          <w:spacing w:val="-2"/>
        </w:rPr>
        <w:t>该技术由公司自行研发，为公司独家拥有，解决了传统中药内在成分质量不稳定的难题，是桑麻口服</w:t>
      </w:r>
    </w:p>
    <w:p>
      <w:pPr>
        <w:spacing w:after="0" w:line="386"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0"/>
        <w:jc w:val="both"/>
      </w:pPr>
      <w:r>
        <w:rPr/>
        <w:t>液、补肾安神口服液生产加工的关键技术之一。</w:t>
      </w:r>
    </w:p>
    <w:p>
      <w:pPr>
        <w:spacing w:line="240" w:lineRule="auto" w:before="10"/>
        <w:rPr>
          <w:rFonts w:ascii="宋体" w:hAnsi="宋体" w:cs="宋体" w:eastAsia="宋体" w:hint="default"/>
          <w:sz w:val="14"/>
          <w:szCs w:val="14"/>
        </w:rPr>
      </w:pPr>
    </w:p>
    <w:p>
      <w:pPr>
        <w:pStyle w:val="BodyText"/>
        <w:spacing w:line="386" w:lineRule="auto" w:before="0"/>
        <w:ind w:left="573" w:right="1133"/>
        <w:jc w:val="left"/>
      </w:pPr>
      <w:r>
        <w:rPr/>
        <w:t>（</w:t>
      </w:r>
      <w:r>
        <w:rPr>
          <w:rFonts w:ascii="Times New Roman" w:hAnsi="Times New Roman" w:cs="Times New Roman" w:eastAsia="Times New Roman" w:hint="default"/>
        </w:rPr>
        <w:t>2</w:t>
      </w:r>
      <w:r>
        <w:rPr/>
        <w:t>）四妙丸、苏子降气丸粉碎、混合技术</w:t>
      </w:r>
      <w:r>
        <w:rPr>
          <w:w w:val="100"/>
        </w:rPr>
        <w:t> </w:t>
      </w:r>
      <w:r>
        <w:rPr>
          <w:spacing w:val="-2"/>
        </w:rPr>
        <w:t>该技术在传统中医药理论指导下，在保证处方中各味药材的原有药效物质基础的前提下，利用现代先</w:t>
      </w:r>
    </w:p>
    <w:p>
      <w:pPr>
        <w:pStyle w:val="BodyText"/>
        <w:spacing w:line="240" w:lineRule="auto" w:before="65"/>
        <w:ind w:right="0"/>
        <w:jc w:val="both"/>
      </w:pPr>
      <w:r>
        <w:rPr/>
        <w:t>进的粉碎、混合技术，以精湛、稳定的工艺，制备出质量均一、稳定、可控，药效显著的优良产品。</w:t>
      </w:r>
    </w:p>
    <w:p>
      <w:pPr>
        <w:spacing w:line="240" w:lineRule="auto" w:before="10"/>
        <w:rPr>
          <w:rFonts w:ascii="宋体" w:hAnsi="宋体" w:cs="宋体" w:eastAsia="宋体" w:hint="default"/>
          <w:sz w:val="14"/>
          <w:szCs w:val="14"/>
        </w:rPr>
      </w:pPr>
    </w:p>
    <w:p>
      <w:pPr>
        <w:pStyle w:val="BodyText"/>
        <w:spacing w:line="386" w:lineRule="auto" w:before="0"/>
        <w:ind w:left="573" w:right="0"/>
        <w:jc w:val="left"/>
      </w:pPr>
      <w:r>
        <w:rPr/>
        <w:t>（</w:t>
      </w:r>
      <w:r>
        <w:rPr>
          <w:rFonts w:ascii="Times New Roman" w:hAnsi="Times New Roman" w:cs="Times New Roman" w:eastAsia="Times New Roman" w:hint="default"/>
        </w:rPr>
        <w:t>3</w:t>
      </w:r>
      <w:r>
        <w:rPr/>
        <w:t>）藿胆片、小儿白贝止咳糖浆的浸膏提取技术</w:t>
      </w:r>
      <w:r>
        <w:rPr>
          <w:w w:val="100"/>
        </w:rPr>
        <w:t> </w:t>
      </w:r>
      <w:r>
        <w:rPr>
          <w:spacing w:val="-5"/>
        </w:rPr>
        <w:t>该技术由公司自行研发，基于传统的中医药理论，利用现代的浸提技术进行开发，充分保留有效物质，</w:t>
      </w:r>
    </w:p>
    <w:p>
      <w:pPr>
        <w:pStyle w:val="BodyText"/>
        <w:spacing w:line="240" w:lineRule="auto" w:before="65"/>
        <w:ind w:right="0"/>
        <w:jc w:val="both"/>
      </w:pPr>
      <w:r>
        <w:rPr/>
        <w:t>保证临床疗效，工艺稳定，质量可控。</w:t>
      </w:r>
    </w:p>
    <w:p>
      <w:pPr>
        <w:spacing w:line="240" w:lineRule="auto" w:before="10"/>
        <w:rPr>
          <w:rFonts w:ascii="宋体" w:hAnsi="宋体" w:cs="宋体" w:eastAsia="宋体" w:hint="default"/>
          <w:sz w:val="14"/>
          <w:szCs w:val="14"/>
        </w:rPr>
      </w:pPr>
    </w:p>
    <w:p>
      <w:pPr>
        <w:pStyle w:val="BodyText"/>
        <w:spacing w:line="386" w:lineRule="auto" w:before="0"/>
        <w:ind w:left="573" w:right="1133"/>
        <w:jc w:val="left"/>
      </w:pPr>
      <w:r>
        <w:rPr>
          <w:rFonts w:ascii="Times New Roman" w:hAnsi="Times New Roman" w:cs="Times New Roman" w:eastAsia="Times New Roman" w:hint="default"/>
        </w:rPr>
        <w:t>2</w:t>
      </w:r>
      <w:r>
        <w:rPr/>
        <w:t>、人参领域</w:t>
      </w:r>
      <w:r>
        <w:rPr>
          <w:w w:val="100"/>
        </w:rPr>
        <w:t> </w:t>
      </w:r>
      <w:r>
        <w:rPr>
          <w:spacing w:val="-2"/>
        </w:rPr>
        <w:t>人参产业的发展在很大程度上取决于人参基础研究和应用研究的创新性及先进性，其为人参种植、加</w:t>
      </w:r>
    </w:p>
    <w:p>
      <w:pPr>
        <w:pStyle w:val="BodyText"/>
        <w:spacing w:line="408" w:lineRule="auto" w:before="65"/>
        <w:ind w:right="1126"/>
        <w:jc w:val="both"/>
      </w:pPr>
      <w:r>
        <w:rPr>
          <w:spacing w:val="-2"/>
        </w:rPr>
        <w:t>工、新产品的研发提供了理论指导和技术支撑。公司率先从基因角度开展人参领域的相关研究，关键技术</w:t>
      </w:r>
      <w:r>
        <w:rPr>
          <w:spacing w:val="-43"/>
        </w:rPr>
        <w:t> </w:t>
      </w:r>
      <w:r>
        <w:rPr>
          <w:spacing w:val="-43"/>
        </w:rPr>
      </w:r>
      <w:r>
        <w:rPr/>
        <w:t>如下：</w:t>
      </w:r>
    </w:p>
    <w:p>
      <w:pPr>
        <w:pStyle w:val="BodyText"/>
        <w:spacing w:line="386" w:lineRule="auto"/>
        <w:ind w:left="573" w:right="1133"/>
        <w:jc w:val="left"/>
      </w:pPr>
      <w:r>
        <w:rPr/>
        <w:t>（</w:t>
      </w:r>
      <w:r>
        <w:rPr>
          <w:rFonts w:ascii="Times New Roman" w:hAnsi="Times New Roman" w:cs="Times New Roman" w:eastAsia="Times New Roman" w:hint="default"/>
        </w:rPr>
        <w:t>1</w:t>
      </w:r>
      <w:r>
        <w:rPr/>
        <w:t>）人参基因组数据库</w:t>
      </w:r>
      <w:r>
        <w:rPr>
          <w:w w:val="100"/>
        </w:rPr>
        <w:t> </w:t>
      </w:r>
      <w:r>
        <w:rPr>
          <w:spacing w:val="-2"/>
        </w:rPr>
        <w:t>以第二代测序技术为主结合第一代测序技术为研究手段，应用新的研究策略，对五种人参（大马牙、</w:t>
      </w:r>
    </w:p>
    <w:p>
      <w:pPr>
        <w:pStyle w:val="BodyText"/>
        <w:spacing w:line="408" w:lineRule="auto" w:before="65"/>
        <w:ind w:right="1126"/>
        <w:jc w:val="both"/>
      </w:pPr>
      <w:r>
        <w:rPr>
          <w:spacing w:val="-2"/>
        </w:rPr>
        <w:t>二马牙、高丽参、西洋参、野山参）进行全基因组测序，建立了覆盖全部人参品系的基因组数据库，该数</w:t>
      </w:r>
      <w:r>
        <w:rPr>
          <w:spacing w:val="-42"/>
        </w:rPr>
        <w:t> </w:t>
      </w:r>
      <w:r>
        <w:rPr>
          <w:spacing w:val="-42"/>
        </w:rPr>
      </w:r>
      <w:r>
        <w:rPr>
          <w:spacing w:val="-2"/>
        </w:rPr>
        <w:t>据库的建立，不仅有利于进行基因水平的优良品种的选育及将相关基因组资源和遗传工具应用于新品种培</w:t>
      </w:r>
      <w:r>
        <w:rPr>
          <w:spacing w:val="-42"/>
        </w:rPr>
        <w:t> </w:t>
      </w:r>
      <w:r>
        <w:rPr>
          <w:spacing w:val="-42"/>
        </w:rPr>
      </w:r>
      <w:r>
        <w:rPr>
          <w:spacing w:val="-2"/>
        </w:rPr>
        <w:t>育，推动人参产业的健康发展；有利于指导人参的病虫害防治、林下地栽参和大地栽参的推广，从而推动</w:t>
      </w:r>
      <w:r>
        <w:rPr>
          <w:spacing w:val="-50"/>
        </w:rPr>
        <w:t> </w:t>
      </w:r>
      <w:r>
        <w:rPr>
          <w:spacing w:val="-50"/>
        </w:rPr>
      </w:r>
      <w:r>
        <w:rPr>
          <w:spacing w:val="-2"/>
        </w:rPr>
        <w:t>人参种植的常规化和规范化。亦能推动其他中药材基因组资源的开发，建立类似模式生物的各种资源数据</w:t>
      </w:r>
      <w:r>
        <w:rPr>
          <w:spacing w:val="-43"/>
        </w:rPr>
        <w:t> </w:t>
      </w:r>
      <w:r>
        <w:rPr>
          <w:spacing w:val="-43"/>
        </w:rPr>
      </w:r>
      <w:r>
        <w:rPr/>
        <w:t>库。</w:t>
      </w:r>
    </w:p>
    <w:p>
      <w:pPr>
        <w:pStyle w:val="BodyText"/>
        <w:spacing w:line="386" w:lineRule="auto"/>
        <w:ind w:left="573" w:right="1133"/>
        <w:jc w:val="left"/>
      </w:pPr>
      <w:r>
        <w:rPr/>
        <w:t>（</w:t>
      </w:r>
      <w:r>
        <w:rPr>
          <w:rFonts w:ascii="Times New Roman" w:hAnsi="Times New Roman" w:cs="Times New Roman" w:eastAsia="Times New Roman" w:hint="default"/>
        </w:rPr>
        <w:t>2</w:t>
      </w:r>
      <w:r>
        <w:rPr/>
        <w:t>）人参基因组鉴别方法</w:t>
      </w:r>
      <w:r>
        <w:rPr>
          <w:w w:val="100"/>
        </w:rPr>
        <w:t> </w:t>
      </w:r>
      <w:r>
        <w:rPr>
          <w:spacing w:val="-2"/>
        </w:rPr>
        <w:t>利用测序技术，对野山参、大马牙、二马牙、高丽参、西洋参五种参类进行基因组文库的构建、基因</w:t>
      </w:r>
    </w:p>
    <w:p>
      <w:pPr>
        <w:pStyle w:val="BodyText"/>
        <w:spacing w:line="408" w:lineRule="auto" w:before="65"/>
        <w:ind w:right="1126"/>
        <w:jc w:val="both"/>
      </w:pPr>
      <w:r>
        <w:rPr>
          <w:spacing w:val="-2"/>
        </w:rPr>
        <w:t>组测序和组装等程序的全基因组序列分析。通过对五种人参进行基因组水平比较研究，筛分出五种人参的</w:t>
      </w:r>
      <w:r>
        <w:rPr>
          <w:spacing w:val="-43"/>
        </w:rPr>
        <w:t> </w:t>
      </w:r>
      <w:r>
        <w:rPr>
          <w:spacing w:val="-43"/>
        </w:rPr>
      </w:r>
      <w:r>
        <w:rPr>
          <w:spacing w:val="-2"/>
        </w:rPr>
        <w:t>本质差别，从而确定各种人参的真正起源；获得人参重要的药用价值功能基因；并开发人参种质鉴别的系</w:t>
      </w:r>
      <w:r>
        <w:rPr>
          <w:spacing w:val="-43"/>
        </w:rPr>
        <w:t> </w:t>
      </w:r>
      <w:r>
        <w:rPr>
          <w:spacing w:val="-43"/>
        </w:rPr>
      </w:r>
      <w:r>
        <w:rPr/>
        <w:t>统方法。以人参本源为始，为人参全面研究奠定物质基础。</w:t>
      </w:r>
    </w:p>
    <w:p>
      <w:pPr>
        <w:pStyle w:val="BodyText"/>
        <w:spacing w:line="386" w:lineRule="auto"/>
        <w:ind w:left="573" w:right="1133"/>
        <w:jc w:val="left"/>
      </w:pPr>
      <w:r>
        <w:rPr/>
        <w:t>（</w:t>
      </w:r>
      <w:r>
        <w:rPr>
          <w:rFonts w:ascii="Times New Roman" w:hAnsi="Times New Roman" w:cs="Times New Roman" w:eastAsia="Times New Roman" w:hint="default"/>
        </w:rPr>
        <w:t>3</w:t>
      </w:r>
      <w:r>
        <w:rPr/>
        <w:t>）人参提取物提取纯化方法</w:t>
      </w:r>
      <w:r>
        <w:rPr>
          <w:w w:val="100"/>
        </w:rPr>
        <w:t> </w:t>
      </w:r>
      <w:r>
        <w:rPr>
          <w:spacing w:val="-2"/>
        </w:rPr>
        <w:t>以化学水解法、酶水解法、微生物发酵法、加热加工法以及化学合成等为研究方法，应用新药研发的</w:t>
      </w:r>
    </w:p>
    <w:p>
      <w:pPr>
        <w:pStyle w:val="BodyText"/>
        <w:spacing w:line="408" w:lineRule="auto" w:before="65"/>
        <w:ind w:right="0"/>
        <w:jc w:val="left"/>
      </w:pPr>
      <w:r>
        <w:rPr>
          <w:spacing w:val="-5"/>
        </w:rPr>
        <w:t>战略，对人参全系统产品（鲜人参、生晒参、红参）进行全面分析，通过对工艺、质量标准进行比较研究，</w:t>
      </w:r>
      <w:r>
        <w:rPr>
          <w:spacing w:val="-6"/>
        </w:rPr>
        <w:t> </w:t>
      </w:r>
      <w:r>
        <w:rPr>
          <w:spacing w:val="-6"/>
        </w:rPr>
      </w:r>
      <w:r>
        <w:rPr>
          <w:spacing w:val="-2"/>
        </w:rPr>
        <w:t>获得不同人参皂苷比例的提取物、各种规格产品，满足医药、保健品、饮料、护理产品、功能性食品、化</w:t>
      </w:r>
      <w:r>
        <w:rPr>
          <w:spacing w:val="-45"/>
        </w:rPr>
        <w:t> </w:t>
      </w:r>
      <w:r>
        <w:rPr>
          <w:spacing w:val="-45"/>
        </w:rPr>
      </w:r>
      <w:r>
        <w:rPr/>
        <w:t>妆品等行业使用。</w:t>
      </w:r>
    </w:p>
    <w:p>
      <w:pPr>
        <w:pStyle w:val="BodyText"/>
        <w:spacing w:line="386" w:lineRule="auto"/>
        <w:ind w:left="573" w:right="1133" w:firstLine="84"/>
        <w:jc w:val="left"/>
      </w:pPr>
      <w:r>
        <w:rPr>
          <w:rFonts w:ascii="Times New Roman" w:hAnsi="Times New Roman" w:cs="Times New Roman" w:eastAsia="Times New Roman" w:hint="default"/>
        </w:rPr>
        <w:t>5</w:t>
      </w:r>
      <w:r>
        <w:rPr/>
        <w:t>、工业大麻</w:t>
      </w:r>
      <w:r>
        <w:rPr>
          <w:w w:val="100"/>
        </w:rPr>
        <w:t> </w:t>
      </w:r>
      <w:r>
        <w:rPr>
          <w:spacing w:val="-2"/>
        </w:rPr>
        <w:t>工业大麻是公司目前大力发展的业务，在工业大麻领域主要的技术包括：工业大麻育种、工业大麻栽</w:t>
      </w:r>
    </w:p>
    <w:p>
      <w:pPr>
        <w:spacing w:after="0" w:line="386"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98" w:lineRule="auto" w:before="175"/>
        <w:ind w:right="1126"/>
        <w:jc w:val="both"/>
      </w:pPr>
      <w:r>
        <w:rPr>
          <w:spacing w:val="-2"/>
        </w:rPr>
        <w:t>培、工业大麻生物活性成分研究和大麻中的化合物等。</w:t>
      </w:r>
      <w:r>
        <w:rPr>
          <w:rFonts w:ascii="Times New Roman" w:hAnsi="Times New Roman" w:cs="Times New Roman" w:eastAsia="Times New Roman" w:hint="default"/>
          <w:spacing w:val="-2"/>
        </w:rPr>
        <w:t>Fytagoras</w:t>
      </w:r>
      <w:r>
        <w:rPr>
          <w:spacing w:val="-2"/>
        </w:rPr>
        <w:t>公司拥有工业大麻乙醇提取的相关设备及</w:t>
      </w:r>
      <w:r>
        <w:rPr>
          <w:spacing w:val="-22"/>
        </w:rPr>
        <w:t> </w:t>
      </w:r>
      <w:r>
        <w:rPr>
          <w:spacing w:val="-22"/>
        </w:rPr>
      </w:r>
      <w:r>
        <w:rPr>
          <w:spacing w:val="-2"/>
        </w:rPr>
        <w:t>经验，可以用于大规模提取及高端应用的加压溶剂萃取，被荷兰福利和卫生部正式指派为药用大麻的质量</w:t>
      </w:r>
      <w:r>
        <w:rPr>
          <w:spacing w:val="-42"/>
        </w:rPr>
        <w:t> </w:t>
      </w:r>
      <w:r>
        <w:rPr>
          <w:spacing w:val="-42"/>
        </w:rPr>
      </w:r>
      <w:r>
        <w:rPr/>
        <w:t>控制、生物活动和药物活动等研发活动的合作伙伴，</w:t>
      </w:r>
    </w:p>
    <w:p>
      <w:pPr>
        <w:pStyle w:val="BodyText"/>
        <w:spacing w:line="408" w:lineRule="auto" w:before="54"/>
        <w:ind w:left="573" w:right="1133"/>
        <w:jc w:val="left"/>
      </w:pPr>
      <w:r>
        <w:rPr/>
        <w:t>（六）科研实力优势</w:t>
      </w:r>
      <w:r>
        <w:rPr>
          <w:w w:val="100"/>
        </w:rPr>
        <w:t> </w:t>
      </w:r>
      <w:r>
        <w:rPr>
          <w:spacing w:val="-2"/>
        </w:rPr>
        <w:t>公司拥有一支高层次的科研队伍从事新药、保健食品、特殊用途化妆品的开发，药品知识产权保护，</w:t>
      </w:r>
    </w:p>
    <w:p>
      <w:pPr>
        <w:pStyle w:val="BodyText"/>
        <w:spacing w:line="240" w:lineRule="auto"/>
        <w:ind w:right="0"/>
        <w:jc w:val="both"/>
      </w:pPr>
      <w:r>
        <w:rPr/>
        <w:t>产品二次开发，人参相关深度研究与应用研究，工业大麻及相关产品的研发等工作。</w:t>
      </w:r>
    </w:p>
    <w:p>
      <w:pPr>
        <w:spacing w:line="240" w:lineRule="auto" w:before="10"/>
        <w:rPr>
          <w:rFonts w:ascii="宋体" w:hAnsi="宋体" w:cs="宋体" w:eastAsia="宋体" w:hint="default"/>
          <w:sz w:val="14"/>
          <w:szCs w:val="14"/>
        </w:rPr>
      </w:pPr>
    </w:p>
    <w:p>
      <w:pPr>
        <w:pStyle w:val="BodyText"/>
        <w:spacing w:line="386" w:lineRule="auto" w:before="0"/>
        <w:ind w:left="573" w:right="1133"/>
        <w:jc w:val="left"/>
      </w:pPr>
      <w:r>
        <w:rPr>
          <w:rFonts w:ascii="Times New Roman" w:hAnsi="Times New Roman" w:cs="Times New Roman" w:eastAsia="Times New Roman" w:hint="default"/>
        </w:rPr>
        <w:t>1</w:t>
      </w:r>
      <w:r>
        <w:rPr/>
        <w:t>、中药科研实力</w:t>
      </w:r>
      <w:r>
        <w:rPr>
          <w:w w:val="100"/>
        </w:rPr>
        <w:t> </w:t>
      </w:r>
      <w:r>
        <w:rPr>
          <w:spacing w:val="-2"/>
        </w:rPr>
        <w:t>医药工业属于知识和技术密集型产业，强大的研发能力和先进的生产技术是医药企业赖以生存的根</w:t>
      </w:r>
    </w:p>
    <w:p>
      <w:pPr>
        <w:pStyle w:val="BodyText"/>
        <w:spacing w:line="408" w:lineRule="auto" w:before="65"/>
        <w:ind w:right="1126"/>
        <w:jc w:val="both"/>
      </w:pPr>
      <w:r>
        <w:rPr>
          <w:spacing w:val="-2"/>
        </w:rPr>
        <w:t>本。公司自成立以来，就将新产品研发和技术创新视作自身发展的核心，并努力保持研发能力和技术水平</w:t>
      </w:r>
      <w:r>
        <w:rPr>
          <w:spacing w:val="-43"/>
        </w:rPr>
        <w:t> </w:t>
      </w:r>
      <w:r>
        <w:rPr>
          <w:spacing w:val="-43"/>
        </w:rPr>
      </w:r>
      <w:r>
        <w:rPr/>
        <w:t>的先进性和连续性。</w:t>
      </w:r>
    </w:p>
    <w:p>
      <w:pPr>
        <w:pStyle w:val="BodyText"/>
        <w:spacing w:line="408" w:lineRule="auto"/>
        <w:ind w:right="1126" w:firstLine="420"/>
        <w:jc w:val="both"/>
      </w:pPr>
      <w:r>
        <w:rPr>
          <w:spacing w:val="-2"/>
        </w:rPr>
        <w:t>公司拥有省级药剂学二级实验室，负责中药的研究和中药材原料的提取、分离及纯化。子公司吉林紫</w:t>
      </w:r>
      <w:r>
        <w:rPr>
          <w:w w:val="100"/>
        </w:rPr>
        <w:t> </w:t>
      </w:r>
      <w:r>
        <w:rPr>
          <w:spacing w:val="-2"/>
        </w:rPr>
        <w:t>鑫药物研究有限公司为专门的中药研发机构，负责新药、中间体、原料药、生物药的研发，同时承担着公</w:t>
      </w:r>
      <w:r>
        <w:rPr>
          <w:spacing w:val="-43"/>
        </w:rPr>
        <w:t> </w:t>
      </w:r>
      <w:r>
        <w:rPr>
          <w:spacing w:val="-43"/>
        </w:rPr>
      </w:r>
      <w:r>
        <w:rPr>
          <w:spacing w:val="-2"/>
        </w:rPr>
        <w:t>司科技项目申报和专利事务管理工作、技术合作和交流等职责。公司重视同国内知名高校和科研机构加强</w:t>
      </w:r>
      <w:r>
        <w:rPr>
          <w:spacing w:val="-44"/>
        </w:rPr>
        <w:t> </w:t>
      </w:r>
      <w:r>
        <w:rPr>
          <w:spacing w:val="-44"/>
        </w:rPr>
      </w:r>
      <w:r>
        <w:rPr>
          <w:spacing w:val="-2"/>
        </w:rPr>
        <w:t>技术合作，通过依托高校的技术和人才优势，加快推进自身产品的研发进度。公司目前已与北京大学、吉</w:t>
      </w:r>
      <w:r>
        <w:rPr>
          <w:spacing w:val="-47"/>
        </w:rPr>
        <w:t> </w:t>
      </w:r>
      <w:r>
        <w:rPr>
          <w:spacing w:val="-47"/>
        </w:rPr>
      </w:r>
      <w:r>
        <w:rPr/>
        <w:t>林大学、中国药科大学、长春理工大学和长春中医药大学等高等院校建立了长期合作关系。</w:t>
      </w:r>
    </w:p>
    <w:p>
      <w:pPr>
        <w:pStyle w:val="BodyText"/>
        <w:spacing w:line="386" w:lineRule="auto"/>
        <w:ind w:left="573" w:right="1133"/>
        <w:jc w:val="left"/>
      </w:pPr>
      <w:r>
        <w:rPr>
          <w:rFonts w:ascii="Times New Roman" w:hAnsi="Times New Roman" w:cs="Times New Roman" w:eastAsia="Times New Roman" w:hint="default"/>
        </w:rPr>
        <w:t>2</w:t>
      </w:r>
      <w:r>
        <w:rPr/>
        <w:t>、人参科研实力</w:t>
      </w:r>
      <w:r>
        <w:rPr>
          <w:w w:val="100"/>
        </w:rPr>
        <w:t> </w:t>
      </w:r>
      <w:r>
        <w:rPr>
          <w:spacing w:val="-2"/>
        </w:rPr>
        <w:t>公司在人参保健产品领域，同样有着较强的研发能力和技术优势。近年来，公司加大对人参新产品的</w:t>
      </w:r>
    </w:p>
    <w:p>
      <w:pPr>
        <w:pStyle w:val="BodyText"/>
        <w:spacing w:line="408" w:lineRule="auto" w:before="65"/>
        <w:ind w:right="1126"/>
        <w:jc w:val="both"/>
      </w:pPr>
      <w:r>
        <w:rPr>
          <w:spacing w:val="-2"/>
        </w:rPr>
        <w:t>研发投入，通过与知名科研机构及院校展开紧密合作，在人参深加工产品的研发、人参加工技术、人参基</w:t>
      </w:r>
      <w:r>
        <w:rPr>
          <w:spacing w:val="-47"/>
        </w:rPr>
        <w:t> </w:t>
      </w:r>
      <w:r>
        <w:rPr>
          <w:spacing w:val="-47"/>
        </w:rPr>
      </w:r>
      <w:r>
        <w:rPr>
          <w:spacing w:val="-2"/>
        </w:rPr>
        <w:t>因测序等核心领域取得了一系列重大的突破。公司成立了专门的人参研发机构：吉林紫鑫人参研发有限公</w:t>
      </w:r>
      <w:r>
        <w:rPr>
          <w:spacing w:val="-43"/>
        </w:rPr>
        <w:t> </w:t>
      </w:r>
      <w:r>
        <w:rPr>
          <w:spacing w:val="-43"/>
        </w:rPr>
      </w:r>
      <w:r>
        <w:rPr>
          <w:spacing w:val="-2"/>
        </w:rPr>
        <w:t>司，主要负责人参的基础研究（如开展人参的质谱研究）、人参保健食品研究、人参新资源食品的开发和</w:t>
      </w:r>
      <w:r>
        <w:rPr>
          <w:spacing w:val="-43"/>
        </w:rPr>
        <w:t> </w:t>
      </w:r>
      <w:r>
        <w:rPr>
          <w:spacing w:val="-43"/>
        </w:rPr>
      </w:r>
      <w:r>
        <w:rPr/>
        <w:t>人参种植技术的研究等事务。</w:t>
      </w:r>
    </w:p>
    <w:p>
      <w:pPr>
        <w:pStyle w:val="BodyText"/>
        <w:spacing w:line="408" w:lineRule="auto"/>
        <w:ind w:right="1104" w:firstLine="420"/>
        <w:jc w:val="both"/>
      </w:pPr>
      <w:r>
        <w:rPr>
          <w:spacing w:val="-2"/>
        </w:rPr>
        <w:t>公司现已掌握人参种植领域的重茬栽培技术，解决了老参地不能重复栽培人参的问题；脱农残技术，</w:t>
      </w:r>
      <w:r>
        <w:rPr>
          <w:w w:val="100"/>
        </w:rPr>
        <w:t> </w:t>
      </w:r>
      <w:r>
        <w:rPr>
          <w:spacing w:val="-2"/>
        </w:rPr>
        <w:t>即利用先进的超临界萃取技术，结合现代生物酶降解技术脱除残留的有机氯和有机磷，有助于提高人参提</w:t>
      </w:r>
      <w:r>
        <w:rPr>
          <w:spacing w:val="-42"/>
        </w:rPr>
        <w:t> </w:t>
      </w:r>
      <w:r>
        <w:rPr>
          <w:spacing w:val="-42"/>
        </w:rPr>
      </w:r>
      <w:r>
        <w:rPr/>
        <w:t>取液的纯度；脱人参皂苷</w:t>
      </w:r>
      <w:r>
        <w:rPr>
          <w:rFonts w:ascii="Times New Roman" w:hAnsi="Times New Roman" w:cs="Times New Roman" w:eastAsia="Times New Roman" w:hint="default"/>
        </w:rPr>
        <w:t>Ro</w:t>
      </w:r>
      <w:r>
        <w:rPr/>
        <w:t>技术，解决了服用人参过量而引起的</w:t>
      </w:r>
      <w:r>
        <w:rPr>
          <w:rFonts w:ascii="Times New Roman" w:hAnsi="Times New Roman" w:cs="Times New Roman" w:eastAsia="Times New Roman" w:hint="default"/>
        </w:rPr>
        <w:t>“</w:t>
      </w:r>
      <w:r>
        <w:rPr/>
        <w:t>上火</w:t>
      </w:r>
      <w:r>
        <w:rPr>
          <w:rFonts w:ascii="Times New Roman" w:hAnsi="Times New Roman" w:cs="Times New Roman" w:eastAsia="Times New Roman" w:hint="default"/>
        </w:rPr>
        <w:t>”</w:t>
      </w:r>
      <w:r>
        <w:rPr/>
        <w:t>问题。</w:t>
      </w:r>
    </w:p>
    <w:p>
      <w:pPr>
        <w:pStyle w:val="BodyText"/>
        <w:spacing w:line="386" w:lineRule="auto" w:before="14"/>
        <w:ind w:right="1133" w:firstLine="420"/>
        <w:jc w:val="left"/>
      </w:pPr>
      <w:r>
        <w:rPr/>
        <w:t>此外，公司与通化市政府共同合作的人参基因组图谱在</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月底完成。作为首家单位，此项研发</w:t>
      </w:r>
      <w:r>
        <w:rPr>
          <w:w w:val="100"/>
        </w:rPr>
        <w:t> </w:t>
      </w:r>
      <w:r>
        <w:rPr>
          <w:spacing w:val="-10"/>
        </w:rPr>
        <w:t>工作的顺利完成，将为人参的育种、加工、产品开发等整个产业提供技术保障，从根本上解决人参</w:t>
      </w:r>
      <w:r>
        <w:rPr>
          <w:rFonts w:ascii="Times New Roman" w:hAnsi="Times New Roman" w:cs="Times New Roman" w:eastAsia="Times New Roman" w:hint="default"/>
          <w:spacing w:val="-10"/>
        </w:rPr>
        <w:t>“</w:t>
      </w:r>
      <w:r>
        <w:rPr>
          <w:spacing w:val="-10"/>
        </w:rPr>
        <w:t>质</w:t>
      </w:r>
      <w:r>
        <w:rPr>
          <w:rFonts w:ascii="Times New Roman" w:hAnsi="Times New Roman" w:cs="Times New Roman" w:eastAsia="Times New Roman" w:hint="default"/>
          <w:spacing w:val="-10"/>
        </w:rPr>
        <w:t>”</w:t>
      </w:r>
      <w:r>
        <w:rPr>
          <w:spacing w:val="-10"/>
        </w:rPr>
        <w:t>、</w:t>
      </w:r>
      <w:r>
        <w:rPr>
          <w:rFonts w:ascii="Times New Roman" w:hAnsi="Times New Roman" w:cs="Times New Roman" w:eastAsia="Times New Roman" w:hint="default"/>
          <w:spacing w:val="-10"/>
        </w:rPr>
        <w:t>“</w:t>
      </w:r>
      <w:r>
        <w:rPr>
          <w:spacing w:val="-10"/>
        </w:rPr>
        <w:t>量</w:t>
      </w:r>
      <w:r>
        <w:rPr>
          <w:rFonts w:ascii="Times New Roman" w:hAnsi="Times New Roman" w:cs="Times New Roman" w:eastAsia="Times New Roman" w:hint="default"/>
          <w:spacing w:val="-10"/>
        </w:rPr>
        <w:t>”</w:t>
      </w:r>
      <w:r>
        <w:rPr>
          <w:rFonts w:ascii="Times New Roman" w:hAnsi="Times New Roman" w:cs="Times New Roman" w:eastAsia="Times New Roman" w:hint="default"/>
          <w:spacing w:val="-3"/>
        </w:rPr>
        <w:t> </w:t>
      </w:r>
      <w:r>
        <w:rPr/>
        <w:t>和</w:t>
      </w:r>
      <w:r>
        <w:rPr>
          <w:rFonts w:ascii="Times New Roman" w:hAnsi="Times New Roman" w:cs="Times New Roman" w:eastAsia="Times New Roman" w:hint="default"/>
        </w:rPr>
        <w:t>“</w:t>
      </w:r>
      <w:r>
        <w:rPr/>
        <w:t>病</w:t>
      </w:r>
      <w:r>
        <w:rPr>
          <w:rFonts w:ascii="Times New Roman" w:hAnsi="Times New Roman" w:cs="Times New Roman" w:eastAsia="Times New Roman" w:hint="default"/>
        </w:rPr>
        <w:t>”</w:t>
      </w:r>
      <w:r>
        <w:rPr/>
        <w:t>的问题。</w:t>
      </w:r>
    </w:p>
    <w:p>
      <w:pPr>
        <w:pStyle w:val="BodyText"/>
        <w:spacing w:line="386" w:lineRule="auto" w:before="35"/>
        <w:ind w:left="573" w:right="1133"/>
        <w:jc w:val="left"/>
      </w:pPr>
      <w:r>
        <w:rPr>
          <w:rFonts w:ascii="Times New Roman" w:hAnsi="Times New Roman" w:cs="Times New Roman" w:eastAsia="Times New Roman" w:hint="default"/>
        </w:rPr>
        <w:t>3</w:t>
      </w:r>
      <w:r>
        <w:rPr/>
        <w:t>、工业大麻科研实力</w:t>
      </w:r>
      <w:r>
        <w:rPr>
          <w:w w:val="100"/>
        </w:rPr>
        <w:t> </w:t>
      </w:r>
      <w:r>
        <w:rPr>
          <w:spacing w:val="-2"/>
        </w:rPr>
        <w:t>公司欧洲荷兰全资子公司</w:t>
      </w:r>
      <w:r>
        <w:rPr>
          <w:rFonts w:ascii="Times New Roman" w:hAnsi="Times New Roman" w:cs="Times New Roman" w:eastAsia="Times New Roman" w:hint="default"/>
          <w:spacing w:val="-2"/>
        </w:rPr>
        <w:t>Fytagoras</w:t>
      </w:r>
      <w:r>
        <w:rPr>
          <w:spacing w:val="-2"/>
        </w:rPr>
        <w:t>为产业主要主体，其前身为荷兰皇家应用科学研究院（</w:t>
      </w:r>
      <w:r>
        <w:rPr>
          <w:rFonts w:ascii="Times New Roman" w:hAnsi="Times New Roman" w:cs="Times New Roman" w:eastAsia="Times New Roman" w:hint="default"/>
          <w:spacing w:val="-2"/>
        </w:rPr>
        <w:t>TNO</w:t>
      </w:r>
      <w:r>
        <w:rPr>
          <w:spacing w:val="-2"/>
        </w:rPr>
        <w:t>）的应</w:t>
      </w:r>
    </w:p>
    <w:p>
      <w:pPr>
        <w:pStyle w:val="BodyText"/>
        <w:spacing w:line="240" w:lineRule="auto" w:before="35"/>
        <w:ind w:right="0"/>
        <w:jc w:val="both"/>
      </w:pPr>
      <w:r>
        <w:rPr/>
        <w:t>用植物科学部，</w:t>
      </w:r>
      <w:r>
        <w:rPr>
          <w:rFonts w:ascii="Times New Roman" w:hAnsi="Times New Roman" w:cs="Times New Roman" w:eastAsia="Times New Roman" w:hint="default"/>
        </w:rPr>
        <w:t>Fytagoras</w:t>
      </w:r>
      <w:r>
        <w:rPr/>
        <w:t>公司是欧洲境内为数不多的允许合法进行大麻研究和开发的机构，具有</w:t>
      </w:r>
      <w:r>
        <w:rPr>
          <w:rFonts w:ascii="Times New Roman" w:hAnsi="Times New Roman" w:cs="Times New Roman" w:eastAsia="Times New Roman" w:hint="default"/>
        </w:rPr>
        <w:t>20</w:t>
      </w:r>
      <w:r>
        <w:rPr/>
        <w:t>多年植</w:t>
      </w:r>
    </w:p>
    <w:p>
      <w:pPr>
        <w:spacing w:after="0" w:line="24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5"/>
        <w:ind w:right="1133"/>
        <w:jc w:val="left"/>
      </w:pPr>
      <w:r>
        <w:rPr/>
        <w:t>物研究的丰富经验，</w:t>
      </w:r>
      <w:r>
        <w:rPr>
          <w:rFonts w:ascii="Times New Roman" w:hAnsi="Times New Roman" w:cs="Times New Roman" w:eastAsia="Times New Roman" w:hint="default"/>
        </w:rPr>
        <w:t>Fytagoras </w:t>
      </w:r>
      <w:r>
        <w:rPr/>
        <w:t>公司在工业大麻领域主要的研究专家包括：</w:t>
      </w:r>
      <w:r>
        <w:rPr>
          <w:rFonts w:ascii="Times New Roman" w:hAnsi="Times New Roman" w:cs="Times New Roman" w:eastAsia="Times New Roman" w:hint="default"/>
        </w:rPr>
        <w:t>Henrie Korthout </w:t>
      </w:r>
      <w:r>
        <w:rPr/>
        <w:t>博士、</w:t>
      </w:r>
      <w:r>
        <w:rPr>
          <w:rFonts w:ascii="Times New Roman" w:hAnsi="Times New Roman" w:cs="Times New Roman" w:eastAsia="Times New Roman" w:hint="default"/>
        </w:rPr>
        <w:t>Rob</w:t>
      </w:r>
      <w:r>
        <w:rPr>
          <w:rFonts w:ascii="Times New Roman" w:hAnsi="Times New Roman" w:cs="Times New Roman" w:eastAsia="Times New Roman" w:hint="default"/>
          <w:w w:val="100"/>
        </w:rPr>
        <w:t> </w:t>
      </w:r>
      <w:r>
        <w:rPr>
          <w:rFonts w:ascii="Times New Roman" w:hAnsi="Times New Roman" w:cs="Times New Roman" w:eastAsia="Times New Roman" w:hint="default"/>
        </w:rPr>
        <w:t>Verpoorte  </w:t>
      </w:r>
      <w:r>
        <w:rPr/>
        <w:t>教授和 </w:t>
      </w:r>
      <w:r>
        <w:rPr>
          <w:rFonts w:ascii="Times New Roman" w:hAnsi="Times New Roman" w:cs="Times New Roman" w:eastAsia="Times New Roman" w:hint="default"/>
        </w:rPr>
        <w:t>Bert van Duijn</w:t>
      </w:r>
      <w:r>
        <w:rPr>
          <w:rFonts w:ascii="Times New Roman" w:hAnsi="Times New Roman" w:cs="Times New Roman" w:eastAsia="Times New Roman" w:hint="default"/>
          <w:spacing w:val="-21"/>
        </w:rPr>
        <w:t> </w:t>
      </w:r>
      <w:r>
        <w:rPr/>
        <w:t>教授均为工业大麻领域国际级专家。</w:t>
      </w:r>
    </w:p>
    <w:p>
      <w:pPr>
        <w:pStyle w:val="BodyText"/>
        <w:spacing w:line="408" w:lineRule="auto" w:before="35"/>
        <w:ind w:left="573" w:right="1133"/>
        <w:jc w:val="left"/>
      </w:pPr>
      <w:r>
        <w:rPr/>
        <w:t>（七）原材料成本优势</w:t>
      </w:r>
      <w:r>
        <w:rPr>
          <w:w w:val="100"/>
        </w:rPr>
        <w:t> </w:t>
      </w:r>
      <w:r>
        <w:rPr>
          <w:spacing w:val="-4"/>
        </w:rPr>
        <w:t>公司地处长白山腹地，长白山原产地药材</w:t>
      </w:r>
      <w:r>
        <w:rPr>
          <w:rFonts w:ascii="Times New Roman" w:hAnsi="Times New Roman" w:cs="Times New Roman" w:eastAsia="Times New Roman" w:hint="default"/>
          <w:spacing w:val="-4"/>
        </w:rPr>
        <w:t>1,400</w:t>
      </w:r>
      <w:r>
        <w:rPr>
          <w:spacing w:val="-4"/>
        </w:rPr>
        <w:t>余种，使得公司在原材料资源上拥有明显优势。公司立</w:t>
      </w:r>
    </w:p>
    <w:p>
      <w:pPr>
        <w:pStyle w:val="BodyText"/>
        <w:spacing w:line="408" w:lineRule="auto" w:before="14"/>
        <w:ind w:right="0"/>
        <w:jc w:val="left"/>
      </w:pPr>
      <w:r>
        <w:rPr>
          <w:spacing w:val="-2"/>
        </w:rPr>
        <w:t>足实施中药现代化和产业化发展战略，充分利用药材资源的天然地域优势，在敦化草还丹基地和柳河红石</w:t>
      </w:r>
      <w:r>
        <w:rPr>
          <w:spacing w:val="-43"/>
        </w:rPr>
        <w:t> </w:t>
      </w:r>
      <w:r>
        <w:rPr>
          <w:spacing w:val="-43"/>
        </w:rPr>
      </w:r>
      <w:r>
        <w:rPr>
          <w:spacing w:val="-5"/>
        </w:rPr>
        <w:t>基地进行中药材的种植，对主要中药原材料进行规模化种植。这将对公司主要原材料的供应形成有力支撑， </w:t>
      </w:r>
      <w:r>
        <w:rPr>
          <w:spacing w:val="-5"/>
        </w:rPr>
      </w:r>
      <w:r>
        <w:rPr/>
        <w:t>有利于节约原材料的成本支出。</w:t>
      </w:r>
    </w:p>
    <w:p>
      <w:pPr>
        <w:pStyle w:val="BodyText"/>
        <w:spacing w:line="240" w:lineRule="auto"/>
        <w:ind w:left="633" w:right="1133"/>
        <w:jc w:val="left"/>
      </w:pPr>
      <w:r>
        <w:rPr>
          <w:rFonts w:ascii="Times New Roman" w:hAnsi="Times New Roman" w:cs="Times New Roman" w:eastAsia="Times New Roman" w:hint="default"/>
        </w:rPr>
        <w:t>2019</w:t>
      </w:r>
      <w:r>
        <w:rPr/>
        <w:t>年获得专利情况：</w:t>
      </w:r>
    </w:p>
    <w:p>
      <w:pPr>
        <w:spacing w:line="240" w:lineRule="auto" w:before="0"/>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605"/>
        <w:gridCol w:w="1706"/>
        <w:gridCol w:w="1702"/>
        <w:gridCol w:w="1106"/>
        <w:gridCol w:w="1188"/>
        <w:gridCol w:w="1106"/>
        <w:gridCol w:w="1246"/>
      </w:tblGrid>
      <w:tr>
        <w:trPr>
          <w:trHeight w:val="338" w:hRule="exact"/>
        </w:trPr>
        <w:tc>
          <w:tcPr>
            <w:tcW w:w="60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70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3"/>
              <w:ind w:left="484" w:right="0"/>
              <w:jc w:val="left"/>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3"/>
              <w:ind w:left="184" w:right="0"/>
              <w:jc w:val="left"/>
              <w:rPr>
                <w:rFonts w:ascii="宋体" w:hAnsi="宋体" w:cs="宋体" w:eastAsia="宋体" w:hint="default"/>
                <w:sz w:val="18"/>
                <w:szCs w:val="18"/>
              </w:rPr>
            </w:pPr>
            <w:r>
              <w:rPr>
                <w:rFonts w:ascii="宋体" w:hAnsi="宋体" w:cs="宋体" w:eastAsia="宋体" w:hint="default"/>
                <w:b/>
                <w:bCs/>
                <w:sz w:val="18"/>
                <w:szCs w:val="18"/>
              </w:rPr>
              <w:t>授权日期</w:t>
            </w:r>
            <w:r>
              <w:rPr>
                <w:rFonts w:ascii="宋体" w:hAnsi="宋体" w:cs="宋体" w:eastAsia="宋体" w:hint="default"/>
                <w:sz w:val="18"/>
                <w:szCs w:val="18"/>
              </w:rPr>
            </w:r>
          </w:p>
        </w:tc>
        <w:tc>
          <w:tcPr>
            <w:tcW w:w="118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b/>
                <w:bCs/>
                <w:sz w:val="18"/>
                <w:szCs w:val="18"/>
              </w:rPr>
              <w:t>目前状态</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3"/>
              <w:ind w:left="367" w:right="0"/>
              <w:jc w:val="left"/>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124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3"/>
              <w:ind w:left="7" w:right="0"/>
              <w:jc w:val="center"/>
              <w:rPr>
                <w:rFonts w:ascii="宋体" w:hAnsi="宋体" w:cs="宋体" w:eastAsia="宋体" w:hint="default"/>
                <w:sz w:val="18"/>
                <w:szCs w:val="18"/>
              </w:rPr>
            </w:pPr>
            <w:r>
              <w:rPr>
                <w:rFonts w:ascii="宋体" w:hAnsi="宋体" w:cs="宋体" w:eastAsia="宋体" w:hint="default"/>
                <w:b/>
                <w:bCs/>
                <w:sz w:val="18"/>
                <w:szCs w:val="18"/>
              </w:rPr>
              <w:t>译文</w:t>
            </w:r>
            <w:r>
              <w:rPr>
                <w:rFonts w:ascii="宋体" w:hAnsi="宋体" w:cs="宋体" w:eastAsia="宋体" w:hint="default"/>
                <w:sz w:val="18"/>
                <w:szCs w:val="18"/>
              </w:rPr>
            </w:r>
          </w:p>
        </w:tc>
      </w:tr>
      <w:tr>
        <w:trPr>
          <w:trHeight w:val="762" w:hRule="exact"/>
        </w:trPr>
        <w:tc>
          <w:tcPr>
            <w:tcW w:w="60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b/>
                <w:sz w:val="18"/>
              </w:rPr>
              <w:t>1</w:t>
            </w:r>
            <w:r>
              <w:rPr>
                <w:rFonts w:ascii="Times New Roman"/>
                <w:sz w:val="18"/>
              </w:rPr>
            </w:r>
          </w:p>
        </w:tc>
        <w:tc>
          <w:tcPr>
            <w:tcW w:w="1706" w:type="dxa"/>
            <w:tcBorders>
              <w:top w:val="single" w:sz="11" w:space="0" w:color="000000"/>
              <w:left w:val="single" w:sz="6" w:space="0" w:color="000000"/>
              <w:bottom w:val="single" w:sz="6" w:space="0" w:color="000000"/>
              <w:right w:val="single" w:sz="6" w:space="0" w:color="000000"/>
            </w:tcBorders>
          </w:tcPr>
          <w:p>
            <w:pPr>
              <w:pStyle w:val="TableParagraph"/>
              <w:spacing w:line="314" w:lineRule="auto" w:before="118"/>
              <w:ind w:left="2" w:right="67"/>
              <w:jc w:val="left"/>
              <w:rPr>
                <w:rFonts w:ascii="宋体" w:hAnsi="宋体" w:cs="宋体" w:eastAsia="宋体" w:hint="default"/>
                <w:sz w:val="18"/>
                <w:szCs w:val="18"/>
              </w:rPr>
            </w:pPr>
            <w:r>
              <w:rPr>
                <w:rFonts w:ascii="宋体" w:hAnsi="宋体" w:cs="宋体" w:eastAsia="宋体" w:hint="default"/>
                <w:sz w:val="18"/>
                <w:szCs w:val="18"/>
              </w:rPr>
              <w:t>大黄伪品土大黄剔除 机</w:t>
            </w:r>
          </w:p>
        </w:tc>
        <w:tc>
          <w:tcPr>
            <w:tcW w:w="1702"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ZL201822029107.5</w:t>
            </w:r>
          </w:p>
        </w:tc>
        <w:tc>
          <w:tcPr>
            <w:tcW w:w="1106"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2019.08.13</w:t>
            </w:r>
          </w:p>
        </w:tc>
        <w:tc>
          <w:tcPr>
            <w:tcW w:w="1188"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17"/>
              <w:ind w:right="82"/>
              <w:jc w:val="center"/>
              <w:rPr>
                <w:rFonts w:ascii="宋体" w:hAnsi="宋体" w:cs="宋体" w:eastAsia="宋体" w:hint="default"/>
                <w:sz w:val="18"/>
                <w:szCs w:val="18"/>
              </w:rPr>
            </w:pPr>
            <w:r>
              <w:rPr>
                <w:rFonts w:ascii="宋体" w:hAnsi="宋体" w:cs="宋体" w:eastAsia="宋体" w:hint="default"/>
                <w:sz w:val="18"/>
                <w:szCs w:val="18"/>
              </w:rPr>
              <w:t>专利保护期内</w:t>
            </w:r>
          </w:p>
        </w:tc>
        <w:tc>
          <w:tcPr>
            <w:tcW w:w="1106"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实用新型专利</w:t>
            </w:r>
          </w:p>
        </w:tc>
        <w:tc>
          <w:tcPr>
            <w:tcW w:w="1246" w:type="dxa"/>
            <w:tcBorders>
              <w:top w:val="single" w:sz="11" w:space="0" w:color="000000"/>
              <w:left w:val="single" w:sz="6" w:space="0" w:color="000000"/>
              <w:bottom w:val="single" w:sz="6" w:space="0" w:color="000000"/>
              <w:right w:val="single" w:sz="6" w:space="0" w:color="000000"/>
            </w:tcBorders>
          </w:tcPr>
          <w:p>
            <w:pPr/>
          </w:p>
        </w:tc>
      </w:tr>
      <w:tr>
        <w:trPr>
          <w:trHeight w:val="1070" w:hRule="exact"/>
        </w:trPr>
        <w:tc>
          <w:tcPr>
            <w:tcW w:w="60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8"/>
              <w:ind w:left="2" w:right="67"/>
              <w:jc w:val="both"/>
              <w:rPr>
                <w:rFonts w:ascii="宋体" w:hAnsi="宋体" w:cs="宋体" w:eastAsia="宋体" w:hint="default"/>
                <w:sz w:val="18"/>
                <w:szCs w:val="18"/>
              </w:rPr>
            </w:pPr>
            <w:r>
              <w:rPr>
                <w:rFonts w:ascii="宋体" w:hAnsi="宋体" w:cs="宋体" w:eastAsia="宋体" w:hint="default"/>
                <w:sz w:val="18"/>
                <w:szCs w:val="18"/>
              </w:rPr>
              <w:t>一种制备果蔬发酵转 化液的方法（香港专 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HK1190574</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2019.09.27</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center"/>
              <w:rPr>
                <w:rFonts w:ascii="宋体" w:hAnsi="宋体" w:cs="宋体" w:eastAsia="宋体" w:hint="default"/>
                <w:sz w:val="18"/>
                <w:szCs w:val="18"/>
              </w:rPr>
            </w:pPr>
            <w:r>
              <w:rPr>
                <w:rFonts w:ascii="宋体" w:hAnsi="宋体" w:cs="宋体" w:eastAsia="宋体" w:hint="default"/>
                <w:sz w:val="18"/>
                <w:szCs w:val="18"/>
              </w:rPr>
              <w:t>专利保护期内</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46"/>
              <w:jc w:val="left"/>
              <w:rPr>
                <w:rFonts w:ascii="宋体" w:hAnsi="宋体" w:cs="宋体" w:eastAsia="宋体" w:hint="default"/>
                <w:sz w:val="18"/>
                <w:szCs w:val="18"/>
              </w:rPr>
            </w:pPr>
            <w:r>
              <w:rPr>
                <w:rFonts w:ascii="宋体" w:hAnsi="宋体" w:cs="宋体" w:eastAsia="宋体" w:hint="default"/>
                <w:sz w:val="18"/>
                <w:szCs w:val="18"/>
              </w:rPr>
              <w:t>吉林紫鑫药物 研究有限公司</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33"/>
        <w:jc w:val="left"/>
        <w:rPr>
          <w:b w:val="0"/>
          <w:bCs w:val="0"/>
        </w:rPr>
      </w:pPr>
      <w:bookmarkStart w:name="第四节经营情况讨论与分析" w:id="23"/>
      <w:bookmarkEnd w:id="23"/>
      <w:r>
        <w:rPr>
          <w:b w:val="0"/>
          <w:bCs w:val="0"/>
        </w:rPr>
      </w:r>
      <w:bookmarkStart w:name="_bookmark3" w:id="24"/>
      <w:bookmarkEnd w:id="2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1133"/>
        <w:jc w:val="left"/>
        <w:rPr>
          <w:b w:val="0"/>
          <w:bCs w:val="0"/>
        </w:rPr>
      </w:pPr>
      <w:bookmarkStart w:name="一、概述" w:id="25"/>
      <w:bookmarkEnd w:id="25"/>
      <w:r>
        <w:rPr>
          <w:b w:val="0"/>
          <w:bCs w:val="0"/>
        </w:rPr>
      </w:r>
      <w:r>
        <w:rPr/>
        <w:t>一、概述</w:t>
      </w:r>
      <w:r>
        <w:rPr>
          <w:b w:val="0"/>
          <w:bCs w:val="0"/>
        </w:rPr>
      </w:r>
    </w:p>
    <w:p>
      <w:pPr>
        <w:spacing w:line="240" w:lineRule="auto" w:before="10"/>
        <w:rPr>
          <w:rFonts w:ascii="宋体" w:hAnsi="宋体" w:cs="宋体" w:eastAsia="宋体" w:hint="default"/>
          <w:b/>
          <w:bCs/>
          <w:sz w:val="30"/>
          <w:szCs w:val="30"/>
        </w:rPr>
      </w:pPr>
    </w:p>
    <w:p>
      <w:pPr>
        <w:pStyle w:val="BodyText"/>
        <w:spacing w:line="403" w:lineRule="auto" w:before="0"/>
        <w:ind w:right="0" w:firstLine="348"/>
        <w:jc w:val="left"/>
        <w:rPr>
          <w:rFonts w:ascii="Times New Roman" w:hAnsi="Times New Roman" w:cs="Times New Roman" w:eastAsia="Times New Roman" w:hint="default"/>
        </w:rPr>
      </w:pPr>
      <w:r>
        <w:rPr>
          <w:rFonts w:ascii="Times New Roman" w:hAnsi="Times New Roman" w:cs="Times New Roman" w:eastAsia="Times New Roman" w:hint="default"/>
        </w:rPr>
        <w:t>2019</w:t>
      </w:r>
      <w:r>
        <w:rPr/>
        <w:t>年，我国医疗体制改革持续深化，新版医保目录、国家药价谈判、两票制、分级诊疗、一致性评</w:t>
      </w:r>
      <w:r>
        <w:rPr>
          <w:w w:val="100"/>
        </w:rPr>
        <w:t> </w:t>
      </w:r>
      <w:r>
        <w:rPr>
          <w:spacing w:val="-2"/>
        </w:rPr>
        <w:t>价等政策逐步落实，促进医药产业的健康发展，医药产业正步入规范发展的快车道，《中医药法》已经正</w:t>
      </w:r>
      <w:r>
        <w:rPr>
          <w:spacing w:val="-43"/>
        </w:rPr>
        <w:t> </w:t>
      </w:r>
      <w:r>
        <w:rPr>
          <w:spacing w:val="-43"/>
        </w:rPr>
      </w:r>
      <w:r>
        <w:rPr/>
        <w:t>式实施，明确了中医药事业的重要地位和发展方针，</w:t>
      </w:r>
      <w:r>
        <w:rPr>
          <w:rFonts w:ascii="Times New Roman" w:hAnsi="Times New Roman" w:cs="Times New Roman" w:eastAsia="Times New Roman" w:hint="default"/>
        </w:rPr>
        <w:t>“</w:t>
      </w:r>
      <w:r>
        <w:rPr/>
        <w:t>坚持中西医并重，传承发展中医药事业</w:t>
      </w:r>
      <w:r>
        <w:rPr>
          <w:rFonts w:ascii="Times New Roman" w:hAnsi="Times New Roman" w:cs="Times New Roman" w:eastAsia="Times New Roman" w:hint="default"/>
        </w:rPr>
        <w:t>”</w:t>
      </w:r>
      <w:r>
        <w:rPr/>
        <w:t>，加大对中</w:t>
      </w:r>
      <w:r>
        <w:rPr>
          <w:w w:val="100"/>
        </w:rPr>
        <w:t> </w:t>
      </w:r>
      <w:r>
        <w:rPr>
          <w:spacing w:val="-2"/>
        </w:rPr>
        <w:t>医药事业的扶持力度，中医药大健康产业迎来更大的发展机遇；同时，在十九大报告中指出我国应实施健</w:t>
      </w:r>
      <w:r>
        <w:rPr>
          <w:spacing w:val="-44"/>
        </w:rPr>
        <w:t> </w:t>
      </w:r>
      <w:r>
        <w:rPr>
          <w:spacing w:val="-44"/>
        </w:rPr>
      </w:r>
      <w:r>
        <w:rPr>
          <w:spacing w:val="-2"/>
        </w:rPr>
        <w:t>康中国战略，完善国民健康政策，人们的健康意识不断提高，刺激了人参及其他保健产品的消费需求，为</w:t>
      </w:r>
      <w:r>
        <w:rPr>
          <w:spacing w:val="-47"/>
        </w:rPr>
        <w:t> </w:t>
      </w:r>
      <w:r>
        <w:rPr>
          <w:spacing w:val="-47"/>
        </w:rPr>
      </w:r>
      <w:r>
        <w:rPr>
          <w:spacing w:val="-2"/>
        </w:rPr>
        <w:t>积极应对挑战和抓住机遇；另外工业大麻产业在国内外陆续开放发展，公司正在将位于荷兰子公司的部分</w:t>
      </w:r>
      <w:r>
        <w:rPr>
          <w:spacing w:val="-43"/>
        </w:rPr>
        <w:t> </w:t>
      </w:r>
      <w:r>
        <w:rPr>
          <w:spacing w:val="-43"/>
        </w:rPr>
      </w:r>
      <w:r>
        <w:rPr>
          <w:spacing w:val="-2"/>
        </w:rPr>
        <w:t>工业大麻种子引进国内，后续通过与黑龙江省齐齐哈尔市甘南县人民政府及齐齐哈尔市市场监督管理局合</w:t>
      </w:r>
      <w:r>
        <w:rPr>
          <w:spacing w:val="-43"/>
        </w:rPr>
        <w:t> </w:t>
      </w:r>
      <w:r>
        <w:rPr>
          <w:spacing w:val="-43"/>
        </w:rPr>
      </w:r>
      <w:r>
        <w:rPr/>
        <w:t>作，综合黑龙江省工业大麻行业政策、合法合规地域及地方政府政策，利用荷兰子公司工业大麻的育种、</w:t>
      </w:r>
      <w:r>
        <w:rPr>
          <w:w w:val="100"/>
        </w:rPr>
        <w:t> </w:t>
      </w:r>
      <w:r>
        <w:rPr>
          <w:spacing w:val="-2"/>
        </w:rPr>
        <w:t>栽培、生物活性成分研究和化合物提取等方面的技术，计划研发以工业大麻为主要原材料的产品，并为其</w:t>
      </w:r>
      <w:r>
        <w:rPr>
          <w:spacing w:val="-44"/>
        </w:rPr>
        <w:t> </w:t>
      </w:r>
      <w:r>
        <w:rPr>
          <w:spacing w:val="-44"/>
        </w:rPr>
      </w:r>
      <w:r>
        <w:rPr>
          <w:spacing w:val="-2"/>
        </w:rPr>
        <w:t>他企业提供工业大麻作物种植相关的技术服务，尽快推动公司在国内工业大麻领域的产业布局，为公司带</w:t>
      </w:r>
      <w:r>
        <w:rPr>
          <w:spacing w:val="-43"/>
        </w:rPr>
        <w:t> </w:t>
      </w:r>
      <w:r>
        <w:rPr>
          <w:spacing w:val="-43"/>
        </w:rPr>
      </w:r>
      <w:r>
        <w:rPr>
          <w:spacing w:val="-2"/>
        </w:rPr>
        <w:t>来经济效益。公司董事会审时度势、立足长远、着眼当前、慎重果断决策，采取了一系列应对措施，紧紧</w:t>
      </w:r>
      <w:r>
        <w:rPr>
          <w:spacing w:val="-42"/>
        </w:rPr>
        <w:t> </w:t>
      </w:r>
      <w:r>
        <w:rPr>
          <w:spacing w:val="-42"/>
        </w:rPr>
      </w:r>
      <w:r>
        <w:rPr/>
        <w:t>围绕</w:t>
      </w:r>
      <w:r>
        <w:rPr>
          <w:rFonts w:ascii="Times New Roman" w:hAnsi="Times New Roman" w:cs="Times New Roman" w:eastAsia="Times New Roman" w:hint="default"/>
        </w:rPr>
        <w:t>“</w:t>
      </w:r>
      <w:r>
        <w:rPr/>
        <w:t>以中成药、人参产业发展为企业的立足之本，充分发挥公司在工业大麻领域先进种子及种植技术、</w:t>
      </w:r>
      <w:r>
        <w:rPr>
          <w:spacing w:val="-17"/>
        </w:rPr>
        <w:t> </w:t>
      </w:r>
      <w:r>
        <w:rPr>
          <w:spacing w:val="-17"/>
        </w:rPr>
      </w:r>
      <w:r>
        <w:rPr>
          <w:spacing w:val="-5"/>
        </w:rPr>
        <w:t>人才资源，积极开展关键技术攻关，实现合理的结构调整，促进和保证企业持续健康良性发展。报告期内，</w:t>
      </w:r>
      <w:r>
        <w:rPr>
          <w:spacing w:val="-13"/>
        </w:rPr>
        <w:t> </w:t>
      </w:r>
      <w:r>
        <w:rPr>
          <w:spacing w:val="-13"/>
        </w:rPr>
      </w:r>
      <w:r>
        <w:rPr/>
        <w:t>公司实现营业收入</w:t>
      </w:r>
      <w:r>
        <w:rPr>
          <w:rFonts w:ascii="Times New Roman" w:hAnsi="Times New Roman" w:cs="Times New Roman" w:eastAsia="Times New Roman" w:hint="default"/>
        </w:rPr>
        <w:t>85,928.92</w:t>
      </w:r>
      <w:r>
        <w:rPr/>
        <w:t>万元，较上年同期下降</w:t>
      </w:r>
      <w:r>
        <w:rPr>
          <w:rFonts w:ascii="Times New Roman" w:hAnsi="Times New Roman" w:cs="Times New Roman" w:eastAsia="Times New Roman" w:hint="default"/>
        </w:rPr>
        <w:t>35.15%</w:t>
      </w:r>
      <w:r>
        <w:rPr/>
        <w:t>；实现归属于上市公司股东的净利润</w:t>
      </w:r>
      <w:r>
        <w:rPr>
          <w:rFonts w:ascii="Times New Roman" w:hAnsi="Times New Roman" w:cs="Times New Roman" w:eastAsia="Times New Roman" w:hint="default"/>
        </w:rPr>
        <w:t>7,028.99</w:t>
      </w:r>
      <w:r>
        <w:rPr/>
        <w:t>万</w:t>
      </w:r>
      <w:r>
        <w:rPr>
          <w:spacing w:val="-46"/>
        </w:rPr>
        <w:t> </w:t>
      </w:r>
      <w:r>
        <w:rPr/>
        <w:t>元，较上年同期下降</w:t>
      </w:r>
      <w:r>
        <w:rPr>
          <w:rFonts w:ascii="Times New Roman" w:hAnsi="Times New Roman" w:cs="Times New Roman" w:eastAsia="Times New Roman" w:hint="default"/>
        </w:rPr>
        <w:t>59.62%</w:t>
      </w:r>
      <w:r>
        <w:rPr/>
        <w:t>，</w:t>
      </w:r>
      <w:r>
        <w:rPr>
          <w:rFonts w:ascii="Times New Roman" w:hAnsi="Times New Roman" w:cs="Times New Roman" w:eastAsia="Times New Roman" w:hint="default"/>
        </w:rPr>
        <w:t>2019</w:t>
      </w:r>
      <w:r>
        <w:rPr/>
        <w:t>年公司经营情况具体如下</w:t>
      </w:r>
      <w:r>
        <w:rPr>
          <w:rFonts w:ascii="Times New Roman" w:hAnsi="Times New Roman" w:cs="Times New Roman" w:eastAsia="Times New Roman" w:hint="default"/>
        </w:rPr>
        <w:t>:</w:t>
      </w:r>
    </w:p>
    <w:p>
      <w:pPr>
        <w:pStyle w:val="BodyText"/>
        <w:spacing w:line="400" w:lineRule="auto" w:before="19"/>
        <w:ind w:right="1126" w:firstLine="420"/>
        <w:jc w:val="both"/>
      </w:pPr>
      <w:r>
        <w:rPr>
          <w:rFonts w:ascii="Times New Roman" w:hAnsi="Times New Roman" w:cs="Times New Roman" w:eastAsia="Times New Roman" w:hint="default"/>
        </w:rPr>
        <w:t>1</w:t>
      </w:r>
      <w:r>
        <w:rPr/>
        <w:t>、内控建设方面：内控制度建设是一项长期工作，持续优化包括经营控制、财务管理控制和信息披</w:t>
      </w:r>
      <w:r>
        <w:rPr>
          <w:w w:val="100"/>
        </w:rPr>
        <w:t> </w:t>
      </w:r>
      <w:r>
        <w:rPr>
          <w:spacing w:val="-2"/>
        </w:rPr>
        <w:t>露控制在内的内部控制体系，并在实施过程中，持续落实，加强执行力度，以保障公司发展战略、经营目</w:t>
      </w:r>
      <w:r>
        <w:rPr>
          <w:spacing w:val="-43"/>
        </w:rPr>
        <w:t> </w:t>
      </w:r>
      <w:r>
        <w:rPr>
          <w:spacing w:val="-43"/>
        </w:rPr>
      </w:r>
      <w:r>
        <w:rPr>
          <w:spacing w:val="-2"/>
        </w:rPr>
        <w:t>标的实现。特别是公司的控股股东引进国有资本战略投资者后，公司将会执行更加严格的内控制度，促进</w:t>
      </w:r>
      <w:r>
        <w:rPr>
          <w:spacing w:val="-43"/>
        </w:rPr>
        <w:t> </w:t>
      </w:r>
      <w:r>
        <w:rPr>
          <w:spacing w:val="-43"/>
        </w:rPr>
      </w:r>
      <w:r>
        <w:rPr/>
        <w:t>公司整体业务发展。</w:t>
      </w:r>
    </w:p>
    <w:p>
      <w:pPr>
        <w:pStyle w:val="BodyText"/>
        <w:spacing w:line="403" w:lineRule="auto" w:before="53"/>
        <w:ind w:right="1104" w:firstLine="420"/>
        <w:jc w:val="both"/>
      </w:pPr>
      <w:r>
        <w:rPr>
          <w:rFonts w:ascii="Times New Roman" w:hAnsi="Times New Roman" w:cs="Times New Roman" w:eastAsia="Times New Roman" w:hint="default"/>
        </w:rPr>
        <w:t>2</w:t>
      </w:r>
      <w:r>
        <w:rPr/>
        <w:t>、研发系统方面：报告期内，药品方面，公司在研的中成药产品暴贝止咳口服液、消盆炎颗粒、元</w:t>
      </w:r>
      <w:r>
        <w:rPr>
          <w:w w:val="100"/>
        </w:rPr>
        <w:t> </w:t>
      </w:r>
      <w:r>
        <w:rPr>
          <w:spacing w:val="-2"/>
        </w:rPr>
        <w:t>神安颗粒、桑麻口服液等产品均取得了阶段性的进展；同时公司对中成药产品消风止痒颗粒及补肾安神口</w:t>
      </w:r>
      <w:r>
        <w:rPr>
          <w:spacing w:val="-43"/>
        </w:rPr>
        <w:t> </w:t>
      </w:r>
      <w:r>
        <w:rPr>
          <w:spacing w:val="-43"/>
        </w:rPr>
      </w:r>
      <w:r>
        <w:rPr>
          <w:spacing w:val="-2"/>
        </w:rPr>
        <w:t>服液等产品进行了提高产品质量标准的研究工作。食品和保健食品方面，公司迪淳饮品完成了行政审批；</w:t>
      </w:r>
      <w:r>
        <w:rPr>
          <w:spacing w:val="-21"/>
        </w:rPr>
        <w:t> </w:t>
      </w:r>
      <w:r>
        <w:rPr>
          <w:spacing w:val="-21"/>
        </w:rPr>
      </w:r>
      <w:r>
        <w:rPr>
          <w:spacing w:val="-2"/>
        </w:rPr>
        <w:t>南极磷虾油凝胶糖果项目、人参南极磷虾油凝胶糖果、南极磷虾蛋白肽粉项目、人参南极磷虾蛋白肽粉项</w:t>
      </w:r>
      <w:r>
        <w:rPr>
          <w:spacing w:val="-43"/>
        </w:rPr>
        <w:t> </w:t>
      </w:r>
      <w:r>
        <w:rPr>
          <w:spacing w:val="-43"/>
        </w:rPr>
      </w:r>
      <w:r>
        <w:rPr>
          <w:spacing w:val="-2"/>
        </w:rPr>
        <w:t>目完成了食品企业标准备案；同时对已获得批准文号品种紫瑞片、紫瑞胶囊、芳芙颗粒、人参叶颗粒进行</w:t>
      </w:r>
      <w:r>
        <w:rPr>
          <w:spacing w:val="-47"/>
        </w:rPr>
        <w:t> </w:t>
      </w:r>
      <w:r>
        <w:rPr>
          <w:spacing w:val="-47"/>
        </w:rPr>
      </w:r>
      <w:r>
        <w:rPr/>
        <w:t>了延续注册申报；另外公司向吉林省中药管理局申报并得到批复，建立了野山参种子种苗繁育研究室。</w:t>
      </w:r>
    </w:p>
    <w:p>
      <w:pPr>
        <w:spacing w:after="0" w:line="403"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98" w:lineRule="auto" w:before="175"/>
        <w:ind w:right="1126" w:firstLine="420"/>
        <w:jc w:val="both"/>
      </w:pPr>
      <w:r>
        <w:rPr>
          <w:rFonts w:ascii="Times New Roman" w:hAnsi="Times New Roman" w:cs="Times New Roman" w:eastAsia="Times New Roman" w:hint="default"/>
        </w:rPr>
        <w:t>3</w:t>
      </w:r>
      <w:r>
        <w:rPr/>
        <w:t>、生产质量系统：公司在生产管理方面开拓进取，努力拼搏，在药品生产、食品生产、人参皂苷精</w:t>
      </w:r>
      <w:r>
        <w:rPr>
          <w:w w:val="100"/>
        </w:rPr>
        <w:t> </w:t>
      </w:r>
      <w:r>
        <w:rPr>
          <w:spacing w:val="-2"/>
        </w:rPr>
        <w:t>制、工程项目建设等方面做出了大量卓有成效的工作，取得了很大的成绩。生产管理系统对安全生产工作</w:t>
      </w:r>
      <w:r>
        <w:rPr>
          <w:spacing w:val="-42"/>
        </w:rPr>
        <w:t> </w:t>
      </w:r>
      <w:r>
        <w:rPr>
          <w:spacing w:val="-42"/>
        </w:rPr>
      </w:r>
      <w:r>
        <w:rPr>
          <w:spacing w:val="-2"/>
        </w:rPr>
        <w:t>提出了总的要求，坚持</w:t>
      </w:r>
      <w:r>
        <w:rPr>
          <w:rFonts w:ascii="Times New Roman" w:hAnsi="Times New Roman" w:cs="Times New Roman" w:eastAsia="Times New Roman" w:hint="default"/>
          <w:spacing w:val="-2"/>
        </w:rPr>
        <w:t>“</w:t>
      </w:r>
      <w:r>
        <w:rPr>
          <w:spacing w:val="-2"/>
        </w:rPr>
        <w:t>安全第一、预防为主</w:t>
      </w:r>
      <w:r>
        <w:rPr>
          <w:rFonts w:ascii="Times New Roman" w:hAnsi="Times New Roman" w:cs="Times New Roman" w:eastAsia="Times New Roman" w:hint="default"/>
          <w:spacing w:val="-2"/>
        </w:rPr>
        <w:t>”</w:t>
      </w:r>
      <w:r>
        <w:rPr>
          <w:spacing w:val="-2"/>
        </w:rPr>
        <w:t>的安全工作方针。通过目标和责任的明确、机构和制度的完</w:t>
      </w:r>
      <w:r>
        <w:rPr>
          <w:spacing w:val="-21"/>
        </w:rPr>
        <w:t> </w:t>
      </w:r>
      <w:r>
        <w:rPr>
          <w:spacing w:val="-21"/>
        </w:rPr>
      </w:r>
      <w:r>
        <w:rPr>
          <w:spacing w:val="-2"/>
        </w:rPr>
        <w:t>善、宣传教育的深入开展、措施方法的制定落实、检查监测的有效跟进，形成了完善的安全管理体系。报</w:t>
      </w:r>
      <w:r>
        <w:rPr>
          <w:spacing w:val="-43"/>
        </w:rPr>
        <w:t> </w:t>
      </w:r>
      <w:r>
        <w:rPr>
          <w:spacing w:val="-43"/>
        </w:rPr>
      </w:r>
      <w:r>
        <w:rPr/>
        <w:t>告期内，公司柳河医药产业园获得了《药品生产许可证》，并于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月按照国家食品药品监督管理局</w:t>
      </w:r>
    </w:p>
    <w:p>
      <w:pPr>
        <w:pStyle w:val="BodyText"/>
        <w:spacing w:line="398" w:lineRule="auto" w:before="24"/>
        <w:ind w:right="1126"/>
        <w:jc w:val="both"/>
      </w:pPr>
      <w:r>
        <w:rPr>
          <w:spacing w:val="-2"/>
        </w:rPr>
        <w:t>《药品生产质量管理规范认证管理办法》规定，经吉林省药品监督管理局现场检查，符合《药品生产质量</w:t>
      </w:r>
      <w:r>
        <w:rPr>
          <w:spacing w:val="-44"/>
        </w:rPr>
        <w:t> </w:t>
      </w:r>
      <w:r>
        <w:rPr>
          <w:spacing w:val="-44"/>
        </w:rPr>
      </w:r>
      <w:r>
        <w:rPr/>
        <w:t>管理规范》要求，公司柳河医药产业园获得吉林省药品监督管理局颁发的新版《药品</w:t>
      </w:r>
      <w:r>
        <w:rPr>
          <w:spacing w:val="-34"/>
        </w:rPr>
        <w:t> </w:t>
      </w:r>
      <w:r>
        <w:rPr>
          <w:rFonts w:ascii="Times New Roman" w:hAnsi="Times New Roman" w:cs="Times New Roman" w:eastAsia="Times New Roman" w:hint="default"/>
          <w:spacing w:val="-3"/>
        </w:rPr>
        <w:t>GMP</w:t>
      </w:r>
      <w:r>
        <w:rPr>
          <w:spacing w:val="-3"/>
        </w:rPr>
        <w:t>证书》，同年</w:t>
      </w:r>
      <w:r>
        <w:rPr>
          <w:rFonts w:ascii="Times New Roman" w:hAnsi="Times New Roman" w:cs="Times New Roman" w:eastAsia="Times New Roman" w:hint="default"/>
          <w:spacing w:val="-3"/>
        </w:rPr>
        <w:t>7</w:t>
      </w:r>
      <w:r>
        <w:rPr>
          <w:rFonts w:ascii="Times New Roman" w:hAnsi="Times New Roman" w:cs="Times New Roman" w:eastAsia="Times New Roman" w:hint="default"/>
          <w:w w:val="100"/>
        </w:rPr>
        <w:t> </w:t>
      </w:r>
      <w:r>
        <w:rPr/>
        <w:t>月，子公司吉林草还丹药业有限公司、吉林初元药业有限公司也相继获得了《药品</w:t>
      </w:r>
      <w:r>
        <w:rPr>
          <w:rFonts w:ascii="Times New Roman" w:hAnsi="Times New Roman" w:cs="Times New Roman" w:eastAsia="Times New Roman" w:hint="default"/>
        </w:rPr>
        <w:t>GMP</w:t>
      </w:r>
      <w:r>
        <w:rPr/>
        <w:t>证书》。</w:t>
      </w:r>
    </w:p>
    <w:p>
      <w:pPr>
        <w:pStyle w:val="BodyText"/>
        <w:spacing w:line="386" w:lineRule="auto" w:before="24"/>
        <w:ind w:left="573" w:right="8557"/>
        <w:jc w:val="left"/>
      </w:pPr>
      <w:r>
        <w:rPr>
          <w:rFonts w:ascii="Times New Roman" w:hAnsi="Times New Roman" w:cs="Times New Roman" w:eastAsia="Times New Roman" w:hint="default"/>
          <w:spacing w:val="-1"/>
        </w:rPr>
        <w:t>4</w:t>
      </w:r>
      <w:r>
        <w:rPr>
          <w:spacing w:val="-1"/>
        </w:rPr>
        <w:t>、销售系统方面：</w:t>
      </w:r>
      <w:r>
        <w:rPr>
          <w:spacing w:val="-95"/>
        </w:rPr>
        <w:t> </w:t>
      </w:r>
      <w:r>
        <w:rPr>
          <w:spacing w:val="-95"/>
        </w:rPr>
      </w:r>
      <w:r>
        <w:rPr/>
        <w:t>中成药产品方面</w:t>
      </w:r>
    </w:p>
    <w:p>
      <w:pPr>
        <w:pStyle w:val="BodyText"/>
        <w:spacing w:line="386" w:lineRule="auto" w:before="65"/>
        <w:ind w:right="1126" w:firstLine="420"/>
        <w:jc w:val="both"/>
      </w:pPr>
      <w:r>
        <w:rPr/>
        <w:t>（</w:t>
      </w:r>
      <w:r>
        <w:rPr>
          <w:rFonts w:ascii="Times New Roman" w:hAnsi="Times New Roman" w:cs="Times New Roman" w:eastAsia="Times New Roman" w:hint="default"/>
        </w:rPr>
        <w:t>1</w:t>
      </w:r>
      <w:r>
        <w:rPr/>
        <w:t>）处方药：重点致力于团队架构建设、业务流程梳理、团队内训、制度建设、团队管理、销售管</w:t>
      </w:r>
      <w:r>
        <w:rPr>
          <w:w w:val="100"/>
        </w:rPr>
        <w:t> </w:t>
      </w:r>
      <w:r>
        <w:rPr>
          <w:spacing w:val="-2"/>
        </w:rPr>
        <w:t>理及市场管理等方面，为实现短期三年营销目标和打造优质团队奠定基础，公司销售网络全国覆盖</w:t>
      </w:r>
      <w:r>
        <w:rPr>
          <w:rFonts w:ascii="Times New Roman" w:hAnsi="Times New Roman" w:cs="Times New Roman" w:eastAsia="Times New Roman" w:hint="default"/>
          <w:spacing w:val="-2"/>
        </w:rPr>
        <w:t>30</w:t>
      </w:r>
      <w:r>
        <w:rPr>
          <w:spacing w:val="-2"/>
        </w:rPr>
        <w:t>个省</w:t>
      </w:r>
      <w:r>
        <w:rPr>
          <w:spacing w:val="-41"/>
        </w:rPr>
        <w:t> </w:t>
      </w:r>
      <w:r>
        <w:rPr>
          <w:spacing w:val="-2"/>
        </w:rPr>
        <w:t>份，市场增量空间巨大。公司制定的</w:t>
      </w:r>
      <w:r>
        <w:rPr>
          <w:rFonts w:ascii="Times New Roman" w:hAnsi="Times New Roman" w:cs="Times New Roman" w:eastAsia="Times New Roman" w:hint="default"/>
          <w:spacing w:val="-2"/>
        </w:rPr>
        <w:t>“</w:t>
      </w:r>
      <w:r>
        <w:rPr>
          <w:spacing w:val="-2"/>
        </w:rPr>
        <w:t>大品种</w:t>
      </w:r>
      <w:r>
        <w:rPr>
          <w:rFonts w:ascii="Times New Roman" w:hAnsi="Times New Roman" w:cs="Times New Roman" w:eastAsia="Times New Roman" w:hint="default"/>
          <w:spacing w:val="-2"/>
        </w:rPr>
        <w:t>”</w:t>
      </w:r>
      <w:r>
        <w:rPr>
          <w:spacing w:val="-2"/>
        </w:rPr>
        <w:t>在</w:t>
      </w:r>
      <w:r>
        <w:rPr>
          <w:rFonts w:ascii="Times New Roman" w:hAnsi="Times New Roman" w:cs="Times New Roman" w:eastAsia="Times New Roman" w:hint="default"/>
          <w:spacing w:val="-2"/>
        </w:rPr>
        <w:t>2019</w:t>
      </w:r>
      <w:r>
        <w:rPr>
          <w:spacing w:val="-2"/>
        </w:rPr>
        <w:t>年也取得了阶段性成果，其中纯中药制剂四妙丸此前</w:t>
      </w:r>
      <w:r>
        <w:rPr>
          <w:spacing w:val="-17"/>
        </w:rPr>
        <w:t> </w:t>
      </w:r>
      <w:r>
        <w:rPr>
          <w:spacing w:val="-17"/>
        </w:rPr>
      </w:r>
      <w:r>
        <w:rPr>
          <w:spacing w:val="-8"/>
          <w:w w:val="100"/>
        </w:rPr>
        <w:t>已经被列入《类风湿关节炎病症结合诊疗指南》推荐用药</w:t>
      </w:r>
      <w:r>
        <w:rPr>
          <w:rFonts w:ascii="Times New Roman" w:hAnsi="Times New Roman" w:cs="Times New Roman" w:eastAsia="Times New Roman" w:hint="default"/>
          <w:spacing w:val="-8"/>
          <w:w w:val="100"/>
        </w:rPr>
        <w:t>,</w:t>
      </w:r>
      <w:r>
        <w:rPr>
          <w:spacing w:val="-8"/>
          <w:w w:val="100"/>
        </w:rPr>
        <w:t>并且进入全国高等中医药院校研究生规划教材《中</w:t>
      </w:r>
      <w:r>
        <w:rPr>
          <w:spacing w:val="-73"/>
          <w:w w:val="100"/>
        </w:rPr>
        <w:t> </w:t>
      </w:r>
      <w:r>
        <w:rPr>
          <w:spacing w:val="-73"/>
          <w:w w:val="100"/>
        </w:rPr>
      </w:r>
      <w:r>
        <w:rPr>
          <w:spacing w:val="-3"/>
        </w:rPr>
        <w:t>医风湿病学临床研究》</w:t>
      </w:r>
      <w:r>
        <w:rPr>
          <w:rFonts w:ascii="Times New Roman" w:hAnsi="Times New Roman" w:cs="Times New Roman" w:eastAsia="Times New Roman" w:hint="default"/>
          <w:spacing w:val="-3"/>
        </w:rPr>
        <w:t>,</w:t>
      </w:r>
      <w:r>
        <w:rPr>
          <w:spacing w:val="-3"/>
        </w:rPr>
        <w:t>提升四妙丸的学术地位，促进开发、提升品牌知名度及影响力。同时公司及控股子</w:t>
      </w:r>
      <w:r>
        <w:rPr>
          <w:spacing w:val="-48"/>
        </w:rPr>
        <w:t> </w:t>
      </w:r>
      <w:r>
        <w:rPr>
          <w:spacing w:val="-48"/>
        </w:rPr>
      </w:r>
      <w:r>
        <w:rPr/>
        <w:t>公司共有</w:t>
      </w:r>
      <w:r>
        <w:rPr>
          <w:rFonts w:ascii="Times New Roman" w:hAnsi="Times New Roman" w:cs="Times New Roman" w:eastAsia="Times New Roman" w:hint="default"/>
        </w:rPr>
        <w:t>124</w:t>
      </w:r>
      <w:r>
        <w:rPr/>
        <w:t>个品种纳入《国家医保目录（</w:t>
      </w:r>
      <w:r>
        <w:rPr>
          <w:rFonts w:ascii="Times New Roman" w:hAnsi="Times New Roman" w:cs="Times New Roman" w:eastAsia="Times New Roman" w:hint="default"/>
        </w:rPr>
        <w:t>2019</w:t>
      </w:r>
      <w:r>
        <w:rPr/>
        <w:t>版）》，其中甲类</w:t>
      </w:r>
      <w:r>
        <w:rPr>
          <w:rFonts w:ascii="Times New Roman" w:hAnsi="Times New Roman" w:cs="Times New Roman" w:eastAsia="Times New Roman" w:hint="default"/>
        </w:rPr>
        <w:t>62</w:t>
      </w:r>
      <w:r>
        <w:rPr/>
        <w:t>个，乙类</w:t>
      </w:r>
      <w:r>
        <w:rPr>
          <w:rFonts w:ascii="Times New Roman" w:hAnsi="Times New Roman" w:cs="Times New Roman" w:eastAsia="Times New Roman" w:hint="default"/>
        </w:rPr>
        <w:t>62</w:t>
      </w:r>
      <w:r>
        <w:rPr/>
        <w:t>个，纳入《国家医保目录</w:t>
      </w:r>
    </w:p>
    <w:p>
      <w:pPr>
        <w:pStyle w:val="BodyText"/>
        <w:spacing w:line="386" w:lineRule="auto" w:before="36"/>
        <w:ind w:right="1138"/>
        <w:jc w:val="both"/>
      </w:pPr>
      <w:r>
        <w:rPr/>
        <w:t>（</w:t>
      </w:r>
      <w:r>
        <w:rPr>
          <w:rFonts w:ascii="Times New Roman" w:hAnsi="Times New Roman" w:cs="Times New Roman" w:eastAsia="Times New Roman" w:hint="default"/>
        </w:rPr>
        <w:t>2019</w:t>
      </w:r>
      <w:r>
        <w:rPr/>
        <w:t>版）》的主要产品有：</w:t>
      </w:r>
      <w:r>
        <w:rPr>
          <w:spacing w:val="64"/>
        </w:rPr>
        <w:t> </w:t>
      </w:r>
      <w:r>
        <w:rPr/>
        <w:t>四妙丸、小活络丸、养阴清肺糖浆等。这有利于公司中成药产品进一步完</w:t>
      </w:r>
      <w:r>
        <w:rPr>
          <w:spacing w:val="-96"/>
        </w:rPr>
        <w:t> </w:t>
      </w:r>
      <w:r>
        <w:rPr>
          <w:spacing w:val="-96"/>
        </w:rPr>
      </w:r>
      <w:r>
        <w:rPr/>
        <w:t>善布局</w:t>
      </w:r>
      <w:r>
        <w:rPr>
          <w:rFonts w:ascii="Times New Roman" w:hAnsi="Times New Roman" w:cs="Times New Roman" w:eastAsia="Times New Roman" w:hint="default"/>
        </w:rPr>
        <w:t>,</w:t>
      </w:r>
      <w:r>
        <w:rPr/>
        <w:t>更多有竞争力的拳头产品有望进一步开拓市场。</w:t>
      </w:r>
    </w:p>
    <w:p>
      <w:pPr>
        <w:pStyle w:val="BodyText"/>
        <w:spacing w:line="386" w:lineRule="auto" w:before="35"/>
        <w:ind w:right="0" w:firstLine="420"/>
        <w:jc w:val="left"/>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OTC</w:t>
      </w:r>
      <w:r>
        <w:rPr>
          <w:spacing w:val="-2"/>
        </w:rPr>
        <w:t>零售：报告期内，根据国家</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规划，批零一体化，商业公司和终端连锁将更加集中，</w:t>
      </w:r>
      <w:r>
        <w:rPr>
          <w:w w:val="100"/>
        </w:rPr>
        <w:t> </w:t>
      </w:r>
      <w:r>
        <w:rPr/>
        <w:t>连锁也是如此，根据</w:t>
      </w:r>
      <w:r>
        <w:rPr>
          <w:rFonts w:ascii="Times New Roman" w:hAnsi="Times New Roman" w:cs="Times New Roman" w:eastAsia="Times New Roman" w:hint="default"/>
        </w:rPr>
        <w:t>“2018</w:t>
      </w:r>
      <w:r>
        <w:rPr/>
        <w:t>年度药品监管统计年报</w:t>
      </w:r>
      <w:r>
        <w:rPr>
          <w:rFonts w:ascii="Times New Roman" w:hAnsi="Times New Roman" w:cs="Times New Roman" w:eastAsia="Times New Roman" w:hint="default"/>
        </w:rPr>
        <w:t>”</w:t>
      </w:r>
      <w:r>
        <w:rPr/>
        <w:t>数据显示，全国连锁门店数量占比在</w:t>
      </w:r>
      <w:r>
        <w:rPr>
          <w:rFonts w:ascii="Times New Roman" w:hAnsi="Times New Roman" w:cs="Times New Roman" w:eastAsia="Times New Roman" w:hint="default"/>
        </w:rPr>
        <w:t>2018</w:t>
      </w:r>
      <w:r>
        <w:rPr/>
        <w:t>年底已经达到</w:t>
      </w:r>
      <w:r>
        <w:rPr>
          <w:w w:val="100"/>
        </w:rPr>
        <w:t> </w:t>
      </w:r>
      <w:r>
        <w:rPr>
          <w:rFonts w:ascii="Times New Roman" w:hAnsi="Times New Roman" w:cs="Times New Roman" w:eastAsia="Times New Roman" w:hint="default"/>
        </w:rPr>
        <w:t>50%</w:t>
      </w:r>
      <w:r>
        <w:rPr/>
        <w:t>，加快了下游的集中和一体化，连锁终端需要大批战略供应商。</w:t>
      </w:r>
    </w:p>
    <w:p>
      <w:pPr>
        <w:pStyle w:val="BodyText"/>
        <w:spacing w:line="391" w:lineRule="auto" w:before="35"/>
        <w:ind w:right="0" w:firstLine="420"/>
        <w:jc w:val="left"/>
      </w:pPr>
      <w:r>
        <w:rPr>
          <w:spacing w:val="-7"/>
          <w:w w:val="100"/>
        </w:rPr>
        <w:t>公司</w:t>
      </w:r>
      <w:r>
        <w:rPr>
          <w:rFonts w:ascii="Times New Roman" w:hAnsi="Times New Roman" w:cs="Times New Roman" w:eastAsia="Times New Roman" w:hint="default"/>
          <w:spacing w:val="-7"/>
          <w:w w:val="100"/>
        </w:rPr>
        <w:t>OTC</w:t>
      </w:r>
      <w:r>
        <w:rPr>
          <w:spacing w:val="-7"/>
          <w:w w:val="100"/>
        </w:rPr>
        <w:t>市场销售坚持与</w:t>
      </w:r>
      <w:r>
        <w:rPr>
          <w:rFonts w:ascii="Times New Roman" w:hAnsi="Times New Roman" w:cs="Times New Roman" w:eastAsia="Times New Roman" w:hint="default"/>
          <w:spacing w:val="-7"/>
          <w:w w:val="100"/>
        </w:rPr>
        <w:t>“</w:t>
      </w:r>
      <w:r>
        <w:rPr>
          <w:spacing w:val="-7"/>
          <w:w w:val="100"/>
        </w:rPr>
        <w:t>全国百强连锁药房</w:t>
      </w:r>
      <w:r>
        <w:rPr>
          <w:rFonts w:ascii="Times New Roman" w:hAnsi="Times New Roman" w:cs="Times New Roman" w:eastAsia="Times New Roman" w:hint="default"/>
          <w:spacing w:val="-7"/>
          <w:w w:val="100"/>
        </w:rPr>
        <w:t>”</w:t>
      </w:r>
      <w:r>
        <w:rPr>
          <w:spacing w:val="-7"/>
          <w:w w:val="100"/>
        </w:rPr>
        <w:t>合作，与</w:t>
      </w:r>
      <w:r>
        <w:rPr>
          <w:rFonts w:ascii="Times New Roman" w:hAnsi="Times New Roman" w:cs="Times New Roman" w:eastAsia="Times New Roman" w:hint="default"/>
          <w:spacing w:val="-7"/>
          <w:w w:val="100"/>
        </w:rPr>
        <w:t>“</w:t>
      </w:r>
      <w:r>
        <w:rPr>
          <w:spacing w:val="-7"/>
          <w:w w:val="100"/>
        </w:rPr>
        <w:t>东莞国药集团</w:t>
      </w:r>
      <w:r>
        <w:rPr>
          <w:rFonts w:ascii="Times New Roman" w:hAnsi="Times New Roman" w:cs="Times New Roman" w:eastAsia="Times New Roman" w:hint="default"/>
          <w:spacing w:val="-7"/>
          <w:w w:val="100"/>
        </w:rPr>
        <w:t>”</w:t>
      </w:r>
      <w:r>
        <w:rPr>
          <w:spacing w:val="-7"/>
          <w:w w:val="100"/>
        </w:rPr>
        <w:t>、</w:t>
      </w:r>
      <w:r>
        <w:rPr>
          <w:rFonts w:ascii="Times New Roman" w:hAnsi="Times New Roman" w:cs="Times New Roman" w:eastAsia="Times New Roman" w:hint="default"/>
          <w:spacing w:val="-7"/>
          <w:w w:val="100"/>
        </w:rPr>
        <w:t>“</w:t>
      </w:r>
      <w:r>
        <w:rPr>
          <w:spacing w:val="-7"/>
          <w:w w:val="100"/>
        </w:rPr>
        <w:t>云南一心堂</w:t>
      </w:r>
      <w:r>
        <w:rPr>
          <w:rFonts w:ascii="Times New Roman" w:hAnsi="Times New Roman" w:cs="Times New Roman" w:eastAsia="Times New Roman" w:hint="default"/>
          <w:spacing w:val="-7"/>
          <w:w w:val="100"/>
        </w:rPr>
        <w:t>”</w:t>
      </w:r>
      <w:r>
        <w:rPr>
          <w:spacing w:val="-7"/>
          <w:w w:val="100"/>
        </w:rPr>
        <w:t>、</w:t>
      </w:r>
      <w:r>
        <w:rPr>
          <w:rFonts w:ascii="Times New Roman" w:hAnsi="Times New Roman" w:cs="Times New Roman" w:eastAsia="Times New Roman" w:hint="default"/>
          <w:spacing w:val="-7"/>
          <w:w w:val="100"/>
        </w:rPr>
        <w:t>“</w:t>
      </w:r>
      <w:r>
        <w:rPr>
          <w:spacing w:val="-7"/>
          <w:w w:val="100"/>
        </w:rPr>
        <w:t>重庆桐君阁</w:t>
      </w:r>
      <w:r>
        <w:rPr>
          <w:rFonts w:ascii="Times New Roman" w:hAnsi="Times New Roman" w:cs="Times New Roman" w:eastAsia="Times New Roman" w:hint="default"/>
          <w:spacing w:val="-7"/>
          <w:w w:val="100"/>
        </w:rPr>
        <w:t>”</w:t>
      </w:r>
      <w:r>
        <w:rPr>
          <w:spacing w:val="-7"/>
          <w:w w:val="100"/>
        </w:rPr>
        <w:t>、</w:t>
      </w:r>
      <w:r>
        <w:rPr>
          <w:w w:val="100"/>
        </w:rPr>
        <w:t> </w:t>
      </w:r>
      <w:r>
        <w:rPr>
          <w:rFonts w:ascii="Times New Roman" w:hAnsi="Times New Roman" w:cs="Times New Roman" w:eastAsia="Times New Roman" w:hint="default"/>
        </w:rPr>
        <w:t>“</w:t>
      </w:r>
      <w:r>
        <w:rPr/>
        <w:t>吉林大药房</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辽宁成大方圆</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河北新兴大药房</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甘肃众友</w:t>
      </w:r>
      <w:r>
        <w:rPr>
          <w:rFonts w:ascii="Times New Roman" w:hAnsi="Times New Roman" w:cs="Times New Roman" w:eastAsia="Times New Roman" w:hint="default"/>
        </w:rPr>
        <w:t>”</w:t>
      </w:r>
      <w:r>
        <w:rPr/>
        <w:t>等终端占有率较高的主流连锁合作。从</w:t>
      </w:r>
      <w:r>
        <w:rPr>
          <w:spacing w:val="-39"/>
        </w:rPr>
        <w:t> </w:t>
      </w:r>
      <w:r>
        <w:rPr>
          <w:spacing w:val="-39"/>
        </w:rPr>
      </w:r>
      <w:r>
        <w:rPr>
          <w:spacing w:val="-2"/>
        </w:rPr>
        <w:t>目前的合作情况来看，合作产品线越来越广，销售业绩已取得初步成果，奠定了二丁颗粒、小儿白贝、海</w:t>
      </w:r>
      <w:r>
        <w:rPr>
          <w:spacing w:val="-43"/>
        </w:rPr>
        <w:t> </w:t>
      </w:r>
      <w:r>
        <w:rPr>
          <w:spacing w:val="-43"/>
        </w:rPr>
      </w:r>
      <w:r>
        <w:rPr/>
        <w:t>贝胃疡、消风止痒等产品的主导地位。</w:t>
      </w:r>
      <w:r>
        <w:rPr>
          <w:rFonts w:ascii="Times New Roman" w:hAnsi="Times New Roman" w:cs="Times New Roman" w:eastAsia="Times New Roman" w:hint="default"/>
        </w:rPr>
        <w:t>OTC</w:t>
      </w:r>
      <w:r>
        <w:rPr/>
        <w:t>市场的持续增量、新产品的市场推广以及终端</w:t>
      </w:r>
      <w:r>
        <w:rPr>
          <w:rFonts w:ascii="Times New Roman" w:hAnsi="Times New Roman" w:cs="Times New Roman" w:eastAsia="Times New Roman" w:hint="default"/>
        </w:rPr>
        <w:t>VIP</w:t>
      </w:r>
      <w:r>
        <w:rPr/>
        <w:t>联盟的建立</w:t>
      </w:r>
      <w:r>
        <w:rPr>
          <w:spacing w:val="-49"/>
        </w:rPr>
        <w:t> </w:t>
      </w:r>
      <w:r>
        <w:rPr/>
        <w:t>和维护；</w:t>
      </w:r>
      <w:r>
        <w:rPr>
          <w:rFonts w:ascii="Times New Roman" w:hAnsi="Times New Roman" w:cs="Times New Roman" w:eastAsia="Times New Roman" w:hint="default"/>
        </w:rPr>
        <w:t>2018</w:t>
      </w:r>
      <w:r>
        <w:rPr/>
        <w:t>年，公司制定了</w:t>
      </w:r>
      <w:r>
        <w:rPr>
          <w:rFonts w:ascii="Times New Roman" w:hAnsi="Times New Roman" w:cs="Times New Roman" w:eastAsia="Times New Roman" w:hint="default"/>
        </w:rPr>
        <w:t>“</w:t>
      </w:r>
      <w:r>
        <w:rPr/>
        <w:t>终端</w:t>
      </w:r>
      <w:r>
        <w:rPr>
          <w:rFonts w:ascii="Times New Roman" w:hAnsi="Times New Roman" w:cs="Times New Roman" w:eastAsia="Times New Roman" w:hint="default"/>
        </w:rPr>
        <w:t>VIP</w:t>
      </w:r>
      <w:r>
        <w:rPr/>
        <w:t>联盟</w:t>
      </w:r>
      <w:r>
        <w:rPr>
          <w:rFonts w:ascii="Times New Roman" w:hAnsi="Times New Roman" w:cs="Times New Roman" w:eastAsia="Times New Roman" w:hint="default"/>
        </w:rPr>
        <w:t>”</w:t>
      </w:r>
      <w:r>
        <w:rPr/>
        <w:t>战略，</w:t>
      </w:r>
      <w:r>
        <w:rPr>
          <w:rFonts w:ascii="Times New Roman" w:hAnsi="Times New Roman" w:cs="Times New Roman" w:eastAsia="Times New Roman" w:hint="default"/>
        </w:rPr>
        <w:t>2019</w:t>
      </w:r>
      <w:r>
        <w:rPr/>
        <w:t>年取得了阶段性的成果。</w:t>
      </w:r>
    </w:p>
    <w:p>
      <w:pPr>
        <w:pStyle w:val="BodyText"/>
        <w:spacing w:line="400" w:lineRule="auto" w:before="30"/>
        <w:ind w:right="1126" w:firstLine="420"/>
        <w:jc w:val="both"/>
      </w:pPr>
      <w:r>
        <w:rPr/>
        <w:t>（</w:t>
      </w:r>
      <w:r>
        <w:rPr>
          <w:rFonts w:ascii="Times New Roman" w:hAnsi="Times New Roman" w:cs="Times New Roman" w:eastAsia="Times New Roman" w:hint="default"/>
        </w:rPr>
        <w:t>3</w:t>
      </w:r>
      <w:r>
        <w:rPr/>
        <w:t>）品种结构性调整。报告期间内，公司对现有产品结构进行了综合梳理，并进行了结构性调整。</w:t>
      </w:r>
      <w:r>
        <w:rPr>
          <w:w w:val="100"/>
        </w:rPr>
        <w:t> </w:t>
      </w:r>
      <w:r>
        <w:rPr>
          <w:spacing w:val="-2"/>
        </w:rPr>
        <w:t>在以公司独家品种四妙丸、藿胆片、小儿白贝止咳糖浆为核心，打造精品国药系列。重点扶持优秀精品国</w:t>
      </w:r>
      <w:r>
        <w:rPr>
          <w:spacing w:val="-47"/>
        </w:rPr>
        <w:t> </w:t>
      </w:r>
      <w:r>
        <w:rPr>
          <w:spacing w:val="-47"/>
        </w:rPr>
      </w:r>
      <w:r>
        <w:rPr>
          <w:spacing w:val="-2"/>
        </w:rPr>
        <w:t>药独家品种是调整产品结构的重心。品种结构性调整，是企业由内而外的调整，是企业可持续性发展的核</w:t>
      </w:r>
      <w:r>
        <w:rPr>
          <w:spacing w:val="-43"/>
        </w:rPr>
        <w:t> </w:t>
      </w:r>
      <w:r>
        <w:rPr>
          <w:spacing w:val="-43"/>
        </w:rPr>
      </w:r>
      <w:r>
        <w:rPr/>
        <w:t>心基础，并进一步提高了企业的产品市场竞争能力。</w:t>
      </w:r>
    </w:p>
    <w:p>
      <w:pPr>
        <w:spacing w:after="0" w:line="40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left="573" w:right="1133"/>
        <w:jc w:val="left"/>
      </w:pPr>
      <w:r>
        <w:rPr/>
        <w:t>人参产品方面</w:t>
      </w:r>
    </w:p>
    <w:p>
      <w:pPr>
        <w:spacing w:line="240" w:lineRule="auto" w:before="10"/>
        <w:rPr>
          <w:rFonts w:ascii="宋体" w:hAnsi="宋体" w:cs="宋体" w:eastAsia="宋体" w:hint="default"/>
          <w:sz w:val="14"/>
          <w:szCs w:val="14"/>
        </w:rPr>
      </w:pPr>
    </w:p>
    <w:p>
      <w:pPr>
        <w:pStyle w:val="BodyText"/>
        <w:spacing w:line="240" w:lineRule="auto" w:before="0"/>
        <w:ind w:left="573" w:right="1133"/>
        <w:jc w:val="left"/>
      </w:pPr>
      <w:r>
        <w:rPr/>
        <w:t>（</w:t>
      </w:r>
      <w:r>
        <w:rPr>
          <w:rFonts w:ascii="Times New Roman" w:hAnsi="Times New Roman" w:cs="Times New Roman" w:eastAsia="Times New Roman" w:hint="default"/>
        </w:rPr>
        <w:t>1</w:t>
      </w:r>
      <w:r>
        <w:rPr/>
        <w:t>）公司人参粗加工产品保持了稳定的销售；</w:t>
      </w:r>
    </w:p>
    <w:p>
      <w:pPr>
        <w:pStyle w:val="BodyText"/>
        <w:spacing w:line="400" w:lineRule="auto" w:before="177"/>
        <w:ind w:right="0" w:firstLine="420"/>
        <w:jc w:val="left"/>
      </w:pPr>
      <w:r>
        <w:rPr>
          <w:spacing w:val="-2"/>
        </w:rPr>
        <w:t>（</w:t>
      </w:r>
      <w:r>
        <w:rPr>
          <w:rFonts w:ascii="Times New Roman" w:hAnsi="Times New Roman" w:cs="Times New Roman" w:eastAsia="Times New Roman" w:hint="default"/>
          <w:spacing w:val="-2"/>
        </w:rPr>
        <w:t>2</w:t>
      </w:r>
      <w:r>
        <w:rPr>
          <w:spacing w:val="-2"/>
        </w:rPr>
        <w:t>）人参深加工产品方面，公司销售通过整个团队的共同努力，在队伍组建、渠道铺设、产品招商、</w:t>
      </w:r>
      <w:r>
        <w:rPr>
          <w:w w:val="100"/>
        </w:rPr>
        <w:t> </w:t>
      </w:r>
      <w:r>
        <w:rPr>
          <w:spacing w:val="-2"/>
        </w:rPr>
        <w:t>区域拓展和品牌建设等一系列重要工作方面都取得了一定的成效和进展，特别是在核心市场建设、外围市</w:t>
      </w:r>
      <w:r>
        <w:rPr>
          <w:spacing w:val="-43"/>
        </w:rPr>
        <w:t> </w:t>
      </w:r>
      <w:r>
        <w:rPr>
          <w:spacing w:val="-43"/>
        </w:rPr>
      </w:r>
      <w:r>
        <w:rPr/>
        <w:t>场布局和专卖店体系拓展方面取得了突出进展，公司通过直营和客户联营的方式进行专卖店体系的拓展，</w:t>
      </w:r>
      <w:r>
        <w:rPr>
          <w:w w:val="100"/>
        </w:rPr>
        <w:t> </w:t>
      </w:r>
      <w:r>
        <w:rPr/>
        <w:t>完成了在长春新机场、延吉机场专卖店的招投标工作。</w:t>
      </w:r>
    </w:p>
    <w:p>
      <w:pPr>
        <w:pStyle w:val="BodyText"/>
        <w:spacing w:line="393" w:lineRule="auto" w:before="52"/>
        <w:ind w:right="1104" w:firstLine="420"/>
        <w:jc w:val="both"/>
      </w:pPr>
      <w:r>
        <w:rPr>
          <w:spacing w:val="-2"/>
        </w:rPr>
        <w:t>近年来，通过坚持自主研发和合作交流相结合的创新模式，公司对植物提取物、人参提取物、人参皂</w:t>
      </w:r>
      <w:r>
        <w:rPr>
          <w:w w:val="100"/>
        </w:rPr>
        <w:t> </w:t>
      </w:r>
      <w:r>
        <w:rPr>
          <w:spacing w:val="-2"/>
        </w:rPr>
        <w:t>苷单体分离方法的研究、产品的开发也取得了阶段性成果，并在人参深加工产品的研发、人参加工技术、</w:t>
      </w:r>
      <w:r>
        <w:rPr>
          <w:spacing w:val="-21"/>
        </w:rPr>
        <w:t> </w:t>
      </w:r>
      <w:r>
        <w:rPr>
          <w:spacing w:val="-21"/>
        </w:rPr>
      </w:r>
      <w:r>
        <w:rPr>
          <w:spacing w:val="-2"/>
        </w:rPr>
        <w:t>人参基因测序等核心领域取得了一系列重大的突破。同时在高端人参食品方面，报告期内，公司为进一步</w:t>
      </w:r>
      <w:r>
        <w:rPr>
          <w:spacing w:val="-44"/>
        </w:rPr>
        <w:t> </w:t>
      </w:r>
      <w:r>
        <w:rPr>
          <w:spacing w:val="-44"/>
        </w:rPr>
      </w:r>
      <w:r>
        <w:rPr/>
        <w:t>打造人参高端食品产品，经过审慎市场调研、结合以长白山主峰海拔高度</w:t>
      </w:r>
      <w:r>
        <w:rPr>
          <w:spacing w:val="-15"/>
        </w:rPr>
        <w:t> </w:t>
      </w:r>
      <w:r>
        <w:rPr>
          <w:rFonts w:ascii="Times New Roman" w:hAnsi="Times New Roman" w:cs="Times New Roman" w:eastAsia="Times New Roman" w:hint="default"/>
        </w:rPr>
        <w:t>2691</w:t>
      </w:r>
      <w:r>
        <w:rPr>
          <w:rFonts w:ascii="Times New Roman" w:hAnsi="Times New Roman" w:cs="Times New Roman" w:eastAsia="Times New Roman" w:hint="default"/>
          <w:spacing w:val="36"/>
        </w:rPr>
        <w:t> </w:t>
      </w:r>
      <w:r>
        <w:rPr/>
        <w:t>米和人参文化所创意推出</w:t>
      </w:r>
      <w:r>
        <w:rPr>
          <w:spacing w:val="-102"/>
        </w:rPr>
        <w:t> </w:t>
      </w:r>
      <w:r>
        <w:rPr>
          <w:spacing w:val="-102"/>
        </w:rPr>
      </w:r>
      <w:r>
        <w:rPr>
          <w:spacing w:val="-2"/>
        </w:rPr>
        <w:t>的</w:t>
      </w:r>
      <w:r>
        <w:rPr>
          <w:rFonts w:ascii="Times New Roman" w:hAnsi="Times New Roman" w:cs="Times New Roman" w:eastAsia="Times New Roman" w:hint="default"/>
          <w:spacing w:val="-2"/>
        </w:rPr>
        <w:t>“</w:t>
      </w:r>
      <w:r>
        <w:rPr>
          <w:spacing w:val="-2"/>
        </w:rPr>
        <w:t>参藏长白山</w:t>
      </w:r>
      <w:r>
        <w:rPr>
          <w:rFonts w:ascii="Times New Roman" w:hAnsi="Times New Roman" w:cs="Times New Roman" w:eastAsia="Times New Roman" w:hint="default"/>
          <w:spacing w:val="-2"/>
        </w:rPr>
        <w:t>2691”</w:t>
      </w:r>
      <w:r>
        <w:rPr>
          <w:spacing w:val="-2"/>
        </w:rPr>
        <w:t>系列文化人参产品。为进一步拓展公司人参产品销售市场，扩大市场份额，实现公司</w:t>
      </w:r>
      <w:r>
        <w:rPr>
          <w:spacing w:val="-13"/>
        </w:rPr>
        <w:t> </w:t>
      </w:r>
      <w:r>
        <w:rPr>
          <w:spacing w:val="-13"/>
        </w:rPr>
      </w:r>
      <w:r>
        <w:rPr>
          <w:spacing w:val="-2"/>
        </w:rPr>
        <w:t>与优质客户的长期战略合作，公司正式启动打造以</w:t>
      </w:r>
      <w:r>
        <w:rPr>
          <w:rFonts w:ascii="Times New Roman" w:hAnsi="Times New Roman" w:cs="Times New Roman" w:eastAsia="Times New Roman" w:hint="default"/>
          <w:spacing w:val="-2"/>
        </w:rPr>
        <w:t>“</w:t>
      </w:r>
      <w:r>
        <w:rPr>
          <w:spacing w:val="-2"/>
        </w:rPr>
        <w:t>药品、食品、保健品</w:t>
      </w:r>
      <w:r>
        <w:rPr>
          <w:rFonts w:ascii="Times New Roman" w:hAnsi="Times New Roman" w:cs="Times New Roman" w:eastAsia="Times New Roman" w:hint="default"/>
          <w:spacing w:val="-2"/>
        </w:rPr>
        <w:t>”</w:t>
      </w:r>
      <w:r>
        <w:rPr>
          <w:spacing w:val="-2"/>
        </w:rPr>
        <w:t>三店一体具有紫鑫特色的第三终</w:t>
      </w:r>
      <w:r>
        <w:rPr>
          <w:spacing w:val="-19"/>
        </w:rPr>
        <w:t> </w:t>
      </w:r>
      <w:r>
        <w:rPr>
          <w:spacing w:val="-19"/>
        </w:rPr>
      </w:r>
      <w:r>
        <w:rPr>
          <w:spacing w:val="-7"/>
        </w:rPr>
        <w:t>端，公司在巩固药品销售的市场基础上，全力开发和建设人参专柜，进一步推进人参产业的发展，并于</w:t>
      </w:r>
      <w:r>
        <w:rPr>
          <w:rFonts w:ascii="Times New Roman" w:hAnsi="Times New Roman" w:cs="Times New Roman" w:eastAsia="Times New Roman" w:hint="default"/>
          <w:spacing w:val="-7"/>
        </w:rPr>
        <w:t>2019</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4</w:t>
      </w:r>
      <w:r>
        <w:rPr/>
        <w:t>月与哈尔滨国仁大药房有限公司、哈尔滨健康医药连锁有限公司、虎林市康贝大药房连锁有限公司等</w:t>
      </w:r>
      <w:r>
        <w:rPr>
          <w:spacing w:val="-25"/>
        </w:rPr>
        <w:t> </w:t>
      </w:r>
      <w:r>
        <w:rPr>
          <w:spacing w:val="-25"/>
        </w:rPr>
      </w:r>
      <w:r>
        <w:rPr>
          <w:rFonts w:ascii="Times New Roman" w:hAnsi="Times New Roman" w:cs="Times New Roman" w:eastAsia="Times New Roman" w:hint="default"/>
          <w:spacing w:val="-2"/>
        </w:rPr>
        <w:t>34</w:t>
      </w:r>
      <w:r>
        <w:rPr>
          <w:spacing w:val="-2"/>
        </w:rPr>
        <w:t>家黑龙江省部分百强连锁药店及本地知名连锁药店签署了《人参专柜战略合作框架协议书》，进一步，</w:t>
      </w:r>
      <w:r>
        <w:rPr>
          <w:spacing w:val="-19"/>
        </w:rPr>
        <w:t> </w:t>
      </w:r>
      <w:r>
        <w:rPr>
          <w:spacing w:val="-19"/>
        </w:rPr>
      </w:r>
      <w:r>
        <w:rPr/>
        <w:t>拓宽公司人参产品的销售市场，提升市场占有率，促进公司的业绩增长，提高公司品牌知名度。</w:t>
      </w:r>
    </w:p>
    <w:p>
      <w:pPr>
        <w:spacing w:line="240" w:lineRule="auto" w:before="8"/>
        <w:rPr>
          <w:rFonts w:ascii="宋体" w:hAnsi="宋体" w:cs="宋体" w:eastAsia="宋体" w:hint="default"/>
          <w:sz w:val="19"/>
          <w:szCs w:val="19"/>
        </w:rPr>
      </w:pPr>
    </w:p>
    <w:p>
      <w:pPr>
        <w:pStyle w:val="Heading3"/>
        <w:spacing w:line="240" w:lineRule="auto"/>
        <w:ind w:right="1133"/>
        <w:jc w:val="left"/>
        <w:rPr>
          <w:b w:val="0"/>
          <w:bCs w:val="0"/>
        </w:rPr>
      </w:pPr>
      <w:bookmarkStart w:name="二、主营业务分析" w:id="26"/>
      <w:bookmarkEnd w:id="26"/>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7" w:lineRule="auto" w:before="0"/>
        <w:ind w:left="152" w:right="6474"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5"/>
        <w:spacing w:line="240" w:lineRule="auto" w:before="26"/>
        <w:ind w:right="1133"/>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90"/>
        <w:gridCol w:w="1594"/>
        <w:gridCol w:w="1588"/>
        <w:gridCol w:w="1602"/>
        <w:gridCol w:w="1582"/>
        <w:gridCol w:w="1600"/>
      </w:tblGrid>
      <w:tr>
        <w:trPr>
          <w:trHeight w:val="206" w:hRule="exact"/>
        </w:trPr>
        <w:tc>
          <w:tcPr>
            <w:tcW w:w="15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590" w:type="dxa"/>
            <w:vMerge w:val="restart"/>
            <w:tcBorders>
              <w:top w:val="nil" w:sz="6" w:space="0" w:color="auto"/>
              <w:left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6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0"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602" w:type="dxa"/>
            <w:vMerge/>
            <w:tcBorders>
              <w:left w:val="single" w:sz="4" w:space="0" w:color="000000"/>
              <w:bottom w:val="single" w:sz="4" w:space="0" w:color="000000"/>
              <w:right w:val="single" w:sz="4" w:space="0" w:color="000000"/>
            </w:tcBorders>
            <w:shd w:val="clear" w:color="auto" w:fill="D2D2D2"/>
          </w:tcPr>
          <w:p>
            <w:pPr/>
          </w:p>
        </w:tc>
        <w:tc>
          <w:tcPr>
            <w:tcW w:w="1582" w:type="dxa"/>
            <w:vMerge/>
            <w:tcBorders>
              <w:left w:val="single" w:sz="4" w:space="0" w:color="000000"/>
              <w:bottom w:val="single" w:sz="4" w:space="0" w:color="000000"/>
              <w:right w:val="single" w:sz="4" w:space="0" w:color="000000"/>
            </w:tcBorders>
            <w:shd w:val="clear" w:color="auto" w:fill="D2D2D2"/>
          </w:tcPr>
          <w:p>
            <w:pPr/>
          </w:p>
        </w:tc>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859,289,244.11</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602"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1,324,961,112.13</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42" w:right="0"/>
              <w:jc w:val="left"/>
              <w:rPr>
                <w:rFonts w:ascii="Times New Roman" w:hAnsi="Times New Roman" w:cs="Times New Roman" w:eastAsia="Times New Roman" w:hint="default"/>
                <w:sz w:val="18"/>
                <w:szCs w:val="18"/>
              </w:rPr>
            </w:pPr>
            <w:r>
              <w:rPr>
                <w:rFonts w:ascii="Times New Roman"/>
                <w:sz w:val="18"/>
              </w:rPr>
              <w:t>-35.15%</w:t>
            </w:r>
          </w:p>
        </w:tc>
      </w:tr>
      <w:tr>
        <w:trPr>
          <w:trHeight w:val="398"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医药行业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859,289,244.11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1,324,961,112.13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100.00%</w:t>
            </w: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中成药产品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465,137,194.06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557,903,728.88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-16.63%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人参系列产品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383,918,286.62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44.68%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751,165,784.79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-48.89%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10,233,763.43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15,891,598.46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-35.60%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412,996,551.83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798,946,965.38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-48.31%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189,834,553.71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289,646,496.72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-34.46%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144,418,727.90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168,988,730.29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-14.54%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188,024,711.60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291,468,055.56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-35.49%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47,975,805.21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128,915,790.10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-62.79%</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19,518,414.53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2.27%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61,895,293.65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58,714,880.35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2,822,465.86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港澳台地区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7,225,111.12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95,780,232.49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-92.46%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内部抵消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-215,422,391.30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-507,500,038.76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-57.55%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医药行业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859,289,244.11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201,924,360.53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11.66%</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中成药产品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465,137,194.06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168,695,127.18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人参系列产品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383,918,286.62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29,729,455.23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25.74%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10,233,763.43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3,499,778.12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-65.28%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29.23%</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412,996,551.83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165,974,484.73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-66.12%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21.13%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189,834,553.71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60,121,586.07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19.15%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144,418,727.90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57,093,520.66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188,024,711.60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55,260,600.91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13.74%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47,975,805.21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26,252,489.60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-60.87%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19,518,414.53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6,015,121.51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69.18%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69.18%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61,895,293.65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35,307,343.06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2,822,465.86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2,311,456.25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18.11%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境外及港澳台地 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7,225,111.12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1,592,406.53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-92.46%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内部抵消</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-215,422,391.30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-208,004,648.79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中成药产品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盒</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23,880,670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33,551,431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-28.82%</w:t>
            </w:r>
          </w:p>
        </w:tc>
      </w:tr>
      <w:tr>
        <w:trPr>
          <w:trHeight w:val="403" w:hRule="exact"/>
        </w:trPr>
        <w:tc>
          <w:tcPr>
            <w:tcW w:w="1596" w:type="dxa"/>
            <w:vMerge/>
            <w:tcBorders>
              <w:left w:val="single" w:sz="4" w:space="0" w:color="000000"/>
              <w:right w:val="single" w:sz="9" w:space="0" w:color="D2D2D2"/>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盒</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40,262,225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30,995,870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29.90%</w:t>
            </w:r>
          </w:p>
        </w:tc>
      </w:tr>
      <w:tr>
        <w:trPr>
          <w:trHeight w:val="401" w:hRule="exact"/>
        </w:trPr>
        <w:tc>
          <w:tcPr>
            <w:tcW w:w="1596" w:type="dxa"/>
            <w:vMerge/>
            <w:tcBorders>
              <w:left w:val="single" w:sz="4" w:space="0" w:color="000000"/>
              <w:right w:val="single" w:sz="9" w:space="0" w:color="D2D2D2"/>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盒</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4,558,173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2,810,555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62.18%</w:t>
            </w:r>
          </w:p>
        </w:tc>
      </w:tr>
      <w:tr>
        <w:trPr>
          <w:trHeight w:val="403" w:hRule="exact"/>
        </w:trPr>
        <w:tc>
          <w:tcPr>
            <w:tcW w:w="1596" w:type="dxa"/>
            <w:vMerge/>
            <w:tcBorders>
              <w:left w:val="single" w:sz="4" w:space="0" w:color="000000"/>
              <w:bottom w:val="single" w:sz="4" w:space="0" w:color="000000"/>
              <w:right w:val="single" w:sz="9" w:space="0" w:color="D2D2D2"/>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毁损量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盒</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212,137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-41.66%</w:t>
            </w:r>
          </w:p>
        </w:tc>
      </w:tr>
      <w:tr>
        <w:trPr>
          <w:trHeight w:val="401"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人参系列产品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公斤</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687,874.86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-98.63%</w:t>
            </w:r>
          </w:p>
        </w:tc>
      </w:tr>
      <w:tr>
        <w:trPr>
          <w:trHeight w:val="403"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公斤</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82,658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52,938.76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56.14%</w:t>
            </w:r>
          </w:p>
        </w:tc>
      </w:tr>
      <w:tr>
        <w:trPr>
          <w:trHeight w:val="401"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公斤</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2,264,806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2,274,148.46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-0.41%</w:t>
            </w:r>
          </w:p>
        </w:tc>
      </w:tr>
      <w:tr>
        <w:trPr>
          <w:trHeight w:val="403"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研发领用量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公斤</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w:t>
            </w:r>
          </w:p>
        </w:tc>
      </w:tr>
      <w:tr>
        <w:trPr>
          <w:trHeight w:val="401"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盒、罐</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34.53%</w:t>
            </w:r>
          </w:p>
        </w:tc>
      </w:tr>
      <w:tr>
        <w:trPr>
          <w:trHeight w:val="403"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盒、罐</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466,978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333,655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39.96%</w:t>
            </w:r>
          </w:p>
        </w:tc>
      </w:tr>
      <w:tr>
        <w:trPr>
          <w:trHeight w:val="401"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盒、罐</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93.89%</w:t>
            </w:r>
          </w:p>
        </w:tc>
      </w:tr>
      <w:tr>
        <w:trPr>
          <w:trHeight w:val="403"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12,385,786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-99.52%</w:t>
            </w:r>
          </w:p>
        </w:tc>
      </w:tr>
      <w:tr>
        <w:trPr>
          <w:trHeight w:val="401"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12,380,324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-99.38%</w:t>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1"/>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59"/>
        <w:ind w:right="1133"/>
        <w:jc w:val="left"/>
      </w:pPr>
      <w:r>
        <w:rPr>
          <w:rFonts w:ascii="Times New Roman" w:hAnsi="Times New Roman" w:cs="Times New Roman" w:eastAsia="Times New Roman" w:hint="default"/>
        </w:rPr>
        <w:t>1.</w:t>
      </w:r>
      <w:r>
        <w:rPr/>
        <w:t>人参系列产品销售量（公斤）同比增减</w:t>
      </w:r>
      <w:r>
        <w:rPr>
          <w:rFonts w:ascii="Times New Roman" w:hAnsi="Times New Roman" w:cs="Times New Roman" w:eastAsia="Times New Roman" w:hint="default"/>
        </w:rPr>
        <w:t>-98.63%</w:t>
      </w:r>
      <w:r>
        <w:rPr/>
        <w:t>，主要是本期销售收入减少所致。</w:t>
      </w:r>
    </w:p>
    <w:p>
      <w:pPr>
        <w:pStyle w:val="BodyText"/>
        <w:spacing w:line="240" w:lineRule="auto" w:before="178"/>
        <w:ind w:right="1133"/>
        <w:jc w:val="left"/>
      </w:pPr>
      <w:r>
        <w:rPr>
          <w:rFonts w:ascii="Times New Roman" w:hAnsi="Times New Roman" w:cs="Times New Roman" w:eastAsia="Times New Roman" w:hint="default"/>
        </w:rPr>
        <w:t>2..</w:t>
      </w:r>
      <w:r>
        <w:rPr/>
        <w:t>人参系列产品生产量（公斤）同比增减</w:t>
      </w:r>
      <w:r>
        <w:rPr>
          <w:rFonts w:ascii="Times New Roman" w:hAnsi="Times New Roman" w:cs="Times New Roman" w:eastAsia="Times New Roman" w:hint="default"/>
        </w:rPr>
        <w:t>56.14%</w:t>
      </w:r>
      <w:r>
        <w:rPr/>
        <w:t>，主要是为下一年度销售进行的生产储备所致。</w:t>
      </w:r>
    </w:p>
    <w:p>
      <w:pPr>
        <w:pStyle w:val="BodyText"/>
        <w:spacing w:line="386" w:lineRule="auto" w:before="177"/>
        <w:ind w:right="1176"/>
        <w:jc w:val="left"/>
      </w:pPr>
      <w:r>
        <w:rPr>
          <w:rFonts w:ascii="Times New Roman" w:hAnsi="Times New Roman" w:cs="Times New Roman" w:eastAsia="Times New Roman" w:hint="default"/>
          <w:spacing w:val="-2"/>
        </w:rPr>
        <w:t>3.</w:t>
      </w:r>
      <w:r>
        <w:rPr>
          <w:spacing w:val="-2"/>
        </w:rPr>
        <w:t>人参系列产品生产量（支）同比增减</w:t>
      </w:r>
      <w:r>
        <w:rPr>
          <w:rFonts w:ascii="Times New Roman" w:hAnsi="Times New Roman" w:cs="Times New Roman" w:eastAsia="Times New Roman" w:hint="default"/>
          <w:spacing w:val="-2"/>
        </w:rPr>
        <w:t>-99.52%</w:t>
      </w:r>
      <w:r>
        <w:rPr>
          <w:spacing w:val="-2"/>
        </w:rPr>
        <w:t>，主要是上期销售公司位于延边州敦化市的敦化</w:t>
      </w:r>
      <w:r>
        <w:rPr>
          <w:rFonts w:ascii="Times New Roman" w:hAnsi="Times New Roman" w:cs="Times New Roman" w:eastAsia="Times New Roman" w:hint="default"/>
          <w:spacing w:val="-2"/>
        </w:rPr>
        <w:t>1</w:t>
      </w:r>
      <w:r>
        <w:rPr>
          <w:spacing w:val="-2"/>
        </w:rPr>
        <w:t>号基地的</w:t>
      </w:r>
      <w:r>
        <w:rPr>
          <w:spacing w:val="-13"/>
        </w:rPr>
        <w:t> </w:t>
      </w:r>
      <w:r>
        <w:rPr>
          <w:spacing w:val="-13"/>
        </w:rPr>
      </w:r>
      <w:r>
        <w:rPr/>
        <w:t>部分林下参地块整体出售，棵数约为</w:t>
      </w:r>
      <w:r>
        <w:rPr>
          <w:rFonts w:ascii="Times New Roman" w:hAnsi="Times New Roman" w:cs="Times New Roman" w:eastAsia="Times New Roman" w:hint="default"/>
        </w:rPr>
        <w:t>1100</w:t>
      </w:r>
      <w:r>
        <w:rPr/>
        <w:t>万棵，本期销售为单只人参产品所致。</w:t>
      </w:r>
      <w:r>
        <w:rPr>
          <w:w w:val="100"/>
        </w:rPr>
        <w:t> </w:t>
      </w:r>
      <w:r>
        <w:rPr>
          <w:rFonts w:ascii="Times New Roman" w:hAnsi="Times New Roman" w:cs="Times New Roman" w:eastAsia="Times New Roman" w:hint="default"/>
          <w:spacing w:val="-2"/>
        </w:rPr>
        <w:t>4.</w:t>
      </w:r>
      <w:r>
        <w:rPr>
          <w:spacing w:val="-2"/>
        </w:rPr>
        <w:t>人参系列产品销售量（支）同比增减</w:t>
      </w:r>
      <w:r>
        <w:rPr>
          <w:rFonts w:ascii="Times New Roman" w:hAnsi="Times New Roman" w:cs="Times New Roman" w:eastAsia="Times New Roman" w:hint="default"/>
          <w:spacing w:val="-2"/>
        </w:rPr>
        <w:t>-99.38%</w:t>
      </w:r>
      <w:r>
        <w:rPr>
          <w:spacing w:val="-2"/>
        </w:rPr>
        <w:t>，主要是上期销售公司位于延边州敦化市的敦化</w:t>
      </w:r>
      <w:r>
        <w:rPr>
          <w:rFonts w:ascii="Times New Roman" w:hAnsi="Times New Roman" w:cs="Times New Roman" w:eastAsia="Times New Roman" w:hint="default"/>
          <w:spacing w:val="-2"/>
        </w:rPr>
        <w:t>1</w:t>
      </w:r>
      <w:r>
        <w:rPr>
          <w:spacing w:val="-2"/>
        </w:rPr>
        <w:t>号基地的</w:t>
      </w:r>
      <w:r>
        <w:rPr>
          <w:spacing w:val="-13"/>
        </w:rPr>
        <w:t> </w:t>
      </w:r>
      <w:r>
        <w:rPr>
          <w:spacing w:val="-13"/>
        </w:rPr>
      </w:r>
      <w:r>
        <w:rPr/>
        <w:t>部分林下参地块整体出售，棵数约为</w:t>
      </w:r>
      <w:r>
        <w:rPr>
          <w:rFonts w:ascii="Times New Roman" w:hAnsi="Times New Roman" w:cs="Times New Roman" w:eastAsia="Times New Roman" w:hint="default"/>
        </w:rPr>
        <w:t>1100</w:t>
      </w:r>
      <w:r>
        <w:rPr/>
        <w:t>万棵，本期销售为单只人参产品所致。</w:t>
      </w:r>
      <w:r>
        <w:rPr>
          <w:w w:val="100"/>
        </w:rPr>
        <w:t> </w:t>
      </w:r>
      <w:r>
        <w:rPr>
          <w:rFonts w:ascii="Times New Roman" w:hAnsi="Times New Roman" w:cs="Times New Roman" w:eastAsia="Times New Roman" w:hint="default"/>
        </w:rPr>
        <w:t>5.</w:t>
      </w:r>
      <w:r>
        <w:rPr/>
        <w:t>人参系列产生产量（盒、罐）同比增减</w:t>
      </w:r>
      <w:r>
        <w:rPr>
          <w:rFonts w:ascii="Times New Roman" w:hAnsi="Times New Roman" w:cs="Times New Roman" w:eastAsia="Times New Roman" w:hint="default"/>
        </w:rPr>
        <w:t>39.96%</w:t>
      </w:r>
      <w:r>
        <w:rPr/>
        <w:t>，主要是下一年度销售进行的生产储备所致。</w:t>
      </w:r>
    </w:p>
    <w:p>
      <w:pPr>
        <w:pStyle w:val="BodyText"/>
        <w:spacing w:line="240" w:lineRule="auto" w:before="35"/>
        <w:ind w:right="1133"/>
        <w:jc w:val="left"/>
      </w:pPr>
      <w:r>
        <w:rPr>
          <w:rFonts w:ascii="Times New Roman" w:hAnsi="Times New Roman" w:cs="Times New Roman" w:eastAsia="Times New Roman" w:hint="default"/>
        </w:rPr>
        <w:t>6.</w:t>
      </w:r>
      <w:r>
        <w:rPr/>
        <w:t>人参系列产库存量（盒、罐）同比增减</w:t>
      </w:r>
      <w:r>
        <w:rPr>
          <w:rFonts w:ascii="Times New Roman" w:hAnsi="Times New Roman" w:cs="Times New Roman" w:eastAsia="Times New Roman" w:hint="default"/>
        </w:rPr>
        <w:t>93.89%</w:t>
      </w:r>
      <w:r>
        <w:rPr/>
        <w:t>。主要是本年度生产量增加所致。</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1133"/>
        <w:jc w:val="left"/>
      </w:pPr>
      <w:r>
        <w:rPr>
          <w:rFonts w:ascii="Times New Roman" w:hAnsi="Times New Roman" w:cs="Times New Roman" w:eastAsia="Times New Roman" w:hint="default"/>
        </w:rPr>
        <w:t>7.</w:t>
      </w:r>
      <w:r>
        <w:rPr/>
        <w:t>中成药产品库存量（盒）同比增减</w:t>
      </w:r>
      <w:r>
        <w:rPr>
          <w:rFonts w:ascii="Times New Roman" w:hAnsi="Times New Roman" w:cs="Times New Roman" w:eastAsia="Times New Roman" w:hint="default"/>
        </w:rPr>
        <w:t>62.18%</w:t>
      </w:r>
      <w:r>
        <w:rPr/>
        <w:t>，主要是本年度生产量增加所致。</w:t>
      </w:r>
    </w:p>
    <w:p>
      <w:pPr>
        <w:pStyle w:val="BodyText"/>
        <w:spacing w:line="240" w:lineRule="auto" w:before="177"/>
        <w:ind w:right="1133"/>
        <w:jc w:val="left"/>
      </w:pPr>
      <w:r>
        <w:rPr>
          <w:rFonts w:ascii="Times New Roman" w:hAnsi="Times New Roman" w:cs="Times New Roman" w:eastAsia="Times New Roman" w:hint="default"/>
        </w:rPr>
        <w:t>8..</w:t>
      </w:r>
      <w:r>
        <w:rPr/>
        <w:t>中成药产品毁损量（盒）同比增减</w:t>
      </w:r>
      <w:r>
        <w:rPr>
          <w:rFonts w:ascii="Times New Roman" w:hAnsi="Times New Roman" w:cs="Times New Roman" w:eastAsia="Times New Roman" w:hint="default"/>
        </w:rPr>
        <w:t>-41.66%</w:t>
      </w:r>
      <w:r>
        <w:rPr/>
        <w:t>，主要是公司通过精细化管理，完善生产流程所致。</w:t>
      </w:r>
    </w:p>
    <w:p>
      <w:pPr>
        <w:spacing w:line="240" w:lineRule="auto" w:before="8"/>
        <w:rPr>
          <w:rFonts w:ascii="宋体" w:hAnsi="宋体" w:cs="宋体" w:eastAsia="宋体" w:hint="default"/>
          <w:sz w:val="30"/>
          <w:szCs w:val="30"/>
        </w:rPr>
      </w:pPr>
    </w:p>
    <w:p>
      <w:pPr>
        <w:pStyle w:val="Heading5"/>
        <w:spacing w:line="240" w:lineRule="auto"/>
        <w:ind w:right="1133"/>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73" w:space="8047"/>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中成药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114,582,858.81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134,673,238.95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27.84%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中成药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8,173,378.78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9,250,998.82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中成药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45,938,889.58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60,331,861.78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人参产品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14,947,552.82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218,450,106.08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-39.49%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人参产品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2,710,880.66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5,445,242.11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人参产品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12,071,021.75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27,636,614.55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2,884,550.58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8,754,404.09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521,729.21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218,040.21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93,498.33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1,106,634.61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before="115"/>
        <w:ind w:left="152" w:right="1133" w:firstLine="0"/>
        <w:jc w:val="left"/>
        <w:rPr>
          <w:rFonts w:ascii="宋体" w:hAnsi="宋体" w:cs="宋体" w:eastAsia="宋体" w:hint="default"/>
          <w:sz w:val="18"/>
          <w:szCs w:val="18"/>
        </w:rPr>
      </w:pPr>
      <w:r>
        <w:rPr>
          <w:rFonts w:ascii="宋体" w:hAnsi="宋体" w:cs="宋体" w:eastAsia="宋体" w:hint="default"/>
          <w:sz w:val="18"/>
          <w:szCs w:val="18"/>
        </w:rPr>
        <w:t>人参产品直接材料同比增减</w:t>
      </w:r>
      <w:r>
        <w:rPr>
          <w:rFonts w:ascii="Times New Roman" w:hAnsi="Times New Roman" w:cs="Times New Roman" w:eastAsia="Times New Roman" w:hint="default"/>
          <w:sz w:val="18"/>
          <w:szCs w:val="18"/>
        </w:rPr>
        <w:t>-39.49%</w:t>
      </w:r>
      <w:r>
        <w:rPr>
          <w:rFonts w:ascii="宋体" w:hAnsi="宋体" w:cs="宋体" w:eastAsia="宋体" w:hint="default"/>
          <w:sz w:val="18"/>
          <w:szCs w:val="18"/>
        </w:rPr>
        <w:t>，主要原因是本期营业收入下降所致。</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pStyle w:val="BodyText"/>
        <w:spacing w:line="240" w:lineRule="auto" w:before="177"/>
        <w:ind w:left="573" w:right="1133"/>
        <w:jc w:val="left"/>
      </w:pPr>
      <w:r>
        <w:rPr/>
        <w:t>本期本公司于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日董事会决议通过设立方式，成立吉林紫鑫汉麻研发有限公司，注册资本</w:t>
      </w:r>
    </w:p>
    <w:p>
      <w:pPr>
        <w:pStyle w:val="BodyText"/>
        <w:spacing w:line="386" w:lineRule="auto" w:before="178"/>
        <w:ind w:left="573" w:right="1133" w:hanging="421"/>
        <w:jc w:val="left"/>
      </w:pPr>
      <w:r>
        <w:rPr>
          <w:rFonts w:ascii="Times New Roman" w:hAnsi="Times New Roman" w:cs="Times New Roman" w:eastAsia="Times New Roman" w:hint="default"/>
        </w:rPr>
        <w:t>1,000</w:t>
      </w:r>
      <w:r>
        <w:rPr/>
        <w:t>万元，于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日办理完工商登记手续。</w:t>
      </w:r>
      <w:r>
        <w:rPr>
          <w:w w:val="100"/>
        </w:rPr>
        <w:t> </w:t>
      </w:r>
      <w:r>
        <w:rPr>
          <w:spacing w:val="-2"/>
        </w:rPr>
        <w:t>本期本公司于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7</w:t>
      </w:r>
      <w:r>
        <w:rPr>
          <w:spacing w:val="-2"/>
        </w:rPr>
        <w:t>日董事会决议通过设立方式，成立吉林紫鑫进出口贸易有限公司，注册资本</w:t>
      </w:r>
    </w:p>
    <w:p>
      <w:pPr>
        <w:pStyle w:val="BodyText"/>
        <w:spacing w:line="386" w:lineRule="auto" w:before="35"/>
        <w:ind w:left="573" w:right="1133" w:hanging="421"/>
        <w:jc w:val="left"/>
      </w:pPr>
      <w:r>
        <w:rPr>
          <w:rFonts w:ascii="Times New Roman" w:hAnsi="Times New Roman" w:cs="Times New Roman" w:eastAsia="Times New Roman" w:hint="default"/>
        </w:rPr>
        <w:t>2,000</w:t>
      </w:r>
      <w:r>
        <w:rPr/>
        <w:t>万元。于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日办理完工商登记手续。</w:t>
      </w:r>
      <w:r>
        <w:rPr>
          <w:w w:val="100"/>
        </w:rPr>
        <w:t> </w:t>
      </w:r>
      <w:r>
        <w:rPr>
          <w:spacing w:val="-2"/>
        </w:rPr>
        <w:t>本期本公司于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日董事会决议通过设立方式，成立吉林紫鑫鑫正医药物流有限公司，注册资</w:t>
      </w:r>
    </w:p>
    <w:p>
      <w:pPr>
        <w:pStyle w:val="BodyText"/>
        <w:spacing w:line="386" w:lineRule="auto" w:before="35"/>
        <w:ind w:left="573" w:right="1133" w:hanging="421"/>
        <w:jc w:val="left"/>
      </w:pPr>
      <w:r>
        <w:rPr/>
        <w:t>本</w:t>
      </w:r>
      <w:r>
        <w:rPr>
          <w:rFonts w:ascii="Times New Roman" w:hAnsi="Times New Roman" w:cs="Times New Roman" w:eastAsia="Times New Roman" w:hint="default"/>
        </w:rPr>
        <w:t>2,000</w:t>
      </w:r>
      <w:r>
        <w:rPr/>
        <w:t>万元。于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日办理完工商登记手续。</w:t>
      </w:r>
      <w:r>
        <w:rPr>
          <w:w w:val="100"/>
        </w:rPr>
        <w:t> </w:t>
      </w:r>
      <w:r>
        <w:rPr>
          <w:spacing w:val="-2"/>
        </w:rPr>
        <w:t>本期本公司于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9</w:t>
      </w:r>
      <w:r>
        <w:rPr>
          <w:spacing w:val="-2"/>
        </w:rPr>
        <w:t>日董事会决议通过设立方式，成立吉林紫鑫医药产业园孵化器管理有限公</w:t>
      </w:r>
    </w:p>
    <w:p>
      <w:pPr>
        <w:spacing w:after="0" w:line="386"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5"/>
        <w:ind w:left="489" w:right="1133" w:hanging="337"/>
        <w:jc w:val="left"/>
      </w:pPr>
      <w:r>
        <w:rPr/>
        <w:t>司，注册资本</w:t>
      </w:r>
      <w:r>
        <w:rPr>
          <w:rFonts w:ascii="Times New Roman" w:hAnsi="Times New Roman" w:cs="Times New Roman" w:eastAsia="Times New Roman" w:hint="default"/>
        </w:rPr>
        <w:t>5,000</w:t>
      </w:r>
      <w:r>
        <w:rPr/>
        <w:t>万元。于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日办理完工商登记手续。</w:t>
      </w:r>
      <w:r>
        <w:rPr>
          <w:w w:val="100"/>
        </w:rPr>
        <w:t> </w:t>
      </w:r>
      <w:r>
        <w:rPr>
          <w:spacing w:val="-3"/>
        </w:rPr>
        <w:t>本期本公司子公司吉林紫鑫般若药业有限公司于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16</w:t>
      </w:r>
      <w:r>
        <w:rPr>
          <w:spacing w:val="-3"/>
        </w:rPr>
        <w:t>日董事会决议通过设立方式，成立磐石紫</w:t>
      </w:r>
    </w:p>
    <w:p>
      <w:pPr>
        <w:pStyle w:val="BodyText"/>
        <w:spacing w:line="240" w:lineRule="auto" w:before="35"/>
        <w:ind w:right="1133"/>
        <w:jc w:val="left"/>
      </w:pPr>
      <w:r>
        <w:rPr/>
        <w:t>鑫医药销售有限公司，注册资本</w:t>
      </w:r>
      <w:r>
        <w:rPr>
          <w:rFonts w:ascii="Times New Roman" w:hAnsi="Times New Roman" w:cs="Times New Roman" w:eastAsia="Times New Roman" w:hint="default"/>
        </w:rPr>
        <w:t>100</w:t>
      </w:r>
      <w:r>
        <w:rPr/>
        <w:t>万元。于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日办理完工商登记手续。</w:t>
      </w:r>
    </w:p>
    <w:p>
      <w:pPr>
        <w:spacing w:line="240" w:lineRule="auto" w:before="8"/>
        <w:rPr>
          <w:rFonts w:ascii="宋体" w:hAnsi="宋体" w:cs="宋体" w:eastAsia="宋体" w:hint="default"/>
          <w:sz w:val="30"/>
          <w:szCs w:val="30"/>
        </w:rPr>
      </w:pPr>
    </w:p>
    <w:p>
      <w:pPr>
        <w:pStyle w:val="Heading5"/>
        <w:spacing w:line="240" w:lineRule="auto"/>
        <w:ind w:right="1133"/>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233,107,121.28</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27.13%</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w w:val="99"/>
                <w:sz w:val="18"/>
              </w:rPr>
              <w:t>A</w:t>
            </w:r>
            <w:r>
              <w:rPr>
                <w:rFonts w:ascii="Times New Roman"/>
                <w:sz w:val="18"/>
              </w:rPr>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86,680,861.30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10.09%</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B</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55,045,871.40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C</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39,170,000.00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4.56%</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w w:val="99"/>
                <w:sz w:val="18"/>
              </w:rPr>
              <w:t>D</w:t>
            </w:r>
            <w:r>
              <w:rPr>
                <w:rFonts w:ascii="Times New Roman"/>
                <w:sz w:val="18"/>
              </w:rPr>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32,175,388.58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E</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20,035,000.00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233,107,121.28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27.13%</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7"/>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684,215,241.47</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91.99%</w:t>
            </w:r>
          </w:p>
        </w:tc>
      </w:tr>
      <w:tr>
        <w:trPr>
          <w:trHeight w:val="716"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A</w:t>
            </w:r>
            <w:r>
              <w:rPr>
                <w:rFonts w:ascii="Times New Roman"/>
                <w:sz w:val="18"/>
              </w:rPr>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383,000,000.00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51.49%</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B</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235,000,000.00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31.59%</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C</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32,340,000.00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D</w:t>
            </w:r>
            <w:r>
              <w:rPr>
                <w:rFonts w:ascii="Times New Roman"/>
                <w:sz w:val="18"/>
              </w:rPr>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28,741,527.99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E</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5,133,713.48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0.69%</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684,215,241.47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91.99%</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91,995,555.71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151,219,484.20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本期营业收入下降所致</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196,631,140.43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207,918,938.88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321,627,254.73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245,135,914.41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本期银行贷款增加所致</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40,355,846.19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5" w:right="0"/>
              <w:jc w:val="left"/>
              <w:rPr>
                <w:rFonts w:ascii="Times New Roman" w:hAnsi="Times New Roman" w:cs="Times New Roman" w:eastAsia="Times New Roman" w:hint="default"/>
                <w:sz w:val="18"/>
                <w:szCs w:val="18"/>
              </w:rPr>
            </w:pPr>
            <w:r>
              <w:rPr>
                <w:rFonts w:ascii="Times New Roman"/>
                <w:sz w:val="18"/>
              </w:rPr>
              <w:t>45,565,651.11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-11.43%</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5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报告期内，公司研发投入</w:t>
      </w:r>
      <w:r>
        <w:rPr>
          <w:rFonts w:ascii="Times New Roman" w:hAnsi="Times New Roman" w:cs="Times New Roman" w:eastAsia="Times New Roman" w:hint="default"/>
          <w:sz w:val="18"/>
          <w:szCs w:val="18"/>
        </w:rPr>
        <w:t>40,355,846.19</w:t>
      </w:r>
      <w:r>
        <w:rPr>
          <w:rFonts w:ascii="宋体" w:hAnsi="宋体" w:cs="宋体" w:eastAsia="宋体" w:hint="default"/>
          <w:sz w:val="18"/>
          <w:szCs w:val="18"/>
        </w:rPr>
        <w:t>元，占</w:t>
      </w:r>
      <w:r>
        <w:rPr>
          <w:rFonts w:ascii="Times New Roman" w:hAnsi="Times New Roman" w:cs="Times New Roman" w:eastAsia="Times New Roman" w:hint="default"/>
          <w:sz w:val="18"/>
          <w:szCs w:val="18"/>
        </w:rPr>
        <w:t>2019</w:t>
      </w:r>
      <w:r>
        <w:rPr>
          <w:rFonts w:ascii="宋体" w:hAnsi="宋体" w:cs="宋体" w:eastAsia="宋体" w:hint="default"/>
          <w:sz w:val="18"/>
          <w:szCs w:val="18"/>
        </w:rPr>
        <w:t>年营业收入的</w:t>
      </w:r>
      <w:r>
        <w:rPr>
          <w:rFonts w:ascii="Times New Roman" w:hAnsi="Times New Roman" w:cs="Times New Roman" w:eastAsia="Times New Roman" w:hint="default"/>
          <w:sz w:val="18"/>
          <w:szCs w:val="18"/>
        </w:rPr>
        <w:t>4.70%</w:t>
      </w:r>
      <w:r>
        <w:rPr>
          <w:rFonts w:ascii="宋体" w:hAnsi="宋体" w:cs="宋体" w:eastAsia="宋体" w:hint="default"/>
          <w:sz w:val="18"/>
          <w:szCs w:val="18"/>
        </w:rPr>
        <w:t>。</w:t>
      </w:r>
    </w:p>
    <w:p>
      <w:pPr>
        <w:spacing w:line="240" w:lineRule="auto" w:before="5"/>
        <w:rPr>
          <w:rFonts w:ascii="宋体" w:hAnsi="宋体" w:cs="宋体" w:eastAsia="宋体" w:hint="default"/>
          <w:sz w:val="25"/>
          <w:szCs w:val="25"/>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40.58%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40,355,846.19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45,565,651.11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-11.43%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before="39"/>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815,017,927.83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9" w:right="0"/>
              <w:jc w:val="left"/>
              <w:rPr>
                <w:rFonts w:ascii="Times New Roman" w:hAnsi="Times New Roman" w:cs="Times New Roman" w:eastAsia="Times New Roman" w:hint="default"/>
                <w:sz w:val="18"/>
                <w:szCs w:val="18"/>
              </w:rPr>
            </w:pPr>
            <w:r>
              <w:rPr>
                <w:rFonts w:ascii="Times New Roman"/>
                <w:sz w:val="18"/>
              </w:rPr>
              <w:t>1,410,585,446.08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-42.22%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1,138,297,824.18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2,178,017,564.52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-47.74%</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-323,279,896.35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-767,432,118.44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-57.88%</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111,028,970.00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8,816,320.75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1,159.36%</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378,784,434.71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151,652,797.85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149.77%</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-267,755,464.71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-142,836,477.10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-87.46%</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4,062,245,000.00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4,051,798,888.89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0.26%</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3,583,688,122.84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3,875,677,489.59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-7.53%</w:t>
            </w:r>
          </w:p>
        </w:tc>
      </w:tr>
      <w:tr>
        <w:trPr>
          <w:trHeight w:val="71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478,556,877.16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176,121,399.30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171.72%</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-112,074,709.62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-731,653,900.77</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59"/>
        <w:ind w:right="1133"/>
        <w:jc w:val="left"/>
      </w:pPr>
      <w:r>
        <w:rPr>
          <w:rFonts w:ascii="Times New Roman" w:hAnsi="Times New Roman" w:cs="Times New Roman" w:eastAsia="Times New Roman" w:hint="default"/>
        </w:rPr>
        <w:t>1.</w:t>
      </w:r>
      <w:r>
        <w:rPr/>
        <w:t>经营活动现金流入小计：同比增减</w:t>
      </w:r>
      <w:r>
        <w:rPr>
          <w:rFonts w:ascii="Times New Roman" w:hAnsi="Times New Roman" w:cs="Times New Roman" w:eastAsia="Times New Roman" w:hint="default"/>
        </w:rPr>
        <w:t>-42.22%</w:t>
      </w:r>
      <w:r>
        <w:rPr/>
        <w:t>原因为本期销售收入减少所致。</w:t>
      </w:r>
    </w:p>
    <w:p>
      <w:pPr>
        <w:pStyle w:val="BodyText"/>
        <w:spacing w:line="240" w:lineRule="auto" w:before="177"/>
        <w:ind w:right="1133"/>
        <w:jc w:val="left"/>
      </w:pPr>
      <w:r>
        <w:rPr>
          <w:rFonts w:ascii="Times New Roman" w:hAnsi="Times New Roman" w:cs="Times New Roman" w:eastAsia="Times New Roman" w:hint="default"/>
        </w:rPr>
        <w:t>2.</w:t>
      </w:r>
      <w:r>
        <w:rPr/>
        <w:t>经营活动现金流出小计：同比增减</w:t>
      </w:r>
      <w:r>
        <w:rPr>
          <w:rFonts w:ascii="Times New Roman" w:hAnsi="Times New Roman" w:cs="Times New Roman" w:eastAsia="Times New Roman" w:hint="default"/>
        </w:rPr>
        <w:t>-47.74%</w:t>
      </w:r>
      <w:r>
        <w:rPr/>
        <w:t>原因本期采购原材料、林下参等金额减少所致。</w:t>
      </w:r>
    </w:p>
    <w:p>
      <w:pPr>
        <w:pStyle w:val="BodyText"/>
        <w:spacing w:line="240" w:lineRule="auto" w:before="177"/>
        <w:ind w:right="1133"/>
        <w:jc w:val="left"/>
      </w:pPr>
      <w:r>
        <w:rPr>
          <w:rFonts w:ascii="Times New Roman" w:hAnsi="Times New Roman" w:cs="Times New Roman" w:eastAsia="Times New Roman" w:hint="default"/>
        </w:rPr>
        <w:t>3.</w:t>
      </w:r>
      <w:r>
        <w:rPr/>
        <w:t>经营活动产生的现金流量净额：同比增减</w:t>
      </w:r>
      <w:r>
        <w:rPr>
          <w:rFonts w:ascii="Times New Roman" w:hAnsi="Times New Roman" w:cs="Times New Roman" w:eastAsia="Times New Roman" w:hint="default"/>
        </w:rPr>
        <w:t>-57.88%</w:t>
      </w:r>
      <w:r>
        <w:rPr/>
        <w:t>原因本期经营活动现金流出减少较多所致。</w:t>
      </w:r>
    </w:p>
    <w:p>
      <w:pPr>
        <w:pStyle w:val="BodyText"/>
        <w:spacing w:line="398" w:lineRule="auto" w:before="177"/>
        <w:ind w:right="1133"/>
        <w:jc w:val="left"/>
      </w:pPr>
      <w:r>
        <w:rPr>
          <w:rFonts w:ascii="Times New Roman" w:hAnsi="Times New Roman" w:cs="Times New Roman" w:eastAsia="Times New Roman" w:hint="default"/>
          <w:spacing w:val="-2"/>
        </w:rPr>
        <w:t>4.</w:t>
      </w:r>
      <w:r>
        <w:rPr>
          <w:spacing w:val="-2"/>
        </w:rPr>
        <w:t>投资活动现金流入小计：同比增减</w:t>
      </w:r>
      <w:r>
        <w:rPr>
          <w:rFonts w:ascii="Times New Roman" w:hAnsi="Times New Roman" w:cs="Times New Roman" w:eastAsia="Times New Roman" w:hint="default"/>
          <w:spacing w:val="-2"/>
        </w:rPr>
        <w:t>1.159.36%</w:t>
      </w:r>
      <w:r>
        <w:rPr>
          <w:spacing w:val="-2"/>
        </w:rPr>
        <w:t>主要原因是出售公司所持有的长春农商行股份收到的款项增</w:t>
      </w:r>
      <w:r>
        <w:rPr>
          <w:spacing w:val="-51"/>
        </w:rPr>
        <w:t> </w:t>
      </w:r>
      <w:r>
        <w:rPr>
          <w:spacing w:val="-51"/>
        </w:rPr>
      </w:r>
      <w:r>
        <w:rPr/>
        <w:t>加所致。</w:t>
      </w:r>
      <w:r>
        <w:rPr>
          <w:w w:val="100"/>
        </w:rPr>
        <w:t> </w:t>
      </w:r>
      <w:r>
        <w:rPr>
          <w:rFonts w:ascii="Times New Roman" w:hAnsi="Times New Roman" w:cs="Times New Roman" w:eastAsia="Times New Roman" w:hint="default"/>
        </w:rPr>
        <w:t>5.</w:t>
      </w:r>
      <w:r>
        <w:rPr/>
        <w:t>投资活动现金流出小计：同比增减</w:t>
      </w:r>
      <w:r>
        <w:rPr>
          <w:rFonts w:ascii="Times New Roman" w:hAnsi="Times New Roman" w:cs="Times New Roman" w:eastAsia="Times New Roman" w:hint="default"/>
        </w:rPr>
        <w:t>149.77%</w:t>
      </w:r>
      <w:r>
        <w:rPr/>
        <w:t>主要原因是本期购建固定资产、在建工程支出增加所致。</w:t>
      </w:r>
    </w:p>
    <w:p>
      <w:pPr>
        <w:pStyle w:val="BodyText"/>
        <w:spacing w:line="240" w:lineRule="auto" w:before="24"/>
        <w:ind w:right="0"/>
        <w:jc w:val="left"/>
      </w:pPr>
      <w:r>
        <w:rPr>
          <w:rFonts w:ascii="Times New Roman" w:hAnsi="Times New Roman" w:cs="Times New Roman" w:eastAsia="Times New Roman" w:hint="default"/>
          <w:w w:val="100"/>
        </w:rPr>
        <w:t>6.</w:t>
      </w:r>
      <w:r>
        <w:rPr>
          <w:w w:val="100"/>
        </w:rPr>
        <w:t>投</w:t>
      </w:r>
      <w:r>
        <w:rPr>
          <w:spacing w:val="-3"/>
          <w:w w:val="100"/>
        </w:rPr>
        <w:t>资</w:t>
      </w:r>
      <w:r>
        <w:rPr>
          <w:w w:val="100"/>
        </w:rPr>
        <w:t>活</w:t>
      </w:r>
      <w:r>
        <w:rPr>
          <w:spacing w:val="-3"/>
          <w:w w:val="100"/>
        </w:rPr>
        <w:t>动</w:t>
      </w:r>
      <w:r>
        <w:rPr>
          <w:w w:val="100"/>
        </w:rPr>
        <w:t>产</w:t>
      </w:r>
      <w:r>
        <w:rPr>
          <w:spacing w:val="-3"/>
          <w:w w:val="100"/>
        </w:rPr>
        <w:t>生</w:t>
      </w:r>
      <w:r>
        <w:rPr>
          <w:w w:val="100"/>
        </w:rPr>
        <w:t>的</w:t>
      </w:r>
      <w:r>
        <w:rPr>
          <w:spacing w:val="-3"/>
          <w:w w:val="100"/>
        </w:rPr>
        <w:t>现</w:t>
      </w:r>
      <w:r>
        <w:rPr>
          <w:w w:val="100"/>
        </w:rPr>
        <w:t>金</w:t>
      </w:r>
      <w:r>
        <w:rPr>
          <w:spacing w:val="-3"/>
          <w:w w:val="100"/>
        </w:rPr>
        <w:t>流</w:t>
      </w:r>
      <w:r>
        <w:rPr>
          <w:w w:val="100"/>
        </w:rPr>
        <w:t>量净</w:t>
      </w:r>
      <w:r>
        <w:rPr>
          <w:spacing w:val="-3"/>
          <w:w w:val="100"/>
        </w:rPr>
        <w:t>额</w:t>
      </w:r>
      <w:r>
        <w:rPr>
          <w:spacing w:val="-82"/>
          <w:w w:val="100"/>
        </w:rPr>
        <w:t>：</w:t>
      </w:r>
      <w:r>
        <w:rPr>
          <w:spacing w:val="-3"/>
          <w:w w:val="100"/>
        </w:rPr>
        <w:t>同</w:t>
      </w:r>
      <w:r>
        <w:rPr>
          <w:w w:val="100"/>
        </w:rPr>
        <w:t>比</w:t>
      </w:r>
      <w:r>
        <w:rPr>
          <w:spacing w:val="-3"/>
          <w:w w:val="100"/>
        </w:rPr>
        <w:t>增</w:t>
      </w:r>
      <w:r>
        <w:rPr>
          <w:spacing w:val="-1"/>
          <w:w w:val="100"/>
        </w:rPr>
        <w:t>减</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87.46</w:t>
      </w:r>
      <w:r>
        <w:rPr>
          <w:rFonts w:ascii="Times New Roman" w:hAnsi="Times New Roman" w:cs="Times New Roman" w:eastAsia="Times New Roman" w:hint="default"/>
          <w:spacing w:val="-4"/>
          <w:w w:val="100"/>
        </w:rPr>
        <w:t>%</w:t>
      </w:r>
      <w:r>
        <w:rPr>
          <w:w w:val="100"/>
        </w:rPr>
        <w:t>主要</w:t>
      </w:r>
      <w:r>
        <w:rPr>
          <w:spacing w:val="-3"/>
          <w:w w:val="100"/>
        </w:rPr>
        <w:t>原</w:t>
      </w:r>
      <w:r>
        <w:rPr>
          <w:w w:val="100"/>
        </w:rPr>
        <w:t>因</w:t>
      </w:r>
      <w:r>
        <w:rPr>
          <w:spacing w:val="-3"/>
          <w:w w:val="100"/>
        </w:rPr>
        <w:t>是</w:t>
      </w:r>
      <w:r>
        <w:rPr>
          <w:w w:val="100"/>
        </w:rPr>
        <w:t>本</w:t>
      </w:r>
      <w:r>
        <w:rPr>
          <w:spacing w:val="-3"/>
          <w:w w:val="100"/>
        </w:rPr>
        <w:t>期</w:t>
      </w:r>
      <w:r>
        <w:rPr>
          <w:w w:val="100"/>
        </w:rPr>
        <w:t>购</w:t>
      </w:r>
      <w:r>
        <w:rPr>
          <w:spacing w:val="-3"/>
          <w:w w:val="100"/>
        </w:rPr>
        <w:t>建</w:t>
      </w:r>
      <w:r>
        <w:rPr>
          <w:w w:val="100"/>
        </w:rPr>
        <w:t>固</w:t>
      </w:r>
      <w:r>
        <w:rPr>
          <w:spacing w:val="-3"/>
          <w:w w:val="100"/>
        </w:rPr>
        <w:t>定</w:t>
      </w:r>
      <w:r>
        <w:rPr>
          <w:w w:val="100"/>
        </w:rPr>
        <w:t>资产</w:t>
      </w:r>
      <w:r>
        <w:rPr>
          <w:spacing w:val="-85"/>
          <w:w w:val="100"/>
        </w:rPr>
        <w:t>、</w:t>
      </w:r>
      <w:r>
        <w:rPr>
          <w:w w:val="100"/>
        </w:rPr>
        <w:t>在</w:t>
      </w:r>
      <w:r>
        <w:rPr>
          <w:spacing w:val="-3"/>
          <w:w w:val="100"/>
        </w:rPr>
        <w:t>建</w:t>
      </w:r>
      <w:r>
        <w:rPr>
          <w:w w:val="100"/>
        </w:rPr>
        <w:t>工</w:t>
      </w:r>
      <w:r>
        <w:rPr>
          <w:spacing w:val="-3"/>
          <w:w w:val="100"/>
        </w:rPr>
        <w:t>程</w:t>
      </w:r>
      <w:r>
        <w:rPr>
          <w:w w:val="100"/>
        </w:rPr>
        <w:t>支</w:t>
      </w:r>
      <w:r>
        <w:rPr>
          <w:spacing w:val="-3"/>
          <w:w w:val="100"/>
        </w:rPr>
        <w:t>出</w:t>
      </w:r>
      <w:r>
        <w:rPr>
          <w:w w:val="100"/>
        </w:rPr>
        <w:t>增</w:t>
      </w:r>
      <w:r>
        <w:rPr>
          <w:spacing w:val="-3"/>
          <w:w w:val="100"/>
        </w:rPr>
        <w:t>加所</w:t>
      </w:r>
      <w:r>
        <w:rPr>
          <w:w w:val="100"/>
        </w:rPr>
        <w:t>致。</w:t>
      </w:r>
    </w:p>
    <w:p>
      <w:pPr>
        <w:pStyle w:val="BodyText"/>
        <w:spacing w:line="386" w:lineRule="auto" w:before="177"/>
        <w:ind w:right="1133"/>
        <w:jc w:val="left"/>
      </w:pPr>
      <w:r>
        <w:rPr>
          <w:rFonts w:ascii="Times New Roman" w:hAnsi="Times New Roman" w:cs="Times New Roman" w:eastAsia="Times New Roman" w:hint="default"/>
          <w:spacing w:val="-2"/>
        </w:rPr>
        <w:t>7.</w:t>
      </w:r>
      <w:r>
        <w:rPr>
          <w:spacing w:val="-2"/>
        </w:rPr>
        <w:t>筹资活动产生的现金流量净额：同比增减</w:t>
      </w:r>
      <w:r>
        <w:rPr>
          <w:rFonts w:ascii="Times New Roman" w:hAnsi="Times New Roman" w:cs="Times New Roman" w:eastAsia="Times New Roman" w:hint="default"/>
          <w:spacing w:val="-2"/>
        </w:rPr>
        <w:t>171.72%</w:t>
      </w:r>
      <w:r>
        <w:rPr>
          <w:spacing w:val="-2"/>
        </w:rPr>
        <w:t>主要原因是本期收到的银行借款增加所致。</w:t>
      </w:r>
      <w:r>
        <w:rPr>
          <w:spacing w:val="-23"/>
        </w:rPr>
        <w:t> </w:t>
      </w:r>
      <w:r>
        <w:rPr>
          <w:spacing w:val="-23"/>
        </w:rPr>
      </w:r>
      <w:r>
        <w:rPr/>
        <w:t>报告期内公司经营活动产生的现金净流量与本年度净利润存在重大差异的原因说明</w:t>
      </w:r>
    </w:p>
    <w:p>
      <w:pPr>
        <w:spacing w:before="49"/>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133"/>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3"/>
        <w:spacing w:line="240" w:lineRule="auto"/>
        <w:ind w:right="1133"/>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17"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年起首次执行新金融工具准则、新收入准则或新租赁准则且调整执行当年年初财务报表相关项目</w:t>
      </w:r>
    </w:p>
    <w:p>
      <w:pPr>
        <w:spacing w:before="103"/>
        <w:ind w:left="152"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525" w:space="395"/>
            <w:col w:w="2010"/>
          </w:cols>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4"/>
        <w:gridCol w:w="1195"/>
        <w:gridCol w:w="1064"/>
        <w:gridCol w:w="797"/>
        <w:gridCol w:w="2919"/>
      </w:tblGrid>
      <w:tr>
        <w:trPr>
          <w:trHeight w:val="380" w:hRule="exact"/>
        </w:trPr>
        <w:tc>
          <w:tcPr>
            <w:tcW w:w="1356"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97"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3" w:space="0" w:color="FFFFFF"/>
              <w:right w:val="single" w:sz="4" w:space="0" w:color="000000"/>
            </w:tcBorders>
            <w:shd w:val="clear" w:color="auto" w:fill="D2D2D2"/>
          </w:tcPr>
          <w:p>
            <w:pPr/>
          </w:p>
        </w:tc>
      </w:tr>
      <w:tr>
        <w:trPr>
          <w:trHeight w:val="185" w:hRule="exact"/>
        </w:trPr>
        <w:tc>
          <w:tcPr>
            <w:tcW w:w="1356" w:type="dxa"/>
            <w:vMerge w:val="restart"/>
            <w:tcBorders>
              <w:top w:val="single" w:sz="13" w:space="0" w:color="FFFFFF"/>
              <w:left w:val="single" w:sz="4" w:space="0" w:color="000000"/>
              <w:right w:val="single" w:sz="4" w:space="0" w:color="000000"/>
            </w:tcBorders>
            <w:shd w:val="clear" w:color="auto" w:fill="D2D2D2"/>
          </w:tcPr>
          <w:p>
            <w:pPr/>
          </w:p>
        </w:tc>
        <w:tc>
          <w:tcPr>
            <w:tcW w:w="1164"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3" w:space="0" w:color="FFFFFF"/>
              <w:left w:val="single" w:sz="4" w:space="0" w:color="000000"/>
              <w:right w:val="single" w:sz="4" w:space="0" w:color="000000"/>
            </w:tcBorders>
            <w:shd w:val="clear" w:color="auto" w:fill="D2D2D2"/>
          </w:tcPr>
          <w:p>
            <w:pPr>
              <w:pStyle w:val="TableParagraph"/>
              <w:spacing w:line="314" w:lineRule="auto" w:before="61"/>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3" w:space="0" w:color="FFFFFF"/>
              <w:left w:val="single" w:sz="4" w:space="0" w:color="000000"/>
              <w:right w:val="single" w:sz="4" w:space="0" w:color="000000"/>
            </w:tcBorders>
            <w:shd w:val="clear" w:color="auto" w:fill="D2D2D2"/>
          </w:tcPr>
          <w:p>
            <w:pPr>
              <w:pStyle w:val="TableParagraph"/>
              <w:spacing w:line="314" w:lineRule="auto" w:before="61"/>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18,035,011.31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0.17%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130,109,720.93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1.31%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-1.14%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1,151,930,904.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10.81%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920,635,308.80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9.28%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1.53%</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6,756,006,670.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63.39%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6,109,089,020.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61.59%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1.80%</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3"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1,440,620,668.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13.52%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1,068,322,527.</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10.77%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2.75%</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334,959,802.4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3.14%</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649,225,509.18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6.55%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-3.41%</w:t>
            </w:r>
          </w:p>
        </w:tc>
        <w:tc>
          <w:tcPr>
            <w:tcW w:w="2919" w:type="dxa"/>
            <w:vMerge w:val="restart"/>
            <w:tcBorders>
              <w:top w:val="single" w:sz="4" w:space="0" w:color="000000"/>
              <w:left w:val="single" w:sz="4" w:space="0" w:color="000000"/>
              <w:right w:val="single" w:sz="4" w:space="0" w:color="000000"/>
            </w:tcBorders>
          </w:tcPr>
          <w:p>
            <w:pPr/>
          </w:p>
        </w:tc>
      </w:tr>
      <w:tr>
        <w:trPr>
          <w:trHeight w:val="392"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3"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3,583,818,342.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33.62%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2,897,000,000.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29.21%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4.41%</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1,373,453,391.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12.89%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1,030,950,643.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10.39%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2.50%</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3"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30"/>
          <w:szCs w:val="30"/>
        </w:rPr>
      </w:pPr>
    </w:p>
    <w:p>
      <w:pPr>
        <w:pStyle w:val="BodyText"/>
        <w:spacing w:line="398" w:lineRule="auto" w:before="0"/>
        <w:ind w:right="0" w:firstLine="504"/>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w:t>
      </w:r>
      <w:r>
        <w:rPr/>
        <w:t>日，公司第六届董事会第二十二次会议（临时）审议通过了《关于全资子公司分别开展</w:t>
      </w:r>
      <w:r>
        <w:rPr>
          <w:w w:val="100"/>
        </w:rPr>
        <w:t> </w:t>
      </w:r>
      <w:r>
        <w:rPr/>
        <w:t>售后回租融资租赁业务的议案》，公司全资子公司吉林紫鑫般若药业有限公司将其部分生产设备及设施与</w:t>
      </w:r>
      <w:r>
        <w:rPr>
          <w:w w:val="100"/>
        </w:rPr>
        <w:t> </w:t>
      </w:r>
      <w:r>
        <w:rPr>
          <w:spacing w:val="-4"/>
        </w:rPr>
        <w:t>中远海运租赁有限公司开展售后回租融资租赁业务，融资金额不超过</w:t>
      </w:r>
      <w:r>
        <w:rPr>
          <w:rFonts w:ascii="Times New Roman" w:hAnsi="Times New Roman" w:cs="Times New Roman" w:eastAsia="Times New Roman" w:hint="default"/>
          <w:spacing w:val="-4"/>
        </w:rPr>
        <w:t>2,500.00</w:t>
      </w:r>
      <w:r>
        <w:rPr>
          <w:spacing w:val="-4"/>
        </w:rPr>
        <w:t>万元人民币，融资期限为</w:t>
      </w:r>
      <w:r>
        <w:rPr>
          <w:rFonts w:ascii="Times New Roman" w:hAnsi="Times New Roman" w:cs="Times New Roman" w:eastAsia="Times New Roman" w:hint="default"/>
          <w:spacing w:val="-4"/>
        </w:rPr>
        <w:t>3</w:t>
      </w:r>
      <w:r>
        <w:rPr>
          <w:spacing w:val="-4"/>
        </w:rPr>
        <w:t>年。</w:t>
      </w:r>
      <w:r>
        <w:rPr>
          <w:spacing w:val="-32"/>
        </w:rPr>
        <w:t> </w:t>
      </w:r>
      <w:r>
        <w:rPr/>
        <w:t>在租赁期间，般若药业以回租方式继续占有并使用该部分生产设备及设施，同时按双方约定向中远海运租</w:t>
      </w:r>
      <w:r>
        <w:rPr>
          <w:w w:val="100"/>
        </w:rPr>
        <w:t> </w:t>
      </w:r>
      <w:r>
        <w:rPr>
          <w:spacing w:val="-3"/>
        </w:rPr>
        <w:t>赁有限公司支付租金和费用，租赁期满，般若药业以留购价格人民币</w:t>
      </w:r>
      <w:r>
        <w:rPr>
          <w:rFonts w:ascii="Times New Roman" w:hAnsi="Times New Roman" w:cs="Times New Roman" w:eastAsia="Times New Roman" w:hint="default"/>
          <w:spacing w:val="-3"/>
        </w:rPr>
        <w:t>100.00</w:t>
      </w:r>
      <w:r>
        <w:rPr>
          <w:spacing w:val="-3"/>
        </w:rPr>
        <w:t>元回购此融资租赁资产所有权。</w:t>
      </w:r>
      <w:r>
        <w:rPr>
          <w:spacing w:val="-36"/>
        </w:rPr>
        <w:t> </w:t>
      </w:r>
      <w:r>
        <w:rPr>
          <w:spacing w:val="-36"/>
        </w:rPr>
      </w:r>
      <w:r>
        <w:rPr>
          <w:spacing w:val="2"/>
        </w:rPr>
        <w:t>公司全资子公司吉林草还丹药业有限公司将其部分生产设备及设施与中远海运租赁有限公司开展售后回</w:t>
      </w:r>
      <w:r>
        <w:rPr>
          <w:spacing w:val="-30"/>
        </w:rPr>
        <w:t> </w:t>
      </w:r>
      <w:r>
        <w:rPr>
          <w:spacing w:val="-30"/>
        </w:rPr>
      </w:r>
      <w:r>
        <w:rPr>
          <w:spacing w:val="-2"/>
        </w:rPr>
        <w:t>租融资租赁业务，融资金额不超过</w:t>
      </w:r>
      <w:r>
        <w:rPr>
          <w:rFonts w:ascii="Times New Roman" w:hAnsi="Times New Roman" w:cs="Times New Roman" w:eastAsia="Times New Roman" w:hint="default"/>
          <w:spacing w:val="-2"/>
        </w:rPr>
        <w:t>2,500.00</w:t>
      </w:r>
      <w:r>
        <w:rPr>
          <w:spacing w:val="-2"/>
        </w:rPr>
        <w:t>万元人民币，融资期限为</w:t>
      </w:r>
      <w:r>
        <w:rPr>
          <w:rFonts w:ascii="Times New Roman" w:hAnsi="Times New Roman" w:cs="Times New Roman" w:eastAsia="Times New Roman" w:hint="default"/>
          <w:spacing w:val="-2"/>
        </w:rPr>
        <w:t>3</w:t>
      </w:r>
      <w:r>
        <w:rPr>
          <w:spacing w:val="-2"/>
        </w:rPr>
        <w:t>年。在租赁期间，草还丹药业以回租</w:t>
      </w:r>
      <w:r>
        <w:rPr>
          <w:spacing w:val="-41"/>
        </w:rPr>
        <w:t> </w:t>
      </w:r>
      <w:r>
        <w:rPr>
          <w:spacing w:val="-41"/>
        </w:rPr>
      </w:r>
      <w:r>
        <w:rPr/>
        <w:t>方式继续占有并使用该部分生产设备及设施，同时按双方约定向中远海运租赁有限公司支付租金和费用，</w:t>
      </w:r>
      <w:r>
        <w:rPr>
          <w:w w:val="100"/>
        </w:rPr>
        <w:t> </w:t>
      </w:r>
      <w:r>
        <w:rPr/>
        <w:t>租赁期满，草还丹药业以留购价格人民币</w:t>
      </w:r>
      <w:r>
        <w:rPr>
          <w:rFonts w:ascii="Times New Roman" w:hAnsi="Times New Roman" w:cs="Times New Roman" w:eastAsia="Times New Roman" w:hint="default"/>
        </w:rPr>
        <w:t>100.00</w:t>
      </w:r>
      <w:r>
        <w:rPr/>
        <w:t>元回购此融资租赁资产所有权。</w:t>
      </w:r>
    </w:p>
    <w:p>
      <w:pPr>
        <w:spacing w:after="0" w:line="398"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133"/>
        <w:jc w:val="left"/>
        <w:rPr>
          <w:b w:val="0"/>
          <w:bCs w:val="0"/>
        </w:rPr>
      </w:pPr>
      <w:bookmarkStart w:name="五、投资状况分析" w:id="45"/>
      <w:bookmarkEnd w:id="45"/>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84,788,574.20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47,098,689.92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80.02%</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5"/>
        <w:spacing w:line="240" w:lineRule="auto"/>
        <w:ind w:right="1133"/>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651"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89"/>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73" w:right="89"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2"/>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89"/>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1"/>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664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 w:right="156"/>
              <w:jc w:val="both"/>
              <w:rPr>
                <w:rFonts w:ascii="宋体" w:hAnsi="宋体" w:cs="宋体" w:eastAsia="宋体" w:hint="default"/>
                <w:sz w:val="18"/>
                <w:szCs w:val="18"/>
              </w:rPr>
            </w:pPr>
            <w:r>
              <w:rPr>
                <w:rFonts w:ascii="宋体" w:hAnsi="宋体" w:cs="宋体" w:eastAsia="宋体" w:hint="default"/>
                <w:sz w:val="18"/>
                <w:szCs w:val="18"/>
              </w:rPr>
              <w:t>柳河医 药产业 园建设 项目一 期工程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中成药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84,788,5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74.20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590,686,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857.25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128" w:right="0"/>
              <w:jc w:val="center"/>
              <w:rPr>
                <w:rFonts w:ascii="Times New Roman" w:hAnsi="Times New Roman" w:cs="Times New Roman" w:eastAsia="Times New Roman" w:hint="default"/>
                <w:sz w:val="18"/>
                <w:szCs w:val="18"/>
              </w:rPr>
            </w:pPr>
            <w:r>
              <w:rPr>
                <w:rFonts w:ascii="Times New Roman"/>
                <w:sz w:val="18"/>
              </w:rPr>
              <w:t>99.99%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216,289,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除研发 大楼之 </w:t>
            </w:r>
            <w:r>
              <w:rPr>
                <w:rFonts w:ascii="宋体" w:hAnsi="宋体" w:cs="宋体" w:eastAsia="宋体" w:hint="default"/>
                <w:spacing w:val="-11"/>
                <w:sz w:val="18"/>
                <w:szCs w:val="18"/>
              </w:rPr>
              <w:t>外，均已</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验收。</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《第五 届董事 会第十 八次会 议决议 公告》</w:t>
            </w:r>
          </w:p>
          <w:p>
            <w:pPr>
              <w:pStyle w:val="TableParagraph"/>
              <w:spacing w:line="300" w:lineRule="auto" w:before="19"/>
              <w:ind w:left="24" w:right="9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2014- 045</w:t>
            </w:r>
            <w:r>
              <w:rPr>
                <w:rFonts w:ascii="宋体" w:hAnsi="宋体" w:cs="宋体" w:eastAsia="宋体" w:hint="default"/>
                <w:sz w:val="18"/>
                <w:szCs w:val="18"/>
              </w:rPr>
              <w:t>）</w:t>
            </w:r>
          </w:p>
          <w:p>
            <w:pPr>
              <w:pStyle w:val="TableParagraph"/>
              <w:spacing w:line="240" w:lineRule="auto" w:before="1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p>
          <w:p>
            <w:pPr>
              <w:pStyle w:val="TableParagraph"/>
              <w:spacing w:line="319" w:lineRule="auto" w:before="63"/>
              <w:ind w:left="24" w:right="161"/>
              <w:jc w:val="both"/>
              <w:rPr>
                <w:rFonts w:ascii="宋体" w:hAnsi="宋体" w:cs="宋体" w:eastAsia="宋体" w:hint="default"/>
                <w:sz w:val="18"/>
                <w:szCs w:val="18"/>
              </w:rPr>
            </w:pPr>
            <w:r>
              <w:rPr>
                <w:rFonts w:ascii="宋体" w:hAnsi="宋体" w:cs="宋体" w:eastAsia="宋体" w:hint="default"/>
                <w:sz w:val="18"/>
                <w:szCs w:val="18"/>
              </w:rPr>
              <w:t>年第三 次临时 股东大 会决议 公告》</w:t>
            </w:r>
          </w:p>
          <w:p>
            <w:pPr>
              <w:pStyle w:val="TableParagraph"/>
              <w:spacing w:line="240" w:lineRule="auto" w:before="17"/>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p>
          <w:p>
            <w:pPr>
              <w:pStyle w:val="TableParagraph"/>
              <w:spacing w:line="312" w:lineRule="exact" w:before="23"/>
              <w:ind w:left="24" w:right="5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051</w:t>
            </w:r>
            <w:r>
              <w:rPr>
                <w:rFonts w:ascii="宋体" w:hAnsi="宋体" w:cs="宋体" w:eastAsia="宋体" w:hint="default"/>
                <w:sz w:val="18"/>
                <w:szCs w:val="18"/>
              </w:rPr>
              <w:t>）巨</w:t>
            </w:r>
            <w:r>
              <w:rPr>
                <w:rFonts w:ascii="宋体" w:hAnsi="宋体" w:cs="宋体" w:eastAsia="宋体" w:hint="default"/>
                <w:spacing w:val="-87"/>
                <w:sz w:val="18"/>
                <w:szCs w:val="18"/>
              </w:rPr>
              <w:t> </w:t>
            </w:r>
            <w:r>
              <w:rPr>
                <w:rFonts w:ascii="宋体" w:hAnsi="宋体" w:cs="宋体" w:eastAsia="宋体" w:hint="default"/>
                <w:sz w:val="18"/>
                <w:szCs w:val="18"/>
              </w:rPr>
              <w:t>潮资讯 网 </w:t>
            </w:r>
            <w:r>
              <w:rPr>
                <w:rFonts w:ascii="Times New Roman" w:hAnsi="Times New Roman" w:cs="Times New Roman" w:eastAsia="Times New Roman" w:hint="default"/>
                <w:spacing w:val="-2"/>
                <w:sz w:val="18"/>
                <w:szCs w:val="18"/>
              </w:rPr>
              <w:t>www.cni</w:t>
            </w:r>
            <w:r>
              <w:rPr>
                <w:rFonts w:ascii="Times New Roman" w:hAnsi="Times New Roman" w:cs="Times New Roman" w:eastAsia="Times New Roman" w:hint="default"/>
                <w:sz w:val="18"/>
                <w:szCs w:val="18"/>
              </w:rPr>
              <w:t> nfo.com. cn</w:t>
            </w:r>
          </w:p>
        </w:tc>
      </w:tr>
      <w:tr>
        <w:trPr>
          <w:trHeight w:val="40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2"/>
              <w:ind w:left="65" w:right="0"/>
              <w:jc w:val="left"/>
              <w:rPr>
                <w:rFonts w:ascii="Times New Roman" w:hAnsi="Times New Roman" w:cs="Times New Roman" w:eastAsia="Times New Roman" w:hint="default"/>
                <w:sz w:val="18"/>
                <w:szCs w:val="18"/>
              </w:rPr>
            </w:pPr>
            <w:r>
              <w:rPr>
                <w:rFonts w:ascii="Times New Roman"/>
                <w:sz w:val="18"/>
              </w:rPr>
              <w:t>84,788,5</w:t>
            </w:r>
          </w:p>
        </w:tc>
        <w:tc>
          <w:tcPr>
            <w:tcW w:w="73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12"/>
              <w:ind w:left="72" w:right="0"/>
              <w:jc w:val="left"/>
              <w:rPr>
                <w:rFonts w:ascii="Times New Roman" w:hAnsi="Times New Roman" w:cs="Times New Roman" w:eastAsia="Times New Roman" w:hint="default"/>
                <w:sz w:val="18"/>
                <w:szCs w:val="18"/>
              </w:rPr>
            </w:pPr>
            <w:r>
              <w:rPr>
                <w:rFonts w:ascii="Times New Roman"/>
                <w:sz w:val="18"/>
              </w:rPr>
              <w:t>590,686,</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1" w:right="0"/>
              <w:jc w:val="left"/>
              <w:rPr>
                <w:rFonts w:ascii="Times New Roman" w:hAnsi="Times New Roman" w:cs="Times New Roman" w:eastAsia="Times New Roman" w:hint="default"/>
                <w:sz w:val="18"/>
                <w:szCs w:val="18"/>
              </w:rPr>
            </w:pPr>
            <w:r>
              <w:rPr>
                <w:rFonts w:ascii="Times New Roman"/>
                <w:sz w:val="18"/>
              </w:rPr>
              <w:t>216,289,</w:t>
            </w:r>
          </w:p>
        </w:tc>
        <w:tc>
          <w:tcPr>
            <w:tcW w:w="7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6"/>
        <w:gridCol w:w="736"/>
        <w:gridCol w:w="737"/>
        <w:gridCol w:w="734"/>
        <w:gridCol w:w="738"/>
        <w:gridCol w:w="736"/>
        <w:gridCol w:w="734"/>
        <w:gridCol w:w="737"/>
      </w:tblGrid>
      <w:tr>
        <w:trPr>
          <w:trHeight w:val="363"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7" w:right="0"/>
              <w:jc w:val="left"/>
              <w:rPr>
                <w:rFonts w:ascii="Times New Roman" w:hAnsi="Times New Roman" w:cs="Times New Roman" w:eastAsia="Times New Roman" w:hint="default"/>
                <w:sz w:val="18"/>
                <w:szCs w:val="18"/>
              </w:rPr>
            </w:pPr>
            <w:r>
              <w:rPr>
                <w:rFonts w:ascii="Times New Roman"/>
                <w:sz w:val="18"/>
              </w:rPr>
              <w:t>74.20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8" w:right="0"/>
              <w:jc w:val="left"/>
              <w:rPr>
                <w:rFonts w:ascii="Times New Roman" w:hAnsi="Times New Roman" w:cs="Times New Roman" w:eastAsia="Times New Roman" w:hint="default"/>
                <w:sz w:val="18"/>
                <w:szCs w:val="18"/>
              </w:rPr>
            </w:pPr>
            <w:r>
              <w:rPr>
                <w:rFonts w:ascii="Times New Roman"/>
                <w:sz w:val="18"/>
              </w:rPr>
              <w:t>857.25</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8" w:right="0"/>
              <w:jc w:val="left"/>
              <w:rPr>
                <w:rFonts w:ascii="Times New Roman" w:hAnsi="Times New Roman" w:cs="Times New Roman" w:eastAsia="Times New Roman" w:hint="default"/>
                <w:sz w:val="18"/>
                <w:szCs w:val="18"/>
              </w:rPr>
            </w:pPr>
            <w:r>
              <w:rPr>
                <w:rFonts w:ascii="Times New Roman"/>
                <w:sz w:val="18"/>
              </w:rPr>
              <w:t>100.00</w:t>
            </w:r>
          </w:p>
        </w:tc>
        <w:tc>
          <w:tcPr>
            <w:tcW w:w="738"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公司报告期无募集资金使用情况。</w:t>
      </w:r>
    </w:p>
    <w:p>
      <w:pPr>
        <w:spacing w:line="240" w:lineRule="auto" w:before="4"/>
        <w:rPr>
          <w:rFonts w:ascii="宋体" w:hAnsi="宋体" w:cs="宋体" w:eastAsia="宋体" w:hint="default"/>
          <w:sz w:val="19"/>
          <w:szCs w:val="19"/>
        </w:rPr>
      </w:pPr>
    </w:p>
    <w:p>
      <w:pPr>
        <w:pStyle w:val="Heading3"/>
        <w:spacing w:line="240" w:lineRule="auto"/>
        <w:ind w:right="1133"/>
        <w:jc w:val="left"/>
        <w:rPr>
          <w:b w:val="0"/>
          <w:bCs w:val="0"/>
        </w:rPr>
      </w:pPr>
      <w:bookmarkStart w:name="六、重大资产和股权出售" w:id="51"/>
      <w:bookmarkEnd w:id="51"/>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bookmarkStart w:name="1、出售重大资产情况" w:id="52"/>
      <w:bookmarkEnd w:id="52"/>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7"/>
        <w:rPr>
          <w:rFonts w:ascii="宋体" w:hAnsi="宋体" w:cs="宋体" w:eastAsia="宋体" w:hint="default"/>
          <w:sz w:val="21"/>
          <w:szCs w:val="21"/>
        </w:rPr>
      </w:pPr>
    </w:p>
    <w:p>
      <w:pPr>
        <w:pStyle w:val="Heading5"/>
        <w:spacing w:line="240" w:lineRule="auto"/>
        <w:ind w:right="1133"/>
        <w:jc w:val="left"/>
        <w:rPr>
          <w:b w:val="0"/>
          <w:bCs w:val="0"/>
        </w:rPr>
      </w:pPr>
      <w:bookmarkStart w:name="2、出售重大股权情况" w:id="53"/>
      <w:bookmarkEnd w:id="53"/>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3833"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47" w:right="65"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67" w:right="63"/>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67" w:right="62"/>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67"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67" w:right="62"/>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49" w:right="6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48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吉林省 翔顺经 贸有限 责任公 司；吉 林省银 顺通商 贸有限 责任公 司；吉 林省启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9" w:lineRule="auto"/>
              <w:ind w:left="26" w:right="105"/>
              <w:jc w:val="both"/>
              <w:rPr>
                <w:rFonts w:ascii="宋体" w:hAnsi="宋体" w:cs="宋体" w:eastAsia="宋体" w:hint="default"/>
                <w:sz w:val="18"/>
                <w:szCs w:val="18"/>
              </w:rPr>
            </w:pPr>
            <w:r>
              <w:rPr>
                <w:rFonts w:ascii="宋体" w:hAnsi="宋体" w:cs="宋体" w:eastAsia="宋体" w:hint="default"/>
                <w:sz w:val="18"/>
                <w:szCs w:val="18"/>
              </w:rPr>
              <w:t>公司持 有长春 农商行</w:t>
            </w:r>
          </w:p>
          <w:p>
            <w:pPr>
              <w:pStyle w:val="TableParagraph"/>
              <w:spacing w:line="240" w:lineRule="auto" w:before="59"/>
              <w:ind w:left="26" w:right="0"/>
              <w:jc w:val="both"/>
              <w:rPr>
                <w:rFonts w:ascii="Times New Roman" w:hAnsi="Times New Roman" w:cs="Times New Roman" w:eastAsia="Times New Roman" w:hint="default"/>
                <w:sz w:val="18"/>
                <w:szCs w:val="18"/>
              </w:rPr>
            </w:pPr>
            <w:r>
              <w:rPr>
                <w:rFonts w:ascii="Times New Roman"/>
                <w:sz w:val="18"/>
              </w:rPr>
              <w:t>4,086</w:t>
            </w:r>
          </w:p>
          <w:p>
            <w:pPr>
              <w:pStyle w:val="TableParagraph"/>
              <w:spacing w:line="312" w:lineRule="exact" w:before="23"/>
              <w:ind w:left="26" w:right="105"/>
              <w:jc w:val="both"/>
              <w:rPr>
                <w:rFonts w:ascii="Times New Roman" w:hAnsi="Times New Roman" w:cs="Times New Roman" w:eastAsia="Times New Roman" w:hint="default"/>
                <w:sz w:val="18"/>
                <w:szCs w:val="18"/>
              </w:rPr>
            </w:pPr>
            <w:r>
              <w:rPr>
                <w:rFonts w:ascii="宋体" w:hAnsi="宋体" w:cs="宋体" w:eastAsia="宋体" w:hint="default"/>
                <w:sz w:val="18"/>
                <w:szCs w:val="18"/>
              </w:rPr>
              <w:t>万股， 占长春 农商行 总股本 </w:t>
            </w:r>
            <w:r>
              <w:rPr>
                <w:rFonts w:ascii="Times New Roman" w:hAnsi="Times New Roman" w:cs="Times New Roman" w:eastAsia="Times New Roman" w:hint="default"/>
                <w:sz w:val="18"/>
                <w:szCs w:val="18"/>
              </w:rPr>
              <w:t>2.27%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10,215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882</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本次转 让参股 公司股 权有利 于公司 优化资 产结 构，快 速回笼 投资资 金，促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以大信 会计事 务所</w:t>
            </w:r>
          </w:p>
          <w:p>
            <w:pPr>
              <w:pStyle w:val="TableParagraph"/>
              <w:spacing w:line="316" w:lineRule="auto" w:before="17"/>
              <w:ind w:left="23" w:right="108"/>
              <w:jc w:val="both"/>
              <w:rPr>
                <w:rFonts w:ascii="宋体" w:hAnsi="宋体" w:cs="宋体" w:eastAsia="宋体" w:hint="default"/>
                <w:sz w:val="18"/>
                <w:szCs w:val="18"/>
              </w:rPr>
            </w:pPr>
            <w:r>
              <w:rPr>
                <w:rFonts w:ascii="宋体" w:hAnsi="宋体" w:cs="宋体" w:eastAsia="宋体" w:hint="default"/>
                <w:sz w:val="18"/>
                <w:szCs w:val="18"/>
              </w:rPr>
              <w:t>（特殊 普通合 伙）出 具的长 春农商 行</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年年度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07"/>
              <w:jc w:val="both"/>
              <w:rPr>
                <w:rFonts w:ascii="宋体" w:hAnsi="宋体" w:cs="宋体" w:eastAsia="宋体" w:hint="default"/>
                <w:sz w:val="18"/>
                <w:szCs w:val="18"/>
              </w:rPr>
            </w:pPr>
            <w:r>
              <w:rPr>
                <w:rFonts w:ascii="宋体" w:hAnsi="宋体" w:cs="宋体" w:eastAsia="宋体" w:hint="default"/>
                <w:sz w:val="18"/>
                <w:szCs w:val="18"/>
              </w:rPr>
              <w:t>公司于 指定媒 体《中 国证券 </w:t>
            </w:r>
            <w:r>
              <w:rPr>
                <w:rFonts w:ascii="宋体" w:hAnsi="宋体" w:cs="宋体" w:eastAsia="宋体" w:hint="default"/>
                <w:spacing w:val="-31"/>
                <w:sz w:val="18"/>
                <w:szCs w:val="18"/>
              </w:rPr>
              <w:t>报》、</w:t>
            </w:r>
          </w:p>
          <w:p>
            <w:pPr>
              <w:pStyle w:val="TableParagraph"/>
              <w:spacing w:line="316" w:lineRule="auto" w:before="17"/>
              <w:ind w:left="26" w:right="107"/>
              <w:jc w:val="left"/>
              <w:rPr>
                <w:rFonts w:ascii="宋体" w:hAnsi="宋体" w:cs="宋体" w:eastAsia="宋体" w:hint="default"/>
                <w:sz w:val="18"/>
                <w:szCs w:val="18"/>
              </w:rPr>
            </w:pPr>
            <w:r>
              <w:rPr>
                <w:rFonts w:ascii="宋体" w:hAnsi="宋体" w:cs="宋体" w:eastAsia="宋体" w:hint="default"/>
                <w:sz w:val="18"/>
                <w:szCs w:val="18"/>
              </w:rPr>
              <w:t>《上海 证券 </w:t>
            </w:r>
            <w:r>
              <w:rPr>
                <w:rFonts w:ascii="宋体" w:hAnsi="宋体" w:cs="宋体" w:eastAsia="宋体" w:hint="default"/>
                <w:spacing w:val="-31"/>
                <w:sz w:val="18"/>
                <w:szCs w:val="18"/>
              </w:rPr>
              <w:t>报》、</w:t>
            </w:r>
          </w:p>
          <w:p>
            <w:pPr>
              <w:pStyle w:val="TableParagraph"/>
              <w:spacing w:line="316" w:lineRule="auto" w:before="19"/>
              <w:ind w:left="26" w:right="17"/>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日报》、</w:t>
            </w:r>
          </w:p>
          <w:p>
            <w:pPr>
              <w:pStyle w:val="TableParagraph"/>
              <w:spacing w:line="240" w:lineRule="auto" w:before="19"/>
              <w:ind w:left="26" w:right="0"/>
              <w:jc w:val="left"/>
              <w:rPr>
                <w:rFonts w:ascii="宋体" w:hAnsi="宋体" w:cs="宋体" w:eastAsia="宋体" w:hint="default"/>
                <w:sz w:val="18"/>
                <w:szCs w:val="18"/>
              </w:rPr>
            </w:pPr>
            <w:r>
              <w:rPr>
                <w:rFonts w:ascii="宋体" w:hAnsi="宋体" w:cs="宋体" w:eastAsia="宋体" w:hint="default"/>
                <w:sz w:val="18"/>
                <w:szCs w:val="18"/>
              </w:rPr>
              <w:t>《证券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535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08"/>
              <w:jc w:val="both"/>
              <w:rPr>
                <w:rFonts w:ascii="宋体" w:hAnsi="宋体" w:cs="宋体" w:eastAsia="宋体" w:hint="default"/>
                <w:sz w:val="18"/>
                <w:szCs w:val="18"/>
              </w:rPr>
            </w:pPr>
            <w:r>
              <w:rPr>
                <w:rFonts w:ascii="宋体" w:hAnsi="宋体" w:cs="宋体" w:eastAsia="宋体" w:hint="default"/>
                <w:sz w:val="18"/>
                <w:szCs w:val="18"/>
              </w:rPr>
              <w:t>晟科技 有限责 任公司</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进公司 稳健发 展，有 利于公 司集中 资金优 势，聚 焦自身 主营业 务发 展。同 时本次 交</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8"/>
              <w:jc w:val="left"/>
              <w:rPr>
                <w:rFonts w:ascii="宋体" w:hAnsi="宋体" w:cs="宋体" w:eastAsia="宋体" w:hint="default"/>
                <w:sz w:val="18"/>
                <w:szCs w:val="18"/>
              </w:rPr>
            </w:pPr>
            <w:r>
              <w:rPr>
                <w:rFonts w:ascii="宋体" w:hAnsi="宋体" w:cs="宋体" w:eastAsia="宋体" w:hint="default"/>
                <w:sz w:val="18"/>
                <w:szCs w:val="18"/>
              </w:rPr>
              <w:t>《审计 报告》</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107"/>
              <w:jc w:val="both"/>
              <w:rPr>
                <w:rFonts w:ascii="宋体" w:hAnsi="宋体" w:cs="宋体" w:eastAsia="宋体" w:hint="default"/>
                <w:sz w:val="18"/>
                <w:szCs w:val="18"/>
              </w:rPr>
            </w:pPr>
            <w:r>
              <w:rPr>
                <w:rFonts w:ascii="宋体" w:hAnsi="宋体" w:cs="宋体" w:eastAsia="宋体" w:hint="default"/>
                <w:sz w:val="18"/>
                <w:szCs w:val="18"/>
              </w:rPr>
              <w:t>时报》 及巨潮 资讯网</w:t>
            </w:r>
          </w:p>
          <w:p>
            <w:pPr>
              <w:pStyle w:val="TableParagraph"/>
              <w:spacing w:line="340" w:lineRule="auto" w:before="17"/>
              <w:ind w:left="26" w:right="35"/>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 </w:t>
            </w:r>
            <w:r>
              <w:rPr>
                <w:rFonts w:ascii="Times New Roman" w:hAnsi="Times New Roman" w:cs="Times New Roman" w:eastAsia="Times New Roman" w:hint="default"/>
                <w:spacing w:val="-3"/>
                <w:sz w:val="18"/>
                <w:szCs w:val="18"/>
              </w:rPr>
              <w:t>www.cn</w:t>
            </w:r>
          </w:p>
          <w:p>
            <w:pPr>
              <w:pStyle w:val="TableParagraph"/>
              <w:spacing w:line="307" w:lineRule="auto" w:before="21"/>
              <w:ind w:left="26" w:right="110"/>
              <w:jc w:val="both"/>
              <w:rPr>
                <w:rFonts w:ascii="宋体" w:hAnsi="宋体" w:cs="宋体" w:eastAsia="宋体" w:hint="default"/>
                <w:sz w:val="18"/>
                <w:szCs w:val="18"/>
              </w:rPr>
            </w:pPr>
            <w:r>
              <w:rPr>
                <w:rFonts w:ascii="Times New Roman" w:hAnsi="Times New Roman" w:cs="Times New Roman" w:eastAsia="Times New Roman" w:hint="default"/>
                <w:sz w:val="18"/>
                <w:szCs w:val="18"/>
              </w:rPr>
              <w:t>info.co </w:t>
            </w:r>
            <w:r>
              <w:rPr>
                <w:rFonts w:ascii="Times New Roman" w:hAnsi="Times New Roman" w:cs="Times New Roman" w:eastAsia="Times New Roman" w:hint="default"/>
                <w:spacing w:val="-31"/>
                <w:sz w:val="18"/>
                <w:szCs w:val="18"/>
              </w:rPr>
              <w:t>m.cn</w:t>
            </w:r>
            <w:r>
              <w:rPr>
                <w:rFonts w:ascii="宋体" w:hAnsi="宋体" w:cs="宋体" w:eastAsia="宋体" w:hint="default"/>
                <w:spacing w:val="-31"/>
                <w:sz w:val="18"/>
                <w:szCs w:val="18"/>
              </w:rPr>
              <w:t>）披</w:t>
            </w:r>
            <w:r>
              <w:rPr>
                <w:rFonts w:ascii="宋体" w:hAnsi="宋体" w:cs="宋体" w:eastAsia="宋体" w:hint="default"/>
                <w:spacing w:val="-89"/>
                <w:sz w:val="18"/>
                <w:szCs w:val="18"/>
              </w:rPr>
              <w:t> </w:t>
            </w:r>
            <w:r>
              <w:rPr>
                <w:rFonts w:ascii="宋体" w:hAnsi="宋体" w:cs="宋体" w:eastAsia="宋体" w:hint="default"/>
                <w:sz w:val="18"/>
                <w:szCs w:val="18"/>
              </w:rPr>
              <w:t>露的</w:t>
            </w:r>
          </w:p>
          <w:p>
            <w:pPr>
              <w:pStyle w:val="TableParagraph"/>
              <w:spacing w:line="319" w:lineRule="auto" w:before="26"/>
              <w:ind w:left="26" w:right="107"/>
              <w:jc w:val="both"/>
              <w:rPr>
                <w:rFonts w:ascii="宋体" w:hAnsi="宋体" w:cs="宋体" w:eastAsia="宋体" w:hint="default"/>
                <w:sz w:val="18"/>
                <w:szCs w:val="18"/>
              </w:rPr>
            </w:pPr>
            <w:r>
              <w:rPr>
                <w:rFonts w:ascii="宋体" w:hAnsi="宋体" w:cs="宋体" w:eastAsia="宋体" w:hint="default"/>
                <w:sz w:val="18"/>
                <w:szCs w:val="18"/>
              </w:rPr>
              <w:t>《关于 出售参 股公司 股权的 公告》</w:t>
            </w:r>
          </w:p>
          <w:p>
            <w:pPr>
              <w:pStyle w:val="TableParagraph"/>
              <w:spacing w:line="338" w:lineRule="auto" w:before="17"/>
              <w:ind w:left="26" w:right="43"/>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2019-10</w:t>
            </w:r>
          </w:p>
          <w:p>
            <w:pPr>
              <w:pStyle w:val="TableParagraph"/>
              <w:spacing w:line="230" w:lineRule="exact"/>
              <w:ind w:left="2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bookmarkStart w:name="七、主要控股参股公司分析" w:id="54"/>
      <w:bookmarkEnd w:id="54"/>
      <w:r>
        <w:rPr>
          <w:b w:val="0"/>
          <w:bCs w:val="0"/>
        </w:rPr>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0"/>
        </w:sectPr>
      </w:pPr>
    </w:p>
    <w:p>
      <w:pPr>
        <w:spacing w:before="44"/>
        <w:ind w:left="15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152" w:right="-18"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51" w:space="4069"/>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597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319" w:lineRule="auto"/>
              <w:ind w:left="24" w:right="118"/>
              <w:jc w:val="both"/>
              <w:rPr>
                <w:rFonts w:ascii="宋体" w:hAnsi="宋体" w:cs="宋体" w:eastAsia="宋体" w:hint="default"/>
                <w:sz w:val="18"/>
                <w:szCs w:val="18"/>
              </w:rPr>
            </w:pPr>
            <w:r>
              <w:rPr>
                <w:rFonts w:ascii="宋体" w:hAnsi="宋体" w:cs="宋体" w:eastAsia="宋体" w:hint="default"/>
                <w:sz w:val="18"/>
                <w:szCs w:val="18"/>
              </w:rPr>
              <w:t>吉林紫鑫初 元药业有限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加工、销售 中成药、化 学药制剂、 人参收购、 销售、粗加 工；生产饮 料（果汁及 </w:t>
            </w:r>
            <w:r>
              <w:rPr>
                <w:rFonts w:ascii="宋体" w:hAnsi="宋体" w:cs="宋体" w:eastAsia="宋体" w:hint="default"/>
                <w:spacing w:val="-16"/>
                <w:sz w:val="18"/>
                <w:szCs w:val="18"/>
              </w:rPr>
              <w:t>蔬菜汁类）、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中药饮片、 直接服用饮 片、中药提 取药、糖果 制品（糖 </w:t>
            </w:r>
            <w:r>
              <w:rPr>
                <w:rFonts w:ascii="宋体" w:hAnsi="宋体" w:cs="宋体" w:eastAsia="宋体" w:hint="default"/>
                <w:spacing w:val="-16"/>
                <w:sz w:val="18"/>
                <w:szCs w:val="18"/>
              </w:rPr>
              <w:t>果）、含茶制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品和代用茶</w:t>
            </w:r>
          </w:p>
          <w:p>
            <w:pPr>
              <w:pStyle w:val="TableParagraph"/>
              <w:spacing w:line="316" w:lineRule="auto" w:before="19"/>
              <w:ind w:left="24" w:right="20"/>
              <w:jc w:val="left"/>
              <w:rPr>
                <w:rFonts w:ascii="宋体" w:hAnsi="宋体" w:cs="宋体" w:eastAsia="宋体" w:hint="default"/>
                <w:sz w:val="18"/>
                <w:szCs w:val="18"/>
              </w:rPr>
            </w:pPr>
            <w:r>
              <w:rPr>
                <w:rFonts w:ascii="宋体" w:hAnsi="宋体" w:cs="宋体" w:eastAsia="宋体" w:hint="default"/>
                <w:sz w:val="18"/>
                <w:szCs w:val="18"/>
              </w:rPr>
              <w:t>（代用茶、 </w:t>
            </w:r>
            <w:r>
              <w:rPr>
                <w:rFonts w:ascii="宋体" w:hAnsi="宋体" w:cs="宋体" w:eastAsia="宋体" w:hint="default"/>
                <w:spacing w:val="-16"/>
                <w:sz w:val="18"/>
                <w:szCs w:val="18"/>
              </w:rPr>
              <w:t>速溶茶类）、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饮料（果汁 及蔬菜汁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23"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9"/>
              <w:jc w:val="right"/>
              <w:rPr>
                <w:rFonts w:ascii="Times New Roman" w:hAnsi="Times New Roman" w:cs="Times New Roman" w:eastAsia="Times New Roman" w:hint="default"/>
                <w:sz w:val="18"/>
                <w:szCs w:val="18"/>
              </w:rPr>
            </w:pPr>
            <w:r>
              <w:rPr>
                <w:rFonts w:ascii="Times New Roman"/>
                <w:spacing w:val="-1"/>
                <w:sz w:val="18"/>
              </w:rPr>
              <w:t>1,295,969,50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0.12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21"/>
              <w:jc w:val="right"/>
              <w:rPr>
                <w:rFonts w:ascii="Times New Roman" w:hAnsi="Times New Roman" w:cs="Times New Roman" w:eastAsia="Times New Roman" w:hint="default"/>
                <w:sz w:val="18"/>
                <w:szCs w:val="18"/>
              </w:rPr>
            </w:pPr>
            <w:r>
              <w:rPr>
                <w:rFonts w:ascii="Times New Roman"/>
                <w:spacing w:val="-1"/>
                <w:sz w:val="18"/>
              </w:rPr>
              <w:t>754,922,991.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9"/>
              <w:jc w:val="right"/>
              <w:rPr>
                <w:rFonts w:ascii="Times New Roman" w:hAnsi="Times New Roman" w:cs="Times New Roman" w:eastAsia="Times New Roman" w:hint="default"/>
                <w:sz w:val="18"/>
                <w:szCs w:val="18"/>
              </w:rPr>
            </w:pPr>
            <w:r>
              <w:rPr>
                <w:rFonts w:ascii="Times New Roman"/>
                <w:spacing w:val="-1"/>
                <w:sz w:val="18"/>
              </w:rPr>
              <w:t>79,305,688.5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20"/>
              <w:jc w:val="right"/>
              <w:rPr>
                <w:rFonts w:ascii="Times New Roman" w:hAnsi="Times New Roman" w:cs="Times New Roman" w:eastAsia="Times New Roman" w:hint="default"/>
                <w:sz w:val="18"/>
                <w:szCs w:val="18"/>
              </w:rPr>
            </w:pPr>
            <w:r>
              <w:rPr>
                <w:rFonts w:ascii="Times New Roman"/>
                <w:spacing w:val="-1"/>
                <w:sz w:val="18"/>
              </w:rPr>
              <w:t>28,244,070.9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7"/>
              <w:jc w:val="right"/>
              <w:rPr>
                <w:rFonts w:ascii="Times New Roman" w:hAnsi="Times New Roman" w:cs="Times New Roman" w:eastAsia="Times New Roman" w:hint="default"/>
                <w:sz w:val="18"/>
                <w:szCs w:val="18"/>
              </w:rPr>
            </w:pPr>
            <w:r>
              <w:rPr>
                <w:rFonts w:ascii="Times New Roman"/>
                <w:spacing w:val="-1"/>
                <w:sz w:val="18"/>
              </w:rPr>
              <w:t>23,722,459.0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70.660004pt;margin-top:72.47998pt;width:102.9pt;height:267.3pt;mso-position-horizontal-relative:page;mso-position-vertical-relative:page;z-index:-10086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销售；法律、</w:t>
                  </w:r>
                </w:p>
              </w:txbxContent>
            </v:textbox>
            <w10:wrap type="none"/>
          </v:shape>
        </w:pict>
      </w:r>
      <w:r>
        <w:rPr/>
        <w:pict>
          <v:group style="position:absolute;margin-left:221.690002pt;margin-top:521.709961pt;width:51.85pt;height:181.35pt;mso-position-horizontal-relative:page;mso-position-vertical-relative:page;z-index:-1008640" coordorigin="4434,10434" coordsize="1037,3627">
            <v:group style="position:absolute;left:4434;top:10785;width:1037;height:3277" coordorigin="4434,10785" coordsize="1037,3277">
              <v:shape style="position:absolute;left:4434;top:10785;width:1037;height:3277" coordorigin="4434,10785" coordsize="1037,3277" path="m4434,14061l5471,14061,5471,10785,4434,10785,4434,14061xe" filled="true" fillcolor="#ffffff" stroked="false">
                <v:path arrowok="t"/>
                <v:fill type="solid"/>
              </v:shape>
            </v:group>
            <v:group style="position:absolute;left:4458;top:10434;width:989;height:351" coordorigin="4458,10434" coordsize="989,351">
              <v:shape style="position:absolute;left:4458;top:10434;width:989;height:351" coordorigin="4458,10434" coordsize="989,351" path="m4458,10785l5447,10785,5447,10434,4458,10434,4458,1078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315" w:hRule="exact"/>
        </w:trPr>
        <w:tc>
          <w:tcPr>
            <w:tcW w:w="1054"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类、固体饮</w:t>
            </w:r>
          </w:p>
        </w:tc>
        <w:tc>
          <w:tcPr>
            <w:tcW w:w="1044" w:type="dxa"/>
            <w:vMerge w:val="restart"/>
            <w:tcBorders>
              <w:top w:val="single" w:sz="4" w:space="0" w:color="000000"/>
              <w:left w:val="single" w:sz="4" w:space="0" w:color="000000"/>
              <w:right w:val="single" w:sz="4" w:space="0" w:color="000000"/>
            </w:tcBorders>
          </w:tcPr>
          <w:p>
            <w:pPr>
              <w:pStyle w:val="TableParagraph"/>
              <w:spacing w:line="5345"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6"/>
                <w:sz w:val="20"/>
                <w:szCs w:val="20"/>
              </w:rPr>
              <w:pict>
                <v:group style="width:51.85pt;height:267.3pt;mso-position-horizontal-relative:char;mso-position-vertical-relative:line" coordorigin="0,0" coordsize="1037,5346">
                  <v:group style="position:absolute;left:0;top:0;width:1037;height:5346" coordorigin="0,0" coordsize="1037,5346">
                    <v:shape style="position:absolute;left:0;top:0;width:1037;height:5346" coordorigin="0,0" coordsize="1037,5346" path="m0,5346l1037,5346,1037,0,0,0,0,5346xe" filled="true" fillcolor="#ffffff" stroked="false">
                      <v:path arrowok="t"/>
                      <v:fill type="solid"/>
                    </v:shape>
                  </v:group>
                </v:group>
              </w:pict>
            </w:r>
            <w:r>
              <w:rPr>
                <w:rFonts w:ascii="Times New Roman" w:hAnsi="Times New Roman" w:cs="Times New Roman" w:eastAsia="Times New Roman" w:hint="default"/>
                <w:position w:val="-106"/>
                <w:sz w:val="20"/>
                <w:szCs w:val="20"/>
              </w:rPr>
            </w:r>
          </w:p>
        </w:tc>
        <w:tc>
          <w:tcPr>
            <w:tcW w:w="1047"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4"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料类、其他</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饮料类</w:t>
            </w:r>
            <w:r>
              <w:rPr>
                <w:rFonts w:ascii="宋体" w:hAnsi="宋体" w:cs="宋体" w:eastAsia="宋体" w:hint="default"/>
                <w:spacing w:val="-92"/>
                <w:sz w:val="18"/>
                <w:szCs w:val="18"/>
              </w:rPr>
              <w:t>）</w:t>
            </w:r>
            <w:r>
              <w:rPr>
                <w:rFonts w:ascii="宋体" w:hAnsi="宋体" w:cs="宋体" w:eastAsia="宋体" w:hint="default"/>
                <w:sz w:val="18"/>
                <w:szCs w:val="18"/>
              </w:rPr>
              <w:t>、蜜</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饯；生产、</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销售保健食</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品；动、植</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物提取物研</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发、生产、</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法规允许的</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进出口贸</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易</w:t>
            </w:r>
            <w:r>
              <w:rPr>
                <w:rFonts w:ascii="宋体" w:hAnsi="宋体" w:cs="宋体" w:eastAsia="宋体" w:hint="default"/>
                <w:spacing w:val="-92"/>
                <w:sz w:val="18"/>
                <w:szCs w:val="18"/>
              </w:rPr>
              <w:t>。</w:t>
            </w:r>
            <w:r>
              <w:rPr>
                <w:rFonts w:ascii="宋体" w:hAnsi="宋体" w:cs="宋体" w:eastAsia="宋体" w:hint="default"/>
                <w:sz w:val="18"/>
                <w:szCs w:val="18"/>
              </w:rPr>
              <w:t>（依法须</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经批准的项</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目，经相关</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部门批准后</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方可开展经</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60" w:hRule="exact"/>
        </w:trPr>
        <w:tc>
          <w:tcPr>
            <w:tcW w:w="1054"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营活动）</w:t>
            </w:r>
          </w:p>
        </w:tc>
        <w:tc>
          <w:tcPr>
            <w:tcW w:w="1044" w:type="dxa"/>
            <w:vMerge/>
            <w:tcBorders>
              <w:left w:val="single" w:sz="4" w:space="0" w:color="000000"/>
              <w:bottom w:val="single" w:sz="4" w:space="0" w:color="000000"/>
              <w:right w:val="single" w:sz="4" w:space="0" w:color="000000"/>
            </w:tcBorders>
          </w:tcPr>
          <w:p>
            <w:pPr/>
          </w:p>
        </w:tc>
        <w:tc>
          <w:tcPr>
            <w:tcW w:w="1047"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4"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r>
        <w:trPr>
          <w:trHeight w:val="355"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植物提取</w:t>
            </w: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物、保健食</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品、药品及</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化工产品</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（不含危险</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化学品）的</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研究、技术</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咨询、技术</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转让；植物</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提取物及化</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18"/>
              <w:jc w:val="both"/>
              <w:rPr>
                <w:rFonts w:ascii="宋体" w:hAnsi="宋体" w:cs="宋体" w:eastAsia="宋体" w:hint="default"/>
                <w:sz w:val="18"/>
                <w:szCs w:val="18"/>
              </w:rPr>
            </w:pPr>
            <w:r>
              <w:rPr>
                <w:rFonts w:ascii="宋体" w:hAnsi="宋体" w:cs="宋体" w:eastAsia="宋体" w:hint="default"/>
                <w:sz w:val="18"/>
                <w:szCs w:val="18"/>
              </w:rPr>
              <w:t>吉林紫鑫参 工堂生物科 技有限公司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13" w:space="0" w:color="FFFFFF"/>
            </w:tcBorders>
          </w:tcPr>
          <w:p>
            <w:pPr>
              <w:pStyle w:val="TableParagraph"/>
              <w:spacing w:line="316" w:lineRule="auto" w:before="10"/>
              <w:ind w:left="24" w:right="98"/>
              <w:jc w:val="both"/>
              <w:rPr>
                <w:rFonts w:ascii="宋体" w:hAnsi="宋体" w:cs="宋体" w:eastAsia="宋体" w:hint="default"/>
                <w:sz w:val="18"/>
                <w:szCs w:val="18"/>
              </w:rPr>
            </w:pPr>
            <w:r>
              <w:rPr>
                <w:rFonts w:ascii="宋体" w:hAnsi="宋体" w:cs="宋体" w:eastAsia="宋体" w:hint="default"/>
                <w:sz w:val="18"/>
                <w:szCs w:val="18"/>
              </w:rPr>
              <w:t>工产品（不 含危险化学 品）的生产</w:t>
            </w:r>
          </w:p>
        </w:tc>
        <w:tc>
          <w:tcPr>
            <w:tcW w:w="1044" w:type="dxa"/>
            <w:tcBorders>
              <w:top w:val="nil" w:sz="6" w:space="0" w:color="auto"/>
              <w:left w:val="single" w:sz="13" w:space="0" w:color="FFFFFF"/>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160" w:lineRule="exact" w:before="105"/>
              <w:ind w:left="11"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189" w:lineRule="exact"/>
              <w:ind w:left="-133" w:right="974"/>
              <w:jc w:val="center"/>
              <w:rPr>
                <w:rFonts w:ascii="宋体" w:hAnsi="宋体" w:cs="宋体" w:eastAsia="宋体" w:hint="default"/>
                <w:sz w:val="18"/>
                <w:szCs w:val="18"/>
              </w:rPr>
            </w:pPr>
            <w:r>
              <w:rPr>
                <w:rFonts w:ascii="宋体" w:hAnsi="宋体" w:cs="宋体" w:eastAsia="宋体" w:hint="default"/>
                <w:sz w:val="18"/>
                <w:szCs w:val="18"/>
              </w:rPr>
              <w:t>、</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522,252,578.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58</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181,254,554.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46,765,600.5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30,887,137.9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23,566,118.9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销售；经营</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本企业自营</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产品的进出</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口贸易</w:t>
            </w:r>
            <w:r>
              <w:rPr>
                <w:rFonts w:ascii="宋体" w:hAnsi="宋体" w:cs="宋体" w:eastAsia="宋体" w:hint="default"/>
                <w:spacing w:val="-92"/>
                <w:sz w:val="18"/>
                <w:szCs w:val="18"/>
              </w:rPr>
              <w:t>。</w:t>
            </w:r>
            <w:r>
              <w:rPr>
                <w:rFonts w:ascii="宋体" w:hAnsi="宋体" w:cs="宋体" w:eastAsia="宋体" w:hint="default"/>
                <w:sz w:val="18"/>
                <w:szCs w:val="18"/>
              </w:rPr>
              <w:t>（依</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法须经批准</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的项目，经</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相关部门批</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准后方可开</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展经营活</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动）</w:t>
            </w: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129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吉林紫鑫红 石种养殖有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中药材种植 销售、农副 产品收购</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（以上项目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5,042,501,55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1.68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548,024,206.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182,985,210.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114,672,106.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114,675,016.</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38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1299"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10"/>
              <w:jc w:val="both"/>
              <w:rPr>
                <w:rFonts w:ascii="宋体" w:hAnsi="宋体" w:cs="宋体" w:eastAsia="宋体" w:hint="default"/>
                <w:sz w:val="18"/>
                <w:szCs w:val="18"/>
              </w:rPr>
            </w:pPr>
            <w:r>
              <w:rPr>
                <w:rFonts w:ascii="宋体" w:hAnsi="宋体" w:cs="宋体" w:eastAsia="宋体" w:hint="default"/>
                <w:sz w:val="18"/>
                <w:szCs w:val="18"/>
              </w:rPr>
              <w:t>国家法律、 法规需前置 审批的凭许 可证经营）</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101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吉林草还丹 药业有限公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中药材</w:t>
            </w:r>
            <w:r>
              <w:rPr>
                <w:rFonts w:ascii="宋体" w:hAnsi="宋体" w:cs="宋体" w:eastAsia="宋体" w:hint="default"/>
                <w:spacing w:val="1"/>
                <w:sz w:val="18"/>
                <w:szCs w:val="18"/>
              </w:rPr>
              <w:t> </w:t>
            </w:r>
            <w:r>
              <w:rPr>
                <w:rFonts w:ascii="宋体" w:hAnsi="宋体" w:cs="宋体" w:eastAsia="宋体" w:hint="default"/>
                <w:sz w:val="18"/>
                <w:szCs w:val="18"/>
              </w:rPr>
              <w:t>化</w:t>
            </w:r>
            <w:r>
              <w:rPr>
                <w:rFonts w:ascii="宋体" w:hAnsi="宋体" w:cs="宋体" w:eastAsia="宋体" w:hint="default"/>
                <w:sz w:val="18"/>
                <w:szCs w:val="18"/>
              </w:rPr>
              <w:t> 学药品制剂 加工销售</w:t>
            </w:r>
          </w:p>
          <w:p>
            <w:pPr>
              <w:pStyle w:val="TableParagraph"/>
              <w:spacing w:line="316" w:lineRule="auto" w:before="19"/>
              <w:ind w:left="24" w:right="17"/>
              <w:jc w:val="left"/>
              <w:rPr>
                <w:rFonts w:ascii="宋体" w:hAnsi="宋体" w:cs="宋体" w:eastAsia="宋体" w:hint="default"/>
                <w:sz w:val="18"/>
                <w:szCs w:val="18"/>
              </w:rPr>
            </w:pPr>
            <w:r>
              <w:rPr>
                <w:rFonts w:ascii="宋体" w:hAnsi="宋体" w:cs="宋体" w:eastAsia="宋体" w:hint="default"/>
                <w:sz w:val="18"/>
                <w:szCs w:val="18"/>
              </w:rPr>
              <w:t>（按药品生 产许可证批 准生产的项 目生产经 营）</w:t>
            </w:r>
            <w:r>
              <w:rPr>
                <w:rFonts w:ascii="宋体" w:hAnsi="宋体" w:cs="宋体" w:eastAsia="宋体" w:hint="default"/>
                <w:spacing w:val="1"/>
                <w:sz w:val="18"/>
                <w:szCs w:val="18"/>
              </w:rPr>
              <w:t> </w:t>
            </w:r>
            <w:r>
              <w:rPr>
                <w:rFonts w:ascii="宋体" w:hAnsi="宋体" w:cs="宋体" w:eastAsia="宋体" w:hint="default"/>
                <w:sz w:val="18"/>
                <w:szCs w:val="18"/>
              </w:rPr>
              <w:t>食品加</w:t>
            </w:r>
            <w:r>
              <w:rPr>
                <w:rFonts w:ascii="宋体" w:hAnsi="宋体" w:cs="宋体" w:eastAsia="宋体" w:hint="default"/>
                <w:sz w:val="18"/>
                <w:szCs w:val="18"/>
              </w:rPr>
              <w:t> 工（凭许可 证经营）</w:t>
            </w:r>
            <w:r>
              <w:rPr>
                <w:rFonts w:ascii="宋体" w:hAnsi="宋体" w:cs="宋体" w:eastAsia="宋体" w:hint="default"/>
                <w:spacing w:val="1"/>
                <w:sz w:val="18"/>
                <w:szCs w:val="18"/>
              </w:rPr>
              <w:t> </w:t>
            </w:r>
            <w:r>
              <w:rPr>
                <w:rFonts w:ascii="宋体" w:hAnsi="宋体" w:cs="宋体" w:eastAsia="宋体" w:hint="default"/>
                <w:sz w:val="18"/>
                <w:szCs w:val="18"/>
              </w:rPr>
              <w:t>销</w:t>
            </w:r>
            <w:r>
              <w:rPr>
                <w:rFonts w:ascii="宋体" w:hAnsi="宋体" w:cs="宋体" w:eastAsia="宋体" w:hint="default"/>
                <w:sz w:val="18"/>
                <w:szCs w:val="18"/>
              </w:rPr>
              <w:t> 售 酒精</w:t>
            </w:r>
            <w:r>
              <w:rPr>
                <w:rFonts w:ascii="宋体" w:hAnsi="宋体" w:cs="宋体" w:eastAsia="宋体" w:hint="default"/>
                <w:spacing w:val="2"/>
                <w:sz w:val="18"/>
                <w:szCs w:val="18"/>
              </w:rPr>
              <w:t> </w:t>
            </w:r>
            <w:r>
              <w:rPr>
                <w:rFonts w:ascii="宋体" w:hAnsi="宋体" w:cs="宋体" w:eastAsia="宋体" w:hint="default"/>
                <w:sz w:val="18"/>
                <w:szCs w:val="18"/>
              </w:rPr>
              <w:t>白</w:t>
            </w:r>
            <w:r>
              <w:rPr>
                <w:rFonts w:ascii="宋体" w:hAnsi="宋体" w:cs="宋体" w:eastAsia="宋体" w:hint="default"/>
                <w:sz w:val="18"/>
                <w:szCs w:val="18"/>
              </w:rPr>
              <w:t> 酒及饮料酒 制造（按酒 类生产许可 证批准的项 目范围生产 经营）</w:t>
            </w:r>
            <w:r>
              <w:rPr>
                <w:rFonts w:ascii="宋体" w:hAnsi="宋体" w:cs="宋体" w:eastAsia="宋体" w:hint="default"/>
                <w:spacing w:val="1"/>
                <w:sz w:val="18"/>
                <w:szCs w:val="18"/>
              </w:rPr>
              <w:t> </w:t>
            </w:r>
            <w:r>
              <w:rPr>
                <w:rFonts w:ascii="宋体" w:hAnsi="宋体" w:cs="宋体" w:eastAsia="宋体" w:hint="default"/>
                <w:sz w:val="18"/>
                <w:szCs w:val="18"/>
              </w:rPr>
              <w:t>针织</w:t>
            </w:r>
            <w:r>
              <w:rPr>
                <w:rFonts w:ascii="宋体" w:hAnsi="宋体" w:cs="宋体" w:eastAsia="宋体" w:hint="default"/>
                <w:sz w:val="18"/>
                <w:szCs w:val="18"/>
              </w:rPr>
              <w:t> 品加工</w:t>
            </w:r>
            <w:r>
              <w:rPr>
                <w:rFonts w:ascii="宋体" w:hAnsi="宋体" w:cs="宋体" w:eastAsia="宋体" w:hint="default"/>
                <w:spacing w:val="1"/>
                <w:sz w:val="18"/>
                <w:szCs w:val="18"/>
              </w:rPr>
              <w:t> </w:t>
            </w:r>
            <w:r>
              <w:rPr>
                <w:rFonts w:ascii="宋体" w:hAnsi="宋体" w:cs="宋体" w:eastAsia="宋体" w:hint="default"/>
                <w:sz w:val="18"/>
                <w:szCs w:val="18"/>
              </w:rPr>
              <w:t>广</w:t>
            </w:r>
            <w:r>
              <w:rPr>
                <w:rFonts w:ascii="宋体" w:hAnsi="宋体" w:cs="宋体" w:eastAsia="宋体" w:hint="default"/>
                <w:sz w:val="18"/>
                <w:szCs w:val="18"/>
              </w:rPr>
              <w:t> 告业</w:t>
            </w:r>
            <w:r>
              <w:rPr>
                <w:rFonts w:ascii="宋体" w:hAnsi="宋体" w:cs="宋体" w:eastAsia="宋体" w:hint="default"/>
                <w:spacing w:val="1"/>
                <w:sz w:val="18"/>
                <w:szCs w:val="18"/>
              </w:rPr>
              <w:t> </w:t>
            </w:r>
            <w:r>
              <w:rPr>
                <w:rFonts w:ascii="宋体" w:hAnsi="宋体" w:cs="宋体" w:eastAsia="宋体" w:hint="default"/>
                <w:sz w:val="18"/>
                <w:szCs w:val="18"/>
              </w:rPr>
              <w:t>种养</w:t>
            </w:r>
            <w:r>
              <w:rPr>
                <w:rFonts w:ascii="宋体" w:hAnsi="宋体" w:cs="宋体" w:eastAsia="宋体" w:hint="default"/>
                <w:sz w:val="18"/>
                <w:szCs w:val="18"/>
              </w:rPr>
              <w:t> 殖业</w:t>
            </w:r>
            <w:r>
              <w:rPr>
                <w:rFonts w:ascii="宋体" w:hAnsi="宋体" w:cs="宋体" w:eastAsia="宋体" w:hint="default"/>
                <w:spacing w:val="1"/>
                <w:sz w:val="18"/>
                <w:szCs w:val="18"/>
              </w:rPr>
              <w:t> </w:t>
            </w:r>
            <w:r>
              <w:rPr>
                <w:rFonts w:ascii="宋体" w:hAnsi="宋体" w:cs="宋体" w:eastAsia="宋体" w:hint="default"/>
                <w:sz w:val="18"/>
                <w:szCs w:val="18"/>
              </w:rPr>
              <w:t>在法</w:t>
            </w:r>
            <w:r>
              <w:rPr>
                <w:rFonts w:ascii="宋体" w:hAnsi="宋体" w:cs="宋体" w:eastAsia="宋体" w:hint="default"/>
                <w:sz w:val="18"/>
                <w:szCs w:val="18"/>
              </w:rPr>
              <w:t> 律法规允许 范围内从事 进出口业 务；医疗器 械的研发； 生产及销 售；消杀用 品的生产和 销售</w:t>
            </w:r>
            <w:r>
              <w:rPr>
                <w:rFonts w:ascii="Times New Roman" w:hAnsi="Times New Roman" w:cs="Times New Roman" w:eastAsia="Times New Roman" w:hint="default"/>
                <w:sz w:val="18"/>
                <w:szCs w:val="18"/>
              </w:rPr>
              <w:t>***</w:t>
            </w:r>
            <w:r>
              <w:rPr>
                <w:rFonts w:ascii="宋体" w:hAnsi="宋体" w:cs="宋体" w:eastAsia="宋体" w:hint="default"/>
                <w:sz w:val="18"/>
                <w:szCs w:val="18"/>
              </w:rPr>
              <w:t>（依 法须经批准 的项目，经 相关部门批 准后方可开 展经营活 动）</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260,000,000.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1,039,207,88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3.32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661,126,507.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51,866,911.9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16,517,900.5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14,000,036.8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68"/>
              <w:jc w:val="center"/>
              <w:rPr>
                <w:rFonts w:ascii="宋体" w:hAnsi="宋体" w:cs="宋体" w:eastAsia="宋体" w:hint="default"/>
                <w:sz w:val="18"/>
                <w:szCs w:val="18"/>
              </w:rPr>
            </w:pPr>
            <w:r>
              <w:rPr>
                <w:rFonts w:ascii="宋体" w:hAnsi="宋体" w:cs="宋体" w:eastAsia="宋体" w:hint="default"/>
                <w:sz w:val="18"/>
                <w:szCs w:val="18"/>
              </w:rPr>
              <w:t>吉林紫鑫医药产业园孵化器管理有限公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6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吉林紫鑫进出口贸易有限公司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吉林紫鑫汉麻研发有限公司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吉林紫鑫鑫正医药物流有限公司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3"/>
        <w:rPr>
          <w:rFonts w:ascii="宋体" w:hAnsi="宋体" w:cs="宋体" w:eastAsia="宋体" w:hint="default"/>
          <w:sz w:val="13"/>
          <w:szCs w:val="13"/>
        </w:rPr>
      </w:pPr>
    </w:p>
    <w:p>
      <w:pPr>
        <w:pStyle w:val="BodyText"/>
        <w:spacing w:line="396" w:lineRule="auto" w:before="0"/>
        <w:ind w:right="1024" w:firstLine="42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日，公司的荷兰全资子公司</w:t>
      </w:r>
      <w:r>
        <w:rPr>
          <w:rFonts w:ascii="Times New Roman" w:hAnsi="Times New Roman" w:cs="Times New Roman" w:eastAsia="Times New Roman" w:hint="default"/>
        </w:rPr>
        <w:t>Fytagoras</w:t>
      </w:r>
      <w:r>
        <w:rPr/>
        <w:t>与吉林省农业科学院共同签订了《工业大麻合作研究</w:t>
      </w:r>
      <w:r>
        <w:rPr>
          <w:w w:val="100"/>
        </w:rPr>
        <w:t> </w:t>
      </w:r>
      <w:r>
        <w:rPr>
          <w:spacing w:val="-3"/>
        </w:rPr>
        <w:t>协议》，经友好协商正式建立合作研发关系，开展工业大麻的研发工作，并计划以完成大麻品种的</w:t>
      </w:r>
      <w:r>
        <w:rPr>
          <w:rFonts w:ascii="Times New Roman" w:hAnsi="Times New Roman" w:cs="Times New Roman" w:eastAsia="Times New Roman" w:hint="default"/>
          <w:spacing w:val="-3"/>
        </w:rPr>
        <w:t>CBD</w:t>
      </w:r>
      <w:r>
        <w:rPr>
          <w:spacing w:val="-3"/>
        </w:rPr>
        <w:t>含</w:t>
      </w:r>
      <w:r>
        <w:rPr>
          <w:spacing w:val="-6"/>
        </w:rPr>
        <w:t> </w:t>
      </w:r>
      <w:r>
        <w:rPr/>
        <w:t>量达</w:t>
      </w:r>
      <w:r>
        <w:rPr>
          <w:rFonts w:ascii="Times New Roman" w:hAnsi="Times New Roman" w:cs="Times New Roman" w:eastAsia="Times New Roman" w:hint="default"/>
        </w:rPr>
        <w:t>10%</w:t>
      </w:r>
      <w:r>
        <w:rPr/>
        <w:t>以上为工作目标。后续，双方将组建合作研发机构，以吉林省麻类工程研究中心为依托，对工业</w:t>
      </w:r>
      <w:r>
        <w:rPr>
          <w:w w:val="100"/>
        </w:rPr>
        <w:t> </w:t>
      </w:r>
      <w:r>
        <w:rPr>
          <w:spacing w:val="-2"/>
        </w:rPr>
        <w:t>大麻品种进行选育、生产技术、产品加工、生物活性成分提取技术等进行研发。具体内容详见刊载于《证</w:t>
      </w:r>
      <w:r>
        <w:rPr>
          <w:spacing w:val="-43"/>
        </w:rPr>
        <w:t> </w:t>
      </w:r>
      <w:r>
        <w:rPr>
          <w:spacing w:val="-43"/>
        </w:rPr>
      </w:r>
      <w:r>
        <w:rPr/>
        <w:t>券时报》、《中国证券报》、《上海证券报》、《证券日报》及巨潮资讯网（</w:t>
      </w:r>
      <w:hyperlink r:id="rId11">
        <w:r>
          <w:rPr>
            <w:rFonts w:ascii="Times New Roman" w:hAnsi="Times New Roman" w:cs="Times New Roman" w:eastAsia="Times New Roman" w:hint="default"/>
          </w:rPr>
          <w:t>http://www.cninfo.com.cn</w:t>
        </w:r>
      </w:hyperlink>
      <w:r>
        <w:rPr/>
        <w:t>）</w:t>
      </w:r>
      <w:r>
        <w:rPr>
          <w:w w:val="100"/>
        </w:rPr>
        <w:t> </w:t>
      </w:r>
      <w:r>
        <w:rPr/>
        <w:t>披露的《关于签订工业大麻合作研究协议的公告》（公告编号：</w:t>
      </w:r>
      <w:r>
        <w:rPr>
          <w:rFonts w:ascii="Times New Roman" w:hAnsi="Times New Roman" w:cs="Times New Roman" w:eastAsia="Times New Roman" w:hint="default"/>
        </w:rPr>
        <w:t>2019-003</w:t>
      </w:r>
      <w:r>
        <w:rPr/>
        <w:t>）。后期因吉林省工业大麻尚未</w:t>
      </w:r>
      <w:r>
        <w:rPr>
          <w:w w:val="100"/>
        </w:rPr>
        <w:t> </w:t>
      </w:r>
      <w:r>
        <w:rPr>
          <w:spacing w:val="-2"/>
        </w:rPr>
        <w:t>合法化，且合法化时间无法预估，双方签署的《工业大麻合作研究协议》项下关于对工业大麻品种在国内</w:t>
      </w:r>
      <w:r>
        <w:rPr>
          <w:spacing w:val="-47"/>
        </w:rPr>
        <w:t> </w:t>
      </w:r>
      <w:r>
        <w:rPr>
          <w:spacing w:val="-47"/>
        </w:rPr>
      </w:r>
      <w:r>
        <w:rPr>
          <w:spacing w:val="-2"/>
        </w:rPr>
        <w:t>进行选育、生产技术、产品加工、生物活性成分提取技术等进行研发相关工作无法继续开展，经合作双方</w:t>
      </w:r>
      <w:r>
        <w:rPr>
          <w:spacing w:val="-46"/>
        </w:rPr>
        <w:t> </w:t>
      </w:r>
      <w:r>
        <w:rPr>
          <w:spacing w:val="-46"/>
        </w:rPr>
      </w:r>
      <w:r>
        <w:rPr>
          <w:spacing w:val="-9"/>
        </w:rPr>
        <w:t>友好协商，决定终止上述《工业大麻合作研究协议》。具体内容详见刊载于《证券时报》、《中国证券报》、</w:t>
      </w:r>
    </w:p>
    <w:p>
      <w:pPr>
        <w:pStyle w:val="BodyText"/>
        <w:spacing w:line="386" w:lineRule="auto" w:before="56"/>
        <w:ind w:right="1205"/>
        <w:jc w:val="left"/>
      </w:pPr>
      <w:r>
        <w:rPr>
          <w:spacing w:val="-2"/>
        </w:rPr>
        <w:t>《上海证券报》、《证券日报》及巨潮资讯网（</w:t>
      </w:r>
      <w:hyperlink r:id="rId11">
        <w:r>
          <w:rPr>
            <w:rFonts w:ascii="Times New Roman" w:hAnsi="Times New Roman" w:cs="Times New Roman" w:eastAsia="Times New Roman" w:hint="default"/>
            <w:spacing w:val="-2"/>
          </w:rPr>
          <w:t>http://www.cninfo.com.cn</w:t>
        </w:r>
      </w:hyperlink>
      <w:r>
        <w:rPr>
          <w:spacing w:val="-2"/>
        </w:rPr>
        <w:t>）披露的《关于终止子公司框架</w:t>
      </w:r>
      <w:r>
        <w:rPr>
          <w:spacing w:val="-3"/>
        </w:rPr>
        <w:t> </w:t>
      </w:r>
      <w:r>
        <w:rPr>
          <w:spacing w:val="-3"/>
        </w:rPr>
      </w:r>
      <w:r>
        <w:rPr/>
        <w:t>协议的公告》（公告编号：</w:t>
      </w:r>
      <w:r>
        <w:rPr>
          <w:rFonts w:ascii="Times New Roman" w:hAnsi="Times New Roman" w:cs="Times New Roman" w:eastAsia="Times New Roman" w:hint="default"/>
        </w:rPr>
        <w:t>2019-103</w:t>
      </w:r>
      <w:r>
        <w:rPr/>
        <w:t>）。</w:t>
      </w:r>
    </w:p>
    <w:p>
      <w:pPr>
        <w:spacing w:line="240" w:lineRule="auto" w:before="11"/>
        <w:rPr>
          <w:rFonts w:ascii="宋体" w:hAnsi="宋体" w:cs="宋体" w:eastAsia="宋体" w:hint="default"/>
          <w:sz w:val="17"/>
          <w:szCs w:val="17"/>
        </w:rPr>
      </w:pPr>
    </w:p>
    <w:p>
      <w:pPr>
        <w:pStyle w:val="Heading3"/>
        <w:spacing w:line="240" w:lineRule="auto"/>
        <w:ind w:right="0"/>
        <w:jc w:val="both"/>
        <w:rPr>
          <w:b w:val="0"/>
          <w:bCs w:val="0"/>
        </w:rPr>
      </w:pPr>
      <w:bookmarkStart w:name="八、公司控制的结构化主体情况" w:id="55"/>
      <w:bookmarkEnd w:id="55"/>
      <w:r>
        <w:rPr>
          <w:b w:val="0"/>
          <w:bCs w:val="0"/>
        </w:rPr>
      </w:r>
      <w:r>
        <w:rPr/>
        <w:t>八、公司控制的结构化主体情况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both"/>
        <w:rPr>
          <w:b w:val="0"/>
          <w:bCs w:val="0"/>
        </w:rPr>
      </w:pPr>
      <w:bookmarkStart w:name="九、公司未来发展的展望" w:id="56"/>
      <w:bookmarkEnd w:id="56"/>
      <w:r>
        <w:rPr>
          <w:b w:val="0"/>
          <w:bCs w:val="0"/>
        </w:rPr>
      </w:r>
      <w:r>
        <w:rPr/>
        <w:t>九、公司未来发展的展望</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left="573" w:right="1133" w:hanging="421"/>
        <w:jc w:val="left"/>
      </w:pPr>
      <w:r>
        <w:rPr/>
        <w:t>（一）公司发展战略</w:t>
      </w:r>
      <w:r>
        <w:rPr>
          <w:w w:val="100"/>
        </w:rPr>
        <w:t> </w:t>
      </w:r>
      <w:r>
        <w:rPr>
          <w:spacing w:val="-2"/>
        </w:rPr>
        <w:t>公司未来三年发展战略为紧紧围绕公司主营业务中成药、人参产业稳定发展，同时有计划的进入工业</w:t>
      </w:r>
    </w:p>
    <w:p>
      <w:pPr>
        <w:pStyle w:val="BodyText"/>
        <w:spacing w:line="408" w:lineRule="auto"/>
        <w:ind w:right="1021"/>
        <w:jc w:val="both"/>
      </w:pPr>
      <w:r>
        <w:rPr>
          <w:spacing w:val="-2"/>
        </w:rPr>
        <w:t>大麻领域。公司以中成药发展为企业的立足之本，以中药现代化为目标，促使中药更好、更便捷地走进生</w:t>
      </w:r>
      <w:r>
        <w:rPr>
          <w:spacing w:val="-49"/>
        </w:rPr>
        <w:t> </w:t>
      </w:r>
      <w:r>
        <w:rPr>
          <w:spacing w:val="-49"/>
        </w:rPr>
      </w:r>
      <w:r>
        <w:rPr/>
        <w:t>活，服务大众的身体健康；继承与创新相结合，提升技术创新能力，加快品牌发展，占有更高市场份额，</w:t>
      </w:r>
      <w:r>
        <w:rPr>
          <w:w w:val="100"/>
        </w:rPr>
        <w:t> </w:t>
      </w:r>
      <w:r>
        <w:rPr>
          <w:spacing w:val="-2"/>
        </w:rPr>
        <w:t>积极履行企业社会责任，与各相关方和谐共进。人参产业作为企业未来发展的排头兵，将依托公司的先进</w:t>
      </w:r>
      <w:r>
        <w:rPr>
          <w:spacing w:val="-44"/>
        </w:rPr>
        <w:t> </w:t>
      </w:r>
      <w:r>
        <w:rPr>
          <w:spacing w:val="-44"/>
        </w:rPr>
      </w:r>
      <w:r>
        <w:rPr/>
        <w:t>加工技术，积极开展关键技术攻关，实现合理的结构调整，提升人参产品的品质，使紫鑫人参成为国际、</w:t>
      </w:r>
      <w:r>
        <w:rPr>
          <w:w w:val="100"/>
        </w:rPr>
        <w:t> </w:t>
      </w:r>
      <w:r>
        <w:rPr>
          <w:spacing w:val="-2"/>
        </w:rPr>
        <w:t>国内知名品牌，进一步提高核心竞争力，为提高人类生活品质做出应尽的社会责任。工业大麻产业在国内</w:t>
      </w:r>
      <w:r>
        <w:rPr>
          <w:spacing w:val="-44"/>
        </w:rPr>
        <w:t> </w:t>
      </w:r>
      <w:r>
        <w:rPr>
          <w:spacing w:val="-44"/>
        </w:rPr>
      </w:r>
      <w:r>
        <w:rPr>
          <w:spacing w:val="-2"/>
        </w:rPr>
        <w:t>外陆续开放发展，公司正在将位于荷兰子公司的部分工业大麻种子引进国内，后续通过与黑龙江省齐齐哈</w:t>
      </w:r>
      <w:r>
        <w:rPr>
          <w:spacing w:val="-43"/>
        </w:rPr>
        <w:t> </w:t>
      </w:r>
      <w:r>
        <w:rPr>
          <w:spacing w:val="-43"/>
        </w:rPr>
      </w:r>
      <w:r>
        <w:rPr>
          <w:spacing w:val="-2"/>
        </w:rPr>
        <w:t>尔市甘南县人民政府及齐齐哈尔市市场监督管理局合作，综合黑龙江省工业大麻行业政策、合法合规地域</w:t>
      </w:r>
      <w:r>
        <w:rPr>
          <w:spacing w:val="-42"/>
        </w:rPr>
        <w:t> </w:t>
      </w:r>
      <w:r>
        <w:rPr>
          <w:spacing w:val="-42"/>
        </w:rPr>
      </w:r>
      <w:r>
        <w:rPr>
          <w:spacing w:val="-5"/>
        </w:rPr>
        <w:t>及地方政府政策，利用荷兰子公司工业大麻的育种、栽培、生物活性成分研究和化合物提取等方面的技术，</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jc w:val="both"/>
      </w:pPr>
      <w:r>
        <w:rPr>
          <w:spacing w:val="-2"/>
        </w:rPr>
        <w:t>计划研发以工业大麻为主要原材料的产品，并为其他企业提供工业大麻作物种植相关的技术服务，尽快推</w:t>
      </w:r>
      <w:r>
        <w:rPr>
          <w:spacing w:val="-44"/>
        </w:rPr>
        <w:t> </w:t>
      </w:r>
      <w:r>
        <w:rPr>
          <w:spacing w:val="-44"/>
        </w:rPr>
      </w:r>
      <w:r>
        <w:rPr/>
        <w:t>动公司在国内工业大麻领域的产业布局，为公司带来经济效益。</w:t>
      </w:r>
    </w:p>
    <w:p>
      <w:pPr>
        <w:pStyle w:val="BodyText"/>
        <w:spacing w:line="408" w:lineRule="auto"/>
        <w:ind w:right="1126" w:firstLine="420"/>
        <w:jc w:val="both"/>
      </w:pPr>
      <w:r>
        <w:rPr>
          <w:spacing w:val="-2"/>
        </w:rPr>
        <w:t>公司计划加大对药品、人参食品、保健品的研发投入，坚持自主创新，不断提高药品、人参食品、保</w:t>
      </w:r>
      <w:r>
        <w:rPr>
          <w:w w:val="100"/>
        </w:rPr>
        <w:t> </w:t>
      </w:r>
      <w:r>
        <w:rPr>
          <w:spacing w:val="-2"/>
        </w:rPr>
        <w:t>健品的质量标准，扩充产能储备；通过扩大产能，完善产品结构，丰富各类产品线，迅速占领市场，提高</w:t>
      </w:r>
      <w:r>
        <w:rPr>
          <w:spacing w:val="-41"/>
        </w:rPr>
        <w:t> </w:t>
      </w:r>
      <w:r>
        <w:rPr>
          <w:spacing w:val="-41"/>
        </w:rPr>
      </w:r>
      <w:r>
        <w:rPr>
          <w:spacing w:val="-2"/>
        </w:rPr>
        <w:t>产品的市场份额；通过持续建设和完善市场营销网络，加大对市场的投入，进一步完善营销人员的专业结</w:t>
      </w:r>
      <w:r>
        <w:rPr>
          <w:spacing w:val="-43"/>
        </w:rPr>
        <w:t> </w:t>
      </w:r>
      <w:r>
        <w:rPr>
          <w:spacing w:val="-43"/>
        </w:rPr>
      </w:r>
      <w:r>
        <w:rPr>
          <w:spacing w:val="-2"/>
        </w:rPr>
        <w:t>构，提升品牌专业形象；有计划的将工业大麻相关技术引进国内；通过人才引进、管理创新、完善公司治</w:t>
      </w:r>
      <w:r>
        <w:rPr>
          <w:spacing w:val="-43"/>
        </w:rPr>
        <w:t> </w:t>
      </w:r>
      <w:r>
        <w:rPr>
          <w:spacing w:val="-43"/>
        </w:rPr>
      </w:r>
      <w:r>
        <w:rPr>
          <w:spacing w:val="-2"/>
        </w:rPr>
        <w:t>理结构、优化人力资源管理等手段，努力提高公司的经营决策水平；保证公司核心产品的稳步提升，提高</w:t>
      </w:r>
      <w:r>
        <w:rPr>
          <w:spacing w:val="-50"/>
        </w:rPr>
        <w:t> </w:t>
      </w:r>
      <w:r>
        <w:rPr>
          <w:spacing w:val="-50"/>
        </w:rPr>
      </w:r>
      <w:r>
        <w:rPr/>
        <w:t>营销网络运行效率，为公司发展提供稳定的现金流支持。</w:t>
      </w:r>
    </w:p>
    <w:p>
      <w:pPr>
        <w:pStyle w:val="BodyText"/>
        <w:spacing w:line="240" w:lineRule="auto"/>
        <w:ind w:left="573" w:right="1133"/>
        <w:jc w:val="left"/>
      </w:pPr>
      <w:r>
        <w:rPr/>
        <w:t>（二）业务发展目标</w:t>
      </w:r>
    </w:p>
    <w:p>
      <w:pPr>
        <w:spacing w:line="240" w:lineRule="auto" w:before="10"/>
        <w:rPr>
          <w:rFonts w:ascii="宋体" w:hAnsi="宋体" w:cs="宋体" w:eastAsia="宋体" w:hint="default"/>
          <w:sz w:val="14"/>
          <w:szCs w:val="14"/>
        </w:rPr>
      </w:pPr>
    </w:p>
    <w:p>
      <w:pPr>
        <w:pStyle w:val="BodyText"/>
        <w:spacing w:line="386" w:lineRule="auto" w:before="0"/>
        <w:ind w:left="573" w:right="1133"/>
        <w:jc w:val="left"/>
      </w:pPr>
      <w:r>
        <w:rPr>
          <w:rFonts w:ascii="Times New Roman" w:hAnsi="Times New Roman" w:cs="Times New Roman" w:eastAsia="Times New Roman" w:hint="default"/>
        </w:rPr>
        <w:t>1</w:t>
      </w:r>
      <w:r>
        <w:rPr/>
        <w:t>、中成药发展目标</w:t>
      </w:r>
      <w:r>
        <w:rPr>
          <w:w w:val="100"/>
        </w:rPr>
        <w:t> </w:t>
      </w:r>
      <w:r>
        <w:rPr>
          <w:spacing w:val="-1"/>
        </w:rPr>
        <w:t>公司将继续坚持</w:t>
      </w:r>
      <w:r>
        <w:rPr>
          <w:rFonts w:ascii="Times New Roman" w:hAnsi="Times New Roman" w:cs="Times New Roman" w:eastAsia="Times New Roman" w:hint="default"/>
          <w:spacing w:val="-1"/>
        </w:rPr>
        <w:t>“</w:t>
      </w:r>
      <w:r>
        <w:rPr>
          <w:spacing w:val="-1"/>
        </w:rPr>
        <w:t>科学管理，挖潜增效</w:t>
      </w:r>
      <w:r>
        <w:rPr>
          <w:rFonts w:ascii="Times New Roman" w:hAnsi="Times New Roman" w:cs="Times New Roman" w:eastAsia="Times New Roman" w:hint="default"/>
          <w:spacing w:val="-1"/>
        </w:rPr>
        <w:t>”</w:t>
      </w:r>
      <w:r>
        <w:rPr>
          <w:spacing w:val="-1"/>
        </w:rPr>
        <w:t>的既定原则和</w:t>
      </w:r>
      <w:r>
        <w:rPr>
          <w:rFonts w:ascii="Times New Roman" w:hAnsi="Times New Roman" w:cs="Times New Roman" w:eastAsia="Times New Roman" w:hint="default"/>
          <w:spacing w:val="-1"/>
        </w:rPr>
        <w:t>“</w:t>
      </w:r>
      <w:r>
        <w:rPr>
          <w:spacing w:val="-1"/>
        </w:rPr>
        <w:t>以品树人、以德酿药</w:t>
      </w:r>
      <w:r>
        <w:rPr>
          <w:rFonts w:ascii="Times New Roman" w:hAnsi="Times New Roman" w:cs="Times New Roman" w:eastAsia="Times New Roman" w:hint="default"/>
          <w:spacing w:val="-1"/>
        </w:rPr>
        <w:t>”</w:t>
      </w:r>
      <w:r>
        <w:rPr>
          <w:spacing w:val="-1"/>
        </w:rPr>
        <w:t>的企业文化为指引牢牢抓</w:t>
      </w:r>
    </w:p>
    <w:p>
      <w:pPr>
        <w:pStyle w:val="BodyText"/>
        <w:spacing w:line="408" w:lineRule="auto" w:before="35"/>
        <w:ind w:right="1126"/>
        <w:jc w:val="both"/>
      </w:pPr>
      <w:r>
        <w:rPr>
          <w:spacing w:val="-2"/>
        </w:rPr>
        <w:t>住中成药发展这一主线，以治疗风湿免疫类、耳鼻喉类、泌尿系统、心脑血管、肝胆类和消化系统类疾病</w:t>
      </w:r>
      <w:r>
        <w:rPr>
          <w:spacing w:val="-42"/>
        </w:rPr>
        <w:t> </w:t>
      </w:r>
      <w:r>
        <w:rPr>
          <w:spacing w:val="-42"/>
        </w:rPr>
      </w:r>
      <w:r>
        <w:rPr>
          <w:spacing w:val="-2"/>
        </w:rPr>
        <w:t>等药品为主攻方向，通过与科研机构、大专院校强强合作的方式开发新药，形成公司独特的竞争优势，进</w:t>
      </w:r>
      <w:r>
        <w:rPr>
          <w:spacing w:val="-47"/>
        </w:rPr>
        <w:t> </w:t>
      </w:r>
      <w:r>
        <w:rPr>
          <w:spacing w:val="-47"/>
        </w:rPr>
      </w:r>
      <w:r>
        <w:rPr>
          <w:spacing w:val="-2"/>
        </w:rPr>
        <w:t>一步加大对研发的投入。外部并购方面，公司将通过资本运营与生产经营并举，通过收购、并购参股等形</w:t>
      </w:r>
      <w:r>
        <w:rPr>
          <w:spacing w:val="-47"/>
        </w:rPr>
        <w:t> </w:t>
      </w:r>
      <w:r>
        <w:rPr>
          <w:spacing w:val="-47"/>
        </w:rPr>
      </w:r>
      <w:r>
        <w:rPr>
          <w:spacing w:val="-2"/>
        </w:rPr>
        <w:t>式，有计划、有步骤、有目标积极稳妥的收购一些优良药品品种，进而实现公司的持续健康发展。内部发</w:t>
      </w:r>
      <w:r>
        <w:rPr>
          <w:spacing w:val="-43"/>
        </w:rPr>
        <w:t> </w:t>
      </w:r>
      <w:r>
        <w:rPr>
          <w:spacing w:val="-43"/>
        </w:rPr>
      </w:r>
      <w:r>
        <w:rPr/>
        <w:t>展方面，计划以成立连锁药店的形式扎根市场，强化销售团队建设，完善公司的产业布局。</w:t>
      </w:r>
    </w:p>
    <w:p>
      <w:pPr>
        <w:pStyle w:val="BodyText"/>
        <w:spacing w:line="240" w:lineRule="auto"/>
        <w:ind w:left="573" w:right="1133"/>
        <w:jc w:val="left"/>
      </w:pPr>
      <w:r>
        <w:rPr>
          <w:rFonts w:ascii="Times New Roman" w:hAnsi="Times New Roman" w:cs="Times New Roman" w:eastAsia="Times New Roman" w:hint="default"/>
        </w:rPr>
        <w:t>2</w:t>
      </w:r>
      <w:r>
        <w:rPr/>
        <w:t>、人参产业发展目标</w:t>
      </w:r>
    </w:p>
    <w:p>
      <w:pPr>
        <w:pStyle w:val="BodyText"/>
        <w:spacing w:line="386" w:lineRule="auto" w:before="177"/>
        <w:ind w:right="1071" w:firstLine="42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月，公司发布了《人参产业发展战略规划》，《人参产业发展战略规划》指导公司未来五年</w:t>
      </w:r>
      <w:r>
        <w:rPr>
          <w:w w:val="100"/>
        </w:rPr>
        <w:t> </w:t>
      </w:r>
      <w:r>
        <w:rPr/>
        <w:t>的人参产业发展方向，计划到 </w:t>
      </w:r>
      <w:r>
        <w:rPr>
          <w:rFonts w:ascii="Times New Roman" w:hAnsi="Times New Roman" w:cs="Times New Roman" w:eastAsia="Times New Roman" w:hint="default"/>
        </w:rPr>
        <w:t>2022 </w:t>
      </w:r>
      <w:r>
        <w:rPr/>
        <w:t>年人参种植业实现产值约 </w:t>
      </w:r>
      <w:r>
        <w:rPr>
          <w:rFonts w:ascii="Times New Roman" w:hAnsi="Times New Roman" w:cs="Times New Roman" w:eastAsia="Times New Roman" w:hint="default"/>
        </w:rPr>
        <w:t>100 </w:t>
      </w:r>
      <w:r>
        <w:rPr/>
        <w:t>亿元</w:t>
      </w:r>
      <w:r>
        <w:rPr>
          <w:rFonts w:ascii="Times New Roman" w:hAnsi="Times New Roman" w:cs="Times New Roman" w:eastAsia="Times New Roman" w:hint="default"/>
        </w:rPr>
        <w:t>,</w:t>
      </w:r>
      <w:r>
        <w:rPr/>
        <w:t>人参加工业实现产值约 </w:t>
      </w:r>
      <w:r>
        <w:rPr>
          <w:rFonts w:ascii="Times New Roman" w:hAnsi="Times New Roman" w:cs="Times New Roman" w:eastAsia="Times New Roman" w:hint="default"/>
        </w:rPr>
        <w:t>40</w:t>
      </w:r>
      <w:r>
        <w:rPr>
          <w:rFonts w:ascii="Times New Roman" w:hAnsi="Times New Roman" w:cs="Times New Roman" w:eastAsia="Times New Roman" w:hint="default"/>
          <w:spacing w:val="23"/>
        </w:rPr>
        <w:t> </w:t>
      </w:r>
      <w:r>
        <w:rPr/>
        <w:t>亿元，</w:t>
      </w:r>
    </w:p>
    <w:p>
      <w:pPr>
        <w:pStyle w:val="BodyText"/>
        <w:spacing w:line="386" w:lineRule="auto" w:before="35"/>
        <w:ind w:right="1126"/>
        <w:jc w:val="both"/>
      </w:pPr>
      <w:r>
        <w:rPr/>
        <w:t>参业实现总产值约 </w:t>
      </w:r>
      <w:r>
        <w:rPr>
          <w:rFonts w:ascii="Times New Roman" w:hAnsi="Times New Roman" w:cs="Times New Roman" w:eastAsia="Times New Roman" w:hint="default"/>
        </w:rPr>
        <w:t>150 </w:t>
      </w:r>
      <w:r>
        <w:rPr>
          <w:spacing w:val="-4"/>
        </w:rPr>
        <w:t>亿元，力争成为吉林省规模最大、科技含量最高、实力最强的龙头企业和吉林省千</w:t>
      </w:r>
      <w:r>
        <w:rPr>
          <w:spacing w:val="-97"/>
        </w:rPr>
        <w:t> </w:t>
      </w:r>
      <w:r>
        <w:rPr>
          <w:spacing w:val="-97"/>
        </w:rPr>
      </w:r>
      <w:r>
        <w:rPr/>
        <w:t>亿元人参产业的排头兵，形成世界人参看中国，中国人参看吉林，吉林人参看紫鑫的基本格局。</w:t>
      </w:r>
    </w:p>
    <w:p>
      <w:pPr>
        <w:pStyle w:val="BodyText"/>
        <w:spacing w:line="405" w:lineRule="auto" w:before="65"/>
        <w:ind w:right="0" w:firstLine="420"/>
        <w:jc w:val="left"/>
      </w:pPr>
      <w:r>
        <w:rPr>
          <w:rFonts w:ascii="Times New Roman" w:hAnsi="Times New Roman" w:cs="Times New Roman" w:eastAsia="Times New Roman" w:hint="default"/>
        </w:rPr>
        <w:t>2009</w:t>
      </w:r>
      <w:r>
        <w:rPr/>
        <w:t>年公司进军人参产业，自进入人参产业以来，不断加大对人参产业的投入力度，在人参种植和培</w:t>
      </w:r>
      <w:r>
        <w:rPr>
          <w:w w:val="100"/>
        </w:rPr>
        <w:t> </w:t>
      </w:r>
      <w:r>
        <w:rPr/>
        <w:t>育方面、人参库存的战略性储备方面、人参生产加工的产业升级方面、人参产品的低中高端新产品研发方</w:t>
      </w:r>
      <w:r>
        <w:rPr>
          <w:w w:val="100"/>
        </w:rPr>
        <w:t> </w:t>
      </w:r>
      <w:r>
        <w:rPr>
          <w:spacing w:val="-5"/>
        </w:rPr>
        <w:t>面，人参产品经营销售规范等等方面，有效的形成了人参产业化的体系化建设；同时在人参基因图谱绘制，</w:t>
      </w:r>
      <w:r>
        <w:rPr>
          <w:spacing w:val="-6"/>
        </w:rPr>
        <w:t> </w:t>
      </w:r>
      <w:r>
        <w:rPr>
          <w:spacing w:val="-6"/>
        </w:rPr>
      </w:r>
      <w:r>
        <w:rPr>
          <w:spacing w:val="-2"/>
        </w:rPr>
        <w:t>人参基因组鉴别方法、人参提取物提取纯化方法等等方向取得了巨大的成果，公司以科技创新为引领，通</w:t>
      </w:r>
      <w:r>
        <w:rPr>
          <w:spacing w:val="-44"/>
        </w:rPr>
        <w:t> </w:t>
      </w:r>
      <w:r>
        <w:rPr>
          <w:spacing w:val="-44"/>
        </w:rPr>
      </w:r>
      <w:r>
        <w:rPr>
          <w:spacing w:val="-2"/>
        </w:rPr>
        <w:t>过产学研联盟的方式，使公司人参产业板块处于行业领先地位。公司一直坚持自主研发和合作交流相结合</w:t>
      </w:r>
      <w:r>
        <w:rPr>
          <w:spacing w:val="-44"/>
        </w:rPr>
        <w:t> </w:t>
      </w:r>
      <w:r>
        <w:rPr>
          <w:spacing w:val="-44"/>
        </w:rPr>
      </w:r>
      <w:r>
        <w:rPr>
          <w:spacing w:val="-5"/>
        </w:rPr>
        <w:t>的创新模式，对植物提取物、人参提取物、人参皂苷单体分离方法的研究、产品的开发取得了阶段性成果，</w:t>
      </w:r>
      <w:r>
        <w:rPr>
          <w:spacing w:val="-7"/>
        </w:rPr>
        <w:t> </w:t>
      </w:r>
      <w:r>
        <w:rPr>
          <w:spacing w:val="-7"/>
        </w:rPr>
      </w:r>
      <w:r>
        <w:rPr/>
        <w:t>突破高纯度、应用型产品核心技术。以化学水解法、酶水解法、微生物发酵法、加热加工法以及化学合成</w:t>
      </w:r>
      <w:r>
        <w:rPr>
          <w:w w:val="100"/>
        </w:rPr>
        <w:t> </w:t>
      </w:r>
      <w:r>
        <w:rPr>
          <w:spacing w:val="-2"/>
        </w:rPr>
        <w:t>等为研究方法，应用新药研发的战略，对人参全系统产品（鲜人参、生晒参、红参）进行全面分析，通过</w:t>
      </w:r>
      <w:r>
        <w:rPr>
          <w:spacing w:val="-47"/>
        </w:rPr>
        <w:t> </w:t>
      </w:r>
      <w:r>
        <w:rPr>
          <w:spacing w:val="-47"/>
        </w:rPr>
      </w:r>
      <w:r>
        <w:rPr/>
        <w:t>对工艺、质量标准进行比较研究，获得不同人参皂苷比例的提取物、各种规格产品，满足医药、保健品、</w:t>
      </w:r>
    </w:p>
    <w:p>
      <w:pPr>
        <w:spacing w:after="0" w:line="405"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0"/>
        <w:jc w:val="left"/>
      </w:pPr>
      <w:r>
        <w:rPr>
          <w:spacing w:val="-2"/>
        </w:rPr>
        <w:t>饮料、护理产品、功能性食品、化妆品等行业使用。以子公司初元药业为试点，建成连续化、自动化、高</w:t>
      </w:r>
      <w:r>
        <w:rPr>
          <w:spacing w:val="-50"/>
        </w:rPr>
        <w:t> </w:t>
      </w:r>
      <w:r>
        <w:rPr>
          <w:spacing w:val="-50"/>
        </w:rPr>
      </w:r>
      <w:r>
        <w:rPr>
          <w:spacing w:val="-2"/>
        </w:rPr>
        <w:t>得率的植物提取物生产线，并在梅河口市有针对性的成立了以分植物提取物、人参提取物、人参皂苷单体</w:t>
      </w:r>
      <w:r>
        <w:rPr>
          <w:spacing w:val="-45"/>
        </w:rPr>
        <w:t> </w:t>
      </w:r>
      <w:r>
        <w:rPr>
          <w:spacing w:val="-45"/>
        </w:rPr>
      </w:r>
      <w:r>
        <w:rPr>
          <w:spacing w:val="-2"/>
        </w:rPr>
        <w:t>分离方面为主的紫鑫参工堂公司，加强以人参、人参茎叶等为主的原料进行植物提取物、人参提取物、人</w:t>
      </w:r>
      <w:r>
        <w:rPr>
          <w:spacing w:val="-44"/>
        </w:rPr>
        <w:t> </w:t>
      </w:r>
      <w:r>
        <w:rPr>
          <w:spacing w:val="-44"/>
        </w:rPr>
      </w:r>
      <w:r>
        <w:rPr/>
        <w:t>参皂苷单体的研发、小试、中试、产业化生产等工作；公司人参系列提取、分离产品目前处于初期生产、</w:t>
      </w:r>
      <w:r>
        <w:rPr>
          <w:w w:val="100"/>
        </w:rPr>
        <w:t> </w:t>
      </w:r>
      <w:r>
        <w:rPr>
          <w:spacing w:val="-5"/>
        </w:rPr>
        <w:t>销售阶段，目前主要核心客户均为国内相关的医药制造公司、贸易公司等。未来销售发展方向主要为港澳、</w:t>
      </w:r>
      <w:r>
        <w:rPr>
          <w:spacing w:val="-4"/>
        </w:rPr>
        <w:t> </w:t>
      </w:r>
      <w:r>
        <w:rPr>
          <w:spacing w:val="-4"/>
        </w:rPr>
      </w:r>
      <w:r>
        <w:rPr/>
        <w:t>韩国、日本、东南亚、北美洲及欧洲等国家和地区。</w:t>
      </w:r>
    </w:p>
    <w:p>
      <w:pPr>
        <w:pStyle w:val="BodyText"/>
        <w:spacing w:line="393" w:lineRule="auto"/>
        <w:ind w:right="1126" w:firstLine="420"/>
        <w:jc w:val="both"/>
      </w:pPr>
      <w:r>
        <w:rPr/>
        <w:t>目前，公司已经研发出</w:t>
      </w:r>
      <w:r>
        <w:rPr>
          <w:rFonts w:ascii="Times New Roman" w:hAnsi="Times New Roman" w:cs="Times New Roman" w:eastAsia="Times New Roman" w:hint="default"/>
        </w:rPr>
        <w:t>500</w:t>
      </w:r>
      <w:r>
        <w:rPr/>
        <w:t>余个人参食品、保健品、化妆品等品种，目前已将数十款人参产品推向市</w:t>
      </w:r>
      <w:r>
        <w:rPr>
          <w:w w:val="100"/>
        </w:rPr>
        <w:t> </w:t>
      </w:r>
      <w:r>
        <w:rPr>
          <w:spacing w:val="-2"/>
        </w:rPr>
        <w:t>场，以人参果蔬发酵饮料、参呼吸饮料、玉红颜红参阿胶糕、鲜人参蜜片、参藏长白山</w:t>
      </w:r>
      <w:r>
        <w:rPr>
          <w:rFonts w:ascii="Times New Roman" w:hAnsi="Times New Roman" w:cs="Times New Roman" w:eastAsia="Times New Roman" w:hint="default"/>
          <w:spacing w:val="-2"/>
        </w:rPr>
        <w:t>2691</w:t>
      </w:r>
      <w:r>
        <w:rPr>
          <w:spacing w:val="-2"/>
        </w:rPr>
        <w:t>等为代表的产</w:t>
      </w:r>
      <w:r>
        <w:rPr>
          <w:spacing w:val="-38"/>
        </w:rPr>
        <w:t> </w:t>
      </w:r>
      <w:r>
        <w:rPr>
          <w:spacing w:val="-38"/>
        </w:rPr>
      </w:r>
      <w:r>
        <w:rPr>
          <w:spacing w:val="2"/>
        </w:rPr>
        <w:t>品已经在得到了消费者的好评。公司将会以长春为中心，广告投入辐射东北三省，同时在南方省份打造</w:t>
      </w:r>
      <w:r>
        <w:rPr>
          <w:spacing w:val="-30"/>
        </w:rPr>
        <w:t> </w:t>
      </w:r>
      <w:r>
        <w:rPr>
          <w:spacing w:val="-30"/>
        </w:rPr>
      </w:r>
      <w:r>
        <w:rPr>
          <w:rFonts w:ascii="Times New Roman" w:hAnsi="Times New Roman" w:cs="Times New Roman" w:eastAsia="Times New Roman" w:hint="default"/>
        </w:rPr>
        <w:t>5</w:t>
      </w:r>
      <w:r>
        <w:rPr>
          <w:rFonts w:ascii="Times New Roman" w:hAnsi="Times New Roman" w:cs="Times New Roman" w:eastAsia="Times New Roman" w:hint="default"/>
        </w:rPr>
        <w:t>—</w:t>
      </w:r>
      <w:r>
        <w:rPr>
          <w:rFonts w:ascii="Times New Roman" w:hAnsi="Times New Roman" w:cs="Times New Roman" w:eastAsia="Times New Roman" w:hint="default"/>
        </w:rPr>
        <w:t>10</w:t>
      </w:r>
      <w:r>
        <w:rPr/>
        <w:t>个样板市场，将公司人参深加工产品逐渐推向全国市场。</w:t>
      </w:r>
    </w:p>
    <w:p>
      <w:pPr>
        <w:pStyle w:val="BodyText"/>
        <w:spacing w:line="393" w:lineRule="auto" w:before="28"/>
        <w:ind w:right="1126" w:firstLine="420"/>
        <w:jc w:val="both"/>
      </w:pPr>
      <w:r>
        <w:rPr>
          <w:spacing w:val="-2"/>
        </w:rPr>
        <w:t>未来，人参产业作为公司主要的利润增长点，将继续采用研发</w:t>
      </w:r>
      <w:r>
        <w:rPr>
          <w:rFonts w:ascii="Times New Roman" w:hAnsi="Times New Roman" w:cs="Times New Roman" w:eastAsia="Times New Roman" w:hint="default"/>
          <w:spacing w:val="-2"/>
        </w:rPr>
        <w:t>—</w:t>
      </w:r>
      <w:r>
        <w:rPr>
          <w:spacing w:val="-2"/>
        </w:rPr>
        <w:t>生产</w:t>
      </w:r>
      <w:r>
        <w:rPr>
          <w:rFonts w:ascii="Times New Roman" w:hAnsi="Times New Roman" w:cs="Times New Roman" w:eastAsia="Times New Roman" w:hint="default"/>
          <w:spacing w:val="-2"/>
        </w:rPr>
        <w:t>—</w:t>
      </w:r>
      <w:r>
        <w:rPr>
          <w:spacing w:val="-2"/>
        </w:rPr>
        <w:t>销售全程无缝对接的模式，以</w:t>
      </w:r>
      <w:r>
        <w:rPr>
          <w:w w:val="100"/>
        </w:rPr>
        <w:t> </w:t>
      </w:r>
      <w:r>
        <w:rPr>
          <w:spacing w:val="-2"/>
        </w:rPr>
        <w:t>销售为导向，研发出更多适合消费者的人参品种。公司的战略是将研发出全系列的人参品种，根据市场需</w:t>
      </w:r>
      <w:r>
        <w:rPr>
          <w:spacing w:val="-43"/>
        </w:rPr>
        <w:t> </w:t>
      </w:r>
      <w:r>
        <w:rPr>
          <w:spacing w:val="-43"/>
        </w:rPr>
      </w:r>
      <w:r>
        <w:rPr/>
        <w:t>求，将不同的人参品种在未来</w:t>
      </w:r>
      <w:r>
        <w:rPr>
          <w:rFonts w:ascii="Times New Roman" w:hAnsi="Times New Roman" w:cs="Times New Roman" w:eastAsia="Times New Roman" w:hint="default"/>
        </w:rPr>
        <w:t>5</w:t>
      </w:r>
      <w:r>
        <w:rPr/>
        <w:t>年内全部推向市场，进一步提高人参产业在市场的占有率，进一步巩固人</w:t>
      </w:r>
      <w:r>
        <w:rPr>
          <w:spacing w:val="-23"/>
        </w:rPr>
        <w:t> </w:t>
      </w:r>
      <w:r>
        <w:rPr>
          <w:spacing w:val="-23"/>
        </w:rPr>
      </w:r>
      <w:r>
        <w:rPr/>
        <w:t>参产业龙头企业的地位。</w:t>
      </w:r>
    </w:p>
    <w:p>
      <w:pPr>
        <w:pStyle w:val="BodyText"/>
        <w:spacing w:line="386" w:lineRule="auto" w:before="58"/>
        <w:ind w:left="573" w:right="1133"/>
        <w:jc w:val="left"/>
      </w:pPr>
      <w:r>
        <w:rPr>
          <w:rFonts w:ascii="Times New Roman" w:hAnsi="Times New Roman" w:cs="Times New Roman" w:eastAsia="Times New Roman" w:hint="default"/>
        </w:rPr>
        <w:t>3</w:t>
      </w:r>
      <w:r>
        <w:rPr/>
        <w:t>、工业大麻发展目标</w:t>
      </w:r>
      <w:r>
        <w:rPr>
          <w:w w:val="100"/>
        </w:rPr>
        <w:t> </w:t>
      </w:r>
      <w:r>
        <w:rPr>
          <w:spacing w:val="-2"/>
        </w:rPr>
        <w:t>随着工业大麻被人们发现其具备较多的应用价值后，全球超</w:t>
      </w:r>
      <w:r>
        <w:rPr>
          <w:rFonts w:ascii="Times New Roman" w:hAnsi="Times New Roman" w:cs="Times New Roman" w:eastAsia="Times New Roman" w:hint="default"/>
          <w:spacing w:val="-2"/>
        </w:rPr>
        <w:t>50</w:t>
      </w:r>
      <w:r>
        <w:rPr>
          <w:spacing w:val="-2"/>
        </w:rPr>
        <w:t>个国家宣布工业大麻合法化，公司依托</w:t>
      </w:r>
    </w:p>
    <w:p>
      <w:pPr>
        <w:pStyle w:val="BodyText"/>
        <w:spacing w:line="408" w:lineRule="auto" w:before="36"/>
        <w:ind w:right="1133"/>
        <w:jc w:val="left"/>
      </w:pPr>
      <w:r>
        <w:rPr>
          <w:spacing w:val="-2"/>
        </w:rPr>
        <w:t>国外子公司的研发成果及国内提取物的技术优势，提前布局工业大麻领域，计划与国内的科研院校、相关</w:t>
      </w:r>
      <w:r>
        <w:rPr>
          <w:spacing w:val="-42"/>
        </w:rPr>
        <w:t> </w:t>
      </w:r>
      <w:r>
        <w:rPr>
          <w:spacing w:val="-42"/>
        </w:rPr>
      </w:r>
      <w:r>
        <w:rPr/>
        <w:t>公司达成战略协议，通过共同研发、合作分工、利润共享等机制，寻找新的利润增长点。</w:t>
      </w:r>
    </w:p>
    <w:p>
      <w:pPr>
        <w:pStyle w:val="BodyText"/>
        <w:spacing w:line="240" w:lineRule="auto"/>
        <w:ind w:left="573" w:right="1133"/>
        <w:jc w:val="left"/>
      </w:pPr>
      <w:r>
        <w:rPr/>
        <w:t>（三）公司未来发展计划</w:t>
      </w:r>
    </w:p>
    <w:p>
      <w:pPr>
        <w:spacing w:line="240" w:lineRule="auto" w:before="10"/>
        <w:rPr>
          <w:rFonts w:ascii="宋体" w:hAnsi="宋体" w:cs="宋体" w:eastAsia="宋体" w:hint="default"/>
          <w:sz w:val="14"/>
          <w:szCs w:val="14"/>
        </w:rPr>
      </w:pPr>
    </w:p>
    <w:p>
      <w:pPr>
        <w:pStyle w:val="BodyText"/>
        <w:spacing w:line="386" w:lineRule="auto" w:before="0"/>
        <w:ind w:left="573" w:right="1133"/>
        <w:jc w:val="left"/>
      </w:pPr>
      <w:r>
        <w:rPr>
          <w:rFonts w:ascii="Times New Roman" w:hAnsi="Times New Roman" w:cs="Times New Roman" w:eastAsia="Times New Roman" w:hint="default"/>
        </w:rPr>
        <w:t>1</w:t>
      </w:r>
      <w:r>
        <w:rPr/>
        <w:t>、技术开发和创新</w:t>
      </w:r>
      <w:r>
        <w:rPr>
          <w:w w:val="100"/>
        </w:rPr>
        <w:t> </w:t>
      </w:r>
      <w:r>
        <w:rPr>
          <w:spacing w:val="-2"/>
        </w:rPr>
        <w:t>公司将通过持续开展技术开发和创新以保证产品的技术和质量优势。公司将利用新工艺、新技术、新</w:t>
      </w:r>
    </w:p>
    <w:p>
      <w:pPr>
        <w:pStyle w:val="BodyText"/>
        <w:spacing w:line="403" w:lineRule="auto" w:before="65"/>
        <w:ind w:right="1126"/>
        <w:jc w:val="both"/>
      </w:pPr>
      <w:r>
        <w:rPr>
          <w:spacing w:val="-2"/>
        </w:rPr>
        <w:t>材料、新设备对现有产品不断的进行改造升级，严格按照</w:t>
      </w:r>
      <w:r>
        <w:rPr>
          <w:rFonts w:ascii="Times New Roman" w:hAnsi="Times New Roman" w:cs="Times New Roman" w:eastAsia="Times New Roman" w:hint="default"/>
          <w:spacing w:val="-2"/>
        </w:rPr>
        <w:t>GMP</w:t>
      </w:r>
      <w:r>
        <w:rPr>
          <w:spacing w:val="-2"/>
        </w:rPr>
        <w:t>、</w:t>
      </w:r>
      <w:r>
        <w:rPr>
          <w:rFonts w:ascii="Times New Roman" w:hAnsi="Times New Roman" w:cs="Times New Roman" w:eastAsia="Times New Roman" w:hint="default"/>
          <w:spacing w:val="-2"/>
        </w:rPr>
        <w:t>GSP</w:t>
      </w:r>
      <w:r>
        <w:rPr>
          <w:spacing w:val="-2"/>
        </w:rPr>
        <w:t>要求进行生产，提高产品质量、降低</w:t>
      </w:r>
      <w:r>
        <w:rPr>
          <w:spacing w:val="-41"/>
        </w:rPr>
        <w:t> </w:t>
      </w:r>
      <w:r>
        <w:rPr>
          <w:spacing w:val="-41"/>
        </w:rPr>
      </w:r>
      <w:r>
        <w:rPr>
          <w:spacing w:val="-2"/>
        </w:rPr>
        <w:t>原材料和能源的消耗，提高生产过程的自动化水平，优化和更新生产工艺。公司将加大科研队伍的建设力</w:t>
      </w:r>
      <w:r>
        <w:rPr>
          <w:spacing w:val="-44"/>
        </w:rPr>
        <w:t> </w:t>
      </w:r>
      <w:r>
        <w:rPr>
          <w:spacing w:val="-44"/>
        </w:rPr>
      </w:r>
      <w:r>
        <w:rPr>
          <w:spacing w:val="-2"/>
        </w:rPr>
        <w:t>度，从资金、政策给以极大的扶持力度，注重提升现有科研人员的质素，同时加大引进高素质人才充实到</w:t>
      </w:r>
      <w:r>
        <w:rPr>
          <w:spacing w:val="-47"/>
        </w:rPr>
        <w:t> </w:t>
      </w:r>
      <w:r>
        <w:rPr>
          <w:spacing w:val="-47"/>
        </w:rPr>
      </w:r>
      <w:r>
        <w:rPr>
          <w:spacing w:val="-2"/>
        </w:rPr>
        <w:t>科研人员队伍中。公司将加强与外部科研机构的合作，充分利用外脑的优势，提高科研技术开发水平，实</w:t>
      </w:r>
      <w:r>
        <w:rPr>
          <w:spacing w:val="-47"/>
        </w:rPr>
        <w:t> </w:t>
      </w:r>
      <w:r>
        <w:rPr>
          <w:spacing w:val="-47"/>
        </w:rPr>
      </w:r>
      <w:r>
        <w:rPr>
          <w:spacing w:val="-2"/>
        </w:rPr>
        <w:t>现公司可持续快速的发展。在开展技术开发和创新的同时，公司将注重保护和完善知识产品体系，通过申</w:t>
      </w:r>
      <w:r>
        <w:rPr>
          <w:spacing w:val="-44"/>
        </w:rPr>
        <w:t> </w:t>
      </w:r>
      <w:r>
        <w:rPr>
          <w:spacing w:val="-44"/>
        </w:rPr>
      </w:r>
      <w:r>
        <w:rPr/>
        <w:t>请专利、签订《保密协议》和提高科研人员薪酬待遇等激励方法进行对技术开发和创新成果的保密性。</w:t>
      </w:r>
    </w:p>
    <w:p>
      <w:pPr>
        <w:pStyle w:val="BodyText"/>
        <w:spacing w:line="386" w:lineRule="auto" w:before="50"/>
        <w:ind w:left="573" w:right="1133"/>
        <w:jc w:val="left"/>
      </w:pPr>
      <w:r>
        <w:rPr>
          <w:rFonts w:ascii="Times New Roman" w:hAnsi="Times New Roman" w:cs="Times New Roman" w:eastAsia="Times New Roman" w:hint="default"/>
        </w:rPr>
        <w:t>2</w:t>
      </w:r>
      <w:r>
        <w:rPr/>
        <w:t>、产品的开发计划</w:t>
      </w:r>
      <w:r>
        <w:rPr>
          <w:w w:val="100"/>
        </w:rPr>
        <w:t> </w:t>
      </w:r>
      <w:r>
        <w:rPr>
          <w:spacing w:val="-2"/>
        </w:rPr>
        <w:t>公司仍将坚持规划一代、研发一代、储备一代、生产一代的原则，坚持中成药发展、人参产业发展、</w:t>
      </w:r>
    </w:p>
    <w:p>
      <w:pPr>
        <w:pStyle w:val="BodyText"/>
        <w:spacing w:line="240" w:lineRule="auto" w:before="65"/>
        <w:ind w:right="0"/>
        <w:jc w:val="left"/>
      </w:pPr>
      <w:r>
        <w:rPr/>
        <w:t>工业大麻产业发展三条主线同时走路的方式。加大处方药研发力度，争取在未来</w:t>
      </w:r>
      <w:r>
        <w:rPr>
          <w:rFonts w:ascii="Times New Roman" w:hAnsi="Times New Roman" w:cs="Times New Roman" w:eastAsia="Times New Roman" w:hint="default"/>
        </w:rPr>
        <w:t>3</w:t>
      </w:r>
      <w:r>
        <w:rPr>
          <w:rFonts w:ascii="Times New Roman" w:hAnsi="Times New Roman" w:cs="Times New Roman" w:eastAsia="Times New Roman" w:hint="default"/>
        </w:rPr>
        <w:t>—</w:t>
      </w:r>
      <w:r>
        <w:rPr>
          <w:rFonts w:ascii="Times New Roman" w:hAnsi="Times New Roman" w:cs="Times New Roman" w:eastAsia="Times New Roman" w:hint="default"/>
        </w:rPr>
        <w:t>5</w:t>
      </w:r>
      <w:r>
        <w:rPr/>
        <w:t>年内研发出</w:t>
      </w:r>
      <w:r>
        <w:rPr>
          <w:rFonts w:ascii="Times New Roman" w:hAnsi="Times New Roman" w:cs="Times New Roman" w:eastAsia="Times New Roman" w:hint="default"/>
        </w:rPr>
        <w:t>3</w:t>
      </w:r>
      <w:r>
        <w:rPr>
          <w:rFonts w:ascii="Times New Roman" w:hAnsi="Times New Roman" w:cs="Times New Roman" w:eastAsia="Times New Roman" w:hint="default"/>
        </w:rPr>
        <w:t>—</w:t>
      </w:r>
      <w:r>
        <w:rPr>
          <w:rFonts w:ascii="Times New Roman" w:hAnsi="Times New Roman" w:cs="Times New Roman" w:eastAsia="Times New Roman" w:hint="default"/>
        </w:rPr>
        <w:t>5</w:t>
      </w:r>
      <w:r>
        <w:rPr/>
        <w:t>个国</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33"/>
        <w:jc w:val="left"/>
      </w:pPr>
      <w:r>
        <w:rPr>
          <w:spacing w:val="-2"/>
        </w:rPr>
        <w:t>家一类新药。深挖人参的药用、食用功效，对人参食品要坚持以市场为导向，建立快速反应机制，在推出</w:t>
      </w:r>
      <w:r>
        <w:rPr>
          <w:spacing w:val="-43"/>
        </w:rPr>
        <w:t> </w:t>
      </w:r>
      <w:r>
        <w:rPr>
          <w:spacing w:val="-43"/>
        </w:rPr>
      </w:r>
      <w:r>
        <w:rPr/>
        <w:t>产品之前，要建立好流通网络渠道。</w:t>
      </w:r>
    </w:p>
    <w:p>
      <w:pPr>
        <w:pStyle w:val="BodyText"/>
        <w:spacing w:line="386" w:lineRule="auto"/>
        <w:ind w:left="573" w:right="1133"/>
        <w:jc w:val="left"/>
      </w:pPr>
      <w:r>
        <w:rPr>
          <w:rFonts w:ascii="Times New Roman" w:hAnsi="Times New Roman" w:cs="Times New Roman" w:eastAsia="Times New Roman" w:hint="default"/>
        </w:rPr>
        <w:t>3</w:t>
      </w:r>
      <w:r>
        <w:rPr/>
        <w:t>、市场开拓计划</w:t>
      </w:r>
      <w:r>
        <w:rPr>
          <w:w w:val="100"/>
        </w:rPr>
        <w:t> </w:t>
      </w:r>
      <w:r>
        <w:rPr>
          <w:spacing w:val="-2"/>
        </w:rPr>
        <w:t>在市场开拓方面，公司一直坚持采取</w:t>
      </w:r>
      <w:r>
        <w:rPr>
          <w:rFonts w:ascii="Times New Roman" w:hAnsi="Times New Roman" w:cs="Times New Roman" w:eastAsia="Times New Roman" w:hint="default"/>
          <w:spacing w:val="-2"/>
        </w:rPr>
        <w:t>“</w:t>
      </w:r>
      <w:r>
        <w:rPr>
          <w:spacing w:val="-2"/>
        </w:rPr>
        <w:t>品种树立品牌、品牌带动品种</w:t>
      </w:r>
      <w:r>
        <w:rPr>
          <w:rFonts w:ascii="Times New Roman" w:hAnsi="Times New Roman" w:cs="Times New Roman" w:eastAsia="Times New Roman" w:hint="default"/>
          <w:spacing w:val="-2"/>
        </w:rPr>
        <w:t>”</w:t>
      </w:r>
      <w:r>
        <w:rPr>
          <w:spacing w:val="-2"/>
        </w:rPr>
        <w:t>的策略。公司中成药的市场已经</w:t>
      </w:r>
    </w:p>
    <w:p>
      <w:pPr>
        <w:pStyle w:val="BodyText"/>
        <w:spacing w:line="408" w:lineRule="auto" w:before="35"/>
        <w:ind w:right="1133"/>
        <w:jc w:val="left"/>
      </w:pPr>
      <w:r>
        <w:rPr>
          <w:spacing w:val="-2"/>
        </w:rPr>
        <w:t>形成了较为完善的销售渠道，紫鑫品牌已经得到了市场的认可。未来几年公司将大力巩固药品销售市场，</w:t>
      </w:r>
      <w:r>
        <w:rPr>
          <w:spacing w:val="-21"/>
        </w:rPr>
        <w:t> </w:t>
      </w:r>
      <w:r>
        <w:rPr>
          <w:spacing w:val="-21"/>
        </w:rPr>
      </w:r>
      <w:r>
        <w:rPr/>
        <w:t>积极参加各地方政府、医院组织的招标会，进一步提高公司的市场占有率。</w:t>
      </w:r>
    </w:p>
    <w:p>
      <w:pPr>
        <w:pStyle w:val="BodyText"/>
        <w:spacing w:line="405" w:lineRule="auto"/>
        <w:ind w:right="1126" w:firstLine="420"/>
        <w:jc w:val="both"/>
      </w:pPr>
      <w:r>
        <w:rPr>
          <w:spacing w:val="-2"/>
        </w:rPr>
        <w:t>人参产品在初期发展过程中，公司将利用几个科技含量高、易取得消费者认可的主力品种提升企业的</w:t>
      </w:r>
      <w:r>
        <w:rPr>
          <w:w w:val="100"/>
        </w:rPr>
        <w:t> </w:t>
      </w:r>
      <w:r>
        <w:rPr/>
        <w:t>知名度，在品牌形象初步树立后，带动公司已经研发出的</w:t>
      </w:r>
      <w:r>
        <w:rPr>
          <w:rFonts w:ascii="Times New Roman" w:hAnsi="Times New Roman" w:cs="Times New Roman" w:eastAsia="Times New Roman" w:hint="default"/>
        </w:rPr>
        <w:t>500</w:t>
      </w:r>
      <w:r>
        <w:rPr/>
        <w:t>多个人参食品、保健品品种按照市场的需求</w:t>
      </w:r>
      <w:r>
        <w:rPr>
          <w:spacing w:val="-26"/>
        </w:rPr>
        <w:t> </w:t>
      </w:r>
      <w:r>
        <w:rPr>
          <w:spacing w:val="-26"/>
        </w:rPr>
      </w:r>
      <w:r>
        <w:rPr>
          <w:spacing w:val="-2"/>
        </w:rPr>
        <w:t>分批次的推向市场。人参产品的销售模式针对不同的产品，相应采用灵活的销售方式。目前，公司人参专</w:t>
      </w:r>
      <w:r>
        <w:rPr>
          <w:spacing w:val="-47"/>
        </w:rPr>
        <w:t> </w:t>
      </w:r>
      <w:r>
        <w:rPr>
          <w:spacing w:val="-47"/>
        </w:rPr>
      </w:r>
      <w:r>
        <w:rPr>
          <w:spacing w:val="2"/>
        </w:rPr>
        <w:t>卖店基本形成了以在吉林省内重点城市和旅游景点开设专卖店和拓展全国重点城市机场专卖店渠道的开</w:t>
      </w:r>
      <w:r>
        <w:rPr>
          <w:spacing w:val="-30"/>
        </w:rPr>
        <w:t> </w:t>
      </w:r>
      <w:r>
        <w:rPr>
          <w:spacing w:val="-30"/>
        </w:rPr>
      </w:r>
      <w:r>
        <w:rPr>
          <w:spacing w:val="-2"/>
        </w:rPr>
        <w:t>拓思路，积极推进全国机场专卖店的相关工作。省外市场则以全国专卖店渠道的开拓为主，外加参呼吸产</w:t>
      </w:r>
      <w:r>
        <w:rPr>
          <w:spacing w:val="-44"/>
        </w:rPr>
        <w:t> </w:t>
      </w:r>
      <w:r>
        <w:rPr>
          <w:spacing w:val="-44"/>
        </w:rPr>
      </w:r>
      <w:r>
        <w:rPr>
          <w:spacing w:val="-2"/>
        </w:rPr>
        <w:t>品在省内和省外的招商来实现销售目标，目前已经在长三角等经济发达的南方地区基本完成了参呼吸产品</w:t>
      </w:r>
      <w:r>
        <w:rPr>
          <w:spacing w:val="-43"/>
        </w:rPr>
        <w:t> </w:t>
      </w:r>
      <w:r>
        <w:rPr>
          <w:spacing w:val="-43"/>
        </w:rPr>
      </w:r>
      <w:r>
        <w:rPr>
          <w:spacing w:val="-2"/>
        </w:rPr>
        <w:t>经销商和专卖店渠道意向客户的布局工作，在大连等北方发达城市也已经完成了招商建店工作，并以此为</w:t>
      </w:r>
      <w:r>
        <w:rPr>
          <w:spacing w:val="-43"/>
        </w:rPr>
        <w:t> </w:t>
      </w:r>
      <w:r>
        <w:rPr>
          <w:spacing w:val="-43"/>
        </w:rPr>
      </w:r>
      <w:r>
        <w:rPr>
          <w:spacing w:val="-2"/>
        </w:rPr>
        <w:t>样板开始在北方重点地区的布局。未来，公司将坚持</w:t>
      </w:r>
      <w:r>
        <w:rPr>
          <w:rFonts w:ascii="Times New Roman" w:hAnsi="Times New Roman" w:cs="Times New Roman" w:eastAsia="Times New Roman" w:hint="default"/>
          <w:spacing w:val="-2"/>
        </w:rPr>
        <w:t>“</w:t>
      </w:r>
      <w:r>
        <w:rPr>
          <w:spacing w:val="-2"/>
        </w:rPr>
        <w:t>立足吉林，经略东北，辐射全国</w:t>
      </w:r>
      <w:r>
        <w:rPr>
          <w:rFonts w:ascii="Times New Roman" w:hAnsi="Times New Roman" w:cs="Times New Roman" w:eastAsia="Times New Roman" w:hint="default"/>
          <w:spacing w:val="-2"/>
        </w:rPr>
        <w:t>”</w:t>
      </w:r>
      <w:r>
        <w:rPr>
          <w:spacing w:val="-2"/>
        </w:rPr>
        <w:t>策略，以长春作为</w:t>
      </w:r>
      <w:r>
        <w:rPr>
          <w:spacing w:val="-20"/>
        </w:rPr>
        <w:t> </w:t>
      </w:r>
      <w:r>
        <w:rPr>
          <w:spacing w:val="-20"/>
        </w:rPr>
      </w:r>
      <w:r>
        <w:rPr>
          <w:spacing w:val="-2"/>
        </w:rPr>
        <w:t>核心市场进行精耕细作，打造成样板市场进行示范推广；将吉林、松原、延吉等省内外阜城市作为重点市</w:t>
      </w:r>
      <w:r>
        <w:rPr>
          <w:spacing w:val="-43"/>
        </w:rPr>
        <w:t> </w:t>
      </w:r>
      <w:r>
        <w:rPr>
          <w:spacing w:val="-43"/>
        </w:rPr>
      </w:r>
      <w:r>
        <w:rPr>
          <w:spacing w:val="-2"/>
        </w:rPr>
        <w:t>场进行运作，集中资源以点带面循序渐进，力求扎实稳妥推进，夯实本省市场基础；将沈阳、大连、哈尔</w:t>
      </w:r>
      <w:r>
        <w:rPr>
          <w:spacing w:val="-45"/>
        </w:rPr>
        <w:t> </w:t>
      </w:r>
      <w:r>
        <w:rPr>
          <w:spacing w:val="-45"/>
        </w:rPr>
      </w:r>
      <w:r>
        <w:rPr>
          <w:spacing w:val="-2"/>
        </w:rPr>
        <w:t>滨等东北重点城市作为潜力市场积极拓展，挖掘东北三省的市场潜力；将杭州、上海、苏州等南方城市和</w:t>
      </w:r>
      <w:r>
        <w:rPr>
          <w:spacing w:val="-47"/>
        </w:rPr>
        <w:t> </w:t>
      </w:r>
      <w:r>
        <w:rPr>
          <w:spacing w:val="-47"/>
        </w:rPr>
      </w:r>
      <w:r>
        <w:rPr>
          <w:spacing w:val="-2"/>
        </w:rPr>
        <w:t>天津、银川、西安等北方城市作为开拓市场，通过经销商资源进行分渠道的推广拓展，结合相关区域的重</w:t>
      </w:r>
      <w:r>
        <w:rPr>
          <w:spacing w:val="-47"/>
        </w:rPr>
        <w:t> </w:t>
      </w:r>
      <w:r>
        <w:rPr>
          <w:spacing w:val="-47"/>
        </w:rPr>
      </w:r>
      <w:r>
        <w:rPr/>
        <w:t>要展会招商等方式进行全国重点区域的辐射和开拓。</w:t>
      </w:r>
    </w:p>
    <w:p>
      <w:pPr>
        <w:pStyle w:val="BodyText"/>
        <w:spacing w:line="386" w:lineRule="auto" w:before="48"/>
        <w:ind w:left="573" w:right="1133"/>
        <w:jc w:val="left"/>
      </w:pPr>
      <w:r>
        <w:rPr>
          <w:rFonts w:ascii="Times New Roman" w:hAnsi="Times New Roman" w:cs="Times New Roman" w:eastAsia="Times New Roman" w:hint="default"/>
        </w:rPr>
        <w:t>4</w:t>
      </w:r>
      <w:r>
        <w:rPr/>
        <w:t>、人力资源发展计划</w:t>
      </w:r>
      <w:r>
        <w:rPr>
          <w:w w:val="100"/>
        </w:rPr>
        <w:t> </w:t>
      </w:r>
      <w:r>
        <w:rPr>
          <w:spacing w:val="-2"/>
        </w:rPr>
        <w:t>根据公司发展规划，未来两年公司将增强中成药的研发，积极开拓中成药及人参产品的销售渠道，继</w:t>
      </w:r>
    </w:p>
    <w:p>
      <w:pPr>
        <w:pStyle w:val="BodyText"/>
        <w:spacing w:line="408" w:lineRule="auto" w:before="65"/>
        <w:ind w:right="0"/>
        <w:jc w:val="left"/>
      </w:pPr>
      <w:r>
        <w:rPr>
          <w:spacing w:val="-5"/>
        </w:rPr>
        <w:t>续研制工业大麻相关产品，为保证上述项目的顺利实施和满足正常生产运营的需要，公司计划加大对生产、 </w:t>
      </w:r>
      <w:r>
        <w:rPr/>
        <w:t>销售、管理、研发等人员的引进，并通过在职培训、脱产学习等多种方式，加强公司后备生产经营管理、</w:t>
      </w:r>
      <w:r>
        <w:rPr>
          <w:w w:val="100"/>
        </w:rPr>
        <w:t> </w:t>
      </w:r>
      <w:r>
        <w:rPr/>
        <w:t>技术研发等人才的培养，满足公司快速发展中对相关人才的迫切需求。</w:t>
      </w:r>
    </w:p>
    <w:p>
      <w:pPr>
        <w:pStyle w:val="BodyText"/>
        <w:spacing w:line="240" w:lineRule="auto"/>
        <w:ind w:left="573" w:right="1133"/>
        <w:jc w:val="left"/>
      </w:pPr>
      <w:r>
        <w:rPr/>
        <w:t>（四）、可能面对的风险</w:t>
      </w:r>
    </w:p>
    <w:p>
      <w:pPr>
        <w:spacing w:line="240" w:lineRule="auto" w:before="10"/>
        <w:rPr>
          <w:rFonts w:ascii="宋体" w:hAnsi="宋体" w:cs="宋体" w:eastAsia="宋体" w:hint="default"/>
          <w:sz w:val="14"/>
          <w:szCs w:val="14"/>
        </w:rPr>
      </w:pPr>
    </w:p>
    <w:p>
      <w:pPr>
        <w:pStyle w:val="BodyText"/>
        <w:spacing w:line="386" w:lineRule="auto" w:before="0"/>
        <w:ind w:left="573" w:right="1133"/>
        <w:jc w:val="left"/>
      </w:pPr>
      <w:r>
        <w:rPr>
          <w:rFonts w:ascii="Times New Roman" w:hAnsi="Times New Roman" w:cs="Times New Roman" w:eastAsia="Times New Roman" w:hint="default"/>
        </w:rPr>
        <w:t>1</w:t>
      </w:r>
      <w:r>
        <w:rPr/>
        <w:t>、新产品开发风险</w:t>
      </w:r>
      <w:r>
        <w:rPr>
          <w:w w:val="100"/>
        </w:rPr>
        <w:t> </w:t>
      </w:r>
      <w:r>
        <w:rPr>
          <w:spacing w:val="-2"/>
        </w:rPr>
        <w:t>由于新药产品开发从研制、临床试验报批到投产的周期长、环节多、投入大，新药研发风险较大。根</w:t>
      </w:r>
    </w:p>
    <w:p>
      <w:pPr>
        <w:pStyle w:val="BodyText"/>
        <w:spacing w:line="408" w:lineRule="auto" w:before="65"/>
        <w:ind w:right="1105"/>
        <w:jc w:val="both"/>
      </w:pPr>
      <w:r>
        <w:rPr>
          <w:spacing w:val="-2"/>
        </w:rPr>
        <w:t>据《药品注册管理办法》等法规的相关规定，新药注册一般需经过临床前基础工作、新药临床研究审批、</w:t>
      </w:r>
      <w:r>
        <w:rPr>
          <w:spacing w:val="-21"/>
        </w:rPr>
        <w:t> </w:t>
      </w:r>
      <w:r>
        <w:rPr>
          <w:spacing w:val="-21"/>
        </w:rPr>
      </w:r>
      <w:r>
        <w:rPr>
          <w:spacing w:val="-2"/>
        </w:rPr>
        <w:t>新药生产审批等阶段，如果最终未能通过新药注册审批，则可能导致新药研发失败，进而影响到公司前期</w:t>
      </w:r>
      <w:r>
        <w:rPr>
          <w:spacing w:val="-43"/>
        </w:rPr>
        <w:t> </w:t>
      </w:r>
      <w:r>
        <w:rPr>
          <w:spacing w:val="-43"/>
        </w:rPr>
      </w:r>
      <w:r>
        <w:rPr/>
        <w:t>投入的回收和经济效益的实现。 另外，</w:t>
      </w:r>
      <w:r>
        <w:rPr>
          <w:spacing w:val="-25"/>
        </w:rPr>
        <w:t> </w:t>
      </w:r>
      <w:r>
        <w:rPr/>
        <w:t>如果公司新药不能很好适应不断变化的市场需求，或者开发的新</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98" w:lineRule="auto" w:before="175"/>
        <w:ind w:left="573" w:right="1133" w:hanging="421"/>
        <w:jc w:val="left"/>
      </w:pPr>
      <w:r>
        <w:rPr/>
        <w:t>药未能很快被市场接受，将加大公司的运营成本，对公司的盈利水平和未来发展产生一定影响。</w:t>
      </w:r>
      <w:r>
        <w:rPr>
          <w:w w:val="100"/>
        </w:rPr>
        <w:t> </w:t>
      </w:r>
      <w:r>
        <w:rPr>
          <w:rFonts w:ascii="Times New Roman" w:hAnsi="Times New Roman" w:cs="Times New Roman" w:eastAsia="Times New Roman" w:hint="default"/>
        </w:rPr>
        <w:t>2</w:t>
      </w:r>
      <w:r>
        <w:rPr/>
        <w:t>、规模快速扩张带来的管理风险</w:t>
      </w:r>
      <w:r>
        <w:rPr>
          <w:w w:val="100"/>
        </w:rPr>
        <w:t> </w:t>
      </w:r>
      <w:r>
        <w:rPr>
          <w:spacing w:val="-2"/>
        </w:rPr>
        <w:t>公司在历经多年的发展过程中，已积累了一定的管理经验并培养出一批管理人员。随着募集资金投资</w:t>
      </w:r>
    </w:p>
    <w:p>
      <w:pPr>
        <w:pStyle w:val="BodyText"/>
        <w:spacing w:line="408" w:lineRule="auto" w:before="54"/>
        <w:ind w:right="0"/>
        <w:jc w:val="left"/>
      </w:pPr>
      <w:r>
        <w:rPr>
          <w:spacing w:val="-5"/>
        </w:rPr>
        <w:t>项目的逐步实施，公司的资产和业务规模都将迅速扩大。规模快速扩张将使管理任务加重、管理难度加大。</w:t>
      </w:r>
      <w:r>
        <w:rPr>
          <w:spacing w:val="-4"/>
        </w:rPr>
        <w:t> </w:t>
      </w:r>
      <w:r>
        <w:rPr>
          <w:spacing w:val="-4"/>
        </w:rPr>
      </w:r>
      <w:r>
        <w:rPr/>
        <w:t>若公司的组织模式、管理制度和人员不能适应公司的快速发展，将会给公司的发展带来不利影响。</w:t>
      </w:r>
    </w:p>
    <w:p>
      <w:pPr>
        <w:pStyle w:val="BodyText"/>
        <w:spacing w:line="386" w:lineRule="auto"/>
        <w:ind w:left="573" w:right="1133"/>
        <w:jc w:val="left"/>
      </w:pPr>
      <w:r>
        <w:rPr>
          <w:rFonts w:ascii="Times New Roman" w:hAnsi="Times New Roman" w:cs="Times New Roman" w:eastAsia="Times New Roman" w:hint="default"/>
        </w:rPr>
        <w:t>3</w:t>
      </w:r>
      <w:r>
        <w:rPr/>
        <w:t>、新增固定资产折旧及净资产收益率下降的风险</w:t>
      </w:r>
      <w:r>
        <w:rPr>
          <w:w w:val="100"/>
        </w:rPr>
        <w:t> </w:t>
      </w:r>
      <w:r>
        <w:rPr>
          <w:spacing w:val="-2"/>
        </w:rPr>
        <w:t>募集资金投资项目完工后，公司固定资产将有较大幅度的增加，产生的折旧费用将会有所增加，从而</w:t>
      </w:r>
    </w:p>
    <w:p>
      <w:pPr>
        <w:pStyle w:val="BodyText"/>
        <w:spacing w:line="410" w:lineRule="auto" w:before="65"/>
        <w:ind w:right="1126"/>
        <w:jc w:val="both"/>
      </w:pPr>
      <w:r>
        <w:rPr>
          <w:spacing w:val="-2"/>
        </w:rPr>
        <w:t>增加公司生产经营的成本。如果市场出现变化或者出现其他事先无法预期的情况导致新增产能的效益情况</w:t>
      </w:r>
      <w:r>
        <w:rPr>
          <w:spacing w:val="-43"/>
        </w:rPr>
        <w:t> </w:t>
      </w:r>
      <w:r>
        <w:rPr>
          <w:spacing w:val="-43"/>
        </w:rPr>
      </w:r>
      <w:r>
        <w:rPr/>
        <w:t>未达到预期目标，折旧费用的增加将对公司未来整体经营业绩造成一定影响。</w:t>
      </w:r>
    </w:p>
    <w:p>
      <w:pPr>
        <w:pStyle w:val="BodyText"/>
        <w:spacing w:line="386" w:lineRule="auto" w:before="44"/>
        <w:ind w:left="573" w:right="1133"/>
        <w:jc w:val="left"/>
      </w:pPr>
      <w:r>
        <w:rPr>
          <w:rFonts w:ascii="Times New Roman" w:hAnsi="Times New Roman" w:cs="Times New Roman" w:eastAsia="Times New Roman" w:hint="default"/>
        </w:rPr>
        <w:t>4</w:t>
      </w:r>
      <w:r>
        <w:rPr/>
        <w:t>、原材料风险</w:t>
      </w:r>
      <w:r>
        <w:rPr>
          <w:w w:val="100"/>
        </w:rPr>
        <w:t> </w:t>
      </w:r>
      <w:r>
        <w:rPr>
          <w:spacing w:val="-2"/>
        </w:rPr>
        <w:t>如果公司不能保证充足的原材料供应，将导致公司总产能无法完全释放，给公司的主营业务收入和募</w:t>
      </w:r>
    </w:p>
    <w:p>
      <w:pPr>
        <w:pStyle w:val="BodyText"/>
        <w:spacing w:line="408" w:lineRule="auto" w:before="65"/>
        <w:ind w:right="1126"/>
        <w:jc w:val="both"/>
      </w:pPr>
      <w:r>
        <w:rPr>
          <w:spacing w:val="-2"/>
        </w:rPr>
        <w:t>投项目的预期效益带来不利影响。而原材料供应不足导致的价格波动将造成公司采购成本的攀升，进而影</w:t>
      </w:r>
      <w:r>
        <w:rPr>
          <w:spacing w:val="-44"/>
        </w:rPr>
        <w:t> </w:t>
      </w:r>
      <w:r>
        <w:rPr>
          <w:spacing w:val="-44"/>
        </w:rPr>
      </w:r>
      <w:r>
        <w:rPr/>
        <w:t>响公司的经营业绩。</w:t>
      </w:r>
    </w:p>
    <w:p>
      <w:pPr>
        <w:pStyle w:val="BodyText"/>
        <w:spacing w:line="386" w:lineRule="auto"/>
        <w:ind w:left="573" w:right="1133"/>
        <w:jc w:val="left"/>
      </w:pPr>
      <w:r>
        <w:rPr>
          <w:rFonts w:ascii="Times New Roman" w:hAnsi="Times New Roman" w:cs="Times New Roman" w:eastAsia="Times New Roman" w:hint="default"/>
        </w:rPr>
        <w:t>5</w:t>
      </w:r>
      <w:r>
        <w:rPr/>
        <w:t>、销售风险</w:t>
      </w:r>
      <w:r>
        <w:rPr>
          <w:w w:val="100"/>
        </w:rPr>
        <w:t> </w:t>
      </w:r>
      <w:r>
        <w:rPr>
          <w:spacing w:val="-2"/>
        </w:rPr>
        <w:t>随着公司人参食品新品种不断推出，产品种类的增加和整体产能的扩张也将为公司的销售能力带来新</w:t>
      </w:r>
    </w:p>
    <w:p>
      <w:pPr>
        <w:pStyle w:val="BodyText"/>
        <w:spacing w:line="408" w:lineRule="auto" w:before="65"/>
        <w:ind w:right="1126"/>
        <w:jc w:val="both"/>
      </w:pPr>
      <w:r>
        <w:rPr>
          <w:spacing w:val="-2"/>
        </w:rPr>
        <w:t>的挑战，部分产品在市场投放方式、销售渠道、销售模式上与公司现有的中成药存在一定的区别，销售额</w:t>
      </w:r>
      <w:r>
        <w:rPr>
          <w:spacing w:val="-47"/>
        </w:rPr>
        <w:t> </w:t>
      </w:r>
      <w:r>
        <w:rPr>
          <w:spacing w:val="-47"/>
        </w:rPr>
      </w:r>
      <w:r>
        <w:rPr>
          <w:spacing w:val="-2"/>
        </w:rPr>
        <w:t>能否同步增长面临着营销投入和网络建设的制约。公司如果不能在产品品质、资金投入、销售策略等方面</w:t>
      </w:r>
      <w:r>
        <w:rPr>
          <w:spacing w:val="-43"/>
        </w:rPr>
        <w:t> </w:t>
      </w:r>
      <w:r>
        <w:rPr>
          <w:spacing w:val="-43"/>
        </w:rPr>
      </w:r>
      <w:r>
        <w:rPr/>
        <w:t>取得竞争优势，将影响到公司的营业收入和整体业绩。</w:t>
      </w:r>
    </w:p>
    <w:p>
      <w:pPr>
        <w:pStyle w:val="BodyText"/>
        <w:spacing w:line="386" w:lineRule="auto"/>
        <w:ind w:left="573" w:right="1133"/>
        <w:jc w:val="left"/>
      </w:pPr>
      <w:r>
        <w:rPr>
          <w:rFonts w:ascii="Times New Roman" w:hAnsi="Times New Roman" w:cs="Times New Roman" w:eastAsia="Times New Roman" w:hint="default"/>
        </w:rPr>
        <w:t>6</w:t>
      </w:r>
      <w:r>
        <w:rPr/>
        <w:t>、人才储备风险</w:t>
      </w:r>
      <w:r>
        <w:rPr>
          <w:w w:val="100"/>
        </w:rPr>
        <w:t> </w:t>
      </w:r>
      <w:r>
        <w:rPr>
          <w:spacing w:val="-2"/>
        </w:rPr>
        <w:t>随着公司发展过程中产品多样化的逐步体现及产能的不断扩张，对人才队伍的数量、质量与专业构成</w:t>
      </w:r>
    </w:p>
    <w:p>
      <w:pPr>
        <w:pStyle w:val="BodyText"/>
        <w:spacing w:line="408" w:lineRule="auto" w:before="65"/>
        <w:ind w:right="1126"/>
        <w:jc w:val="both"/>
      </w:pPr>
      <w:r>
        <w:rPr>
          <w:spacing w:val="-2"/>
        </w:rPr>
        <w:t>等方面都提出了更高的要求。另外，随着中药产业的发展以及行业内竞争的加剧，对企业技术研发能力将</w:t>
      </w:r>
      <w:r>
        <w:rPr>
          <w:spacing w:val="-44"/>
        </w:rPr>
        <w:t> </w:t>
      </w:r>
      <w:r>
        <w:rPr>
          <w:spacing w:val="-44"/>
        </w:rPr>
      </w:r>
      <w:r>
        <w:rPr>
          <w:spacing w:val="-2"/>
        </w:rPr>
        <w:t>推出更高要求。如果公司不能采取有效的措施进一步充实人才队伍并提高科技实力，将对公司未来的发展</w:t>
      </w:r>
      <w:r>
        <w:rPr>
          <w:spacing w:val="-43"/>
        </w:rPr>
        <w:t> </w:t>
      </w:r>
      <w:r>
        <w:rPr>
          <w:spacing w:val="-43"/>
        </w:rPr>
      </w:r>
      <w:r>
        <w:rPr/>
        <w:t>带来一定制约。</w:t>
      </w:r>
    </w:p>
    <w:p>
      <w:pPr>
        <w:pStyle w:val="BodyText"/>
        <w:spacing w:line="386" w:lineRule="auto"/>
        <w:ind w:left="489" w:right="1133" w:firstLine="84"/>
        <w:jc w:val="left"/>
      </w:pPr>
      <w:r>
        <w:rPr>
          <w:rFonts w:ascii="Times New Roman" w:hAnsi="Times New Roman" w:cs="Times New Roman" w:eastAsia="Times New Roman" w:hint="default"/>
        </w:rPr>
        <w:t>7</w:t>
      </w:r>
      <w:r>
        <w:rPr/>
        <w:t>、政策风险</w:t>
      </w:r>
      <w:r>
        <w:rPr>
          <w:w w:val="100"/>
        </w:rPr>
        <w:t> </w:t>
      </w:r>
      <w:r>
        <w:rPr/>
        <w:t>公司计划进入工业大麻领域，但是截至目前，吉林省尚未获得工业大麻合法种植审批，荷兰子公司的</w:t>
      </w:r>
    </w:p>
    <w:p>
      <w:pPr>
        <w:pStyle w:val="BodyText"/>
        <w:spacing w:line="408" w:lineRule="auto" w:before="65"/>
        <w:ind w:right="1126"/>
        <w:jc w:val="both"/>
      </w:pPr>
      <w:r>
        <w:rPr>
          <w:spacing w:val="-2"/>
        </w:rPr>
        <w:t>相关技术能否引入国内尚存在不确定性，并且公司的相关计划在实施过程中可能存在因公司实际发展情况</w:t>
      </w:r>
      <w:r>
        <w:rPr>
          <w:spacing w:val="-43"/>
        </w:rPr>
        <w:t> </w:t>
      </w:r>
      <w:r>
        <w:rPr>
          <w:spacing w:val="-43"/>
        </w:rPr>
      </w:r>
      <w:r>
        <w:rPr/>
        <w:t>或市场环境变化等因素而调整规划内容的可能，影响公司的产业发展规划。</w:t>
      </w:r>
    </w:p>
    <w:p>
      <w:pPr>
        <w:spacing w:after="0" w:line="408" w:lineRule="auto"/>
        <w:jc w:val="both"/>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133"/>
        <w:jc w:val="left"/>
        <w:rPr>
          <w:b w:val="0"/>
          <w:bCs w:val="0"/>
        </w:rPr>
      </w:pPr>
      <w:bookmarkStart w:name="十、接待调研、沟通、采访等活动" w:id="57"/>
      <w:bookmarkEnd w:id="57"/>
      <w:r>
        <w:rPr>
          <w:b w:val="0"/>
          <w:bCs w:val="0"/>
        </w:rPr>
      </w: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bookmarkStart w:name="1、报告期内接待调研、沟通、采访等活动登记表" w:id="58"/>
      <w:bookmarkEnd w:id="58"/>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咨询公司财务状况</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咨询公司未来规划</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咨询公司财务状况</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咨询公司基本情况</w:t>
            </w:r>
          </w:p>
        </w:tc>
      </w:tr>
      <w:tr>
        <w:trPr>
          <w:trHeight w:val="40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咨询公司人参存货情况</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咨询公司厂区情况</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咨询公司人参存货情况</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咨询公司厂区、存货情况</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咨询公大麻产业情况</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咨询公司基本情况</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咨询公司财务状况</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咨询公司基本情况</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咨询公大麻产业情况</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咨询公司基本情况</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78"/>
        <w:jc w:val="center"/>
        <w:rPr>
          <w:b w:val="0"/>
          <w:bCs w:val="0"/>
        </w:rPr>
      </w:pPr>
      <w:bookmarkStart w:name="第五节重要事项" w:id="59"/>
      <w:bookmarkEnd w:id="59"/>
      <w:r>
        <w:rPr>
          <w:b w:val="0"/>
          <w:bCs w:val="0"/>
        </w:rPr>
      </w:r>
      <w:bookmarkStart w:name="_bookmark4" w:id="60"/>
      <w:bookmarkEnd w:id="60"/>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1133"/>
        <w:jc w:val="left"/>
        <w:rPr>
          <w:b w:val="0"/>
          <w:bCs w:val="0"/>
        </w:rPr>
      </w:pPr>
      <w:bookmarkStart w:name="一、公司普通股利润分配及资本公积金转增股本情况" w:id="61"/>
      <w:bookmarkEnd w:id="61"/>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7"/>
        <w:ind w:right="1024" w:firstLine="482"/>
        <w:jc w:val="left"/>
      </w:pPr>
      <w:r>
        <w:rPr>
          <w:spacing w:val="-4"/>
        </w:rPr>
        <w:t>公司《章程》实施积极的利润分配政策，重视对投资者的合理投资回报，充分维护公司股东依法享有</w:t>
      </w:r>
      <w:r>
        <w:rPr>
          <w:w w:val="100"/>
        </w:rPr>
        <w:t> </w:t>
      </w:r>
      <w:r>
        <w:rPr>
          <w:spacing w:val="-5"/>
        </w:rPr>
        <w:t>的资产收益权，在符合利润分配条件的年度进行利润分配；保持利润分配政策的合理性、连续性和稳定性， </w:t>
      </w:r>
      <w:r>
        <w:rPr>
          <w:spacing w:val="-5"/>
        </w:rPr>
      </w:r>
      <w:r>
        <w:rPr>
          <w:spacing w:val="-2"/>
        </w:rPr>
        <w:t>同时兼顾公司的长远利益、全体股东的整体利益和公司的可持续发展，最大限度的保障和实现股东的投资</w:t>
      </w:r>
      <w:r>
        <w:rPr>
          <w:spacing w:val="-43"/>
        </w:rPr>
        <w:t> </w:t>
      </w:r>
      <w:r>
        <w:rPr>
          <w:spacing w:val="-43"/>
        </w:rPr>
      </w:r>
      <w:r>
        <w:rPr/>
        <w:t>收益权。</w:t>
      </w:r>
    </w:p>
    <w:p>
      <w:pPr>
        <w:pStyle w:val="BodyText"/>
        <w:spacing w:line="240" w:lineRule="auto"/>
        <w:ind w:left="635" w:right="1133"/>
        <w:jc w:val="left"/>
      </w:pPr>
      <w:r>
        <w:rPr/>
        <w:t>根据公司《章程》的利润分配政策如下：</w:t>
      </w:r>
    </w:p>
    <w:p>
      <w:pPr>
        <w:spacing w:line="240" w:lineRule="auto" w:before="10"/>
        <w:rPr>
          <w:rFonts w:ascii="宋体" w:hAnsi="宋体" w:cs="宋体" w:eastAsia="宋体" w:hint="default"/>
          <w:sz w:val="14"/>
          <w:szCs w:val="14"/>
        </w:rPr>
      </w:pPr>
    </w:p>
    <w:p>
      <w:pPr>
        <w:pStyle w:val="BodyText"/>
        <w:spacing w:line="386" w:lineRule="auto" w:before="0"/>
        <w:ind w:right="1133" w:firstLine="482"/>
        <w:jc w:val="left"/>
      </w:pPr>
      <w:r>
        <w:rPr>
          <w:rFonts w:ascii="Times New Roman" w:hAnsi="Times New Roman" w:cs="Times New Roman" w:eastAsia="Times New Roman" w:hint="default"/>
          <w:spacing w:val="-3"/>
        </w:rPr>
        <w:t>1.</w:t>
      </w:r>
      <w:r>
        <w:rPr>
          <w:spacing w:val="-3"/>
        </w:rPr>
        <w:t>公司在有年度盈利和盈利积累的情况下，应当对经营利润用于自身发展和回报股东事项进行合理平</w:t>
      </w:r>
      <w:r>
        <w:rPr>
          <w:w w:val="100"/>
        </w:rPr>
        <w:t> </w:t>
      </w:r>
      <w:r>
        <w:rPr/>
        <w:t>衡，重视提高现金分红水平，努力提升对股东的投资回报。</w:t>
      </w:r>
    </w:p>
    <w:p>
      <w:pPr>
        <w:pStyle w:val="BodyText"/>
        <w:spacing w:line="240" w:lineRule="auto" w:before="65"/>
        <w:ind w:left="635" w:right="1133"/>
        <w:jc w:val="left"/>
      </w:pPr>
      <w:r>
        <w:rPr>
          <w:rFonts w:ascii="Times New Roman" w:hAnsi="Times New Roman" w:cs="Times New Roman" w:eastAsia="Times New Roman" w:hint="default"/>
        </w:rPr>
        <w:t>2.</w:t>
      </w:r>
      <w:r>
        <w:rPr/>
        <w:t>公司的利润分配不得超过累计可分配利润的范围，不得损害公司持续经营能力。</w:t>
      </w:r>
    </w:p>
    <w:p>
      <w:pPr>
        <w:pStyle w:val="BodyText"/>
        <w:spacing w:line="386" w:lineRule="auto" w:before="177"/>
        <w:ind w:right="1133" w:firstLine="482"/>
        <w:jc w:val="left"/>
      </w:pPr>
      <w:r>
        <w:rPr>
          <w:rFonts w:ascii="Times New Roman" w:hAnsi="Times New Roman" w:cs="Times New Roman" w:eastAsia="Times New Roman" w:hint="default"/>
          <w:spacing w:val="-3"/>
        </w:rPr>
        <w:t>3.</w:t>
      </w:r>
      <w:r>
        <w:rPr>
          <w:spacing w:val="-3"/>
        </w:rPr>
        <w:t>公司可以根据实际盈利、资金供求、经营需要、重大投资计划、现金支出等综合情况进行年度或中</w:t>
      </w:r>
      <w:r>
        <w:rPr>
          <w:w w:val="100"/>
        </w:rPr>
        <w:t> </w:t>
      </w:r>
      <w:r>
        <w:rPr/>
        <w:t>期利润分配。</w:t>
      </w:r>
    </w:p>
    <w:p>
      <w:pPr>
        <w:pStyle w:val="BodyText"/>
        <w:spacing w:line="240" w:lineRule="auto" w:before="65"/>
        <w:ind w:left="635" w:right="1133"/>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1"/>
        </w:rPr>
        <w:t> </w:t>
      </w:r>
      <w:r>
        <w:rPr/>
        <w:t>公司在满足现金分红条件时，优先采用现金分红方式。</w:t>
      </w:r>
    </w:p>
    <w:p>
      <w:pPr>
        <w:pStyle w:val="BodyText"/>
        <w:spacing w:line="398" w:lineRule="auto" w:before="177"/>
        <w:ind w:right="1126" w:firstLine="482"/>
        <w:jc w:val="both"/>
      </w:pPr>
      <w:r>
        <w:rPr>
          <w:rFonts w:ascii="Times New Roman" w:hAnsi="Times New Roman" w:cs="Times New Roman" w:eastAsia="Times New Roman" w:hint="default"/>
          <w:spacing w:val="-2"/>
        </w:rPr>
        <w:t>5.</w:t>
      </w:r>
      <w:r>
        <w:rPr>
          <w:spacing w:val="-2"/>
        </w:rPr>
        <w:t>公司任意连续三年以现金方式累计分配的利润不少于该连续三年实现的年均可分配利润的</w:t>
      </w:r>
      <w:r>
        <w:rPr>
          <w:rFonts w:ascii="Times New Roman" w:hAnsi="Times New Roman" w:cs="Times New Roman" w:eastAsia="Times New Roman" w:hint="default"/>
          <w:spacing w:val="-2"/>
        </w:rPr>
        <w:t>30%</w:t>
      </w:r>
      <w:r>
        <w:rPr>
          <w:spacing w:val="-2"/>
        </w:rPr>
        <w:t>。但</w:t>
      </w:r>
      <w:r>
        <w:rPr>
          <w:w w:val="100"/>
        </w:rPr>
        <w:t> </w:t>
      </w:r>
      <w:r>
        <w:rPr>
          <w:spacing w:val="-2"/>
        </w:rPr>
        <w:t>是，当公司年末资产负债率超过百分之七十或者当年经营活动产生的现金流量净额为负数时，公司可不进</w:t>
      </w:r>
      <w:r>
        <w:rPr>
          <w:spacing w:val="-43"/>
        </w:rPr>
        <w:t> </w:t>
      </w:r>
      <w:r>
        <w:rPr>
          <w:spacing w:val="-43"/>
        </w:rPr>
      </w:r>
      <w:r>
        <w:rPr/>
        <w:t>行现金分红。</w:t>
      </w:r>
    </w:p>
    <w:p>
      <w:pPr>
        <w:pStyle w:val="BodyText"/>
        <w:spacing w:line="386" w:lineRule="auto" w:before="54"/>
        <w:ind w:right="1133" w:firstLine="482"/>
        <w:jc w:val="left"/>
      </w:pPr>
      <w:r>
        <w:rPr>
          <w:rFonts w:ascii="Times New Roman" w:hAnsi="Times New Roman" w:cs="Times New Roman" w:eastAsia="Times New Roman" w:hint="default"/>
          <w:spacing w:val="-3"/>
        </w:rPr>
        <w:t>6.</w:t>
      </w:r>
      <w:r>
        <w:rPr>
          <w:spacing w:val="-3"/>
        </w:rPr>
        <w:t>公司董事会、股东大会在对公司利润分配政策的决策和论证过程中，应当充分考虑独立董事和公众</w:t>
      </w:r>
      <w:r>
        <w:rPr>
          <w:w w:val="100"/>
        </w:rPr>
        <w:t> </w:t>
      </w:r>
      <w:r>
        <w:rPr/>
        <w:t>投资者的意见。</w:t>
      </w: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w:t>
      </w:r>
      <w:r>
        <w:rPr>
          <w:rFonts w:ascii="宋体" w:hAnsi="宋体" w:cs="宋体" w:eastAsia="宋体" w:hint="default"/>
          <w:spacing w:val="-1"/>
          <w:sz w:val="18"/>
          <w:szCs w:val="18"/>
        </w:rPr>
        <w:t>本</w:t>
      </w:r>
      <w:r>
        <w:rPr>
          <w:rFonts w:ascii="宋体" w:hAnsi="宋体" w:cs="宋体" w:eastAsia="宋体" w:hint="default"/>
          <w:sz w:val="18"/>
          <w:szCs w:val="18"/>
        </w:rPr>
        <w:t>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1133"/>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2017</w:t>
      </w:r>
      <w:r>
        <w:rPr/>
        <w:t>年年度利润分配方案：不派发现金红利，不送红股，不实施资本公积金转增股本。</w:t>
      </w:r>
    </w:p>
    <w:p>
      <w:pPr>
        <w:pStyle w:val="BodyText"/>
        <w:spacing w:line="240" w:lineRule="auto" w:before="177"/>
        <w:ind w:right="1133"/>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2018</w:t>
      </w:r>
      <w:r>
        <w:rPr/>
        <w:t>年年度利润分配方案：不派发现金红利，不送红股，不实施资本公积金转增股本。</w:t>
      </w:r>
    </w:p>
    <w:p>
      <w:pPr>
        <w:pStyle w:val="BodyText"/>
        <w:spacing w:line="240" w:lineRule="auto" w:before="177"/>
        <w:ind w:right="1133"/>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2019</w:t>
      </w:r>
      <w:r>
        <w:rPr/>
        <w:t>年年度利润分配方案：不派发现金红利，不送红股，不实施资本公积金转增股本。</w:t>
      </w:r>
    </w:p>
    <w:p>
      <w:pPr>
        <w:spacing w:line="240" w:lineRule="auto" w:before="13"/>
        <w:rPr>
          <w:rFonts w:ascii="宋体" w:hAnsi="宋体" w:cs="宋体" w:eastAsia="宋体" w:hint="default"/>
          <w:sz w:val="8"/>
          <w:szCs w:val="8"/>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6"/>
        <w:gridCol w:w="1195"/>
        <w:gridCol w:w="1196"/>
        <w:gridCol w:w="1196"/>
        <w:gridCol w:w="1197"/>
        <w:gridCol w:w="1184"/>
        <w:gridCol w:w="1208"/>
        <w:gridCol w:w="1184"/>
      </w:tblGrid>
      <w:tr>
        <w:trPr>
          <w:trHeight w:val="161" w:hRule="exact"/>
        </w:trPr>
        <w:tc>
          <w:tcPr>
            <w:tcW w:w="118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2" w:right="4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23" w:right="141"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1" w:hRule="exact"/>
        </w:trPr>
        <w:tc>
          <w:tcPr>
            <w:tcW w:w="1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7"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8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70,289,863.49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174,072,146.42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371,577,386.43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7" w:right="44" w:hanging="990"/>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7"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383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目前公司主营业务板块，进入发展快速阶段，中成药方面， 处方药以四秒丸、藿胆片等产品打造“大品种”战略，</w:t>
            </w:r>
            <w:r>
              <w:rPr>
                <w:rFonts w:ascii="Times New Roman" w:hAnsi="Times New Roman" w:cs="Times New Roman" w:eastAsia="Times New Roman" w:hint="default"/>
                <w:sz w:val="18"/>
                <w:szCs w:val="18"/>
              </w:rPr>
              <w:t>OTC </w:t>
            </w:r>
            <w:r>
              <w:rPr>
                <w:rFonts w:ascii="宋体" w:hAnsi="宋体" w:cs="宋体" w:eastAsia="宋体" w:hint="default"/>
                <w:sz w:val="18"/>
                <w:szCs w:val="18"/>
              </w:rPr>
              <w:t>产品虽然取得了阶段性成果，但仍需进一步拓展市场，目前 正处于加大投入期；人参业务方面保持稳定，公司人参专柜 与百强连锁合作进入了实施阶段，业务开展需进一步加大投 入；同时各分子公司与相关厂房、设备等均处于投入期，另 外公司工业大麻项目进入布局阶段，开始进入投入期，公司 总体业务投入所需的资金较大，为保证公司的可持续发展， </w:t>
            </w:r>
            <w:r>
              <w:rPr>
                <w:rFonts w:ascii="宋体" w:hAnsi="宋体" w:cs="宋体" w:eastAsia="宋体" w:hint="default"/>
                <w:spacing w:val="-4"/>
                <w:sz w:val="18"/>
                <w:szCs w:val="18"/>
              </w:rPr>
              <w:t>降低公司融资成本。公司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年经营活动产生的现金流量为 负，根据《公司章程》及《关于公司未来三年股东回报规划</w:t>
            </w:r>
          </w:p>
          <w:p>
            <w:pPr>
              <w:pStyle w:val="TableParagraph"/>
              <w:spacing w:line="300" w:lineRule="auto" w:before="20"/>
              <w:ind w:left="24" w:right="4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年）》的规定，提出利润分配预案：</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 度不派发现金红利，不送红股，不以资本公积金转增股本。</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71"/>
              <w:jc w:val="both"/>
              <w:rPr>
                <w:rFonts w:ascii="宋体" w:hAnsi="宋体" w:cs="宋体" w:eastAsia="宋体" w:hint="default"/>
                <w:sz w:val="18"/>
                <w:szCs w:val="18"/>
              </w:rPr>
            </w:pPr>
            <w:r>
              <w:rPr>
                <w:rFonts w:ascii="宋体" w:hAnsi="宋体" w:cs="宋体" w:eastAsia="宋体" w:hint="default"/>
                <w:spacing w:val="-7"/>
                <w:sz w:val="18"/>
                <w:szCs w:val="18"/>
              </w:rPr>
              <w:t>公司将严格按照《公司法》、《公司章程》等相关法律法规的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要求，根据生产经营情况、投资规划和长期发展的需要，继</w:t>
            </w:r>
            <w:r>
              <w:rPr>
                <w:rFonts w:ascii="宋体" w:hAnsi="宋体" w:cs="宋体" w:eastAsia="宋体" w:hint="default"/>
                <w:sz w:val="18"/>
                <w:szCs w:val="18"/>
              </w:rPr>
              <w:t> 续实行积极的利润分配政策，重视对股东的合理投资回报并 兼顾公司的可持续发展。</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bookmarkStart w:name="二、本报告期利润分配及资本公积金转增股本情况" w:id="62"/>
      <w:bookmarkEnd w:id="62"/>
      <w:r>
        <w:rPr>
          <w:b w:val="0"/>
          <w:bCs w:val="0"/>
        </w:rPr>
      </w:r>
      <w:r>
        <w:rPr/>
        <w:t>二、本报告期利润分配及资本公积金转增股本情况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55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公司计划年度不派发现金红利，不送红股，不以公积金转增股本。</w:t>
      </w:r>
    </w:p>
    <w:p>
      <w:pPr>
        <w:spacing w:after="0" w:line="33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133"/>
        <w:jc w:val="left"/>
        <w:rPr>
          <w:b w:val="0"/>
          <w:bCs w:val="0"/>
        </w:rPr>
      </w:pPr>
      <w:bookmarkStart w:name="三、承诺事项履行情况" w:id="63"/>
      <w:bookmarkEnd w:id="63"/>
      <w:r>
        <w:rPr>
          <w:b w:val="0"/>
          <w:bCs w:val="0"/>
        </w:rPr>
      </w: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5"/>
        <w:spacing w:line="256" w:lineRule="auto"/>
        <w:ind w:right="1133"/>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5"/>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14"/>
        <w:gridCol w:w="1135"/>
        <w:gridCol w:w="1128"/>
        <w:gridCol w:w="1126"/>
        <w:gridCol w:w="1126"/>
        <w:gridCol w:w="1121"/>
        <w:gridCol w:w="1106"/>
      </w:tblGrid>
      <w:tr>
        <w:trPr>
          <w:trHeight w:val="403"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35"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35"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35"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35"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35"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629" w:hRule="exact"/>
        </w:trPr>
        <w:tc>
          <w:tcPr>
            <w:tcW w:w="2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5"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8" w:right="187"/>
              <w:jc w:val="both"/>
              <w:rPr>
                <w:rFonts w:ascii="宋体" w:hAnsi="宋体" w:cs="宋体" w:eastAsia="宋体" w:hint="default"/>
                <w:sz w:val="18"/>
                <w:szCs w:val="18"/>
              </w:rPr>
            </w:pPr>
            <w:r>
              <w:rPr>
                <w:rFonts w:ascii="宋体" w:hAnsi="宋体" w:cs="宋体" w:eastAsia="宋体" w:hint="default"/>
                <w:sz w:val="18"/>
                <w:szCs w:val="18"/>
              </w:rPr>
              <w:t>敦化市康平 投资有限责 任公司</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避免同业竞 争</w:t>
            </w:r>
          </w:p>
        </w:tc>
        <w:tc>
          <w:tcPr>
            <w:tcW w:w="1126"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82"/>
              <w:jc w:val="left"/>
              <w:rPr>
                <w:rFonts w:ascii="宋体" w:hAnsi="宋体" w:cs="宋体" w:eastAsia="宋体" w:hint="default"/>
                <w:sz w:val="18"/>
                <w:szCs w:val="18"/>
              </w:rPr>
            </w:pPr>
            <w:r>
              <w:rPr>
                <w:rFonts w:ascii="宋体" w:hAnsi="宋体" w:cs="宋体" w:eastAsia="宋体" w:hint="default"/>
                <w:sz w:val="18"/>
                <w:szCs w:val="18"/>
              </w:rPr>
              <w:t>公司持股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以上股东所 做出的避免 同业竞争的 承诺。</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长期承诺</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3" w:right="125"/>
              <w:jc w:val="both"/>
              <w:rPr>
                <w:rFonts w:ascii="宋体" w:hAnsi="宋体" w:cs="宋体" w:eastAsia="宋体" w:hint="default"/>
                <w:sz w:val="18"/>
                <w:szCs w:val="18"/>
              </w:rPr>
            </w:pPr>
            <w:r>
              <w:rPr>
                <w:rFonts w:ascii="宋体" w:hAnsi="宋体" w:cs="宋体" w:eastAsia="宋体" w:hint="default"/>
                <w:sz w:val="18"/>
                <w:szCs w:val="18"/>
              </w:rPr>
              <w:t>该承诺期限 为长期</w:t>
            </w:r>
            <w:r>
              <w:rPr>
                <w:rFonts w:ascii="Times New Roman" w:hAnsi="Times New Roman" w:cs="Times New Roman" w:eastAsia="Times New Roman" w:hint="default"/>
                <w:sz w:val="18"/>
                <w:szCs w:val="18"/>
              </w:rPr>
              <w:t>,</w:t>
            </w:r>
            <w:r>
              <w:rPr>
                <w:rFonts w:ascii="宋体" w:hAnsi="宋体" w:cs="宋体" w:eastAsia="宋体" w:hint="default"/>
                <w:sz w:val="18"/>
                <w:szCs w:val="18"/>
              </w:rPr>
              <w:t>该承 诺目前正在 严格履行</w:t>
            </w:r>
          </w:p>
        </w:tc>
      </w:tr>
      <w:tr>
        <w:trPr>
          <w:trHeight w:val="394" w:hRule="exact"/>
        </w:trPr>
        <w:tc>
          <w:tcPr>
            <w:tcW w:w="28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35" w:type="dxa"/>
            <w:vMerge/>
            <w:tcBorders>
              <w:left w:val="single" w:sz="10" w:space="0" w:color="D2D2D2"/>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629" w:hRule="exact"/>
        </w:trPr>
        <w:tc>
          <w:tcPr>
            <w:tcW w:w="2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5"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401"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43"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0"/>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43"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5"/>
        <w:spacing w:line="256" w:lineRule="auto" w:before="36"/>
        <w:ind w:right="1133"/>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0"/>
        </w:rPr>
        <w:t> </w:t>
      </w:r>
      <w:r>
        <w:rPr>
          <w:spacing w:val="-60"/>
        </w:rPr>
      </w:r>
      <w:r>
        <w:rPr/>
        <w:t>其原因做出说明</w:t>
      </w:r>
      <w:r>
        <w:rPr>
          <w:b w:val="0"/>
          <w:bCs w:val="0"/>
        </w:rPr>
      </w:r>
    </w:p>
    <w:p>
      <w:pPr>
        <w:spacing w:line="240" w:lineRule="auto" w:before="5"/>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bookmarkStart w:name="四、控股股东及其关联方对上市公司的非经营性占用资金情况" w:id="66"/>
      <w:bookmarkEnd w:id="66"/>
      <w:r>
        <w:rPr>
          <w:b w:val="0"/>
          <w:bCs w:val="0"/>
        </w:rPr>
      </w: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4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9"/>
        <w:rPr>
          <w:rFonts w:ascii="宋体" w:hAnsi="宋体" w:cs="宋体" w:eastAsia="宋体" w:hint="default"/>
          <w:sz w:val="19"/>
          <w:szCs w:val="19"/>
        </w:rPr>
      </w:pPr>
    </w:p>
    <w:p>
      <w:pPr>
        <w:pStyle w:val="Heading3"/>
        <w:spacing w:line="240" w:lineRule="auto"/>
        <w:ind w:right="0"/>
        <w:jc w:val="left"/>
        <w:rPr>
          <w:b w:val="0"/>
          <w:bCs w:val="0"/>
        </w:rPr>
      </w:pPr>
      <w:bookmarkStart w:name="五、董事会、监事会、独立董事（如有）对会计师事务所本报告期“非标准审计报告”的说" w:id="67"/>
      <w:bookmarkEnd w:id="67"/>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133"/>
        <w:jc w:val="left"/>
        <w:rPr>
          <w:b w:val="0"/>
          <w:bCs w:val="0"/>
        </w:rPr>
      </w:pPr>
      <w:bookmarkStart w:name="六、与上年度财务报告相比，会计政策、会计估计和核算方法发生变化的情况说明" w:id="68"/>
      <w:bookmarkEnd w:id="68"/>
      <w:r>
        <w:rPr>
          <w:b w:val="0"/>
          <w:bCs w:val="0"/>
        </w:rPr>
      </w: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Heading5"/>
        <w:spacing w:line="240" w:lineRule="auto" w:before="159"/>
        <w:ind w:left="563" w:right="1133"/>
        <w:jc w:val="left"/>
        <w:rPr>
          <w:b w:val="0"/>
          <w:bCs w:val="0"/>
        </w:rPr>
      </w:pPr>
      <w:r>
        <w:rPr/>
        <w:t>（一）、会计政策变更原因</w:t>
      </w:r>
      <w:r>
        <w:rPr>
          <w:b w:val="0"/>
          <w:bCs w:val="0"/>
        </w:rPr>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pStyle w:val="BodyText"/>
        <w:spacing w:line="386" w:lineRule="auto" w:before="175"/>
        <w:ind w:right="1109" w:firstLine="48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日，财政部修订发布《企业会计准则第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收入》（财会</w:t>
      </w:r>
      <w:r>
        <w:rPr>
          <w:rFonts w:ascii="Times New Roman" w:hAnsi="Times New Roman" w:cs="Times New Roman" w:eastAsia="Times New Roman" w:hint="default"/>
        </w:rPr>
        <w:t>[2017]22</w:t>
      </w:r>
      <w:r>
        <w:rPr/>
        <w:t>号）（以下简称</w:t>
      </w:r>
      <w:r>
        <w:rPr>
          <w:rFonts w:ascii="Times New Roman" w:hAnsi="Times New Roman" w:cs="Times New Roman" w:eastAsia="Times New Roman" w:hint="default"/>
        </w:rPr>
        <w:t>“</w:t>
      </w:r>
      <w:r>
        <w:rPr/>
        <w:t>新</w:t>
      </w:r>
      <w:r>
        <w:rPr>
          <w:w w:val="100"/>
        </w:rPr>
        <w:t> </w:t>
      </w:r>
      <w:r>
        <w:rPr/>
        <w:t>收入准则</w:t>
      </w:r>
      <w:r>
        <w:rPr>
          <w:rFonts w:ascii="Times New Roman" w:hAnsi="Times New Roman" w:cs="Times New Roman" w:eastAsia="Times New Roman" w:hint="default"/>
        </w:rPr>
        <w:t>”</w:t>
      </w:r>
      <w:r>
        <w:rPr/>
        <w:t>），根据财政部要求，在境内外同时上市的企业以及在境外上市并采用国际财务报告准则或企</w:t>
      </w:r>
      <w:r>
        <w:rPr>
          <w:spacing w:val="-16"/>
        </w:rPr>
        <w:t> </w:t>
      </w:r>
      <w:r>
        <w:rPr>
          <w:spacing w:val="-16"/>
        </w:rPr>
      </w:r>
      <w:r>
        <w:rPr>
          <w:spacing w:val="-2"/>
        </w:rPr>
        <w:t>业会计准则编制财务报表的企业，自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日起施行；其他境内上市企业，自</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日起施行。</w:t>
      </w:r>
      <w:r>
        <w:rPr/>
      </w:r>
    </w:p>
    <w:p>
      <w:pPr>
        <w:pStyle w:val="BodyText"/>
        <w:spacing w:line="240" w:lineRule="auto" w:before="35"/>
        <w:ind w:left="633" w:right="0"/>
        <w:jc w:val="left"/>
      </w:pPr>
      <w:r>
        <w:rPr>
          <w:w w:val="100"/>
        </w:rPr>
        <w:t>财政</w:t>
      </w:r>
      <w:r>
        <w:rPr>
          <w:spacing w:val="-3"/>
          <w:w w:val="100"/>
        </w:rPr>
        <w:t>部</w:t>
      </w:r>
      <w:r>
        <w:rPr>
          <w:spacing w:val="-1"/>
          <w:w w:val="100"/>
        </w:rPr>
        <w:t>于</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7</w:t>
      </w:r>
      <w:r>
        <w:rPr>
          <w:spacing w:val="-3"/>
          <w:w w:val="100"/>
        </w:rPr>
        <w:t>年</w:t>
      </w:r>
      <w:r>
        <w:rPr>
          <w:rFonts w:ascii="Times New Roman" w:hAnsi="Times New Roman" w:cs="Times New Roman" w:eastAsia="Times New Roman" w:hint="default"/>
          <w:w w:val="100"/>
        </w:rPr>
        <w:t>3</w:t>
      </w:r>
      <w:r>
        <w:rPr>
          <w:w w:val="100"/>
        </w:rPr>
        <w:t>月</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r>
        <w:rPr>
          <w:spacing w:val="-3"/>
          <w:w w:val="100"/>
        </w:rPr>
        <w:t>日修</w:t>
      </w:r>
      <w:r>
        <w:rPr>
          <w:w w:val="100"/>
        </w:rPr>
        <w:t>订发</w:t>
      </w:r>
      <w:r>
        <w:rPr>
          <w:spacing w:val="-3"/>
          <w:w w:val="100"/>
        </w:rPr>
        <w:t>布</w:t>
      </w:r>
      <w:r>
        <w:rPr>
          <w:spacing w:val="-85"/>
          <w:w w:val="100"/>
        </w:rPr>
        <w:t>了</w:t>
      </w:r>
      <w:r>
        <w:rPr>
          <w:w w:val="100"/>
        </w:rPr>
        <w:t>《</w:t>
      </w:r>
      <w:r>
        <w:rPr>
          <w:spacing w:val="-3"/>
          <w:w w:val="100"/>
        </w:rPr>
        <w:t>企</w:t>
      </w:r>
      <w:r>
        <w:rPr>
          <w:w w:val="100"/>
        </w:rPr>
        <w:t>业会</w:t>
      </w:r>
      <w:r>
        <w:rPr>
          <w:spacing w:val="-3"/>
          <w:w w:val="100"/>
        </w:rPr>
        <w:t>计</w:t>
      </w:r>
      <w:r>
        <w:rPr>
          <w:w w:val="100"/>
        </w:rPr>
        <w:t>准</w:t>
      </w:r>
      <w:r>
        <w:rPr>
          <w:spacing w:val="-3"/>
          <w:w w:val="100"/>
        </w:rPr>
        <w:t>则</w:t>
      </w:r>
      <w:r>
        <w:rPr>
          <w:spacing w:val="-2"/>
          <w:w w:val="100"/>
        </w:rPr>
        <w:t>第</w:t>
      </w:r>
      <w:r>
        <w:rPr>
          <w:rFonts w:ascii="Times New Roman" w:hAnsi="Times New Roman" w:cs="Times New Roman" w:eastAsia="Times New Roman" w:hint="default"/>
          <w:w w:val="100"/>
        </w:rPr>
        <w:t>22</w:t>
      </w:r>
      <w:r>
        <w:rPr>
          <w:w w:val="100"/>
        </w:rPr>
        <w:t>号</w:t>
      </w:r>
      <w:r>
        <w:rPr>
          <w:rFonts w:ascii="Times New Roman" w:hAnsi="Times New Roman" w:cs="Times New Roman" w:eastAsia="Times New Roman" w:hint="default"/>
          <w:spacing w:val="-3"/>
          <w:w w:val="100"/>
        </w:rPr>
        <w:t>—</w:t>
      </w:r>
      <w:r>
        <w:rPr>
          <w:w w:val="100"/>
        </w:rPr>
        <w:t>金</w:t>
      </w:r>
      <w:r>
        <w:rPr>
          <w:spacing w:val="-3"/>
          <w:w w:val="100"/>
        </w:rPr>
        <w:t>融</w:t>
      </w:r>
      <w:r>
        <w:rPr>
          <w:w w:val="100"/>
        </w:rPr>
        <w:t>工</w:t>
      </w:r>
      <w:r>
        <w:rPr>
          <w:spacing w:val="-3"/>
          <w:w w:val="100"/>
        </w:rPr>
        <w:t>具</w:t>
      </w:r>
      <w:r>
        <w:rPr>
          <w:w w:val="100"/>
        </w:rPr>
        <w:t>确</w:t>
      </w:r>
      <w:r>
        <w:rPr>
          <w:spacing w:val="-3"/>
          <w:w w:val="100"/>
        </w:rPr>
        <w:t>认</w:t>
      </w:r>
      <w:r>
        <w:rPr>
          <w:w w:val="100"/>
        </w:rPr>
        <w:t>和</w:t>
      </w:r>
      <w:r>
        <w:rPr>
          <w:spacing w:val="-3"/>
          <w:w w:val="100"/>
        </w:rPr>
        <w:t>计</w:t>
      </w:r>
      <w:r>
        <w:rPr>
          <w:w w:val="100"/>
        </w:rPr>
        <w:t>量</w:t>
      </w:r>
      <w:r>
        <w:rPr>
          <w:spacing w:val="-166"/>
          <w:w w:val="100"/>
        </w:rPr>
        <w:t>》</w:t>
      </w:r>
      <w:r>
        <w:rPr>
          <w:w w:val="100"/>
        </w:rPr>
        <w:t>（</w:t>
      </w:r>
      <w:r>
        <w:rPr>
          <w:spacing w:val="-3"/>
          <w:w w:val="100"/>
        </w:rPr>
        <w:t>财</w:t>
      </w:r>
      <w:r>
        <w:rPr>
          <w:w w:val="100"/>
        </w:rPr>
        <w:t>会</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2017</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spacing w:val="-1"/>
          <w:w w:val="100"/>
        </w:rPr>
        <w:t>7</w:t>
      </w:r>
      <w:r>
        <w:rPr>
          <w:spacing w:val="-3"/>
          <w:w w:val="100"/>
        </w:rPr>
        <w:t>号</w:t>
      </w:r>
      <w:r>
        <w:rPr>
          <w:spacing w:val="-82"/>
          <w:w w:val="100"/>
        </w:rPr>
        <w:t>）</w:t>
      </w:r>
      <w:r>
        <w:rPr>
          <w:w w:val="100"/>
        </w:rPr>
        <w:t>、</w:t>
      </w:r>
    </w:p>
    <w:p>
      <w:pPr>
        <w:pStyle w:val="BodyText"/>
        <w:spacing w:line="386" w:lineRule="auto" w:before="177"/>
        <w:ind w:right="0"/>
        <w:jc w:val="left"/>
      </w:pPr>
      <w:r>
        <w:rPr>
          <w:spacing w:val="-3"/>
        </w:rPr>
        <w:t>《企业会计准则第</w:t>
      </w:r>
      <w:r>
        <w:rPr>
          <w:rFonts w:ascii="Times New Roman" w:hAnsi="Times New Roman" w:cs="Times New Roman" w:eastAsia="Times New Roman" w:hint="default"/>
          <w:spacing w:val="-3"/>
        </w:rPr>
        <w:t>23</w:t>
      </w:r>
      <w:r>
        <w:rPr>
          <w:spacing w:val="-3"/>
        </w:rPr>
        <w:t>号</w:t>
      </w:r>
      <w:r>
        <w:rPr>
          <w:rFonts w:ascii="Times New Roman" w:hAnsi="Times New Roman" w:cs="Times New Roman" w:eastAsia="Times New Roman" w:hint="default"/>
          <w:spacing w:val="-3"/>
        </w:rPr>
        <w:t>—</w:t>
      </w:r>
      <w:r>
        <w:rPr>
          <w:spacing w:val="-3"/>
        </w:rPr>
        <w:t>金融资产转移》（财会</w:t>
      </w:r>
      <w:r>
        <w:rPr>
          <w:rFonts w:ascii="Times New Roman" w:hAnsi="Times New Roman" w:cs="Times New Roman" w:eastAsia="Times New Roman" w:hint="default"/>
          <w:spacing w:val="-3"/>
        </w:rPr>
        <w:t>[2017]8</w:t>
      </w:r>
      <w:r>
        <w:rPr>
          <w:spacing w:val="-3"/>
        </w:rPr>
        <w:t>号）、《企业会计准则第</w:t>
      </w:r>
      <w:r>
        <w:rPr>
          <w:rFonts w:ascii="Times New Roman" w:hAnsi="Times New Roman" w:cs="Times New Roman" w:eastAsia="Times New Roman" w:hint="default"/>
          <w:spacing w:val="-3"/>
        </w:rPr>
        <w:t>24</w:t>
      </w:r>
      <w:r>
        <w:rPr>
          <w:spacing w:val="-3"/>
        </w:rPr>
        <w:t>号</w:t>
      </w:r>
      <w:r>
        <w:rPr>
          <w:rFonts w:ascii="Times New Roman" w:hAnsi="Times New Roman" w:cs="Times New Roman" w:eastAsia="Times New Roman" w:hint="default"/>
          <w:spacing w:val="-3"/>
        </w:rPr>
        <w:t>—</w:t>
      </w:r>
      <w:r>
        <w:rPr>
          <w:spacing w:val="-3"/>
        </w:rPr>
        <w:t>套期会计》（财会</w:t>
      </w:r>
      <w:r>
        <w:rPr>
          <w:spacing w:val="-15"/>
        </w:rPr>
        <w:t> </w:t>
      </w:r>
      <w:r>
        <w:rPr>
          <w:spacing w:val="-15"/>
        </w:rPr>
      </w:r>
      <w:r>
        <w:rPr>
          <w:rFonts w:ascii="Times New Roman" w:hAnsi="Times New Roman" w:cs="Times New Roman" w:eastAsia="Times New Roman" w:hint="default"/>
          <w:spacing w:val="-8"/>
          <w:w w:val="100"/>
        </w:rPr>
        <w:t>[2017]9</w:t>
      </w:r>
      <w:r>
        <w:rPr>
          <w:spacing w:val="-8"/>
          <w:w w:val="100"/>
        </w:rPr>
        <w:t>号），于</w:t>
      </w:r>
      <w:r>
        <w:rPr>
          <w:rFonts w:ascii="Times New Roman" w:hAnsi="Times New Roman" w:cs="Times New Roman" w:eastAsia="Times New Roman" w:hint="default"/>
          <w:spacing w:val="-8"/>
          <w:w w:val="100"/>
        </w:rPr>
        <w:t>2017</w:t>
      </w:r>
      <w:r>
        <w:rPr>
          <w:spacing w:val="-8"/>
          <w:w w:val="100"/>
        </w:rPr>
        <w:t>年</w:t>
      </w:r>
      <w:r>
        <w:rPr>
          <w:rFonts w:ascii="Times New Roman" w:hAnsi="Times New Roman" w:cs="Times New Roman" w:eastAsia="Times New Roman" w:hint="default"/>
          <w:spacing w:val="-8"/>
          <w:w w:val="100"/>
        </w:rPr>
        <w:t>5</w:t>
      </w:r>
      <w:r>
        <w:rPr>
          <w:spacing w:val="-8"/>
          <w:w w:val="100"/>
        </w:rPr>
        <w:t>月</w:t>
      </w:r>
      <w:r>
        <w:rPr>
          <w:rFonts w:ascii="Times New Roman" w:hAnsi="Times New Roman" w:cs="Times New Roman" w:eastAsia="Times New Roman" w:hint="default"/>
          <w:spacing w:val="-8"/>
          <w:w w:val="100"/>
        </w:rPr>
        <w:t>2</w:t>
      </w:r>
      <w:r>
        <w:rPr>
          <w:spacing w:val="-8"/>
          <w:w w:val="100"/>
        </w:rPr>
        <w:t>日发布了《企业会计准则第</w:t>
      </w:r>
      <w:r>
        <w:rPr>
          <w:rFonts w:ascii="Times New Roman" w:hAnsi="Times New Roman" w:cs="Times New Roman" w:eastAsia="Times New Roman" w:hint="default"/>
          <w:spacing w:val="-8"/>
          <w:w w:val="100"/>
        </w:rPr>
        <w:t>37</w:t>
      </w:r>
      <w:r>
        <w:rPr>
          <w:spacing w:val="-8"/>
          <w:w w:val="100"/>
        </w:rPr>
        <w:t>号</w:t>
      </w:r>
      <w:r>
        <w:rPr>
          <w:rFonts w:ascii="Times New Roman" w:hAnsi="Times New Roman" w:cs="Times New Roman" w:eastAsia="Times New Roman" w:hint="default"/>
          <w:spacing w:val="-8"/>
          <w:w w:val="100"/>
        </w:rPr>
        <w:t>—</w:t>
      </w:r>
      <w:r>
        <w:rPr>
          <w:spacing w:val="-8"/>
          <w:w w:val="100"/>
        </w:rPr>
        <w:t>金融工具列报（</w:t>
      </w:r>
      <w:r>
        <w:rPr>
          <w:rFonts w:ascii="Times New Roman" w:hAnsi="Times New Roman" w:cs="Times New Roman" w:eastAsia="Times New Roman" w:hint="default"/>
          <w:spacing w:val="-8"/>
          <w:w w:val="100"/>
        </w:rPr>
        <w:t>2017</w:t>
      </w:r>
      <w:r>
        <w:rPr>
          <w:spacing w:val="-8"/>
          <w:w w:val="100"/>
        </w:rPr>
        <w:t>年修订）》（财会</w:t>
      </w:r>
      <w:r>
        <w:rPr>
          <w:rFonts w:ascii="Times New Roman" w:hAnsi="Times New Roman" w:cs="Times New Roman" w:eastAsia="Times New Roman" w:hint="default"/>
          <w:spacing w:val="-8"/>
          <w:w w:val="100"/>
        </w:rPr>
        <w:t>[2017]14</w:t>
      </w:r>
      <w:r>
        <w:rPr>
          <w:rFonts w:ascii="Times New Roman" w:hAnsi="Times New Roman" w:cs="Times New Roman" w:eastAsia="Times New Roman" w:hint="default"/>
          <w:spacing w:val="-36"/>
          <w:w w:val="100"/>
        </w:rPr>
        <w:t> </w:t>
      </w:r>
      <w:r>
        <w:rPr>
          <w:rFonts w:ascii="Times New Roman" w:hAnsi="Times New Roman" w:cs="Times New Roman" w:eastAsia="Times New Roman" w:hint="default"/>
          <w:spacing w:val="-36"/>
          <w:w w:val="100"/>
        </w:rPr>
      </w:r>
      <w:r>
        <w:rPr>
          <w:spacing w:val="-4"/>
        </w:rPr>
        <w:t>号）（上述准则以下统称</w:t>
      </w:r>
      <w:r>
        <w:rPr>
          <w:rFonts w:ascii="Times New Roman" w:hAnsi="Times New Roman" w:cs="Times New Roman" w:eastAsia="Times New Roman" w:hint="default"/>
          <w:spacing w:val="-4"/>
        </w:rPr>
        <w:t>“</w:t>
      </w:r>
      <w:r>
        <w:rPr>
          <w:spacing w:val="-4"/>
        </w:rPr>
        <w:t>新金融工具准则</w:t>
      </w:r>
      <w:r>
        <w:rPr>
          <w:rFonts w:ascii="Times New Roman" w:hAnsi="Times New Roman" w:cs="Times New Roman" w:eastAsia="Times New Roman" w:hint="default"/>
          <w:spacing w:val="-4"/>
        </w:rPr>
        <w:t>”</w:t>
      </w:r>
      <w:r>
        <w:rPr>
          <w:spacing w:val="-4"/>
        </w:rPr>
        <w:t>），要求境内上市企业自</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日起执行新金融工具准则。</w:t>
      </w:r>
      <w:r>
        <w:rPr>
          <w:spacing w:val="-17"/>
        </w:rPr>
        <w:t> </w:t>
      </w:r>
      <w:r>
        <w:rPr>
          <w:spacing w:val="-17"/>
        </w:rPr>
      </w:r>
      <w:r>
        <w:rPr/>
        <w:t>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日执行上述新金融工具准则，对会计政策的相关内容进行调整。</w:t>
      </w:r>
    </w:p>
    <w:p>
      <w:pPr>
        <w:pStyle w:val="BodyText"/>
        <w:spacing w:line="240" w:lineRule="auto" w:before="36"/>
        <w:ind w:left="633" w:right="1133"/>
        <w:jc w:val="left"/>
        <w:rPr>
          <w:rFonts w:ascii="Times New Roman" w:hAnsi="Times New Roman" w:cs="Times New Roman" w:eastAsia="Times New Roman" w:hint="default"/>
        </w:rPr>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9</w:t>
      </w:r>
      <w:r>
        <w:rPr>
          <w:spacing w:val="-3"/>
        </w:rPr>
        <w:t>日，财政部发布了《关于印发修订的通知》（财会〔</w:t>
      </w:r>
      <w:r>
        <w:rPr>
          <w:rFonts w:ascii="Times New Roman" w:hAnsi="Times New Roman" w:cs="Times New Roman" w:eastAsia="Times New Roman" w:hint="default"/>
          <w:spacing w:val="-3"/>
        </w:rPr>
        <w:t>2019</w:t>
      </w:r>
      <w:r>
        <w:rPr>
          <w:spacing w:val="-3"/>
        </w:rPr>
        <w:t>〕</w:t>
      </w:r>
      <w:r>
        <w:rPr>
          <w:rFonts w:ascii="Times New Roman" w:hAnsi="Times New Roman" w:cs="Times New Roman" w:eastAsia="Times New Roman" w:hint="default"/>
          <w:spacing w:val="-3"/>
        </w:rPr>
        <w:t>8</w:t>
      </w:r>
      <w:r>
        <w:rPr>
          <w:spacing w:val="-3"/>
        </w:rPr>
        <w:t>号），对《企业会计准则第</w:t>
      </w:r>
      <w:r>
        <w:rPr>
          <w:rFonts w:ascii="Times New Roman" w:hAnsi="Times New Roman" w:cs="Times New Roman" w:eastAsia="Times New Roman" w:hint="default"/>
          <w:spacing w:val="-3"/>
        </w:rPr>
        <w:t>7</w:t>
      </w:r>
    </w:p>
    <w:p>
      <w:pPr>
        <w:pStyle w:val="BodyText"/>
        <w:spacing w:line="240" w:lineRule="auto" w:before="177"/>
        <w:ind w:right="1133"/>
        <w:jc w:val="left"/>
      </w:pPr>
      <w:r>
        <w:rPr/>
        <w:t>号</w:t>
      </w:r>
      <w:r>
        <w:rPr>
          <w:rFonts w:ascii="Times New Roman" w:hAnsi="Times New Roman" w:cs="Times New Roman" w:eastAsia="Times New Roman" w:hint="default"/>
        </w:rPr>
        <w:t>—</w:t>
      </w:r>
      <w:r>
        <w:rPr/>
        <w:t>非货币性资产交换》进行了修订，自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日起执行。</w:t>
      </w:r>
    </w:p>
    <w:p>
      <w:pPr>
        <w:pStyle w:val="BodyText"/>
        <w:spacing w:line="386" w:lineRule="auto" w:before="177"/>
        <w:ind w:right="1131" w:firstLine="48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日，财政部发布了《关于印发修订的通知》（财会〔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9</w:t>
      </w:r>
      <w:r>
        <w:rPr>
          <w:rFonts w:ascii="Times New Roman" w:hAnsi="Times New Roman" w:cs="Times New Roman" w:eastAsia="Times New Roman" w:hint="default"/>
          <w:spacing w:val="15"/>
        </w:rPr>
        <w:t> </w:t>
      </w:r>
      <w:r>
        <w:rPr/>
        <w:t>号），对《企业会计准则</w:t>
      </w:r>
      <w:r>
        <w:rPr>
          <w:w w:val="100"/>
        </w:rPr>
        <w:t> </w:t>
      </w:r>
      <w:r>
        <w:rPr/>
        <w:t>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债务重组》进行了修订，自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日起执行。</w:t>
      </w:r>
    </w:p>
    <w:p>
      <w:pPr>
        <w:pStyle w:val="BodyText"/>
        <w:spacing w:line="386" w:lineRule="auto" w:before="35"/>
        <w:ind w:right="1075" w:firstLine="480"/>
        <w:jc w:val="both"/>
      </w:pPr>
      <w:r>
        <w:rPr/>
        <w:t>公司根据上述修订后的会计准则要求对会计政策进行相应变更，本次会计政策</w:t>
      </w:r>
      <w:r>
        <w:rPr>
          <w:spacing w:val="-26"/>
        </w:rPr>
        <w:t> </w:t>
      </w:r>
      <w:r>
        <w:rPr/>
        <w:t>变更属于</w:t>
      </w:r>
      <w:r>
        <w:rPr>
          <w:rFonts w:ascii="Times New Roman" w:hAnsi="Times New Roman" w:cs="Times New Roman" w:eastAsia="Times New Roman" w:hint="default"/>
        </w:rPr>
        <w:t>“</w:t>
      </w:r>
      <w:r>
        <w:rPr/>
        <w:t>根据法律、</w:t>
      </w:r>
      <w:r>
        <w:rPr>
          <w:w w:val="100"/>
        </w:rPr>
        <w:t> </w:t>
      </w:r>
      <w:r>
        <w:rPr/>
        <w:t>行政法规或者国家统一的会计制度的要求变更会计政策</w:t>
      </w:r>
      <w:r>
        <w:rPr>
          <w:rFonts w:ascii="Times New Roman" w:hAnsi="Times New Roman" w:cs="Times New Roman" w:eastAsia="Times New Roman" w:hint="default"/>
        </w:rPr>
        <w:t>”</w:t>
      </w:r>
      <w:r>
        <w:rPr/>
        <w:t>的情形。</w:t>
      </w:r>
    </w:p>
    <w:p>
      <w:pPr>
        <w:pStyle w:val="BodyText"/>
        <w:spacing w:line="386" w:lineRule="auto" w:before="35"/>
        <w:ind w:left="633" w:right="0"/>
        <w:jc w:val="left"/>
      </w:pPr>
      <w:r>
        <w:rPr>
          <w:rFonts w:ascii="Times New Roman" w:hAnsi="Times New Roman" w:cs="Times New Roman" w:eastAsia="Times New Roman" w:hint="default"/>
        </w:rPr>
        <w:t>2</w:t>
      </w:r>
      <w:r>
        <w:rPr/>
        <w:t>、变更前采用的会计政策</w:t>
      </w:r>
      <w:r>
        <w:rPr>
          <w:w w:val="100"/>
        </w:rPr>
        <w:t> </w:t>
      </w:r>
      <w:r>
        <w:rPr>
          <w:spacing w:val="-2"/>
        </w:rPr>
        <w:t>本次会计政策变更前，公司执行财政部颁布的《企业会计准则</w:t>
      </w:r>
      <w:r>
        <w:rPr>
          <w:rFonts w:ascii="Times New Roman" w:hAnsi="Times New Roman" w:cs="Times New Roman" w:eastAsia="Times New Roman" w:hint="default"/>
          <w:spacing w:val="-2"/>
        </w:rPr>
        <w:t>——</w:t>
      </w:r>
      <w:r>
        <w:rPr>
          <w:spacing w:val="-2"/>
        </w:rPr>
        <w:t>基本准则》和各项具体会计准则、</w:t>
      </w:r>
    </w:p>
    <w:p>
      <w:pPr>
        <w:pStyle w:val="BodyText"/>
        <w:spacing w:line="240" w:lineRule="auto" w:before="36"/>
        <w:ind w:right="1133"/>
        <w:jc w:val="left"/>
      </w:pPr>
      <w:r>
        <w:rPr/>
        <w:t>企业会计准则应用指南、企业会计准则解释及其他相关规定。</w:t>
      </w:r>
    </w:p>
    <w:p>
      <w:pPr>
        <w:spacing w:line="240" w:lineRule="auto" w:before="10"/>
        <w:rPr>
          <w:rFonts w:ascii="宋体" w:hAnsi="宋体" w:cs="宋体" w:eastAsia="宋体" w:hint="default"/>
          <w:sz w:val="14"/>
          <w:szCs w:val="14"/>
        </w:rPr>
      </w:pPr>
    </w:p>
    <w:p>
      <w:pPr>
        <w:pStyle w:val="BodyText"/>
        <w:spacing w:line="386" w:lineRule="auto" w:before="0"/>
        <w:ind w:left="633" w:right="0"/>
        <w:jc w:val="left"/>
      </w:pPr>
      <w:r>
        <w:rPr>
          <w:rFonts w:ascii="Times New Roman" w:hAnsi="Times New Roman" w:cs="Times New Roman" w:eastAsia="Times New Roman" w:hint="default"/>
        </w:rPr>
        <w:t>3</w:t>
      </w:r>
      <w:r>
        <w:rPr/>
        <w:t>、变更后采用的会计政策</w:t>
      </w:r>
      <w:r>
        <w:rPr>
          <w:w w:val="100"/>
        </w:rPr>
        <w:t> </w:t>
      </w:r>
      <w:r>
        <w:rPr>
          <w:spacing w:val="-2"/>
        </w:rPr>
        <w:t>本次会计政策变更后，公司执行的会计政策按照修订通知的相关规定执行，除上述会计政策变更外，</w:t>
      </w:r>
    </w:p>
    <w:p>
      <w:pPr>
        <w:pStyle w:val="BodyText"/>
        <w:spacing w:line="386" w:lineRule="auto" w:before="65"/>
        <w:ind w:right="1130"/>
        <w:jc w:val="left"/>
      </w:pPr>
      <w:r>
        <w:rPr/>
        <w:t>其他未变更部分仍按照财政部前期发布的《企业会计准</w:t>
      </w:r>
      <w:r>
        <w:rPr>
          <w:spacing w:val="69"/>
        </w:rPr>
        <w:t> </w:t>
      </w:r>
      <w:r>
        <w:rPr/>
        <w:t>则</w:t>
      </w:r>
      <w:r>
        <w:rPr>
          <w:rFonts w:ascii="Times New Roman" w:hAnsi="Times New Roman" w:cs="Times New Roman" w:eastAsia="Times New Roman" w:hint="default"/>
        </w:rPr>
        <w:t>——</w:t>
      </w:r>
      <w:r>
        <w:rPr/>
        <w:t>基本准则》和各项具体准则、企业会计准</w:t>
      </w:r>
      <w:r>
        <w:rPr>
          <w:spacing w:val="-97"/>
        </w:rPr>
        <w:t> </w:t>
      </w:r>
      <w:r>
        <w:rPr>
          <w:spacing w:val="-97"/>
        </w:rPr>
      </w:r>
      <w:r>
        <w:rPr/>
        <w:t>则应用指南、企业会计准备解释</w:t>
      </w:r>
      <w:r>
        <w:rPr>
          <w:spacing w:val="-22"/>
        </w:rPr>
        <w:t> </w:t>
      </w:r>
      <w:r>
        <w:rPr/>
        <w:t>公告及其他相关规定执行。</w:t>
      </w:r>
    </w:p>
    <w:p>
      <w:pPr>
        <w:pStyle w:val="BodyText"/>
        <w:spacing w:line="386" w:lineRule="auto" w:before="65"/>
        <w:ind w:left="633" w:right="5114"/>
        <w:jc w:val="left"/>
      </w:pPr>
      <w:r>
        <w:rPr>
          <w:rFonts w:ascii="Times New Roman" w:hAnsi="Times New Roman" w:cs="Times New Roman" w:eastAsia="Times New Roman" w:hint="default"/>
        </w:rPr>
        <w:t>4</w:t>
      </w:r>
      <w:r>
        <w:rPr/>
        <w:t>、变更日期</w:t>
      </w:r>
      <w:r>
        <w:rPr>
          <w:w w:val="100"/>
        </w:rPr>
        <w:t> </w:t>
      </w:r>
      <w:r>
        <w:rPr>
          <w:spacing w:val="-2"/>
        </w:rPr>
        <w:t>上述变更按照财政部相关文件规定的起始日开始执行。</w:t>
      </w:r>
    </w:p>
    <w:p>
      <w:pPr>
        <w:pStyle w:val="Heading5"/>
        <w:spacing w:line="240" w:lineRule="auto" w:before="65"/>
        <w:ind w:left="635" w:right="1133"/>
        <w:jc w:val="left"/>
        <w:rPr>
          <w:b w:val="0"/>
          <w:bCs w:val="0"/>
        </w:rPr>
      </w:pPr>
      <w:r>
        <w:rPr/>
        <w:t>（二）、本次会计政策变更对公司的影响</w:t>
      </w:r>
      <w:r>
        <w:rPr>
          <w:b w:val="0"/>
          <w:bCs w:val="0"/>
        </w:rPr>
      </w:r>
    </w:p>
    <w:p>
      <w:pPr>
        <w:spacing w:line="240" w:lineRule="auto" w:before="10"/>
        <w:rPr>
          <w:rFonts w:ascii="宋体" w:hAnsi="宋体" w:cs="宋体" w:eastAsia="宋体" w:hint="default"/>
          <w:b/>
          <w:bCs/>
          <w:sz w:val="14"/>
          <w:szCs w:val="14"/>
        </w:rPr>
      </w:pPr>
    </w:p>
    <w:p>
      <w:pPr>
        <w:pStyle w:val="BodyText"/>
        <w:spacing w:line="400" w:lineRule="auto" w:before="0"/>
        <w:ind w:right="1109" w:firstLine="480"/>
        <w:jc w:val="right"/>
      </w:pPr>
      <w:r>
        <w:rPr>
          <w:rFonts w:ascii="Times New Roman" w:hAnsi="Times New Roman" w:cs="Times New Roman" w:eastAsia="Times New Roman" w:hint="default"/>
          <w:spacing w:val="-1"/>
        </w:rPr>
        <w:t>1</w:t>
      </w:r>
      <w:r>
        <w:rPr>
          <w:spacing w:val="-1"/>
        </w:rPr>
        <w:t>、根据《企业会计准则第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金融工具确认和计量》之衔接规定，在新金融工具准则施行日，</w:t>
      </w:r>
      <w:r>
        <w:rPr>
          <w:w w:val="100"/>
        </w:rPr>
        <w:t> </w:t>
      </w:r>
      <w:r>
        <w:rPr>
          <w:spacing w:val="-2"/>
        </w:rPr>
        <w:t>应当对金融工具进行分类和计量（含减值），涉及前期比较财务报表数据与新准则要求不一致的，无需调</w:t>
      </w:r>
      <w:r>
        <w:rPr>
          <w:spacing w:val="-84"/>
        </w:rPr>
        <w:t> </w:t>
      </w:r>
      <w:r>
        <w:rPr>
          <w:spacing w:val="-84"/>
        </w:rPr>
      </w:r>
      <w:r>
        <w:rPr>
          <w:spacing w:val="-2"/>
        </w:rPr>
        <w:t>整。金融工具原账面价值和新准则施行日的新账面价值之间的差额，计入期初留存收益或其他综合收益。</w:t>
      </w:r>
      <w:r>
        <w:rPr>
          <w:spacing w:val="-48"/>
        </w:rPr>
        <w:t> </w:t>
      </w:r>
      <w:r>
        <w:rPr>
          <w:spacing w:val="-48"/>
        </w:rPr>
      </w:r>
      <w:r>
        <w:rPr>
          <w:rFonts w:ascii="Times New Roman" w:hAnsi="Times New Roman" w:cs="Times New Roman" w:eastAsia="Times New Roman" w:hint="default"/>
          <w:spacing w:val="-3"/>
        </w:rPr>
        <w:t>2</w:t>
      </w:r>
      <w:r>
        <w:rPr>
          <w:spacing w:val="-3"/>
        </w:rPr>
        <w:t>、公司自</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10</w:t>
      </w:r>
      <w:r>
        <w:rPr>
          <w:spacing w:val="-3"/>
        </w:rPr>
        <w:t>日起，执行财政部</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月修订颁布的《企业会计准则第</w:t>
      </w:r>
      <w:r>
        <w:rPr>
          <w:rFonts w:ascii="Times New Roman" w:hAnsi="Times New Roman" w:cs="Times New Roman" w:eastAsia="Times New Roman" w:hint="default"/>
          <w:spacing w:val="-3"/>
        </w:rPr>
        <w:t>7</w:t>
      </w:r>
      <w:r>
        <w:rPr>
          <w:spacing w:val="-3"/>
        </w:rPr>
        <w:t>号</w:t>
      </w:r>
      <w:r>
        <w:rPr>
          <w:rFonts w:ascii="Times New Roman" w:hAnsi="Times New Roman" w:cs="Times New Roman" w:eastAsia="Times New Roman" w:hint="default"/>
          <w:spacing w:val="-3"/>
        </w:rPr>
        <w:t>——</w:t>
      </w:r>
      <w:r>
        <w:rPr>
          <w:spacing w:val="-3"/>
        </w:rPr>
        <w:t>非货币性资</w:t>
      </w:r>
    </w:p>
    <w:p>
      <w:pPr>
        <w:pStyle w:val="BodyText"/>
        <w:spacing w:line="240" w:lineRule="auto" w:before="21"/>
        <w:ind w:right="1133"/>
        <w:jc w:val="left"/>
      </w:pPr>
      <w:r>
        <w:rPr/>
        <w:t>产交换》。执行该准则对公司无重大影响。</w:t>
      </w:r>
    </w:p>
    <w:p>
      <w:pPr>
        <w:spacing w:line="240" w:lineRule="auto" w:before="10"/>
        <w:rPr>
          <w:rFonts w:ascii="宋体" w:hAnsi="宋体" w:cs="宋体" w:eastAsia="宋体" w:hint="default"/>
          <w:sz w:val="14"/>
          <w:szCs w:val="14"/>
        </w:rPr>
      </w:pPr>
    </w:p>
    <w:p>
      <w:pPr>
        <w:pStyle w:val="BodyText"/>
        <w:spacing w:line="240" w:lineRule="auto" w:before="0"/>
        <w:ind w:left="0" w:right="1020"/>
        <w:jc w:val="right"/>
      </w:pPr>
      <w:r>
        <w:rPr>
          <w:rFonts w:ascii="Times New Roman" w:hAnsi="Times New Roman" w:cs="Times New Roman" w:eastAsia="Times New Roman" w:hint="default"/>
          <w:spacing w:val="-4"/>
        </w:rPr>
        <w:t>3</w:t>
      </w:r>
      <w:r>
        <w:rPr>
          <w:spacing w:val="-4"/>
        </w:rPr>
        <w:t>、公司自</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17</w:t>
      </w:r>
      <w:r>
        <w:rPr>
          <w:spacing w:val="-4"/>
        </w:rPr>
        <w:t>日起，执行财政部</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5</w:t>
      </w:r>
      <w:r>
        <w:rPr>
          <w:spacing w:val="-4"/>
        </w:rPr>
        <w:t>月修订颁布的《企业会计准则第</w:t>
      </w:r>
      <w:r>
        <w:rPr>
          <w:rFonts w:ascii="Times New Roman" w:hAnsi="Times New Roman" w:cs="Times New Roman" w:eastAsia="Times New Roman" w:hint="default"/>
          <w:spacing w:val="-4"/>
        </w:rPr>
        <w:t>12</w:t>
      </w:r>
      <w:r>
        <w:rPr>
          <w:spacing w:val="-4"/>
        </w:rPr>
        <w:t>号</w:t>
      </w:r>
      <w:r>
        <w:rPr>
          <w:rFonts w:ascii="Times New Roman" w:hAnsi="Times New Roman" w:cs="Times New Roman" w:eastAsia="Times New Roman" w:hint="default"/>
          <w:spacing w:val="-4"/>
        </w:rPr>
        <w:t>——</w:t>
      </w:r>
      <w:r>
        <w:rPr>
          <w:spacing w:val="-4"/>
        </w:rPr>
        <w:t>债务重组》。</w:t>
      </w:r>
    </w:p>
    <w:p>
      <w:pPr>
        <w:spacing w:after="0" w:line="240" w:lineRule="auto"/>
        <w:jc w:val="righ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1133"/>
        <w:jc w:val="left"/>
      </w:pPr>
      <w:r>
        <w:rPr/>
        <w:t>执行该准则对公司无重大影响。</w:t>
      </w:r>
    </w:p>
    <w:p>
      <w:pPr>
        <w:spacing w:line="240" w:lineRule="auto" w:before="12"/>
        <w:rPr>
          <w:rFonts w:ascii="宋体" w:hAnsi="宋体" w:cs="宋体" w:eastAsia="宋体" w:hint="default"/>
          <w:sz w:val="29"/>
          <w:szCs w:val="29"/>
        </w:rPr>
      </w:pPr>
    </w:p>
    <w:p>
      <w:pPr>
        <w:pStyle w:val="Heading3"/>
        <w:spacing w:line="240" w:lineRule="auto"/>
        <w:ind w:right="1133"/>
        <w:jc w:val="left"/>
        <w:rPr>
          <w:b w:val="0"/>
          <w:bCs w:val="0"/>
        </w:rPr>
      </w:pPr>
      <w:bookmarkStart w:name="七、报告期内发生重大会计差错更正需追溯重述的情况说明" w:id="69"/>
      <w:bookmarkEnd w:id="69"/>
      <w:r>
        <w:rPr>
          <w:b w:val="0"/>
          <w:bCs w:val="0"/>
        </w:rPr>
      </w: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6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8"/>
        <w:rPr>
          <w:rFonts w:ascii="宋体" w:hAnsi="宋体" w:cs="宋体" w:eastAsia="宋体" w:hint="default"/>
          <w:sz w:val="19"/>
          <w:szCs w:val="19"/>
        </w:rPr>
      </w:pPr>
    </w:p>
    <w:p>
      <w:pPr>
        <w:pStyle w:val="Heading3"/>
        <w:spacing w:line="240" w:lineRule="auto"/>
        <w:ind w:right="1133"/>
        <w:jc w:val="left"/>
        <w:rPr>
          <w:b w:val="0"/>
          <w:bCs w:val="0"/>
        </w:rPr>
      </w:pPr>
      <w:bookmarkStart w:name="八、与上年度财务报告相比，合并报表范围发生变化的情况说明" w:id="70"/>
      <w:bookmarkEnd w:id="70"/>
      <w:r>
        <w:rPr>
          <w:b w:val="0"/>
          <w:bCs w:val="0"/>
        </w:rPr>
      </w: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57"/>
        <w:ind w:left="573" w:right="1133"/>
        <w:jc w:val="left"/>
      </w:pPr>
      <w:r>
        <w:rPr/>
        <w:t>本期本公司于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日董事会决议通过设立方式，成立吉林紫鑫汉麻研发有限公司，注册资本</w:t>
      </w:r>
    </w:p>
    <w:p>
      <w:pPr>
        <w:pStyle w:val="BodyText"/>
        <w:spacing w:line="386" w:lineRule="auto" w:before="178"/>
        <w:ind w:left="573" w:right="1133" w:hanging="421"/>
        <w:jc w:val="left"/>
      </w:pPr>
      <w:r>
        <w:rPr>
          <w:rFonts w:ascii="Times New Roman" w:hAnsi="Times New Roman" w:cs="Times New Roman" w:eastAsia="Times New Roman" w:hint="default"/>
        </w:rPr>
        <w:t>1,000</w:t>
      </w:r>
      <w:r>
        <w:rPr/>
        <w:t>万元，于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日办理完工商登记手续。</w:t>
      </w:r>
      <w:r>
        <w:rPr>
          <w:w w:val="100"/>
        </w:rPr>
        <w:t> </w:t>
      </w:r>
      <w:r>
        <w:rPr>
          <w:spacing w:val="-2"/>
        </w:rPr>
        <w:t>本期本公司于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7</w:t>
      </w:r>
      <w:r>
        <w:rPr>
          <w:spacing w:val="-2"/>
        </w:rPr>
        <w:t>日董事会决议通过设立方式，成立吉林紫鑫进出口贸易有限公司，注册资本</w:t>
      </w:r>
    </w:p>
    <w:p>
      <w:pPr>
        <w:pStyle w:val="BodyText"/>
        <w:spacing w:line="386" w:lineRule="auto" w:before="35"/>
        <w:ind w:left="573" w:right="1133" w:hanging="421"/>
        <w:jc w:val="left"/>
      </w:pPr>
      <w:r>
        <w:rPr>
          <w:rFonts w:ascii="Times New Roman" w:hAnsi="Times New Roman" w:cs="Times New Roman" w:eastAsia="Times New Roman" w:hint="default"/>
        </w:rPr>
        <w:t>2,000</w:t>
      </w:r>
      <w:r>
        <w:rPr/>
        <w:t>万元。于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日办理完工商登记手续。</w:t>
      </w:r>
      <w:r>
        <w:rPr>
          <w:w w:val="100"/>
        </w:rPr>
        <w:t> </w:t>
      </w:r>
      <w:r>
        <w:rPr>
          <w:spacing w:val="-2"/>
        </w:rPr>
        <w:t>本期本公司于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日董事会决议通过设立方式，成立吉林紫鑫鑫正医药物流有限公司，注册资</w:t>
      </w:r>
    </w:p>
    <w:p>
      <w:pPr>
        <w:pStyle w:val="BodyText"/>
        <w:spacing w:line="386" w:lineRule="auto" w:before="35"/>
        <w:ind w:left="573" w:right="1133" w:hanging="421"/>
        <w:jc w:val="left"/>
      </w:pPr>
      <w:r>
        <w:rPr/>
        <w:t>本</w:t>
      </w:r>
      <w:r>
        <w:rPr>
          <w:rFonts w:ascii="Times New Roman" w:hAnsi="Times New Roman" w:cs="Times New Roman" w:eastAsia="Times New Roman" w:hint="default"/>
        </w:rPr>
        <w:t>2,000</w:t>
      </w:r>
      <w:r>
        <w:rPr/>
        <w:t>万元。于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日办理完工商登记手续。</w:t>
      </w:r>
      <w:r>
        <w:rPr>
          <w:w w:val="100"/>
        </w:rPr>
        <w:t> </w:t>
      </w:r>
      <w:r>
        <w:rPr>
          <w:spacing w:val="-2"/>
        </w:rPr>
        <w:t>本期本公司于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9</w:t>
      </w:r>
      <w:r>
        <w:rPr>
          <w:spacing w:val="-2"/>
        </w:rPr>
        <w:t>日董事会决议通过设立方式，成立吉林紫鑫医药产业园孵化器管理有限公</w:t>
      </w:r>
    </w:p>
    <w:p>
      <w:pPr>
        <w:pStyle w:val="BodyText"/>
        <w:spacing w:line="386" w:lineRule="auto" w:before="35"/>
        <w:ind w:left="573" w:right="1133" w:hanging="421"/>
        <w:jc w:val="left"/>
      </w:pPr>
      <w:r>
        <w:rPr/>
        <w:t>司，注册资本</w:t>
      </w:r>
      <w:r>
        <w:rPr>
          <w:rFonts w:ascii="Times New Roman" w:hAnsi="Times New Roman" w:cs="Times New Roman" w:eastAsia="Times New Roman" w:hint="default"/>
        </w:rPr>
        <w:t>5,000</w:t>
      </w:r>
      <w:r>
        <w:rPr/>
        <w:t>万元。于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日办理完工商登记手续。</w:t>
      </w:r>
      <w:r>
        <w:rPr>
          <w:w w:val="100"/>
        </w:rPr>
        <w:t> </w:t>
      </w:r>
      <w:r>
        <w:rPr>
          <w:spacing w:val="-2"/>
        </w:rPr>
        <w:t>本期本公司子公司吉林紫鑫般若药业有限公司于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日董事会决议通过设立方式，成立磐石</w:t>
      </w:r>
    </w:p>
    <w:p>
      <w:pPr>
        <w:pStyle w:val="BodyText"/>
        <w:spacing w:line="240" w:lineRule="auto" w:before="36"/>
        <w:ind w:right="1133"/>
        <w:jc w:val="left"/>
      </w:pPr>
      <w:r>
        <w:rPr/>
        <w:t>紫鑫医药销售有限公司，注册资本</w:t>
      </w:r>
      <w:r>
        <w:rPr>
          <w:rFonts w:ascii="Times New Roman" w:hAnsi="Times New Roman" w:cs="Times New Roman" w:eastAsia="Times New Roman" w:hint="default"/>
        </w:rPr>
        <w:t>100</w:t>
      </w:r>
      <w:r>
        <w:rPr/>
        <w:t>万元。于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日办理完工商登记手续。</w:t>
      </w:r>
    </w:p>
    <w:p>
      <w:pPr>
        <w:spacing w:line="240" w:lineRule="auto" w:before="9"/>
        <w:rPr>
          <w:rFonts w:ascii="宋体" w:hAnsi="宋体" w:cs="宋体" w:eastAsia="宋体" w:hint="default"/>
          <w:sz w:val="28"/>
          <w:szCs w:val="28"/>
        </w:rPr>
      </w:pPr>
    </w:p>
    <w:p>
      <w:pPr>
        <w:pStyle w:val="Heading3"/>
        <w:spacing w:line="240" w:lineRule="auto"/>
        <w:ind w:right="1133"/>
        <w:jc w:val="left"/>
        <w:rPr>
          <w:b w:val="0"/>
          <w:bCs w:val="0"/>
        </w:rPr>
      </w:pPr>
      <w:bookmarkStart w:name="九、聘任、解聘会计师事务所情况" w:id="71"/>
      <w:bookmarkEnd w:id="71"/>
      <w:r>
        <w:rPr>
          <w:b w:val="0"/>
          <w:bCs w:val="0"/>
        </w:rPr>
      </w:r>
      <w:r>
        <w:rPr/>
        <w:t>九、聘任、解聘会计师事务所情况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中准会计师事务所（特殊普通合伙）</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13</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刘昆、常明</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52" w:right="6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after="0" w:line="33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bookmarkStart w:name="十、年度报告披露后面临暂停上市和终止上市情况" w:id="72"/>
      <w:bookmarkEnd w:id="72"/>
      <w:r>
        <w:rPr>
          <w:b w:val="0"/>
          <w:bCs w:val="0"/>
        </w:rPr>
      </w: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133"/>
        <w:jc w:val="left"/>
        <w:rPr>
          <w:b w:val="0"/>
          <w:bCs w:val="0"/>
        </w:rPr>
      </w:pPr>
      <w:bookmarkStart w:name="十一、破产重整相关事项" w:id="73"/>
      <w:bookmarkEnd w:id="73"/>
      <w:r>
        <w:rPr>
          <w:b w:val="0"/>
          <w:bCs w:val="0"/>
        </w:rPr>
      </w:r>
      <w:r>
        <w:rPr/>
        <w:t>十一、破产重整相关事项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4"/>
        <w:rPr>
          <w:rFonts w:ascii="宋体" w:hAnsi="宋体" w:cs="宋体" w:eastAsia="宋体" w:hint="default"/>
          <w:sz w:val="19"/>
          <w:szCs w:val="19"/>
        </w:rPr>
      </w:pPr>
    </w:p>
    <w:p>
      <w:pPr>
        <w:pStyle w:val="Heading3"/>
        <w:spacing w:line="240" w:lineRule="auto"/>
        <w:ind w:right="1133"/>
        <w:jc w:val="left"/>
        <w:rPr>
          <w:b w:val="0"/>
          <w:bCs w:val="0"/>
        </w:rPr>
      </w:pPr>
      <w:bookmarkStart w:name="十二、重大诉讼、仲裁事项" w:id="74"/>
      <w:bookmarkEnd w:id="74"/>
      <w:r>
        <w:rPr>
          <w:b w:val="0"/>
          <w:bCs w:val="0"/>
        </w:rPr>
      </w:r>
      <w:r>
        <w:rPr/>
        <w:t>十二、重大诉讼、仲裁事项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本报告期公司无重大诉讼、仲裁事项。</w:t>
      </w:r>
    </w:p>
    <w:p>
      <w:pPr>
        <w:spacing w:line="240" w:lineRule="auto" w:before="6"/>
        <w:rPr>
          <w:rFonts w:ascii="宋体" w:hAnsi="宋体" w:cs="宋体" w:eastAsia="宋体" w:hint="default"/>
          <w:sz w:val="19"/>
          <w:szCs w:val="19"/>
        </w:rPr>
      </w:pPr>
    </w:p>
    <w:p>
      <w:pPr>
        <w:pStyle w:val="Heading3"/>
        <w:spacing w:line="240" w:lineRule="auto"/>
        <w:ind w:right="1133"/>
        <w:jc w:val="left"/>
        <w:rPr>
          <w:b w:val="0"/>
          <w:bCs w:val="0"/>
        </w:rPr>
      </w:pPr>
      <w:bookmarkStart w:name="十三、处罚及整改情况" w:id="75"/>
      <w:bookmarkEnd w:id="75"/>
      <w:r>
        <w:rPr>
          <w:b w:val="0"/>
          <w:bCs w:val="0"/>
        </w:rPr>
      </w:r>
      <w:r>
        <w:rPr/>
        <w:t>十三、处罚及整改情况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3"/>
        <w:spacing w:line="240" w:lineRule="auto"/>
        <w:ind w:right="1133"/>
        <w:jc w:val="left"/>
        <w:rPr>
          <w:b w:val="0"/>
          <w:bCs w:val="0"/>
        </w:rPr>
      </w:pPr>
      <w:bookmarkStart w:name="十四、公司及其控股股东、实际控制人的诚信状况" w:id="76"/>
      <w:bookmarkEnd w:id="76"/>
      <w:r>
        <w:rPr>
          <w:b w:val="0"/>
          <w:bCs w:val="0"/>
        </w:rPr>
      </w: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3"/>
        <w:spacing w:line="240" w:lineRule="auto"/>
        <w:ind w:right="1133"/>
        <w:jc w:val="left"/>
        <w:rPr>
          <w:b w:val="0"/>
          <w:bCs w:val="0"/>
        </w:rPr>
      </w:pPr>
      <w:bookmarkStart w:name="十五、公司股权激励计划、员工持股计划或其他员工激励措施的实施情况" w:id="77"/>
      <w:bookmarkEnd w:id="77"/>
      <w:r>
        <w:rPr>
          <w:b w:val="0"/>
          <w:bCs w:val="0"/>
        </w:rPr>
      </w: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86" w:lineRule="auto" w:before="159"/>
        <w:ind w:right="1128" w:firstLine="420"/>
        <w:jc w:val="left"/>
      </w:pPr>
      <w:r>
        <w:rPr/>
        <w:t>公司分别于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日召开的第五届董事会第二十九次会议（临时）以及</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29</w:t>
      </w:r>
      <w:r>
        <w:rPr/>
        <w:t>日召开的</w:t>
      </w:r>
      <w:r>
        <w:rPr>
          <w:w w:val="100"/>
        </w:rPr>
        <w:t> </w:t>
      </w:r>
      <w:r>
        <w:rPr>
          <w:rFonts w:ascii="Times New Roman" w:hAnsi="Times New Roman" w:cs="Times New Roman" w:eastAsia="Times New Roman" w:hint="default"/>
          <w:spacing w:val="-2"/>
        </w:rPr>
        <w:t>2015</w:t>
      </w:r>
      <w:r>
        <w:rPr>
          <w:spacing w:val="-2"/>
        </w:rPr>
        <w:t>年第二次临时股东大会审议通过了《</w:t>
      </w:r>
      <w:r>
        <w:rPr>
          <w:rFonts w:ascii="Times New Roman" w:hAnsi="Times New Roman" w:cs="Times New Roman" w:eastAsia="Times New Roman" w:hint="default"/>
          <w:spacing w:val="-2"/>
        </w:rPr>
        <w:t>2015</w:t>
      </w:r>
      <w:r>
        <w:rPr>
          <w:spacing w:val="-2"/>
        </w:rPr>
        <w:t>年度员工持股计划（草案）</w:t>
      </w:r>
      <w:r>
        <w:rPr>
          <w:rFonts w:ascii="Times New Roman" w:hAnsi="Times New Roman" w:cs="Times New Roman" w:eastAsia="Times New Roman" w:hint="default"/>
          <w:spacing w:val="-2"/>
        </w:rPr>
        <w:t>&gt;</w:t>
      </w:r>
      <w:r>
        <w:rPr>
          <w:spacing w:val="-2"/>
        </w:rPr>
        <w:t>及摘要》</w:t>
      </w:r>
      <w:r>
        <w:rPr/>
        <w:t> </w:t>
      </w:r>
      <w:r>
        <w:rPr>
          <w:spacing w:val="-2"/>
        </w:rPr>
        <w:t>，《</w:t>
      </w:r>
      <w:r>
        <w:rPr>
          <w:rFonts w:ascii="Times New Roman" w:hAnsi="Times New Roman" w:cs="Times New Roman" w:eastAsia="Times New Roman" w:hint="default"/>
          <w:spacing w:val="-2"/>
        </w:rPr>
        <w:t>2015</w:t>
      </w:r>
      <w:r>
        <w:rPr>
          <w:spacing w:val="-2"/>
        </w:rPr>
        <w:t>年员工持股</w:t>
      </w:r>
      <w:r>
        <w:rPr>
          <w:spacing w:val="-49"/>
        </w:rPr>
        <w:t> </w:t>
      </w:r>
      <w:r>
        <w:rPr>
          <w:spacing w:val="-49"/>
        </w:rPr>
      </w:r>
      <w:r>
        <w:rPr>
          <w:spacing w:val="-2"/>
        </w:rPr>
        <w:t>计划（草案）摘要》（公告编号：</w:t>
      </w:r>
      <w:r>
        <w:rPr>
          <w:rFonts w:ascii="Times New Roman" w:hAnsi="Times New Roman" w:cs="Times New Roman" w:eastAsia="Times New Roman" w:hint="default"/>
          <w:spacing w:val="-2"/>
        </w:rPr>
        <w:t>2015-054</w:t>
      </w:r>
      <w:r>
        <w:rPr>
          <w:spacing w:val="-2"/>
        </w:rPr>
        <w:t>）全文刊登在巨潮资讯网（</w:t>
      </w:r>
      <w:hyperlink r:id="rId11">
        <w:r>
          <w:rPr>
            <w:rFonts w:ascii="Times New Roman" w:hAnsi="Times New Roman" w:cs="Times New Roman" w:eastAsia="Times New Roman" w:hint="default"/>
            <w:spacing w:val="-2"/>
          </w:rPr>
          <w:t>www.cninfo.com.cn</w:t>
        </w:r>
      </w:hyperlink>
      <w:r>
        <w:rPr>
          <w:spacing w:val="-2"/>
        </w:rPr>
        <w:t>）及公司指定信</w:t>
      </w:r>
      <w:r>
        <w:rPr>
          <w:spacing w:val="-21"/>
        </w:rPr>
        <w:t> </w:t>
      </w:r>
      <w:r>
        <w:rPr>
          <w:spacing w:val="-21"/>
        </w:rPr>
      </w:r>
      <w:r>
        <w:rPr/>
        <w:t>息披露媒体。</w:t>
      </w:r>
    </w:p>
    <w:p>
      <w:pPr>
        <w:pStyle w:val="BodyText"/>
        <w:spacing w:line="386" w:lineRule="auto" w:before="65"/>
        <w:ind w:right="1126" w:firstLine="420"/>
        <w:jc w:val="both"/>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28</w:t>
      </w:r>
      <w:r>
        <w:rPr>
          <w:spacing w:val="-1"/>
        </w:rPr>
        <w:t>日，公司员工持股计划已通过二级市场购买的方式完成股票购买，购买均价约为</w:t>
      </w:r>
      <w:r>
        <w:rPr>
          <w:rFonts w:ascii="Times New Roman" w:hAnsi="Times New Roman" w:cs="Times New Roman" w:eastAsia="Times New Roman" w:hint="default"/>
          <w:spacing w:val="-1"/>
        </w:rPr>
        <w:t>13.1938</w:t>
      </w:r>
      <w:r>
        <w:rPr>
          <w:rFonts w:ascii="Times New Roman" w:hAnsi="Times New Roman" w:cs="Times New Roman" w:eastAsia="Times New Roman" w:hint="default"/>
          <w:w w:val="100"/>
        </w:rPr>
        <w:t> </w:t>
      </w:r>
      <w:r>
        <w:rPr>
          <w:spacing w:val="-4"/>
        </w:rPr>
        <w:t>元</w:t>
      </w:r>
      <w:r>
        <w:rPr>
          <w:rFonts w:ascii="Times New Roman" w:hAnsi="Times New Roman" w:cs="Times New Roman" w:eastAsia="Times New Roman" w:hint="default"/>
          <w:spacing w:val="-4"/>
        </w:rPr>
        <w:t>/</w:t>
      </w:r>
      <w:r>
        <w:rPr>
          <w:spacing w:val="-4"/>
        </w:rPr>
        <w:t>股，购买数量为</w:t>
      </w:r>
      <w:r>
        <w:rPr>
          <w:rFonts w:ascii="Times New Roman" w:hAnsi="Times New Roman" w:cs="Times New Roman" w:eastAsia="Times New Roman" w:hint="default"/>
          <w:spacing w:val="-4"/>
        </w:rPr>
        <w:t>2,272,846</w:t>
      </w:r>
      <w:r>
        <w:rPr>
          <w:spacing w:val="-4"/>
        </w:rPr>
        <w:t>股，约占公司总股本的比例为</w:t>
      </w:r>
      <w:r>
        <w:rPr>
          <w:rFonts w:ascii="Times New Roman" w:hAnsi="Times New Roman" w:cs="Times New Roman" w:eastAsia="Times New Roman" w:hint="default"/>
          <w:spacing w:val="-4"/>
        </w:rPr>
        <w:t>0.4431%</w:t>
      </w:r>
      <w:r>
        <w:rPr>
          <w:spacing w:val="-4"/>
        </w:rPr>
        <w:t>，成交总额为</w:t>
      </w:r>
      <w:r>
        <w:rPr>
          <w:rFonts w:ascii="Times New Roman" w:hAnsi="Times New Roman" w:cs="Times New Roman" w:eastAsia="Times New Roman" w:hint="default"/>
          <w:spacing w:val="-4"/>
        </w:rPr>
        <w:t>29,987,365.10</w:t>
      </w:r>
      <w:r>
        <w:rPr>
          <w:spacing w:val="-4"/>
        </w:rPr>
        <w:t>元。公司</w:t>
      </w:r>
      <w:r>
        <w:rPr>
          <w:rFonts w:ascii="Times New Roman" w:hAnsi="Times New Roman" w:cs="Times New Roman" w:eastAsia="Times New Roman" w:hint="default"/>
          <w:spacing w:val="-4"/>
        </w:rPr>
        <w:t>2015</w:t>
      </w:r>
      <w:r>
        <w:rPr>
          <w:rFonts w:ascii="Times New Roman" w:hAnsi="Times New Roman" w:cs="Times New Roman" w:eastAsia="Times New Roman" w:hint="default"/>
          <w:spacing w:val="-1"/>
        </w:rPr>
        <w:t> </w:t>
      </w:r>
      <w:r>
        <w:rPr>
          <w:spacing w:val="-2"/>
        </w:rPr>
        <w:t>年员工持股计划已完成股票购买，所购买的股票锁定期为自本公告日起</w:t>
      </w:r>
      <w:r>
        <w:rPr>
          <w:rFonts w:ascii="Times New Roman" w:hAnsi="Times New Roman" w:cs="Times New Roman" w:eastAsia="Times New Roman" w:hint="default"/>
          <w:spacing w:val="-2"/>
        </w:rPr>
        <w:t>12</w:t>
      </w:r>
      <w:r>
        <w:rPr>
          <w:spacing w:val="-2"/>
        </w:rPr>
        <w:t>个月。《关于员工持股计划完成</w:t>
      </w:r>
      <w:r>
        <w:rPr>
          <w:spacing w:val="-39"/>
        </w:rPr>
        <w:t> </w:t>
      </w:r>
      <w:r>
        <w:rPr>
          <w:spacing w:val="-39"/>
        </w:rPr>
      </w:r>
      <w:r>
        <w:rPr>
          <w:spacing w:val="-3"/>
        </w:rPr>
        <w:t>股票购买的公告》</w:t>
      </w:r>
      <w:r>
        <w:rPr>
          <w:rFonts w:ascii="Times New Roman" w:hAnsi="Times New Roman" w:cs="Times New Roman" w:eastAsia="Times New Roman" w:hint="default"/>
          <w:spacing w:val="-3"/>
        </w:rPr>
        <w:t>(</w:t>
      </w:r>
      <w:r>
        <w:rPr>
          <w:spacing w:val="-3"/>
        </w:rPr>
        <w:t>公告编号：</w:t>
      </w:r>
      <w:r>
        <w:rPr>
          <w:rFonts w:ascii="Times New Roman" w:hAnsi="Times New Roman" w:cs="Times New Roman" w:eastAsia="Times New Roman" w:hint="default"/>
          <w:spacing w:val="-3"/>
        </w:rPr>
        <w:t>2016-007</w:t>
      </w:r>
      <w:r>
        <w:rPr>
          <w:spacing w:val="-3"/>
        </w:rPr>
        <w:t>）全文刊登在巨潮资讯网（</w:t>
      </w:r>
      <w:hyperlink r:id="rId11">
        <w:r>
          <w:rPr>
            <w:rFonts w:ascii="Times New Roman" w:hAnsi="Times New Roman" w:cs="Times New Roman" w:eastAsia="Times New Roman" w:hint="default"/>
            <w:spacing w:val="-3"/>
          </w:rPr>
          <w:t>www.cninfo.com.cn</w:t>
        </w:r>
      </w:hyperlink>
      <w:r>
        <w:rPr>
          <w:spacing w:val="-3"/>
        </w:rPr>
        <w:t>）及公司指定信息披</w:t>
      </w:r>
      <w:r>
        <w:rPr>
          <w:spacing w:val="-22"/>
        </w:rPr>
        <w:t> </w:t>
      </w:r>
      <w:r>
        <w:rPr>
          <w:spacing w:val="-22"/>
        </w:rPr>
      </w:r>
      <w:r>
        <w:rPr/>
        <w:t>露媒体。</w:t>
      </w:r>
    </w:p>
    <w:p>
      <w:pPr>
        <w:pStyle w:val="BodyText"/>
        <w:spacing w:line="386" w:lineRule="auto" w:before="65"/>
        <w:ind w:right="1133" w:firstLine="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日，经公司员工持股计划持有人会议和第六届董事会第二十六次会议审议通过了《关于</w:t>
      </w:r>
      <w:r>
        <w:rPr>
          <w:w w:val="100"/>
        </w:rPr>
        <w:t> </w:t>
      </w:r>
      <w:r>
        <w:rPr>
          <w:spacing w:val="-2"/>
        </w:rPr>
        <w:t>公司员工持股计划延期的议案》基于对公司未来持续稳定发展的信心及公司股票价值的判断，同时为了维</w:t>
      </w:r>
    </w:p>
    <w:p>
      <w:pPr>
        <w:spacing w:after="0" w:line="386"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0"/>
        <w:jc w:val="left"/>
      </w:pPr>
      <w:r>
        <w:rPr>
          <w:spacing w:val="-2"/>
        </w:rPr>
        <w:t>护员工持股计划持有人的利益，并以实际行动参与维护资本市场稳定，董事会同意将公司员工持股计划延</w:t>
      </w:r>
      <w:r>
        <w:rPr>
          <w:spacing w:val="-42"/>
        </w:rPr>
        <w:t> </w:t>
      </w:r>
      <w:r>
        <w:rPr>
          <w:spacing w:val="-42"/>
        </w:rPr>
      </w:r>
      <w:r>
        <w:rPr>
          <w:spacing w:val="12"/>
        </w:rPr>
        <w:t>期</w:t>
      </w:r>
      <w:r>
        <w:rPr>
          <w:rFonts w:ascii="Times New Roman" w:hAnsi="Times New Roman" w:cs="Times New Roman" w:eastAsia="Times New Roman" w:hint="default"/>
          <w:spacing w:val="12"/>
        </w:rPr>
        <w:t>18</w:t>
      </w:r>
      <w:r>
        <w:rPr>
          <w:spacing w:val="12"/>
        </w:rPr>
        <w:t>个月。《关于公司员工持股计划延期的公告》（公告编号：</w:t>
      </w:r>
      <w:r>
        <w:rPr>
          <w:spacing w:val="44"/>
        </w:rPr>
        <w:t> </w:t>
      </w:r>
      <w:r>
        <w:rPr>
          <w:rFonts w:ascii="Times New Roman" w:hAnsi="Times New Roman" w:cs="Times New Roman" w:eastAsia="Times New Roman" w:hint="default"/>
          <w:spacing w:val="7"/>
        </w:rPr>
        <w:t>2017-046</w:t>
      </w:r>
      <w:r>
        <w:rPr>
          <w:spacing w:val="7"/>
        </w:rPr>
        <w:t>）全文刊登在巨潮资讯网</w:t>
      </w:r>
    </w:p>
    <w:p>
      <w:pPr>
        <w:pStyle w:val="BodyText"/>
        <w:spacing w:line="240" w:lineRule="auto" w:before="14"/>
        <w:ind w:right="1133"/>
        <w:jc w:val="left"/>
      </w:pPr>
      <w:r>
        <w:rPr/>
        <w:t>（</w:t>
      </w:r>
      <w:hyperlink r:id="rId11">
        <w:r>
          <w:rPr>
            <w:rFonts w:ascii="Times New Roman" w:hAnsi="Times New Roman" w:cs="Times New Roman" w:eastAsia="Times New Roman" w:hint="default"/>
          </w:rPr>
          <w:t>www.cninfo.com.cn</w:t>
        </w:r>
      </w:hyperlink>
      <w:r>
        <w:rPr/>
        <w:t>）及公司指定信息披露媒体。</w:t>
      </w:r>
    </w:p>
    <w:p>
      <w:pPr>
        <w:pStyle w:val="BodyText"/>
        <w:spacing w:line="386" w:lineRule="auto" w:before="177"/>
        <w:ind w:right="1133" w:firstLine="420"/>
        <w:jc w:val="left"/>
      </w:pP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26</w:t>
      </w:r>
      <w:r>
        <w:rPr>
          <w:spacing w:val="-4"/>
        </w:rPr>
        <w:t>日，公司披露《关于员工持股计划存续期届满的提示性公告》（公告编号：</w:t>
      </w:r>
      <w:r>
        <w:rPr>
          <w:rFonts w:ascii="Times New Roman" w:hAnsi="Times New Roman" w:cs="Times New Roman" w:eastAsia="Times New Roman" w:hint="default"/>
          <w:spacing w:val="-4"/>
        </w:rPr>
        <w:t>2019-062</w:t>
      </w:r>
      <w:r>
        <w:rPr>
          <w:spacing w:val="-4"/>
        </w:rPr>
        <w:t>）全</w:t>
      </w:r>
      <w:r>
        <w:rPr>
          <w:spacing w:val="-17"/>
          <w:w w:val="100"/>
        </w:rPr>
        <w:t> </w:t>
      </w:r>
      <w:r>
        <w:rPr/>
        <w:t>文刊登在巨潮资讯网（</w:t>
      </w:r>
      <w:hyperlink r:id="rId11">
        <w:r>
          <w:rPr>
            <w:rFonts w:ascii="Times New Roman" w:hAnsi="Times New Roman" w:cs="Times New Roman" w:eastAsia="Times New Roman" w:hint="default"/>
          </w:rPr>
          <w:t>www.cninfo.com.cn</w:t>
        </w:r>
      </w:hyperlink>
      <w:r>
        <w:rPr/>
        <w:t>）及公司指定信息披露媒体。</w:t>
      </w:r>
    </w:p>
    <w:p>
      <w:pPr>
        <w:spacing w:line="240" w:lineRule="auto" w:before="11"/>
        <w:rPr>
          <w:rFonts w:ascii="宋体" w:hAnsi="宋体" w:cs="宋体" w:eastAsia="宋体" w:hint="default"/>
          <w:sz w:val="17"/>
          <w:szCs w:val="17"/>
        </w:rPr>
      </w:pPr>
    </w:p>
    <w:p>
      <w:pPr>
        <w:pStyle w:val="Heading3"/>
        <w:spacing w:line="240" w:lineRule="auto"/>
        <w:ind w:right="1133"/>
        <w:jc w:val="left"/>
        <w:rPr>
          <w:b w:val="0"/>
          <w:bCs w:val="0"/>
        </w:rPr>
      </w:pPr>
      <w:bookmarkStart w:name="十六、重大关联交易" w:id="78"/>
      <w:bookmarkEnd w:id="78"/>
      <w:r>
        <w:rPr>
          <w:b w:val="0"/>
          <w:bCs w:val="0"/>
        </w:rPr>
      </w: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公司报告期未发生与日常经营相关的关联交易。</w:t>
      </w:r>
    </w:p>
    <w:p>
      <w:pPr>
        <w:spacing w:line="240" w:lineRule="auto" w:before="3"/>
        <w:rPr>
          <w:rFonts w:ascii="宋体" w:hAnsi="宋体" w:cs="宋体" w:eastAsia="宋体" w:hint="default"/>
          <w:sz w:val="21"/>
          <w:szCs w:val="21"/>
        </w:rPr>
      </w:pPr>
    </w:p>
    <w:p>
      <w:pPr>
        <w:pStyle w:val="Heading5"/>
        <w:spacing w:line="240" w:lineRule="auto"/>
        <w:ind w:right="1133"/>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5"/>
        <w:spacing w:line="240" w:lineRule="auto"/>
        <w:ind w:right="1133"/>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5"/>
        <w:rPr>
          <w:rFonts w:ascii="宋体" w:hAnsi="宋体" w:cs="宋体" w:eastAsia="宋体" w:hint="default"/>
          <w:sz w:val="21"/>
          <w:szCs w:val="21"/>
        </w:rPr>
      </w:pPr>
    </w:p>
    <w:p>
      <w:pPr>
        <w:pStyle w:val="Heading5"/>
        <w:spacing w:line="240" w:lineRule="auto"/>
        <w:ind w:right="1133"/>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7"/>
        <w:rPr>
          <w:rFonts w:ascii="宋体" w:hAnsi="宋体" w:cs="宋体" w:eastAsia="宋体" w:hint="default"/>
          <w:sz w:val="21"/>
          <w:szCs w:val="21"/>
        </w:rPr>
      </w:pPr>
    </w:p>
    <w:p>
      <w:pPr>
        <w:pStyle w:val="Heading5"/>
        <w:spacing w:line="240" w:lineRule="auto"/>
        <w:ind w:right="1133"/>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line="240" w:lineRule="auto" w:before="4"/>
        <w:rPr>
          <w:rFonts w:ascii="宋体" w:hAnsi="宋体" w:cs="宋体" w:eastAsia="宋体" w:hint="default"/>
          <w:sz w:val="19"/>
          <w:szCs w:val="19"/>
        </w:rPr>
      </w:pPr>
    </w:p>
    <w:p>
      <w:pPr>
        <w:pStyle w:val="Heading3"/>
        <w:spacing w:line="240" w:lineRule="auto"/>
        <w:ind w:right="1133"/>
        <w:jc w:val="left"/>
        <w:rPr>
          <w:b w:val="0"/>
          <w:bCs w:val="0"/>
        </w:rPr>
      </w:pPr>
      <w:bookmarkStart w:name="十七、重大合同及其履行情况" w:id="84"/>
      <w:bookmarkEnd w:id="84"/>
      <w:r>
        <w:rPr>
          <w:b w:val="0"/>
          <w:bCs w:val="0"/>
        </w:rPr>
      </w: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after="0" w:line="3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7"/>
        <w:rPr>
          <w:rFonts w:ascii="宋体" w:hAnsi="宋体" w:cs="宋体" w:eastAsia="宋体" w:hint="default"/>
          <w:sz w:val="21"/>
          <w:szCs w:val="21"/>
        </w:rPr>
      </w:pPr>
    </w:p>
    <w:p>
      <w:pPr>
        <w:pStyle w:val="Heading5"/>
        <w:spacing w:line="240" w:lineRule="auto"/>
        <w:ind w:right="1133"/>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5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租赁情况说明</w:t>
      </w:r>
    </w:p>
    <w:p>
      <w:pPr>
        <w:pStyle w:val="BodyText"/>
        <w:spacing w:line="398" w:lineRule="auto" w:before="99"/>
        <w:ind w:right="0" w:firstLine="482"/>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日，公司第六届董事会第一次会议审议通过了《关于全资子公司开展售后回租融资租赁</w:t>
      </w:r>
      <w:r>
        <w:rPr>
          <w:w w:val="100"/>
        </w:rPr>
        <w:t> </w:t>
      </w:r>
      <w:r>
        <w:rPr>
          <w:spacing w:val="-2"/>
        </w:rPr>
        <w:t>业务的议案》，公司全资子公司吉林紫鑫般若药业有限公司将其部分生产设备及设施与平安国际融资租赁</w:t>
      </w:r>
      <w:r>
        <w:rPr>
          <w:spacing w:val="-44"/>
        </w:rPr>
        <w:t> </w:t>
      </w:r>
      <w:r>
        <w:rPr>
          <w:spacing w:val="-44"/>
        </w:rPr>
      </w:r>
      <w:r>
        <w:rPr>
          <w:spacing w:val="-4"/>
        </w:rPr>
        <w:t>有限公司开展售后回租融资租赁业务，融资金额不超过</w:t>
      </w:r>
      <w:r>
        <w:rPr>
          <w:rFonts w:ascii="Times New Roman" w:hAnsi="Times New Roman" w:cs="Times New Roman" w:eastAsia="Times New Roman" w:hint="default"/>
          <w:spacing w:val="-4"/>
        </w:rPr>
        <w:t>2,000.00</w:t>
      </w:r>
      <w:r>
        <w:rPr>
          <w:spacing w:val="-4"/>
        </w:rPr>
        <w:t>万元人民币，融资期限为</w:t>
      </w:r>
      <w:r>
        <w:rPr>
          <w:rFonts w:ascii="Times New Roman" w:hAnsi="Times New Roman" w:cs="Times New Roman" w:eastAsia="Times New Roman" w:hint="default"/>
          <w:spacing w:val="-4"/>
        </w:rPr>
        <w:t>3</w:t>
      </w:r>
      <w:r>
        <w:rPr>
          <w:spacing w:val="-4"/>
        </w:rPr>
        <w:t>年。在租赁期间，</w:t>
      </w:r>
      <w:r>
        <w:rPr>
          <w:spacing w:val="-30"/>
        </w:rPr>
        <w:t> </w:t>
      </w:r>
      <w:r>
        <w:rPr>
          <w:spacing w:val="-30"/>
        </w:rPr>
      </w:r>
      <w:r>
        <w:rPr/>
        <w:t>般若药业以回租方式继续占有并使用该部分生产设备及设施，同时按双方约定向平安国际融资租赁有限公</w:t>
      </w:r>
      <w:r>
        <w:rPr>
          <w:w w:val="100"/>
        </w:rPr>
        <w:t> </w:t>
      </w:r>
      <w:r>
        <w:rPr/>
        <w:t>司支付租金和费用，租赁期满，般若药业以留购价格人民币</w:t>
      </w:r>
      <w:r>
        <w:rPr>
          <w:rFonts w:ascii="Times New Roman" w:hAnsi="Times New Roman" w:cs="Times New Roman" w:eastAsia="Times New Roman" w:hint="default"/>
        </w:rPr>
        <w:t>100.00</w:t>
      </w:r>
      <w:r>
        <w:rPr/>
        <w:t>元回购此融资租赁资产所有权。</w:t>
      </w:r>
    </w:p>
    <w:p>
      <w:pPr>
        <w:pStyle w:val="BodyText"/>
        <w:spacing w:line="398" w:lineRule="auto" w:before="24"/>
        <w:ind w:right="1126" w:firstLine="482"/>
        <w:jc w:val="both"/>
      </w:pP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17</w:t>
      </w:r>
      <w:r>
        <w:rPr>
          <w:spacing w:val="-4"/>
        </w:rPr>
        <w:t>日，公司第六届董事会第八次会议审议通过了《关于公司开展售后回租融资租赁业务的</w:t>
      </w:r>
      <w:r>
        <w:rPr>
          <w:w w:val="100"/>
        </w:rPr>
        <w:t> </w:t>
      </w:r>
      <w:r>
        <w:rPr>
          <w:spacing w:val="-2"/>
        </w:rPr>
        <w:t>议案》，公司将其部分生产设备及设施与安徽兴泰融资租赁有限责任公司开展售后回租融资租赁业务，融</w:t>
      </w:r>
      <w:r>
        <w:rPr>
          <w:spacing w:val="-43"/>
        </w:rPr>
        <w:t> </w:t>
      </w:r>
      <w:r>
        <w:rPr>
          <w:spacing w:val="-43"/>
        </w:rPr>
      </w:r>
      <w:r>
        <w:rPr>
          <w:spacing w:val="-2"/>
        </w:rPr>
        <w:t>资金额不超过</w:t>
      </w:r>
      <w:r>
        <w:rPr>
          <w:rFonts w:ascii="Times New Roman" w:hAnsi="Times New Roman" w:cs="Times New Roman" w:eastAsia="Times New Roman" w:hint="default"/>
          <w:spacing w:val="-2"/>
        </w:rPr>
        <w:t>6,500.00</w:t>
      </w:r>
      <w:r>
        <w:rPr>
          <w:spacing w:val="-2"/>
        </w:rPr>
        <w:t>万元人民币，融资期限为</w:t>
      </w:r>
      <w:r>
        <w:rPr>
          <w:rFonts w:ascii="Times New Roman" w:hAnsi="Times New Roman" w:cs="Times New Roman" w:eastAsia="Times New Roman" w:hint="default"/>
          <w:spacing w:val="-2"/>
        </w:rPr>
        <w:t>3</w:t>
      </w:r>
      <w:r>
        <w:rPr>
          <w:spacing w:val="-2"/>
        </w:rPr>
        <w:t>年。在租赁期间，公司以回租方式继续占有并使用该部分</w:t>
      </w:r>
      <w:r>
        <w:rPr>
          <w:spacing w:val="-36"/>
        </w:rPr>
        <w:t> </w:t>
      </w:r>
      <w:r>
        <w:rPr>
          <w:spacing w:val="-36"/>
        </w:rPr>
      </w:r>
      <w:r>
        <w:rPr>
          <w:spacing w:val="-2"/>
        </w:rPr>
        <w:t>生产设备及设施，同时按双方约定向安徽兴泰融资租赁有限责任公司支付租金和费用，租赁期满，公司以</w:t>
      </w:r>
      <w:r>
        <w:rPr>
          <w:spacing w:val="-44"/>
        </w:rPr>
        <w:t> </w:t>
      </w:r>
      <w:r>
        <w:rPr>
          <w:spacing w:val="-44"/>
        </w:rPr>
      </w:r>
      <w:r>
        <w:rPr/>
        <w:t>留购价格人民币</w:t>
      </w:r>
      <w:r>
        <w:rPr>
          <w:rFonts w:ascii="Times New Roman" w:hAnsi="Times New Roman" w:cs="Times New Roman" w:eastAsia="Times New Roman" w:hint="default"/>
        </w:rPr>
        <w:t>1,000.00</w:t>
      </w:r>
      <w:r>
        <w:rPr/>
        <w:t>元回购此融资租赁资产所有权。</w:t>
      </w:r>
    </w:p>
    <w:p>
      <w:pPr>
        <w:pStyle w:val="BodyText"/>
        <w:spacing w:line="396" w:lineRule="auto" w:before="24"/>
        <w:ind w:right="1126" w:firstLine="482"/>
        <w:jc w:val="both"/>
      </w:pP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17</w:t>
      </w:r>
      <w:r>
        <w:rPr>
          <w:spacing w:val="-4"/>
        </w:rPr>
        <w:t>日，公司第六届董事会第八次会议审议通过了《关于为全资子公司开展售后回租融资租</w:t>
      </w:r>
      <w:r>
        <w:rPr>
          <w:w w:val="100"/>
        </w:rPr>
        <w:t> </w:t>
      </w:r>
      <w:r>
        <w:rPr>
          <w:spacing w:val="-2"/>
        </w:rPr>
        <w:t>赁业务提供担保的议案》，公司全资子公司吉林紫鑫禺拙药业有限公司将其部分生产设备及设施与安徽兴</w:t>
      </w:r>
      <w:r>
        <w:rPr>
          <w:spacing w:val="-42"/>
        </w:rPr>
        <w:t> </w:t>
      </w:r>
      <w:r>
        <w:rPr>
          <w:spacing w:val="-42"/>
        </w:rPr>
      </w:r>
      <w:r>
        <w:rPr>
          <w:spacing w:val="-2"/>
        </w:rPr>
        <w:t>泰融资租赁有限责任公司开展售后回租融资租赁业务，融资金额不超过</w:t>
      </w:r>
      <w:r>
        <w:rPr>
          <w:rFonts w:ascii="Times New Roman" w:hAnsi="Times New Roman" w:cs="Times New Roman" w:eastAsia="Times New Roman" w:hint="default"/>
          <w:spacing w:val="-2"/>
        </w:rPr>
        <w:t>3,500.00</w:t>
      </w:r>
      <w:r>
        <w:rPr>
          <w:spacing w:val="-2"/>
        </w:rPr>
        <w:t>万元人民币，融资期限为</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8"/>
        </w:rPr>
        <w:t> </w:t>
      </w:r>
      <w:r>
        <w:rPr>
          <w:spacing w:val="-2"/>
        </w:rPr>
        <w:t>年。在租赁期间，禺拙药业以回租方式继续占有并使用该部分生产设备及设施，同时按双方约定向安徽兴</w:t>
      </w:r>
      <w:r>
        <w:rPr>
          <w:spacing w:val="-42"/>
        </w:rPr>
        <w:t> </w:t>
      </w:r>
      <w:r>
        <w:rPr>
          <w:spacing w:val="-42"/>
        </w:rPr>
      </w:r>
      <w:r>
        <w:rPr/>
        <w:t>泰融资租赁有限责任公司支付租金和费用，租赁期满，禺拙药业以留购价格人民币</w:t>
      </w:r>
      <w:r>
        <w:rPr>
          <w:rFonts w:ascii="Times New Roman" w:hAnsi="Times New Roman" w:cs="Times New Roman" w:eastAsia="Times New Roman" w:hint="default"/>
        </w:rPr>
        <w:t>1,000.00</w:t>
      </w:r>
      <w:r>
        <w:rPr/>
        <w:t>元回购此融资</w:t>
      </w:r>
      <w:r>
        <w:rPr>
          <w:spacing w:val="-22"/>
        </w:rPr>
        <w:t> </w:t>
      </w:r>
      <w:r>
        <w:rPr>
          <w:spacing w:val="-22"/>
        </w:rPr>
      </w:r>
      <w:r>
        <w:rPr/>
        <w:t>租赁资产所有权。</w:t>
      </w:r>
    </w:p>
    <w:p>
      <w:pPr>
        <w:pStyle w:val="BodyText"/>
        <w:spacing w:line="398" w:lineRule="auto" w:before="56"/>
        <w:ind w:right="1106" w:firstLine="482"/>
        <w:jc w:val="both"/>
      </w:pP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29</w:t>
      </w:r>
      <w:r>
        <w:rPr>
          <w:spacing w:val="-4"/>
        </w:rPr>
        <w:t>日，公司第六届董事会第十六次会议审议通过了《关于全资子公司开展售后回租融资租</w:t>
      </w:r>
      <w:r>
        <w:rPr>
          <w:w w:val="100"/>
        </w:rPr>
        <w:t> </w:t>
      </w:r>
      <w:r>
        <w:rPr>
          <w:spacing w:val="-2"/>
        </w:rPr>
        <w:t>赁业务的议案》，公司全资子公司吉林草还丹药业有限公司将其部分生产设备及设施与无锡金控融资租赁</w:t>
      </w:r>
      <w:r>
        <w:rPr>
          <w:spacing w:val="-42"/>
        </w:rPr>
        <w:t> </w:t>
      </w:r>
      <w:r>
        <w:rPr>
          <w:spacing w:val="-42"/>
        </w:rPr>
      </w:r>
      <w:r>
        <w:rPr>
          <w:spacing w:val="-2"/>
        </w:rPr>
        <w:t>有限公司开展售后回租融资租赁业务，融资金额不超过</w:t>
      </w:r>
      <w:r>
        <w:rPr>
          <w:rFonts w:ascii="Times New Roman" w:hAnsi="Times New Roman" w:cs="Times New Roman" w:eastAsia="Times New Roman" w:hint="default"/>
          <w:spacing w:val="-2"/>
        </w:rPr>
        <w:t>2,500.00</w:t>
      </w:r>
      <w:r>
        <w:rPr>
          <w:spacing w:val="-2"/>
        </w:rPr>
        <w:t>万元人民币，融资期限</w:t>
      </w:r>
      <w:r>
        <w:rPr>
          <w:rFonts w:ascii="Times New Roman" w:hAnsi="Times New Roman" w:cs="Times New Roman" w:eastAsia="Times New Roman" w:hint="default"/>
          <w:spacing w:val="-2"/>
        </w:rPr>
        <w:t>2</w:t>
      </w:r>
      <w:r>
        <w:rPr>
          <w:spacing w:val="-2"/>
        </w:rPr>
        <w:t>年。在租赁期间，</w:t>
      </w:r>
      <w:r>
        <w:rPr>
          <w:spacing w:val="-14"/>
        </w:rPr>
        <w:t> </w:t>
      </w:r>
      <w:r>
        <w:rPr>
          <w:spacing w:val="-14"/>
        </w:rPr>
      </w:r>
      <w:r>
        <w:rPr>
          <w:spacing w:val="-2"/>
        </w:rPr>
        <w:t>草还丹药业以回租方式继续占有并使用该部分生产设备及设施，同时按双方约定向无锡金控融资租赁有限</w:t>
      </w:r>
      <w:r>
        <w:rPr>
          <w:spacing w:val="-43"/>
        </w:rPr>
        <w:t> </w:t>
      </w:r>
      <w:r>
        <w:rPr>
          <w:spacing w:val="-43"/>
        </w:rPr>
      </w:r>
      <w:r>
        <w:rPr/>
        <w:t>公司支付租金和费用，租赁期满，草还丹药业以留购价格人民币</w:t>
      </w:r>
      <w:r>
        <w:rPr>
          <w:rFonts w:ascii="Times New Roman" w:hAnsi="Times New Roman" w:cs="Times New Roman" w:eastAsia="Times New Roman" w:hint="default"/>
        </w:rPr>
        <w:t>100.00</w:t>
      </w:r>
      <w:r>
        <w:rPr/>
        <w:t>元回购此融资租赁资产所有权。</w:t>
      </w:r>
    </w:p>
    <w:p>
      <w:pPr>
        <w:pStyle w:val="BodyText"/>
        <w:spacing w:line="386" w:lineRule="auto" w:before="24"/>
        <w:ind w:right="0" w:firstLine="504"/>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日，公司第六届董事会第十八次会议审议通过了《关于全资子公司开展售后回租融资租</w:t>
      </w:r>
      <w:r>
        <w:rPr>
          <w:w w:val="100"/>
        </w:rPr>
        <w:t> </w:t>
      </w:r>
      <w:r>
        <w:rPr>
          <w:spacing w:val="-5"/>
        </w:rPr>
        <w:t>赁业务的议案》，公司全资子公司吉林紫鑫初元药业有限公司将其部分生产设备及设施与新力德润（天津）</w:t>
      </w:r>
    </w:p>
    <w:p>
      <w:pPr>
        <w:spacing w:after="0" w:line="386"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93" w:lineRule="auto" w:before="175"/>
        <w:ind w:right="1105"/>
        <w:jc w:val="both"/>
      </w:pPr>
      <w:r>
        <w:rPr>
          <w:spacing w:val="-2"/>
        </w:rPr>
        <w:t>租赁有限公司开展售后回租融资租赁业务，融资金额不超过</w:t>
      </w:r>
      <w:r>
        <w:rPr>
          <w:rFonts w:ascii="Times New Roman" w:hAnsi="Times New Roman" w:cs="Times New Roman" w:eastAsia="Times New Roman" w:hint="default"/>
          <w:spacing w:val="-2"/>
        </w:rPr>
        <w:t>7,000.00</w:t>
      </w:r>
      <w:r>
        <w:rPr>
          <w:spacing w:val="-2"/>
        </w:rPr>
        <w:t>万元人民币，融资期限为</w:t>
      </w:r>
      <w:r>
        <w:rPr>
          <w:rFonts w:ascii="Times New Roman" w:hAnsi="Times New Roman" w:cs="Times New Roman" w:eastAsia="Times New Roman" w:hint="default"/>
          <w:spacing w:val="-2"/>
        </w:rPr>
        <w:t>3</w:t>
      </w:r>
      <w:r>
        <w:rPr>
          <w:spacing w:val="-2"/>
        </w:rPr>
        <w:t>年。在租赁</w:t>
      </w:r>
      <w:r>
        <w:rPr>
          <w:spacing w:val="-38"/>
        </w:rPr>
        <w:t> </w:t>
      </w:r>
      <w:r>
        <w:rPr>
          <w:spacing w:val="-38"/>
        </w:rPr>
      </w:r>
      <w:r>
        <w:rPr>
          <w:spacing w:val="-2"/>
        </w:rPr>
        <w:t>期间，初元药业以回租方式继续占有并使用该部分生产设备及设施，同时按双方约定向新力德润（天津）</w:t>
      </w:r>
      <w:r>
        <w:rPr>
          <w:spacing w:val="-21"/>
        </w:rPr>
        <w:t> </w:t>
      </w:r>
      <w:r>
        <w:rPr>
          <w:spacing w:val="-21"/>
        </w:rPr>
      </w:r>
      <w:r>
        <w:rPr/>
        <w:t>租赁有限公司支付租金和费用，租赁期满，初元药业以留购价格人民币</w:t>
      </w:r>
      <w:r>
        <w:rPr>
          <w:rFonts w:ascii="Times New Roman" w:hAnsi="Times New Roman" w:cs="Times New Roman" w:eastAsia="Times New Roman" w:hint="default"/>
        </w:rPr>
        <w:t>1,000.00</w:t>
      </w:r>
      <w:r>
        <w:rPr/>
        <w:t>元回购此融资租赁资产所</w:t>
      </w:r>
      <w:r>
        <w:rPr>
          <w:spacing w:val="-23"/>
        </w:rPr>
        <w:t> </w:t>
      </w:r>
      <w:r>
        <w:rPr>
          <w:spacing w:val="-23"/>
        </w:rPr>
      </w:r>
      <w:r>
        <w:rPr/>
        <w:t>有权。</w:t>
      </w:r>
    </w:p>
    <w:p>
      <w:pPr>
        <w:pStyle w:val="BodyText"/>
        <w:spacing w:line="396" w:lineRule="auto" w:before="58"/>
        <w:ind w:right="1024" w:firstLine="504"/>
        <w:jc w:val="left"/>
        <w:rPr>
          <w:sz w:val="18"/>
          <w:szCs w:val="18"/>
        </w:rPr>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w:t>
      </w:r>
      <w:r>
        <w:rPr/>
        <w:t>日，公司第六届董事会第二十二次会议（临时）审议通过了《关于全资子公司分别开展</w:t>
      </w:r>
      <w:r>
        <w:rPr>
          <w:w w:val="100"/>
        </w:rPr>
        <w:t> </w:t>
      </w:r>
      <w:r>
        <w:rPr/>
        <w:t>售后回租融资租赁业务的议案》，公司全资子公司吉林紫鑫般若药业有限公司将其部分生产设备及设施与</w:t>
      </w:r>
      <w:r>
        <w:rPr>
          <w:w w:val="100"/>
        </w:rPr>
        <w:t> </w:t>
      </w:r>
      <w:r>
        <w:rPr>
          <w:spacing w:val="-4"/>
        </w:rPr>
        <w:t>中远海运租赁有限公司开展售后回租融资租赁业务，融资金额不超过</w:t>
      </w:r>
      <w:r>
        <w:rPr>
          <w:rFonts w:ascii="Times New Roman" w:hAnsi="Times New Roman" w:cs="Times New Roman" w:eastAsia="Times New Roman" w:hint="default"/>
          <w:spacing w:val="-4"/>
        </w:rPr>
        <w:t>2,500.00</w:t>
      </w:r>
      <w:r>
        <w:rPr>
          <w:spacing w:val="-4"/>
        </w:rPr>
        <w:t>万元人民币，融资期限为</w:t>
      </w:r>
      <w:r>
        <w:rPr>
          <w:rFonts w:ascii="Times New Roman" w:hAnsi="Times New Roman" w:cs="Times New Roman" w:eastAsia="Times New Roman" w:hint="default"/>
          <w:spacing w:val="-4"/>
        </w:rPr>
        <w:t>3</w:t>
      </w:r>
      <w:r>
        <w:rPr>
          <w:spacing w:val="-4"/>
        </w:rPr>
        <w:t>年。</w:t>
      </w:r>
      <w:r>
        <w:rPr>
          <w:spacing w:val="-32"/>
        </w:rPr>
        <w:t> </w:t>
      </w:r>
      <w:r>
        <w:rPr/>
        <w:t>在租赁期间，般若药业以回租方式继续占有并使用该部分生产设备及设施，同时按双方约定向中远海运租</w:t>
      </w:r>
      <w:r>
        <w:rPr>
          <w:w w:val="100"/>
        </w:rPr>
        <w:t> </w:t>
      </w:r>
      <w:r>
        <w:rPr>
          <w:spacing w:val="-3"/>
        </w:rPr>
        <w:t>赁有限公司支付租金和费用，租赁期满，般若药业以留购价格人民币</w:t>
      </w:r>
      <w:r>
        <w:rPr>
          <w:rFonts w:ascii="Times New Roman" w:hAnsi="Times New Roman" w:cs="Times New Roman" w:eastAsia="Times New Roman" w:hint="default"/>
          <w:spacing w:val="-3"/>
        </w:rPr>
        <w:t>100.00</w:t>
      </w:r>
      <w:r>
        <w:rPr>
          <w:spacing w:val="-3"/>
        </w:rPr>
        <w:t>元回购此融资租赁资产所有权。</w:t>
      </w:r>
      <w:r>
        <w:rPr>
          <w:spacing w:val="-36"/>
        </w:rPr>
        <w:t> </w:t>
      </w:r>
      <w:r>
        <w:rPr>
          <w:spacing w:val="-36"/>
        </w:rPr>
      </w:r>
      <w:r>
        <w:rPr>
          <w:spacing w:val="2"/>
        </w:rPr>
        <w:t>公司全资子公司吉林草还丹药业有限公司将其部分生产设备及设施与中远海运租赁有限公司开展售后回</w:t>
      </w:r>
      <w:r>
        <w:rPr>
          <w:spacing w:val="-30"/>
        </w:rPr>
        <w:t> </w:t>
      </w:r>
      <w:r>
        <w:rPr>
          <w:spacing w:val="-30"/>
        </w:rPr>
      </w:r>
      <w:r>
        <w:rPr>
          <w:spacing w:val="-2"/>
        </w:rPr>
        <w:t>租融资租赁业务，融资金额不超过</w:t>
      </w:r>
      <w:r>
        <w:rPr>
          <w:rFonts w:ascii="Times New Roman" w:hAnsi="Times New Roman" w:cs="Times New Roman" w:eastAsia="Times New Roman" w:hint="default"/>
          <w:spacing w:val="-2"/>
        </w:rPr>
        <w:t>2,500.00</w:t>
      </w:r>
      <w:r>
        <w:rPr>
          <w:spacing w:val="-2"/>
        </w:rPr>
        <w:t>万元人民币，融资期限为</w:t>
      </w:r>
      <w:r>
        <w:rPr>
          <w:rFonts w:ascii="Times New Roman" w:hAnsi="Times New Roman" w:cs="Times New Roman" w:eastAsia="Times New Roman" w:hint="default"/>
          <w:spacing w:val="-2"/>
        </w:rPr>
        <w:t>3</w:t>
      </w:r>
      <w:r>
        <w:rPr>
          <w:spacing w:val="-2"/>
        </w:rPr>
        <w:t>年。在租赁期间，草还丹药业以回租</w:t>
      </w:r>
      <w:r>
        <w:rPr>
          <w:spacing w:val="-41"/>
        </w:rPr>
        <w:t> </w:t>
      </w:r>
      <w:r>
        <w:rPr>
          <w:spacing w:val="-41"/>
        </w:rPr>
      </w:r>
      <w:r>
        <w:rPr/>
        <w:t>方式继续占有并使用该部分生产设备及设施，同时按双方约定向中远海运租赁有限公司支付租金和费用，</w:t>
      </w:r>
      <w:r>
        <w:rPr>
          <w:w w:val="100"/>
        </w:rPr>
        <w:t> </w:t>
      </w:r>
      <w:r>
        <w:rPr/>
        <w:t>租赁期满，草还丹药业以留购价格人民币</w:t>
      </w:r>
      <w:r>
        <w:rPr>
          <w:rFonts w:ascii="Times New Roman" w:hAnsi="Times New Roman" w:cs="Times New Roman" w:eastAsia="Times New Roman" w:hint="default"/>
        </w:rPr>
        <w:t>100.00</w:t>
      </w:r>
      <w:r>
        <w:rPr/>
        <w:t>元回购此融资租赁资产所有权。</w:t>
      </w:r>
      <w:r>
        <w:rPr>
          <w:w w:val="100"/>
        </w:rPr>
        <w:t> </w:t>
      </w:r>
      <w:r>
        <w:rPr>
          <w:sz w:val="18"/>
          <w:szCs w:val="18"/>
        </w:rPr>
        <w:t>为公司带来的损益达到公司报告期利润总额</w:t>
      </w:r>
      <w:r>
        <w:rPr>
          <w:spacing w:val="-44"/>
          <w:sz w:val="18"/>
          <w:szCs w:val="18"/>
        </w:rPr>
        <w:t> </w:t>
      </w:r>
      <w:r>
        <w:rPr>
          <w:rFonts w:ascii="Times New Roman" w:hAnsi="Times New Roman" w:cs="Times New Roman" w:eastAsia="Times New Roman" w:hint="default"/>
          <w:sz w:val="18"/>
          <w:szCs w:val="18"/>
        </w:rPr>
        <w:t>10%</w:t>
      </w:r>
      <w:r>
        <w:rPr>
          <w:sz w:val="18"/>
          <w:szCs w:val="18"/>
        </w:rPr>
        <w:t>以上的项目</w:t>
      </w:r>
    </w:p>
    <w:p>
      <w:pPr>
        <w:spacing w:line="221" w:lineRule="exact"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0" w:firstLine="0"/>
        <w:jc w:val="both"/>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2"/>
        <w:rPr>
          <w:rFonts w:ascii="宋体" w:hAnsi="宋体" w:cs="宋体" w:eastAsia="宋体" w:hint="default"/>
          <w:sz w:val="26"/>
          <w:szCs w:val="26"/>
        </w:rPr>
      </w:pPr>
    </w:p>
    <w:p>
      <w:pPr>
        <w:pStyle w:val="Heading5"/>
        <w:spacing w:line="240" w:lineRule="auto"/>
        <w:ind w:right="0"/>
        <w:jc w:val="both"/>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0"/>
        <w:jc w:val="both"/>
        <w:rPr>
          <w:b w:val="0"/>
          <w:bCs w:val="0"/>
        </w:rPr>
      </w:pPr>
      <w:bookmarkStart w:name="（1）担保情况" w:id="90"/>
      <w:bookmarkEnd w:id="90"/>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8"/>
        <w:gridCol w:w="928"/>
        <w:gridCol w:w="923"/>
        <w:gridCol w:w="1296"/>
        <w:gridCol w:w="1064"/>
        <w:gridCol w:w="1034"/>
        <w:gridCol w:w="1049"/>
        <w:gridCol w:w="792"/>
        <w:gridCol w:w="780"/>
      </w:tblGrid>
      <w:tr>
        <w:trPr>
          <w:trHeight w:val="40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8"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7"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50"/>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3"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53"/>
              <w:jc w:val="left"/>
              <w:rPr>
                <w:rFonts w:ascii="宋体" w:hAnsi="宋体" w:cs="宋体" w:eastAsia="宋体" w:hint="default"/>
                <w:sz w:val="18"/>
                <w:szCs w:val="18"/>
              </w:rPr>
            </w:pPr>
            <w:r>
              <w:rPr>
                <w:rFonts w:ascii="宋体" w:hAnsi="宋体" w:cs="宋体" w:eastAsia="宋体" w:hint="default"/>
                <w:sz w:val="18"/>
                <w:szCs w:val="18"/>
              </w:rPr>
              <w:t>吉林紫鑫红石种养殖 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53"/>
              <w:jc w:val="left"/>
              <w:rPr>
                <w:rFonts w:ascii="宋体" w:hAnsi="宋体" w:cs="宋体" w:eastAsia="宋体" w:hint="default"/>
                <w:sz w:val="18"/>
                <w:szCs w:val="18"/>
              </w:rPr>
            </w:pPr>
            <w:r>
              <w:rPr>
                <w:rFonts w:ascii="宋体" w:hAnsi="宋体" w:cs="宋体" w:eastAsia="宋体" w:hint="default"/>
                <w:sz w:val="18"/>
                <w:szCs w:val="18"/>
              </w:rPr>
              <w:t>吉林紫鑫初元药业有 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9"/>
        <w:gridCol w:w="924"/>
        <w:gridCol w:w="927"/>
        <w:gridCol w:w="1296"/>
        <w:gridCol w:w="1064"/>
        <w:gridCol w:w="1034"/>
        <w:gridCol w:w="1047"/>
        <w:gridCol w:w="794"/>
        <w:gridCol w:w="780"/>
      </w:tblGrid>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吉林紫鑫初元药业有 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吉林紫鑫初元药业有 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吉林紫鑫初元药业有 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吉林紫鑫禺拙药业有 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吉林紫鑫般若药业有 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吉林紫鑫般若药业有 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吉林紫鑫般若药业有 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吉林紫鑫般若药业有 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吉林草还丹药业有限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吉林草还丹药业有限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吉林草还丹药业有限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吉林紫鑫参工堂生物 科技有限公司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吉林紫鑫金桂药业有 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吉林紫鑫桂鹤医药有 限公司深圳分公司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吉林紫鑫桂鹤医药有 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吉林紫鑫禺拙药业有 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吉林紫鑫敦化医药药 材有限公司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吉林紫鑫般若药业有 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吉林紫鑫初元药业有 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15"/>
        <w:gridCol w:w="908"/>
        <w:gridCol w:w="929"/>
        <w:gridCol w:w="1313"/>
        <w:gridCol w:w="1040"/>
        <w:gridCol w:w="1042"/>
        <w:gridCol w:w="1060"/>
        <w:gridCol w:w="784"/>
        <w:gridCol w:w="784"/>
      </w:tblGrid>
      <w:tr>
        <w:trPr>
          <w:trHeight w:val="713"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吉林紫鑫初元药业有 限公司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0" w:right="0"/>
              <w:jc w:val="left"/>
              <w:rPr>
                <w:rFonts w:ascii="Times New Roman" w:hAnsi="Times New Roman" w:cs="Times New Roman" w:eastAsia="Times New Roman" w:hint="default"/>
                <w:sz w:val="18"/>
                <w:szCs w:val="18"/>
              </w:rPr>
            </w:pPr>
            <w:r>
              <w:rPr>
                <w:rFonts w:ascii="Times New Roman"/>
                <w:sz w:val="18"/>
              </w:rPr>
              <w:t>7,000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8" w:right="0"/>
              <w:jc w:val="left"/>
              <w:rPr>
                <w:rFonts w:ascii="Times New Roman" w:hAnsi="Times New Roman" w:cs="Times New Roman" w:eastAsia="Times New Roman" w:hint="default"/>
                <w:sz w:val="18"/>
                <w:szCs w:val="18"/>
              </w:rPr>
            </w:pPr>
            <w:r>
              <w:rPr>
                <w:rFonts w:ascii="Times New Roman"/>
                <w:sz w:val="18"/>
              </w:rPr>
              <w:t>7,000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38" w:right="9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4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64,700</w:t>
            </w:r>
          </w:p>
        </w:tc>
        <w:tc>
          <w:tcPr>
            <w:tcW w:w="20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5" w:right="75"/>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9"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64,700</w:t>
            </w:r>
          </w:p>
        </w:tc>
      </w:tr>
      <w:tr>
        <w:trPr>
          <w:trHeight w:val="720"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4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216,700</w:t>
            </w:r>
          </w:p>
        </w:tc>
        <w:tc>
          <w:tcPr>
            <w:tcW w:w="20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 w:right="7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9"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216,700</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7" w:right="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313" w:type="dxa"/>
            <w:vMerge w:val="restart"/>
            <w:tcBorders>
              <w:top w:val="single" w:sz="4" w:space="0" w:color="000000"/>
              <w:left w:val="single" w:sz="4" w:space="0" w:color="000000"/>
              <w:right w:val="single" w:sz="4" w:space="0" w:color="000000"/>
            </w:tcBorders>
            <w:shd w:val="clear" w:color="auto" w:fill="D2D2D2"/>
          </w:tcPr>
          <w:p>
            <w:pPr/>
          </w:p>
        </w:tc>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2" w:type="dxa"/>
            <w:vMerge w:val="restart"/>
            <w:tcBorders>
              <w:top w:val="single" w:sz="4" w:space="0" w:color="000000"/>
              <w:left w:val="single" w:sz="4" w:space="0" w:color="000000"/>
              <w:right w:val="single" w:sz="4" w:space="0" w:color="000000"/>
            </w:tcBorders>
            <w:shd w:val="clear" w:color="auto" w:fill="D2D2D2"/>
          </w:tcPr>
          <w:p>
            <w:pPr/>
          </w:p>
        </w:tc>
        <w:tc>
          <w:tcPr>
            <w:tcW w:w="1060" w:type="dxa"/>
            <w:vMerge w:val="restart"/>
            <w:tcBorders>
              <w:top w:val="single" w:sz="4" w:space="0" w:color="000000"/>
              <w:left w:val="single" w:sz="4" w:space="0" w:color="000000"/>
              <w:right w:val="single" w:sz="4" w:space="0" w:color="000000"/>
            </w:tcBorders>
            <w:shd w:val="clear" w:color="auto" w:fill="D2D2D2"/>
          </w:tcPr>
          <w:p>
            <w:pPr/>
          </w:p>
        </w:tc>
        <w:tc>
          <w:tcPr>
            <w:tcW w:w="7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08"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313" w:type="dxa"/>
            <w:vMerge/>
            <w:tcBorders>
              <w:left w:val="single" w:sz="4" w:space="0" w:color="000000"/>
              <w:bottom w:val="nil" w:sz="6" w:space="0" w:color="auto"/>
              <w:right w:val="single" w:sz="4" w:space="0" w:color="000000"/>
            </w:tcBorders>
            <w:shd w:val="clear" w:color="auto" w:fill="D2D2D2"/>
          </w:tcPr>
          <w:p>
            <w:pPr/>
          </w:p>
        </w:tc>
        <w:tc>
          <w:tcPr>
            <w:tcW w:w="104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19" w:right="69"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2" w:type="dxa"/>
            <w:vMerge/>
            <w:tcBorders>
              <w:left w:val="single" w:sz="4" w:space="0" w:color="000000"/>
              <w:bottom w:val="nil" w:sz="6" w:space="0" w:color="auto"/>
              <w:right w:val="single" w:sz="4" w:space="0" w:color="000000"/>
            </w:tcBorders>
            <w:shd w:val="clear" w:color="auto" w:fill="D2D2D2"/>
          </w:tcPr>
          <w:p>
            <w:pPr/>
          </w:p>
        </w:tc>
        <w:tc>
          <w:tcPr>
            <w:tcW w:w="1060" w:type="dxa"/>
            <w:vMerge/>
            <w:tcBorders>
              <w:left w:val="single" w:sz="4" w:space="0" w:color="000000"/>
              <w:bottom w:val="nil" w:sz="6" w:space="0" w:color="auto"/>
              <w:right w:val="single" w:sz="4" w:space="0" w:color="000000"/>
            </w:tcBorders>
            <w:shd w:val="clear" w:color="auto" w:fill="D2D2D2"/>
          </w:tcPr>
          <w:p>
            <w:pPr/>
          </w:p>
        </w:tc>
        <w:tc>
          <w:tcPr>
            <w:tcW w:w="7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8"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0" w:type="dxa"/>
            <w:vMerge/>
            <w:tcBorders>
              <w:left w:val="single" w:sz="4" w:space="0" w:color="000000"/>
              <w:right w:val="single" w:sz="4" w:space="0" w:color="000000"/>
            </w:tcBorders>
            <w:shd w:val="clear" w:color="auto" w:fill="D2D2D2"/>
          </w:tcPr>
          <w:p>
            <w:pPr/>
          </w:p>
        </w:tc>
        <w:tc>
          <w:tcPr>
            <w:tcW w:w="10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4" w:type="dxa"/>
            <w:vMerge/>
            <w:tcBorders>
              <w:left w:val="single" w:sz="4" w:space="0" w:color="000000"/>
              <w:right w:val="single" w:sz="4" w:space="0" w:color="000000"/>
            </w:tcBorders>
            <w:shd w:val="clear" w:color="auto" w:fill="D2D2D2"/>
          </w:tcPr>
          <w:p>
            <w:pPr/>
          </w:p>
        </w:tc>
        <w:tc>
          <w:tcPr>
            <w:tcW w:w="784"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08"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313" w:type="dxa"/>
            <w:vMerge w:val="restart"/>
            <w:tcBorders>
              <w:top w:val="nil" w:sz="6" w:space="0" w:color="auto"/>
              <w:left w:val="single" w:sz="4" w:space="0" w:color="000000"/>
              <w:right w:val="single" w:sz="4" w:space="0" w:color="000000"/>
            </w:tcBorders>
            <w:shd w:val="clear" w:color="auto" w:fill="D2D2D2"/>
          </w:tcPr>
          <w:p>
            <w:pPr/>
          </w:p>
        </w:tc>
        <w:tc>
          <w:tcPr>
            <w:tcW w:w="1040" w:type="dxa"/>
            <w:vMerge/>
            <w:tcBorders>
              <w:left w:val="single" w:sz="4" w:space="0" w:color="000000"/>
              <w:bottom w:val="nil" w:sz="6" w:space="0" w:color="auto"/>
              <w:right w:val="single" w:sz="4" w:space="0" w:color="000000"/>
            </w:tcBorders>
            <w:shd w:val="clear" w:color="auto" w:fill="D2D2D2"/>
          </w:tcPr>
          <w:p>
            <w:pPr/>
          </w:p>
        </w:tc>
        <w:tc>
          <w:tcPr>
            <w:tcW w:w="1042" w:type="dxa"/>
            <w:vMerge w:val="restart"/>
            <w:tcBorders>
              <w:top w:val="nil" w:sz="6" w:space="0" w:color="auto"/>
              <w:left w:val="single" w:sz="4" w:space="0" w:color="000000"/>
              <w:right w:val="single" w:sz="4" w:space="0" w:color="000000"/>
            </w:tcBorders>
            <w:shd w:val="clear" w:color="auto" w:fill="D2D2D2"/>
          </w:tcPr>
          <w:p>
            <w:pPr/>
          </w:p>
        </w:tc>
        <w:tc>
          <w:tcPr>
            <w:tcW w:w="1060" w:type="dxa"/>
            <w:vMerge w:val="restart"/>
            <w:tcBorders>
              <w:top w:val="nil" w:sz="6" w:space="0" w:color="auto"/>
              <w:left w:val="single" w:sz="4" w:space="0" w:color="000000"/>
              <w:right w:val="single" w:sz="4" w:space="0" w:color="000000"/>
            </w:tcBorders>
            <w:shd w:val="clear" w:color="auto" w:fill="D2D2D2"/>
          </w:tcPr>
          <w:p>
            <w:pPr/>
          </w:p>
        </w:tc>
        <w:tc>
          <w:tcPr>
            <w:tcW w:w="784" w:type="dxa"/>
            <w:vMerge/>
            <w:tcBorders>
              <w:left w:val="single" w:sz="4" w:space="0" w:color="000000"/>
              <w:bottom w:val="nil" w:sz="6" w:space="0" w:color="auto"/>
              <w:right w:val="single" w:sz="4" w:space="0" w:color="000000"/>
            </w:tcBorders>
            <w:shd w:val="clear" w:color="auto" w:fill="D2D2D2"/>
          </w:tcPr>
          <w:p>
            <w:pPr/>
          </w:p>
        </w:tc>
        <w:tc>
          <w:tcPr>
            <w:tcW w:w="784"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08"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313" w:type="dxa"/>
            <w:vMerge/>
            <w:tcBorders>
              <w:left w:val="single" w:sz="4" w:space="0" w:color="000000"/>
              <w:bottom w:val="single" w:sz="4" w:space="0" w:color="000000"/>
              <w:right w:val="single" w:sz="4" w:space="0" w:color="000000"/>
            </w:tcBorders>
            <w:shd w:val="clear" w:color="auto" w:fill="D2D2D2"/>
          </w:tcPr>
          <w:p>
            <w:pPr/>
          </w:p>
        </w:tc>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2" w:type="dxa"/>
            <w:vMerge/>
            <w:tcBorders>
              <w:left w:val="single" w:sz="4" w:space="0" w:color="000000"/>
              <w:bottom w:val="single" w:sz="4" w:space="0" w:color="000000"/>
              <w:right w:val="single" w:sz="4" w:space="0" w:color="000000"/>
            </w:tcBorders>
            <w:shd w:val="clear" w:color="auto" w:fill="D2D2D2"/>
          </w:tcPr>
          <w:p>
            <w:pPr/>
          </w:p>
        </w:tc>
        <w:tc>
          <w:tcPr>
            <w:tcW w:w="1060" w:type="dxa"/>
            <w:vMerge/>
            <w:tcBorders>
              <w:left w:val="single" w:sz="4" w:space="0" w:color="000000"/>
              <w:bottom w:val="single" w:sz="4" w:space="0" w:color="000000"/>
              <w:right w:val="single" w:sz="4" w:space="0" w:color="000000"/>
            </w:tcBorders>
            <w:shd w:val="clear" w:color="auto" w:fill="D2D2D2"/>
          </w:tcPr>
          <w:p>
            <w:pPr/>
          </w:p>
        </w:tc>
        <w:tc>
          <w:tcPr>
            <w:tcW w:w="7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4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64,700</w:t>
            </w:r>
          </w:p>
        </w:tc>
        <w:tc>
          <w:tcPr>
            <w:tcW w:w="20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5" w:right="75"/>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9"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64,700</w:t>
            </w:r>
          </w:p>
        </w:tc>
      </w:tr>
      <w:tr>
        <w:trPr>
          <w:trHeight w:val="714"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4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216,700</w:t>
            </w:r>
          </w:p>
        </w:tc>
        <w:tc>
          <w:tcPr>
            <w:tcW w:w="20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5" w:right="75"/>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9"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216,700</w:t>
            </w:r>
          </w:p>
        </w:tc>
      </w:tr>
      <w:tr>
        <w:trPr>
          <w:trHeight w:val="408" w:hRule="exact"/>
        </w:trPr>
        <w:tc>
          <w:tcPr>
            <w:tcW w:w="48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1"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48.76%</w:t>
            </w:r>
          </w:p>
        </w:tc>
      </w:tr>
      <w:tr>
        <w:trPr>
          <w:trHeight w:val="396"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bookmarkStart w:name="（2）违规对外担保情况" w:id="91"/>
      <w:bookmarkEnd w:id="91"/>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5"/>
        <w:rPr>
          <w:rFonts w:ascii="宋体" w:hAnsi="宋体" w:cs="宋体" w:eastAsia="宋体" w:hint="default"/>
          <w:b/>
          <w:bCs/>
          <w:sz w:val="26"/>
          <w:szCs w:val="26"/>
        </w:rPr>
      </w:pPr>
    </w:p>
    <w:p>
      <w:pPr>
        <w:spacing w:line="340"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公司报告期无违规对外担保情况。</w:t>
      </w:r>
    </w:p>
    <w:p>
      <w:pPr>
        <w:spacing w:line="240" w:lineRule="auto" w:before="5"/>
        <w:rPr>
          <w:rFonts w:ascii="宋体" w:hAnsi="宋体" w:cs="宋体" w:eastAsia="宋体" w:hint="default"/>
          <w:sz w:val="21"/>
          <w:szCs w:val="21"/>
        </w:rPr>
      </w:pPr>
    </w:p>
    <w:p>
      <w:pPr>
        <w:pStyle w:val="Heading5"/>
        <w:spacing w:line="240" w:lineRule="auto"/>
        <w:ind w:right="1133"/>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公司报告期不存在委托理财。</w:t>
      </w:r>
    </w:p>
    <w:p>
      <w:pPr>
        <w:spacing w:line="240" w:lineRule="auto" w:before="3"/>
        <w:rPr>
          <w:rFonts w:ascii="宋体" w:hAnsi="宋体" w:cs="宋体" w:eastAsia="宋体" w:hint="default"/>
          <w:sz w:val="21"/>
          <w:szCs w:val="21"/>
        </w:rPr>
      </w:pPr>
    </w:p>
    <w:p>
      <w:pPr>
        <w:pStyle w:val="Heading5"/>
        <w:spacing w:line="240" w:lineRule="auto"/>
        <w:ind w:right="1133"/>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5"/>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5"/>
        <w:rPr>
          <w:rFonts w:ascii="宋体" w:hAnsi="宋体" w:cs="宋体" w:eastAsia="宋体" w:hint="default"/>
          <w:sz w:val="21"/>
          <w:szCs w:val="21"/>
        </w:rPr>
      </w:pPr>
    </w:p>
    <w:p>
      <w:pPr>
        <w:pStyle w:val="Heading5"/>
        <w:spacing w:line="240" w:lineRule="auto"/>
        <w:ind w:right="1133"/>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after="0" w:line="33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both"/>
        <w:rPr>
          <w:b w:val="0"/>
          <w:bCs w:val="0"/>
        </w:rPr>
      </w:pPr>
      <w:bookmarkStart w:name="十八、社会责任情况" w:id="96"/>
      <w:bookmarkEnd w:id="96"/>
      <w:r>
        <w:rPr>
          <w:b w:val="0"/>
          <w:bCs w:val="0"/>
        </w:rPr>
      </w: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both"/>
        <w:rPr>
          <w:b w:val="0"/>
          <w:bCs w:val="0"/>
        </w:rPr>
      </w:pPr>
      <w:bookmarkStart w:name="1、履行社会责任情况" w:id="97"/>
      <w:bookmarkEnd w:id="97"/>
      <w:r>
        <w:rPr>
          <w:b w:val="0"/>
          <w:bCs w:val="0"/>
        </w:rPr>
      </w:r>
      <w:r>
        <w:rPr>
          <w:rFonts w:ascii="Times New Roman" w:hAnsi="Times New Roman" w:cs="Times New Roman" w:eastAsia="Times New Roman" w:hint="default"/>
        </w:rPr>
        <w:t>1</w:t>
      </w:r>
      <w:r>
        <w:rPr/>
        <w:t>、履行社会责任情况</w:t>
      </w:r>
      <w:r>
        <w:rPr>
          <w:b w:val="0"/>
          <w:bCs w:val="0"/>
        </w:rPr>
      </w:r>
    </w:p>
    <w:p>
      <w:pPr>
        <w:pStyle w:val="BodyText"/>
        <w:spacing w:line="688" w:lineRule="exact" w:before="16"/>
        <w:ind w:left="573" w:right="1133" w:hanging="421"/>
        <w:jc w:val="left"/>
      </w:pPr>
      <w:r>
        <w:rPr>
          <w:rFonts w:ascii="Times New Roman" w:hAnsi="Times New Roman" w:cs="Times New Roman" w:eastAsia="Times New Roman" w:hint="default"/>
          <w:b/>
          <w:bCs/>
        </w:rPr>
        <w:t>1</w:t>
      </w:r>
      <w:r>
        <w:rPr>
          <w:rFonts w:ascii="宋体" w:hAnsi="宋体" w:cs="宋体" w:eastAsia="宋体" w:hint="default"/>
          <w:b/>
          <w:bCs/>
        </w:rPr>
        <w:t>、履行社会责任情况</w:t>
      </w:r>
      <w:r>
        <w:rPr>
          <w:rFonts w:ascii="宋体" w:hAnsi="宋体" w:cs="宋体" w:eastAsia="宋体" w:hint="default"/>
          <w:b/>
          <w:bCs/>
          <w:w w:val="100"/>
        </w:rPr>
        <w:t> </w:t>
      </w:r>
      <w:r>
        <w:rPr>
          <w:spacing w:val="-2"/>
        </w:rPr>
        <w:t>股东权益保护：公司始终严格按照《公司法》、《证券法》等有关法律法规的要求，不断完善公司法</w:t>
      </w:r>
    </w:p>
    <w:p>
      <w:pPr>
        <w:pStyle w:val="BodyText"/>
        <w:spacing w:line="408" w:lineRule="auto" w:before="85"/>
        <w:ind w:right="1105"/>
        <w:jc w:val="both"/>
      </w:pPr>
      <w:r>
        <w:rPr>
          <w:spacing w:val="-2"/>
        </w:rPr>
        <w:t>人治理结构，建立健全内部控制体系，规范公司运作，认真及时履行信息披露义务，提升公司治理水平，</w:t>
      </w:r>
      <w:r>
        <w:rPr>
          <w:spacing w:val="-21"/>
        </w:rPr>
        <w:t> </w:t>
      </w:r>
      <w:r>
        <w:rPr>
          <w:spacing w:val="-21"/>
        </w:rPr>
      </w:r>
      <w:r>
        <w:rPr>
          <w:spacing w:val="-2"/>
        </w:rPr>
        <w:t>提高公司效益，切实保障全体股东和债权人的合法权益。公司严格按照《上市公司股东大会规则》、《公</w:t>
      </w:r>
      <w:r>
        <w:rPr>
          <w:spacing w:val="-42"/>
        </w:rPr>
        <w:t> </w:t>
      </w:r>
      <w:r>
        <w:rPr>
          <w:spacing w:val="-42"/>
        </w:rPr>
      </w:r>
      <w:r>
        <w:rPr>
          <w:spacing w:val="-2"/>
        </w:rPr>
        <w:t>司章程》及《股东大会议事规则》等规定和要求，召集、召开股东大会，并聘请律师对股东大会的合法性</w:t>
      </w:r>
      <w:r>
        <w:rPr>
          <w:spacing w:val="-42"/>
        </w:rPr>
        <w:t> </w:t>
      </w:r>
      <w:r>
        <w:rPr>
          <w:spacing w:val="-42"/>
        </w:rPr>
      </w:r>
      <w:r>
        <w:rPr>
          <w:spacing w:val="-2"/>
        </w:rPr>
        <w:t>出具法律意见书，平等对待所有股东，特别是保证中小股东享有平等地位，充分行使自己的权利。股东大</w:t>
      </w:r>
      <w:r>
        <w:rPr>
          <w:spacing w:val="-50"/>
        </w:rPr>
        <w:t> </w:t>
      </w:r>
      <w:r>
        <w:rPr>
          <w:spacing w:val="-50"/>
        </w:rPr>
      </w:r>
      <w:r>
        <w:rPr>
          <w:spacing w:val="-2"/>
        </w:rPr>
        <w:t>会审议影响中小投资者利益的重大事项时，对中小投资者的表决进行单独计票，并将单独计票结果及时公</w:t>
      </w:r>
      <w:r>
        <w:rPr>
          <w:spacing w:val="-44"/>
        </w:rPr>
        <w:t> </w:t>
      </w:r>
      <w:r>
        <w:rPr>
          <w:spacing w:val="-44"/>
        </w:rPr>
      </w:r>
      <w:r>
        <w:rPr/>
        <w:t>开披露。</w:t>
      </w:r>
    </w:p>
    <w:p>
      <w:pPr>
        <w:pStyle w:val="BodyText"/>
        <w:spacing w:line="408" w:lineRule="auto"/>
        <w:ind w:right="1133" w:firstLine="420"/>
        <w:jc w:val="left"/>
      </w:pPr>
      <w:r>
        <w:rPr/>
        <w:t>职工权益保护：</w:t>
      </w:r>
      <w:r>
        <w:rPr>
          <w:spacing w:val="-25"/>
        </w:rPr>
        <w:t> </w:t>
      </w:r>
      <w:r>
        <w:rPr/>
        <w:t>公司严格遵守《劳动法》、《劳动合同法》等法律法规的要求，与员工签订劳动合</w:t>
      </w:r>
      <w:r>
        <w:rPr>
          <w:w w:val="100"/>
        </w:rPr>
        <w:t> </w:t>
      </w:r>
      <w:r>
        <w:rPr>
          <w:spacing w:val="-2"/>
        </w:rPr>
        <w:t>同，办理医疗、养老、失业、工伤、生育等社会保险，为员工缴纳住房公积金、提供健康、安全的生产和</w:t>
      </w:r>
      <w:r>
        <w:rPr>
          <w:spacing w:val="-49"/>
        </w:rPr>
        <w:t> </w:t>
      </w:r>
      <w:r>
        <w:rPr>
          <w:spacing w:val="-49"/>
        </w:rPr>
      </w:r>
      <w:r>
        <w:rPr>
          <w:spacing w:val="-2"/>
        </w:rPr>
        <w:t>生活环境，切实维护员工的合法利益；公司拥有健全和完善的党委、工会和职工代表大会组织机构，代表</w:t>
      </w:r>
      <w:r>
        <w:rPr>
          <w:spacing w:val="-50"/>
        </w:rPr>
        <w:t> </w:t>
      </w:r>
      <w:r>
        <w:rPr>
          <w:spacing w:val="-50"/>
        </w:rPr>
      </w:r>
      <w:r>
        <w:rPr/>
        <w:t>和维护职工权益。</w:t>
      </w:r>
    </w:p>
    <w:p>
      <w:pPr>
        <w:pStyle w:val="BodyText"/>
        <w:spacing w:line="408" w:lineRule="auto"/>
        <w:ind w:right="1126" w:firstLine="420"/>
        <w:jc w:val="both"/>
      </w:pPr>
      <w:r>
        <w:rPr>
          <w:spacing w:val="-2"/>
        </w:rPr>
        <w:t>公共关系及社会公益事业：公司积极支持国家财政税收和地方经济建设，依法缴纳各种税款，为地方</w:t>
      </w:r>
      <w:r>
        <w:rPr>
          <w:w w:val="100"/>
        </w:rPr>
        <w:t> </w:t>
      </w:r>
      <w:r>
        <w:rPr>
          <w:spacing w:val="-2"/>
        </w:rPr>
        <w:t>经济发展做出重要贡献。公司在努力发展自身经济的同时，积极为社会提供就业岗位尤，积极参加所在地</w:t>
      </w:r>
      <w:r>
        <w:rPr>
          <w:spacing w:val="-42"/>
        </w:rPr>
        <w:t> </w:t>
      </w:r>
      <w:r>
        <w:rPr>
          <w:spacing w:val="-42"/>
        </w:rPr>
      </w:r>
      <w:r>
        <w:rPr/>
        <w:t>区的科教卫生、社区建设、扶贫济困等社会公益活动，为社会和谐稳定做出了积极的贡献。</w:t>
      </w:r>
    </w:p>
    <w:p>
      <w:pPr>
        <w:pStyle w:val="BodyText"/>
        <w:spacing w:line="408" w:lineRule="auto"/>
        <w:ind w:right="1133" w:firstLine="420"/>
        <w:jc w:val="left"/>
      </w:pPr>
      <w:r>
        <w:rPr>
          <w:spacing w:val="-2"/>
        </w:rPr>
        <w:t>其他利益相关者权益保护：公司充分尊重债权人、供应商、客户、政府组织及非政府组织等其他利益</w:t>
      </w:r>
      <w:r>
        <w:rPr>
          <w:w w:val="100"/>
        </w:rPr>
        <w:t> </w:t>
      </w:r>
      <w:r>
        <w:rPr/>
        <w:t>相关者的合法权益。</w:t>
      </w:r>
    </w:p>
    <w:p>
      <w:pPr>
        <w:spacing w:line="240" w:lineRule="auto" w:before="8"/>
        <w:rPr>
          <w:rFonts w:ascii="宋体" w:hAnsi="宋体" w:cs="宋体" w:eastAsia="宋体" w:hint="default"/>
          <w:sz w:val="20"/>
          <w:szCs w:val="20"/>
        </w:rPr>
      </w:pPr>
    </w:p>
    <w:p>
      <w:pPr>
        <w:pStyle w:val="Heading5"/>
        <w:spacing w:line="240" w:lineRule="auto"/>
        <w:ind w:right="0"/>
        <w:jc w:val="both"/>
        <w:rPr>
          <w:b w:val="0"/>
          <w:bCs w:val="0"/>
        </w:rPr>
      </w:pPr>
      <w:bookmarkStart w:name="2、履行精准扶贫社会责任情况" w:id="98"/>
      <w:bookmarkEnd w:id="98"/>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bookmarkStart w:name="（1）精准扶贫规划" w:id="99"/>
      <w:bookmarkEnd w:id="99"/>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2）年度精准扶贫概要" w:id="100"/>
      <w:bookmarkEnd w:id="100"/>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bookmarkStart w:name="（3）精准扶贫成效" w:id="101"/>
      <w:bookmarkEnd w:id="101"/>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5"/>
        <w:gridCol w:w="1459"/>
        <w:gridCol w:w="4515"/>
      </w:tblGrid>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595"/>
        <w:gridCol w:w="1459"/>
        <w:gridCol w:w="4515"/>
      </w:tblGrid>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4"/>
        <w:rPr>
          <w:rFonts w:ascii="宋体" w:hAnsi="宋体" w:cs="宋体" w:eastAsia="宋体" w:hint="default"/>
          <w:b/>
          <w:bCs/>
          <w:sz w:val="19"/>
          <w:szCs w:val="19"/>
        </w:rPr>
      </w:pPr>
    </w:p>
    <w:p>
      <w:pPr>
        <w:pStyle w:val="Heading5"/>
        <w:spacing w:line="240" w:lineRule="auto" w:before="36"/>
        <w:ind w:right="1133"/>
        <w:jc w:val="left"/>
        <w:rPr>
          <w:b w:val="0"/>
          <w:bCs w:val="0"/>
        </w:rPr>
      </w:pPr>
      <w:bookmarkStart w:name="（4）后续精准扶贫计划" w:id="102"/>
      <w:bookmarkEnd w:id="102"/>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bookmarkStart w:name="3、环境保护相关的情况" w:id="103"/>
      <w:bookmarkEnd w:id="103"/>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571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是</w:t>
      </w:r>
    </w:p>
    <w:tbl>
      <w:tblPr>
        <w:tblW w:w="0" w:type="auto"/>
        <w:jc w:val="left"/>
        <w:tblInd w:w="148" w:type="dxa"/>
        <w:tblLayout w:type="fixed"/>
        <w:tblCellMar>
          <w:top w:w="0" w:type="dxa"/>
          <w:left w:w="0" w:type="dxa"/>
          <w:bottom w:w="0" w:type="dxa"/>
          <w:right w:w="0" w:type="dxa"/>
        </w:tblCellMar>
        <w:tblLook w:val="01E0"/>
      </w:tblPr>
      <w:tblGrid>
        <w:gridCol w:w="960"/>
        <w:gridCol w:w="955"/>
        <w:gridCol w:w="958"/>
        <w:gridCol w:w="955"/>
        <w:gridCol w:w="958"/>
        <w:gridCol w:w="958"/>
        <w:gridCol w:w="955"/>
        <w:gridCol w:w="958"/>
        <w:gridCol w:w="958"/>
        <w:gridCol w:w="958"/>
      </w:tblGrid>
      <w:tr>
        <w:trPr>
          <w:trHeight w:val="1027"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6" w:right="22" w:hanging="181"/>
              <w:jc w:val="left"/>
              <w:rPr>
                <w:rFonts w:ascii="宋体" w:hAnsi="宋体" w:cs="宋体" w:eastAsia="宋体" w:hint="default"/>
                <w:sz w:val="18"/>
                <w:szCs w:val="18"/>
              </w:rPr>
            </w:pPr>
            <w:r>
              <w:rPr>
                <w:rFonts w:ascii="宋体" w:hAnsi="宋体" w:cs="宋体" w:eastAsia="宋体" w:hint="default"/>
                <w:sz w:val="18"/>
                <w:szCs w:val="18"/>
              </w:rPr>
              <w:t>公司或子公 司名称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主要污染物 及特征污染 物的名称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排放方式</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排放口数量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95" w:right="19" w:hanging="269"/>
              <w:jc w:val="left"/>
              <w:rPr>
                <w:rFonts w:ascii="宋体" w:hAnsi="宋体" w:cs="宋体" w:eastAsia="宋体" w:hint="default"/>
                <w:sz w:val="18"/>
                <w:szCs w:val="18"/>
              </w:rPr>
            </w:pPr>
            <w:r>
              <w:rPr>
                <w:rFonts w:ascii="宋体" w:hAnsi="宋体" w:cs="宋体" w:eastAsia="宋体" w:hint="default"/>
                <w:sz w:val="18"/>
                <w:szCs w:val="18"/>
              </w:rPr>
              <w:t>排放口分布 情况</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13"/>
              <w:jc w:val="right"/>
              <w:rPr>
                <w:rFonts w:ascii="宋体" w:hAnsi="宋体" w:cs="宋体" w:eastAsia="宋体" w:hint="default"/>
                <w:sz w:val="18"/>
                <w:szCs w:val="18"/>
              </w:rPr>
            </w:pPr>
            <w:r>
              <w:rPr>
                <w:rFonts w:ascii="宋体" w:hAnsi="宋体" w:cs="宋体" w:eastAsia="宋体" w:hint="default"/>
                <w:sz w:val="18"/>
                <w:szCs w:val="18"/>
              </w:rPr>
              <w:t>排放浓度</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执行的污染 物排放标准</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排放总量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93" w:right="23" w:hanging="269"/>
              <w:jc w:val="left"/>
              <w:rPr>
                <w:rFonts w:ascii="宋体" w:hAnsi="宋体" w:cs="宋体" w:eastAsia="宋体" w:hint="default"/>
                <w:sz w:val="18"/>
                <w:szCs w:val="18"/>
              </w:rPr>
            </w:pPr>
            <w:r>
              <w:rPr>
                <w:rFonts w:ascii="宋体" w:hAnsi="宋体" w:cs="宋体" w:eastAsia="宋体" w:hint="default"/>
                <w:sz w:val="18"/>
                <w:szCs w:val="18"/>
              </w:rPr>
              <w:t>核定的排放 总量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3" w:right="23" w:hanging="360"/>
              <w:jc w:val="left"/>
              <w:rPr>
                <w:rFonts w:ascii="宋体" w:hAnsi="宋体" w:cs="宋体" w:eastAsia="宋体" w:hint="default"/>
                <w:sz w:val="18"/>
                <w:szCs w:val="18"/>
              </w:rPr>
            </w:pPr>
            <w:r>
              <w:rPr>
                <w:rFonts w:ascii="宋体" w:hAnsi="宋体" w:cs="宋体" w:eastAsia="宋体" w:hint="default"/>
                <w:sz w:val="18"/>
                <w:szCs w:val="18"/>
              </w:rPr>
              <w:t>超标排放情 况</w:t>
            </w:r>
          </w:p>
        </w:tc>
      </w:tr>
      <w:tr>
        <w:trPr>
          <w:trHeight w:val="102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both"/>
              <w:rPr>
                <w:rFonts w:ascii="宋体" w:hAnsi="宋体" w:cs="宋体" w:eastAsia="宋体" w:hint="default"/>
                <w:sz w:val="18"/>
                <w:szCs w:val="18"/>
              </w:rPr>
            </w:pPr>
            <w:r>
              <w:rPr>
                <w:rFonts w:ascii="宋体" w:hAnsi="宋体" w:cs="宋体" w:eastAsia="宋体" w:hint="default"/>
                <w:sz w:val="18"/>
                <w:szCs w:val="18"/>
              </w:rPr>
              <w:t>吉林紫鑫药 业股份有限 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COD</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间断式</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污水处理站</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z w:val="18"/>
              </w:rPr>
              <w:t>31.74</w:t>
            </w:r>
            <w:r>
              <w:rPr>
                <w:rFonts w:ascii="Times New Roman"/>
                <w:spacing w:val="-4"/>
                <w:sz w:val="18"/>
              </w:rPr>
              <w:t> </w:t>
            </w:r>
            <w:r>
              <w:rPr>
                <w:rFonts w:ascii="Times New Roman"/>
                <w:sz w:val="18"/>
              </w:rPr>
              <w:t>mg/L</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3" w:right="41"/>
              <w:jc w:val="both"/>
              <w:rPr>
                <w:rFonts w:ascii="Times New Roman" w:hAnsi="Times New Roman" w:cs="Times New Roman" w:eastAsia="Times New Roman" w:hint="default"/>
                <w:sz w:val="18"/>
                <w:szCs w:val="18"/>
              </w:rPr>
            </w:pPr>
            <w:r>
              <w:rPr>
                <w:rFonts w:ascii="Times New Roman"/>
                <w:sz w:val="18"/>
              </w:rPr>
              <w:t>GB21906-2 008-100mg/ L</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both"/>
              <w:rPr>
                <w:rFonts w:ascii="宋体" w:hAnsi="宋体" w:cs="宋体" w:eastAsia="宋体" w:hint="default"/>
                <w:sz w:val="18"/>
                <w:szCs w:val="18"/>
              </w:rPr>
            </w:pPr>
            <w:r>
              <w:rPr>
                <w:rFonts w:ascii="宋体" w:hAnsi="宋体" w:cs="宋体" w:eastAsia="宋体" w:hint="default"/>
                <w:sz w:val="18"/>
                <w:szCs w:val="18"/>
              </w:rPr>
              <w:t>吉林紫鑫药 业股份有限 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氨氮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间断式</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污水处理站</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9"/>
              <w:jc w:val="right"/>
              <w:rPr>
                <w:rFonts w:ascii="Times New Roman" w:hAnsi="Times New Roman" w:cs="Times New Roman" w:eastAsia="Times New Roman" w:hint="default"/>
                <w:sz w:val="18"/>
                <w:szCs w:val="18"/>
              </w:rPr>
            </w:pPr>
            <w:r>
              <w:rPr>
                <w:rFonts w:ascii="Times New Roman"/>
                <w:spacing w:val="-1"/>
                <w:sz w:val="18"/>
              </w:rPr>
              <w:t>0.898mg/L</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GB21906-8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mg/L</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both"/>
              <w:rPr>
                <w:rFonts w:ascii="宋体" w:hAnsi="宋体" w:cs="宋体" w:eastAsia="宋体" w:hint="default"/>
                <w:sz w:val="18"/>
                <w:szCs w:val="18"/>
              </w:rPr>
            </w:pPr>
            <w:r>
              <w:rPr>
                <w:rFonts w:ascii="宋体" w:hAnsi="宋体" w:cs="宋体" w:eastAsia="宋体" w:hint="default"/>
                <w:sz w:val="18"/>
                <w:szCs w:val="18"/>
              </w:rPr>
              <w:t>吉林紫鑫药 业股份有限 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SO2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间断式</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锅炉房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0" w:lineRule="auto"/>
              <w:ind w:left="23" w:right="150"/>
              <w:jc w:val="left"/>
              <w:rPr>
                <w:rFonts w:ascii="Times New Roman" w:hAnsi="Times New Roman" w:cs="Times New Roman" w:eastAsia="Times New Roman" w:hint="default"/>
                <w:sz w:val="18"/>
                <w:szCs w:val="18"/>
              </w:rPr>
            </w:pPr>
            <w:r>
              <w:rPr>
                <w:rFonts w:ascii="Times New Roman"/>
                <w:sz w:val="18"/>
              </w:rPr>
              <w:t>158.19mg/ </w:t>
            </w:r>
            <w:r>
              <w:rPr>
                <w:rFonts w:ascii="Times New Roman"/>
                <w:spacing w:val="-4"/>
                <w:sz w:val="18"/>
              </w:rPr>
              <w:t>m3</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3" w:right="41"/>
              <w:jc w:val="both"/>
              <w:rPr>
                <w:rFonts w:ascii="Times New Roman" w:hAnsi="Times New Roman" w:cs="Times New Roman" w:eastAsia="Times New Roman" w:hint="default"/>
                <w:sz w:val="18"/>
                <w:szCs w:val="18"/>
              </w:rPr>
            </w:pPr>
            <w:r>
              <w:rPr>
                <w:rFonts w:ascii="Times New Roman"/>
                <w:sz w:val="18"/>
              </w:rPr>
              <w:t>GB13271-2 014-400mg/ </w:t>
            </w:r>
            <w:r>
              <w:rPr>
                <w:rFonts w:ascii="Times New Roman"/>
                <w:spacing w:val="-4"/>
                <w:sz w:val="18"/>
              </w:rPr>
              <w:t>m3</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8.1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both"/>
              <w:rPr>
                <w:rFonts w:ascii="宋体" w:hAnsi="宋体" w:cs="宋体" w:eastAsia="宋体" w:hint="default"/>
                <w:sz w:val="18"/>
                <w:szCs w:val="18"/>
              </w:rPr>
            </w:pPr>
            <w:r>
              <w:rPr>
                <w:rFonts w:ascii="宋体" w:hAnsi="宋体" w:cs="宋体" w:eastAsia="宋体" w:hint="default"/>
                <w:sz w:val="18"/>
                <w:szCs w:val="18"/>
              </w:rPr>
              <w:t>吉林紫鑫药 业股份有限 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氮氧化物</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间断式</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锅炉房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180.06</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mg/m3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68"/>
              <w:jc w:val="left"/>
              <w:rPr>
                <w:rFonts w:ascii="Times New Roman" w:hAnsi="Times New Roman" w:cs="Times New Roman" w:eastAsia="Times New Roman" w:hint="default"/>
                <w:sz w:val="18"/>
                <w:szCs w:val="18"/>
              </w:rPr>
            </w:pPr>
            <w:r>
              <w:rPr>
                <w:rFonts w:ascii="Times New Roman"/>
                <w:sz w:val="18"/>
              </w:rPr>
              <w:t>GB13271-2 014-400</w:t>
            </w:r>
          </w:p>
          <w:p>
            <w:pPr>
              <w:pStyle w:val="TableParagraph"/>
              <w:spacing w:line="240" w:lineRule="auto" w:before="3"/>
              <w:ind w:left="23" w:right="0"/>
              <w:jc w:val="left"/>
              <w:rPr>
                <w:rFonts w:ascii="Times New Roman" w:hAnsi="Times New Roman" w:cs="Times New Roman" w:eastAsia="Times New Roman" w:hint="default"/>
                <w:sz w:val="18"/>
                <w:szCs w:val="18"/>
              </w:rPr>
            </w:pPr>
            <w:r>
              <w:rPr>
                <w:rFonts w:ascii="Times New Roman"/>
                <w:sz w:val="18"/>
              </w:rPr>
              <w:t>mg/m3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8.1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both"/>
              <w:rPr>
                <w:rFonts w:ascii="宋体" w:hAnsi="宋体" w:cs="宋体" w:eastAsia="宋体" w:hint="default"/>
                <w:sz w:val="18"/>
                <w:szCs w:val="18"/>
              </w:rPr>
            </w:pPr>
            <w:r>
              <w:rPr>
                <w:rFonts w:ascii="宋体" w:hAnsi="宋体" w:cs="宋体" w:eastAsia="宋体" w:hint="default"/>
                <w:sz w:val="18"/>
                <w:szCs w:val="18"/>
              </w:rPr>
              <w:t>吉林紫鑫药 业股份有限 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烟粉尘</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间断式</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锅炉房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33.28</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mg/m3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3" w:right="68"/>
              <w:jc w:val="left"/>
              <w:rPr>
                <w:rFonts w:ascii="Times New Roman" w:hAnsi="Times New Roman" w:cs="Times New Roman" w:eastAsia="Times New Roman" w:hint="default"/>
                <w:sz w:val="18"/>
                <w:szCs w:val="18"/>
              </w:rPr>
            </w:pPr>
            <w:r>
              <w:rPr>
                <w:rFonts w:ascii="Times New Roman"/>
                <w:sz w:val="18"/>
              </w:rPr>
              <w:t>GB13271-2 014-80</w:t>
            </w:r>
          </w:p>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sz w:val="18"/>
              </w:rPr>
              <w:t>mg/m3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70"/>
        <w:ind w:left="152" w:right="1133" w:firstLine="0"/>
        <w:jc w:val="left"/>
        <w:rPr>
          <w:rFonts w:ascii="宋体" w:hAnsi="宋体" w:cs="宋体" w:eastAsia="宋体" w:hint="default"/>
          <w:sz w:val="18"/>
          <w:szCs w:val="18"/>
        </w:rPr>
      </w:pPr>
      <w:r>
        <w:rPr>
          <w:rFonts w:ascii="宋体" w:hAnsi="宋体" w:cs="宋体" w:eastAsia="宋体" w:hint="default"/>
          <w:sz w:val="18"/>
          <w:szCs w:val="18"/>
        </w:rPr>
        <w:t>防治污染设施的建设和运行情况</w:t>
      </w:r>
    </w:p>
    <w:p>
      <w:pPr>
        <w:spacing w:line="240" w:lineRule="auto" w:before="3"/>
        <w:rPr>
          <w:rFonts w:ascii="宋体" w:hAnsi="宋体" w:cs="宋体" w:eastAsia="宋体" w:hint="default"/>
          <w:sz w:val="13"/>
          <w:szCs w:val="13"/>
        </w:rPr>
      </w:pPr>
    </w:p>
    <w:p>
      <w:pPr>
        <w:pStyle w:val="BodyText"/>
        <w:spacing w:line="408" w:lineRule="auto" w:before="0"/>
        <w:ind w:right="1126" w:firstLine="432"/>
        <w:jc w:val="both"/>
      </w:pPr>
      <w:r>
        <w:rPr>
          <w:spacing w:val="-3"/>
        </w:rPr>
        <w:t>公司自成立以来，非常重视环境保护工作，成立了环保组织机构，有健全的环保管理制度，有专职环</w:t>
      </w:r>
      <w:r>
        <w:rPr>
          <w:w w:val="100"/>
        </w:rPr>
        <w:t> </w:t>
      </w:r>
      <w:r>
        <w:rPr>
          <w:spacing w:val="-2"/>
        </w:rPr>
        <w:t>保人员负责管理环保处理设施；严格执行国家和地方的环保法规和政策，按国家和所属行业排放标准，对</w:t>
      </w:r>
      <w:r>
        <w:rPr>
          <w:spacing w:val="-44"/>
        </w:rPr>
        <w:t> </w:t>
      </w:r>
      <w:r>
        <w:rPr>
          <w:spacing w:val="-44"/>
        </w:rPr>
      </w:r>
      <w:r>
        <w:rPr/>
        <w:t>生产过程中产生的废水、废气、噪声和固体废弃物进行严格管理，做到达标排放。</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33" w:firstLine="401"/>
        <w:jc w:val="left"/>
      </w:pPr>
      <w:r>
        <w:rPr>
          <w:spacing w:val="-2"/>
        </w:rPr>
        <w:t>目前环保设施运行情况良好，废水、废气、噪声和固体废弃物均能达标排放，污染物排放量均符合环</w:t>
      </w:r>
      <w:r>
        <w:rPr>
          <w:w w:val="100"/>
        </w:rPr>
        <w:t> </w:t>
      </w:r>
      <w:r>
        <w:rPr/>
        <w:t>保部门核定的总量控制指标；从未发生过任何污染事故及环保处罚。</w:t>
      </w:r>
    </w:p>
    <w:p>
      <w:pPr>
        <w:spacing w:line="240" w:lineRule="auto" w:before="3"/>
        <w:rPr>
          <w:rFonts w:ascii="宋体" w:hAnsi="宋体" w:cs="宋体" w:eastAsia="宋体" w:hint="default"/>
          <w:sz w:val="26"/>
          <w:szCs w:val="26"/>
        </w:rPr>
      </w:pPr>
    </w:p>
    <w:p>
      <w:pPr>
        <w:spacing w:line="357" w:lineRule="auto" w:before="0"/>
        <w:ind w:left="152" w:right="6614" w:firstLine="0"/>
        <w:jc w:val="left"/>
        <w:rPr>
          <w:rFonts w:ascii="宋体" w:hAnsi="宋体" w:cs="宋体" w:eastAsia="宋体" w:hint="default"/>
          <w:sz w:val="18"/>
          <w:szCs w:val="18"/>
        </w:rPr>
      </w:pPr>
      <w:r>
        <w:rPr>
          <w:rFonts w:ascii="宋体" w:hAnsi="宋体" w:cs="宋体" w:eastAsia="宋体" w:hint="default"/>
          <w:sz w:val="18"/>
          <w:szCs w:val="18"/>
        </w:rPr>
        <w:t>建设项目环境影响评价及其他环境保护行政许可情况 无</w:t>
      </w:r>
    </w:p>
    <w:p>
      <w:pPr>
        <w:spacing w:before="67"/>
        <w:ind w:left="152" w:right="1133" w:firstLine="0"/>
        <w:jc w:val="left"/>
        <w:rPr>
          <w:rFonts w:ascii="宋体" w:hAnsi="宋体" w:cs="宋体" w:eastAsia="宋体" w:hint="default"/>
          <w:sz w:val="18"/>
          <w:szCs w:val="18"/>
        </w:rPr>
      </w:pPr>
      <w:r>
        <w:rPr>
          <w:rFonts w:ascii="宋体" w:hAnsi="宋体" w:cs="宋体" w:eastAsia="宋体" w:hint="default"/>
          <w:sz w:val="18"/>
          <w:szCs w:val="18"/>
        </w:rPr>
        <w:t>突发环境事件应急预案</w:t>
      </w:r>
    </w:p>
    <w:p>
      <w:pPr>
        <w:spacing w:line="240" w:lineRule="auto" w:before="7"/>
        <w:rPr>
          <w:rFonts w:ascii="宋体" w:hAnsi="宋体" w:cs="宋体" w:eastAsia="宋体" w:hint="default"/>
          <w:sz w:val="16"/>
          <w:szCs w:val="16"/>
        </w:rPr>
      </w:pPr>
    </w:p>
    <w:p>
      <w:pPr>
        <w:spacing w:line="429" w:lineRule="auto" w:before="0"/>
        <w:ind w:left="152" w:right="1133" w:firstLine="401"/>
        <w:jc w:val="left"/>
        <w:rPr>
          <w:rFonts w:ascii="宋体" w:hAnsi="宋体" w:cs="宋体" w:eastAsia="宋体" w:hint="default"/>
          <w:sz w:val="20"/>
          <w:szCs w:val="20"/>
        </w:rPr>
      </w:pPr>
      <w:r>
        <w:rPr>
          <w:rFonts w:ascii="宋体" w:hAnsi="宋体" w:cs="宋体" w:eastAsia="宋体" w:hint="default"/>
          <w:w w:val="95"/>
          <w:sz w:val="20"/>
          <w:szCs w:val="20"/>
        </w:rPr>
        <w:t>公司针对意外突发事件、以及污染治理设施可能出现的故障、异常，制定了应对措施，编制了吉林紫鑫药</w:t>
      </w:r>
      <w:r>
        <w:rPr>
          <w:rFonts w:ascii="宋体" w:hAnsi="宋体" w:cs="宋体" w:eastAsia="宋体" w:hint="default"/>
          <w:spacing w:val="-44"/>
          <w:w w:val="95"/>
          <w:sz w:val="20"/>
          <w:szCs w:val="20"/>
        </w:rPr>
        <w:t> </w:t>
      </w:r>
      <w:r>
        <w:rPr>
          <w:rFonts w:ascii="宋体" w:hAnsi="宋体" w:cs="宋体" w:eastAsia="宋体" w:hint="default"/>
          <w:spacing w:val="-44"/>
          <w:w w:val="95"/>
          <w:sz w:val="20"/>
          <w:szCs w:val="20"/>
        </w:rPr>
      </w:r>
      <w:r>
        <w:rPr>
          <w:rFonts w:ascii="宋体" w:hAnsi="宋体" w:cs="宋体" w:eastAsia="宋体" w:hint="default"/>
          <w:sz w:val="20"/>
          <w:szCs w:val="20"/>
        </w:rPr>
        <w:t>业股份有限公司突发环境事件应急预案。</w:t>
      </w:r>
    </w:p>
    <w:p>
      <w:pPr>
        <w:spacing w:line="477" w:lineRule="auto" w:before="64"/>
        <w:ind w:left="441" w:right="1133" w:hanging="289"/>
        <w:jc w:val="left"/>
        <w:rPr>
          <w:rFonts w:ascii="宋体" w:hAnsi="宋体" w:cs="宋体" w:eastAsia="宋体" w:hint="default"/>
          <w:sz w:val="18"/>
          <w:szCs w:val="18"/>
        </w:rPr>
      </w:pPr>
      <w:r>
        <w:rPr>
          <w:rFonts w:ascii="宋体" w:hAnsi="宋体" w:cs="宋体" w:eastAsia="宋体" w:hint="default"/>
          <w:sz w:val="18"/>
          <w:szCs w:val="18"/>
        </w:rPr>
        <w:t>环境自行监测方案 </w:t>
      </w:r>
      <w:r>
        <w:rPr>
          <w:rFonts w:ascii="宋体" w:hAnsi="宋体" w:cs="宋体" w:eastAsia="宋体" w:hint="default"/>
          <w:spacing w:val="-2"/>
          <w:sz w:val="18"/>
          <w:szCs w:val="18"/>
        </w:rPr>
        <w:t>公司配有污水在线监测系统，全时段监测排放情况。并将监测数据（</w:t>
      </w:r>
      <w:r>
        <w:rPr>
          <w:rFonts w:ascii="Times New Roman" w:hAnsi="Times New Roman" w:cs="Times New Roman" w:eastAsia="Times New Roman" w:hint="default"/>
          <w:spacing w:val="-2"/>
          <w:sz w:val="18"/>
          <w:szCs w:val="18"/>
        </w:rPr>
        <w:t>COD</w:t>
      </w:r>
      <w:r>
        <w:rPr>
          <w:rFonts w:ascii="宋体" w:hAnsi="宋体" w:cs="宋体" w:eastAsia="宋体" w:hint="default"/>
          <w:spacing w:val="-2"/>
          <w:sz w:val="18"/>
          <w:szCs w:val="18"/>
        </w:rPr>
        <w:t>、氨氮、</w:t>
      </w:r>
      <w:r>
        <w:rPr>
          <w:rFonts w:ascii="Times New Roman" w:hAnsi="Times New Roman" w:cs="Times New Roman" w:eastAsia="Times New Roman" w:hint="default"/>
          <w:spacing w:val="-2"/>
          <w:sz w:val="18"/>
          <w:szCs w:val="18"/>
        </w:rPr>
        <w:t>pH</w:t>
      </w:r>
      <w:r>
        <w:rPr>
          <w:rFonts w:ascii="宋体" w:hAnsi="宋体" w:cs="宋体" w:eastAsia="宋体" w:hint="default"/>
          <w:spacing w:val="-2"/>
          <w:sz w:val="18"/>
          <w:szCs w:val="18"/>
        </w:rPr>
        <w:t>值）按时上传到吉林省国家重点监</w:t>
      </w:r>
    </w:p>
    <w:p>
      <w:pPr>
        <w:spacing w:line="477" w:lineRule="auto" w:before="21"/>
        <w:ind w:left="152" w:right="8594" w:firstLine="0"/>
        <w:jc w:val="left"/>
        <w:rPr>
          <w:rFonts w:ascii="宋体" w:hAnsi="宋体" w:cs="宋体" w:eastAsia="宋体" w:hint="default"/>
          <w:sz w:val="18"/>
          <w:szCs w:val="18"/>
        </w:rPr>
      </w:pPr>
      <w:r>
        <w:rPr>
          <w:rFonts w:ascii="宋体" w:hAnsi="宋体" w:cs="宋体" w:eastAsia="宋体" w:hint="default"/>
          <w:sz w:val="18"/>
          <w:szCs w:val="18"/>
        </w:rPr>
        <w:t>控企业监测信息发布平台。 其他应当公开的环境信息</w:t>
      </w:r>
    </w:p>
    <w:p>
      <w:pPr>
        <w:spacing w:line="477" w:lineRule="auto" w:before="54"/>
        <w:ind w:left="152" w:right="9314" w:firstLine="0"/>
        <w:jc w:val="left"/>
        <w:rPr>
          <w:rFonts w:ascii="宋体" w:hAnsi="宋体" w:cs="宋体" w:eastAsia="宋体" w:hint="default"/>
          <w:sz w:val="18"/>
          <w:szCs w:val="18"/>
        </w:rPr>
      </w:pPr>
      <w:r>
        <w:rPr>
          <w:rFonts w:ascii="宋体" w:hAnsi="宋体" w:cs="宋体" w:eastAsia="宋体" w:hint="default"/>
          <w:sz w:val="18"/>
          <w:szCs w:val="18"/>
        </w:rPr>
        <w:t>无 其他环保相关信息 无</w:t>
      </w:r>
    </w:p>
    <w:p>
      <w:pPr>
        <w:spacing w:line="240" w:lineRule="auto" w:before="7"/>
        <w:rPr>
          <w:rFonts w:ascii="宋体" w:hAnsi="宋体" w:cs="宋体" w:eastAsia="宋体" w:hint="default"/>
          <w:sz w:val="17"/>
          <w:szCs w:val="17"/>
        </w:rPr>
      </w:pPr>
    </w:p>
    <w:p>
      <w:pPr>
        <w:pStyle w:val="Heading3"/>
        <w:spacing w:line="240" w:lineRule="auto"/>
        <w:ind w:right="1133"/>
        <w:jc w:val="left"/>
        <w:rPr>
          <w:b w:val="0"/>
          <w:bCs w:val="0"/>
        </w:rPr>
      </w:pPr>
      <w:bookmarkStart w:name="十九、其他重大事项的说明" w:id="104"/>
      <w:bookmarkEnd w:id="104"/>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spacing w:line="340"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公司报告期不存在需要说明的其他重大事项。</w:t>
      </w:r>
    </w:p>
    <w:p>
      <w:pPr>
        <w:spacing w:line="240" w:lineRule="auto" w:before="4"/>
        <w:rPr>
          <w:rFonts w:ascii="宋体" w:hAnsi="宋体" w:cs="宋体" w:eastAsia="宋体" w:hint="default"/>
          <w:sz w:val="19"/>
          <w:szCs w:val="19"/>
        </w:rPr>
      </w:pPr>
    </w:p>
    <w:p>
      <w:pPr>
        <w:pStyle w:val="Heading3"/>
        <w:spacing w:line="240" w:lineRule="auto"/>
        <w:ind w:right="1133"/>
        <w:jc w:val="left"/>
        <w:rPr>
          <w:b w:val="0"/>
          <w:bCs w:val="0"/>
        </w:rPr>
      </w:pPr>
      <w:bookmarkStart w:name="二十、公司子公司重大事项" w:id="105"/>
      <w:bookmarkEnd w:id="105"/>
      <w:r>
        <w:rPr>
          <w:b w:val="0"/>
          <w:bCs w:val="0"/>
        </w:rPr>
      </w:r>
      <w:r>
        <w:rPr/>
        <w:t>二十、公司子公司重大事项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33"/>
        <w:jc w:val="left"/>
        <w:rPr>
          <w:b w:val="0"/>
          <w:bCs w:val="0"/>
        </w:rPr>
      </w:pPr>
      <w:bookmarkStart w:name="第六节股份变动及股东情况" w:id="106"/>
      <w:bookmarkEnd w:id="106"/>
      <w:r>
        <w:rPr>
          <w:b w:val="0"/>
          <w:bCs w:val="0"/>
        </w:rPr>
      </w:r>
      <w:bookmarkStart w:name="_bookmark5" w:id="107"/>
      <w:bookmarkEnd w:id="107"/>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133"/>
        <w:jc w:val="left"/>
        <w:rPr>
          <w:b w:val="0"/>
          <w:bCs w:val="0"/>
        </w:rPr>
      </w:pPr>
      <w:bookmarkStart w:name="一、股份变动情况" w:id="108"/>
      <w:bookmarkEnd w:id="108"/>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3"/>
        <w:jc w:val="left"/>
        <w:rPr>
          <w:b w:val="0"/>
          <w:bCs w:val="0"/>
        </w:rPr>
      </w:pPr>
      <w:bookmarkStart w:name="1、股份变动情况" w:id="109"/>
      <w:bookmarkEnd w:id="109"/>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3"/>
        <w:gridCol w:w="821"/>
        <w:gridCol w:w="824"/>
        <w:gridCol w:w="794"/>
        <w:gridCol w:w="792"/>
      </w:tblGrid>
      <w:tr>
        <w:trPr>
          <w:trHeight w:val="40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0"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255,050,8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19.91%</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-254,969,</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812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-254,969,</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812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81,046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0.01%</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255,050,8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19.91%</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-254,969,</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812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-254,969,</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812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81,046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0.01%</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159,235,6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12.43%</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
        </w:tc>
        <w:tc>
          <w:tcPr>
            <w:tcW w:w="792" w:type="dxa"/>
            <w:vMerge w:val="restart"/>
            <w:tcBorders>
              <w:top w:val="single" w:sz="4" w:space="0" w:color="000000"/>
              <w:left w:val="single" w:sz="4" w:space="0" w:color="000000"/>
              <w:right w:val="single" w:sz="4" w:space="0" w:color="000000"/>
            </w:tcBorders>
          </w:tcPr>
          <w:p>
            <w:pP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95,815,19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7.48%</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-254,969,</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812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-254,969,</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812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81,046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0.01%</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1,025,708,</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968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80.09%</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254,969,8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254,969,8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1,280,678</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,780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99.99%</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1,025,708,</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968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80.09%</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254,969,8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254,969,8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1,280,678</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,780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99.99%</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1,280,759,</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826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1,280,759</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,826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96" w:lineRule="auto" w:before="159"/>
        <w:ind w:right="1119" w:firstLine="42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根据中国证券监督管理委员会出具的《关于核准吉林紫鑫药业股份有限公司非公开发</w:t>
      </w:r>
      <w:r>
        <w:rPr>
          <w:spacing w:val="-25"/>
        </w:rPr>
        <w:t> </w:t>
      </w:r>
      <w:r>
        <w:rPr/>
        <w:t>行股票的批</w:t>
      </w:r>
      <w:r>
        <w:rPr>
          <w:w w:val="100"/>
        </w:rPr>
        <w:t> </w:t>
      </w:r>
      <w:r>
        <w:rPr/>
        <w:t>复》（证监许可</w:t>
      </w:r>
      <w:r>
        <w:rPr>
          <w:rFonts w:ascii="Times New Roman" w:hAnsi="Times New Roman" w:cs="Times New Roman" w:eastAsia="Times New Roman" w:hint="default"/>
        </w:rPr>
        <w:t>[2015]2409 </w:t>
      </w:r>
      <w:r>
        <w:rPr/>
        <w:t>号），核准公司向特定对象非公开发行不超过 </w:t>
      </w:r>
      <w:r>
        <w:rPr>
          <w:rFonts w:ascii="Times New Roman" w:hAnsi="Times New Roman" w:cs="Times New Roman" w:eastAsia="Times New Roman" w:hint="default"/>
        </w:rPr>
        <w:t>159,235,664</w:t>
      </w:r>
      <w:r>
        <w:rPr>
          <w:rFonts w:ascii="Times New Roman" w:hAnsi="Times New Roman" w:cs="Times New Roman" w:eastAsia="Times New Roman" w:hint="default"/>
          <w:spacing w:val="-14"/>
        </w:rPr>
        <w:t> </w:t>
      </w:r>
      <w:r>
        <w:rPr/>
        <w:t>股人民币普通股，</w:t>
      </w:r>
      <w:r>
        <w:rPr>
          <w:w w:val="100"/>
        </w:rPr>
        <w:t> </w:t>
      </w:r>
      <w:r>
        <w:rPr/>
        <w:t>公司实际向 </w:t>
      </w:r>
      <w:r>
        <w:rPr>
          <w:rFonts w:ascii="Times New Roman" w:hAnsi="Times New Roman" w:cs="Times New Roman" w:eastAsia="Times New Roman" w:hint="default"/>
        </w:rPr>
        <w:t>5 </w:t>
      </w:r>
      <w:r>
        <w:rPr/>
        <w:t>家特定对象发行 </w:t>
      </w:r>
      <w:r>
        <w:rPr>
          <w:rFonts w:ascii="Times New Roman" w:hAnsi="Times New Roman" w:cs="Times New Roman" w:eastAsia="Times New Roman" w:hint="default"/>
        </w:rPr>
        <w:t>127,388,531 </w:t>
      </w:r>
      <w:r>
        <w:rPr>
          <w:spacing w:val="-3"/>
        </w:rPr>
        <w:t>股人民币普通股。上述新增股份已于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29</w:t>
      </w:r>
      <w:r>
        <w:rPr>
          <w:rFonts w:ascii="Times New Roman" w:hAnsi="Times New Roman" w:cs="Times New Roman" w:eastAsia="Times New Roman" w:hint="default"/>
          <w:spacing w:val="18"/>
        </w:rPr>
        <w:t> </w:t>
      </w:r>
      <w:r>
        <w:rPr/>
        <w:t>日在深</w:t>
      </w:r>
      <w:r>
        <w:rPr>
          <w:w w:val="100"/>
        </w:rPr>
        <w:t> </w:t>
      </w:r>
      <w:r>
        <w:rPr/>
        <w:t>圳证券交易所上市，</w:t>
      </w:r>
      <w:r>
        <w:rPr>
          <w:spacing w:val="-26"/>
        </w:rPr>
        <w:t> </w:t>
      </w:r>
      <w:r>
        <w:rPr/>
        <w:t>性质为有限售条件流通股。本次发行的特定对象上海红樱资产管理有限公司、北京</w:t>
      </w:r>
      <w:r>
        <w:rPr>
          <w:w w:val="100"/>
        </w:rPr>
        <w:t> </w:t>
      </w:r>
      <w:r>
        <w:rPr/>
        <w:t>富徳昊邦投资中心（有限合伙）、佛山市科技孵化合伙企业（有限合伙）以及</w:t>
      </w:r>
      <w:r>
        <w:rPr>
          <w:spacing w:val="-24"/>
        </w:rPr>
        <w:t> </w:t>
      </w:r>
      <w:r>
        <w:rPr/>
        <w:t>自然人仲桂兰、郭华的承</w:t>
      </w:r>
      <w:r>
        <w:rPr>
          <w:w w:val="100"/>
        </w:rPr>
        <w:t> </w:t>
      </w:r>
      <w:r>
        <w:rPr/>
        <w:t>诺限售期均为自发行结束之日起 </w:t>
      </w:r>
      <w:r>
        <w:rPr>
          <w:rFonts w:ascii="Times New Roman" w:hAnsi="Times New Roman" w:cs="Times New Roman" w:eastAsia="Times New Roman" w:hint="default"/>
        </w:rPr>
        <w:t>36 </w:t>
      </w:r>
      <w:r>
        <w:rPr>
          <w:spacing w:val="-5"/>
        </w:rPr>
        <w:t>个月，预计上市流 </w:t>
      </w:r>
      <w:r>
        <w:rPr/>
        <w:t>通时间为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30 </w:t>
      </w:r>
      <w:r>
        <w:rPr/>
        <w:t>日。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10 </w:t>
      </w:r>
      <w:r>
        <w:rPr/>
        <w:t>月</w:t>
      </w:r>
      <w:r>
        <w:rPr>
          <w:spacing w:val="15"/>
        </w:rPr>
        <w:t> </w:t>
      </w:r>
      <w:r>
        <w:rPr>
          <w:rFonts w:ascii="Times New Roman" w:hAnsi="Times New Roman" w:cs="Times New Roman" w:eastAsia="Times New Roman" w:hint="default"/>
          <w:spacing w:val="-3"/>
        </w:rPr>
        <w:t>14</w:t>
      </w:r>
      <w:r>
        <w:rPr>
          <w:rFonts w:ascii="Times New Roman" w:hAnsi="Times New Roman" w:cs="Times New Roman" w:eastAsia="Times New Roman" w:hint="default"/>
        </w:rPr>
      </w:r>
    </w:p>
    <w:p>
      <w:pPr>
        <w:pStyle w:val="BodyText"/>
        <w:spacing w:line="240" w:lineRule="auto" w:before="26"/>
        <w:ind w:right="0"/>
        <w:jc w:val="left"/>
        <w:rPr>
          <w:rFonts w:ascii="Times New Roman" w:hAnsi="Times New Roman" w:cs="Times New Roman" w:eastAsia="Times New Roman" w:hint="default"/>
        </w:rPr>
      </w:pPr>
      <w:r>
        <w:rPr>
          <w:w w:val="100"/>
        </w:rPr>
        <w:t>日</w:t>
      </w:r>
      <w:r>
        <w:rPr>
          <w:spacing w:val="-87"/>
          <w:w w:val="100"/>
        </w:rPr>
        <w:t>，</w:t>
      </w:r>
      <w:r>
        <w:rPr>
          <w:w w:val="100"/>
        </w:rPr>
        <w:t>公</w:t>
      </w:r>
      <w:r>
        <w:rPr>
          <w:spacing w:val="-3"/>
          <w:w w:val="100"/>
        </w:rPr>
        <w:t>司</w:t>
      </w:r>
      <w:r>
        <w:rPr>
          <w:w w:val="100"/>
        </w:rPr>
        <w:t>发</w:t>
      </w:r>
      <w:r>
        <w:rPr>
          <w:spacing w:val="-3"/>
          <w:w w:val="100"/>
        </w:rPr>
        <w:t>布</w:t>
      </w:r>
      <w:r>
        <w:rPr>
          <w:spacing w:val="-87"/>
          <w:w w:val="100"/>
        </w:rPr>
        <w:t>了</w:t>
      </w:r>
      <w:r>
        <w:rPr>
          <w:w w:val="100"/>
        </w:rPr>
        <w:t>《</w:t>
      </w:r>
      <w:r>
        <w:rPr>
          <w:spacing w:val="-3"/>
          <w:w w:val="100"/>
        </w:rPr>
        <w:t>关</w:t>
      </w:r>
      <w:r>
        <w:rPr>
          <w:w w:val="100"/>
        </w:rPr>
        <w:t>于</w:t>
      </w:r>
      <w:r>
        <w:rPr>
          <w:spacing w:val="-21"/>
        </w:rPr>
        <w:t> </w:t>
      </w:r>
      <w:r>
        <w:rPr>
          <w:rFonts w:ascii="Times New Roman" w:hAnsi="Times New Roman" w:cs="Times New Roman" w:eastAsia="Times New Roman" w:hint="default"/>
          <w:w w:val="100"/>
        </w:rPr>
        <w:t>2016</w:t>
      </w:r>
      <w:r>
        <w:rPr>
          <w:rFonts w:ascii="Times New Roman" w:hAnsi="Times New Roman" w:cs="Times New Roman" w:eastAsia="Times New Roman" w:hint="default"/>
        </w:rPr>
        <w:t> </w:t>
      </w:r>
      <w:r>
        <w:rPr>
          <w:rFonts w:ascii="Times New Roman" w:hAnsi="Times New Roman" w:cs="Times New Roman" w:eastAsia="Times New Roman" w:hint="default"/>
          <w:spacing w:val="-24"/>
        </w:rPr>
        <w:t> </w:t>
      </w:r>
      <w:r>
        <w:rPr>
          <w:w w:val="100"/>
        </w:rPr>
        <w:t>年半</w:t>
      </w:r>
      <w:r>
        <w:rPr>
          <w:spacing w:val="-3"/>
          <w:w w:val="100"/>
        </w:rPr>
        <w:t>年</w:t>
      </w:r>
      <w:r>
        <w:rPr>
          <w:w w:val="100"/>
        </w:rPr>
        <w:t>度</w:t>
      </w:r>
      <w:r>
        <w:rPr>
          <w:spacing w:val="-3"/>
          <w:w w:val="100"/>
        </w:rPr>
        <w:t>权</w:t>
      </w:r>
      <w:r>
        <w:rPr>
          <w:w w:val="100"/>
        </w:rPr>
        <w:t>益</w:t>
      </w:r>
      <w:r>
        <w:rPr>
          <w:spacing w:val="-3"/>
          <w:w w:val="100"/>
        </w:rPr>
        <w:t>分</w:t>
      </w:r>
      <w:r>
        <w:rPr>
          <w:w w:val="100"/>
        </w:rPr>
        <w:t>派</w:t>
      </w:r>
      <w:r>
        <w:rPr>
          <w:spacing w:val="-3"/>
          <w:w w:val="100"/>
        </w:rPr>
        <w:t>实</w:t>
      </w:r>
      <w:r>
        <w:rPr>
          <w:w w:val="100"/>
        </w:rPr>
        <w:t>施</w:t>
      </w:r>
      <w:r>
        <w:rPr>
          <w:spacing w:val="-3"/>
          <w:w w:val="100"/>
        </w:rPr>
        <w:t>公</w:t>
      </w:r>
      <w:r>
        <w:rPr>
          <w:w w:val="100"/>
        </w:rPr>
        <w:t>告</w:t>
      </w:r>
      <w:r>
        <w:rPr>
          <w:spacing w:val="-87"/>
          <w:w w:val="100"/>
        </w:rPr>
        <w:t>》</w:t>
      </w:r>
      <w:r>
        <w:rPr>
          <w:w w:val="100"/>
        </w:rPr>
        <w:t>，以</w:t>
      </w:r>
      <w:r>
        <w:rPr>
          <w:spacing w:val="-24"/>
        </w:rPr>
        <w:t> </w:t>
      </w:r>
      <w:r>
        <w:rPr>
          <w:rFonts w:ascii="Times New Roman" w:hAnsi="Times New Roman" w:cs="Times New Roman" w:eastAsia="Times New Roman" w:hint="default"/>
          <w:w w:val="100"/>
        </w:rPr>
        <w:t>2016</w:t>
      </w:r>
      <w:r>
        <w:rPr>
          <w:rFonts w:ascii="Times New Roman" w:hAnsi="Times New Roman" w:cs="Times New Roman" w:eastAsia="Times New Roman" w:hint="default"/>
        </w:rPr>
        <w:t> </w:t>
      </w:r>
      <w:r>
        <w:rPr>
          <w:rFonts w:ascii="Times New Roman" w:hAnsi="Times New Roman" w:cs="Times New Roman" w:eastAsia="Times New Roman" w:hint="default"/>
          <w:spacing w:val="-24"/>
        </w:rPr>
        <w:t> </w:t>
      </w:r>
      <w:r>
        <w:rPr>
          <w:w w:val="100"/>
        </w:rPr>
        <w:t>年</w:t>
      </w:r>
      <w:r>
        <w:rPr>
          <w:spacing w:val="-21"/>
        </w:rPr>
        <w:t> </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rFonts w:ascii="Times New Roman" w:hAnsi="Times New Roman" w:cs="Times New Roman" w:eastAsia="Times New Roman" w:hint="default"/>
          <w:spacing w:val="-21"/>
        </w:rPr>
        <w:t> </w:t>
      </w:r>
      <w:r>
        <w:rPr>
          <w:w w:val="100"/>
        </w:rPr>
        <w:t>月</w:t>
      </w:r>
      <w:r>
        <w:rPr>
          <w:spacing w:val="-24"/>
        </w:rPr>
        <w:t> </w:t>
      </w:r>
      <w:r>
        <w:rPr>
          <w:rFonts w:ascii="Times New Roman" w:hAnsi="Times New Roman" w:cs="Times New Roman" w:eastAsia="Times New Roman" w:hint="default"/>
          <w:w w:val="100"/>
        </w:rPr>
        <w:t>30</w:t>
      </w:r>
      <w:r>
        <w:rPr>
          <w:rFonts w:ascii="Times New Roman" w:hAnsi="Times New Roman" w:cs="Times New Roman" w:eastAsia="Times New Roman" w:hint="default"/>
        </w:rPr>
        <w:t> </w:t>
      </w:r>
      <w:r>
        <w:rPr>
          <w:rFonts w:ascii="Times New Roman" w:hAnsi="Times New Roman" w:cs="Times New Roman" w:eastAsia="Times New Roman" w:hint="default"/>
          <w:spacing w:val="-24"/>
        </w:rPr>
        <w:t> </w:t>
      </w:r>
      <w:r>
        <w:rPr>
          <w:w w:val="100"/>
        </w:rPr>
        <w:t>日公</w:t>
      </w:r>
      <w:r>
        <w:rPr>
          <w:spacing w:val="-3"/>
          <w:w w:val="100"/>
        </w:rPr>
        <w:t>司</w:t>
      </w:r>
      <w:r>
        <w:rPr>
          <w:w w:val="100"/>
        </w:rPr>
        <w:t>总</w:t>
      </w:r>
      <w:r>
        <w:rPr>
          <w:spacing w:val="-3"/>
          <w:w w:val="100"/>
        </w:rPr>
        <w:t>股</w:t>
      </w:r>
      <w:r>
        <w:rPr>
          <w:w w:val="100"/>
        </w:rPr>
        <w:t>本</w:t>
      </w:r>
      <w:r>
        <w:rPr>
          <w:spacing w:val="-21"/>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0,37</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,9</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3</w:t>
      </w:r>
    </w:p>
    <w:p>
      <w:pPr>
        <w:pStyle w:val="BodyText"/>
        <w:spacing w:line="240" w:lineRule="auto" w:before="177"/>
        <w:ind w:right="1133"/>
        <w:jc w:val="left"/>
      </w:pPr>
      <w:r>
        <w:rPr/>
        <w:t>股为基数，以资本公积金向全体股东每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10 </w:t>
      </w:r>
      <w:r>
        <w:rPr/>
        <w:t>股，合计转增 </w:t>
      </w:r>
      <w:r>
        <w:rPr>
          <w:rFonts w:ascii="Times New Roman" w:hAnsi="Times New Roman" w:cs="Times New Roman" w:eastAsia="Times New Roman" w:hint="default"/>
        </w:rPr>
        <w:t>640,379,913</w:t>
      </w:r>
      <w:r>
        <w:rPr>
          <w:rFonts w:ascii="Times New Roman" w:hAnsi="Times New Roman" w:cs="Times New Roman" w:eastAsia="Times New Roman" w:hint="default"/>
          <w:spacing w:val="22"/>
        </w:rPr>
        <w:t> </w:t>
      </w:r>
      <w:r>
        <w:rPr/>
        <w:t>股，资本公积转增股本</w:t>
      </w:r>
    </w:p>
    <w:p>
      <w:pPr>
        <w:pStyle w:val="BodyText"/>
        <w:spacing w:line="240" w:lineRule="auto" w:before="177"/>
        <w:ind w:right="0"/>
        <w:jc w:val="left"/>
      </w:pPr>
      <w:r>
        <w:rPr/>
        <w:t>后，公司总股本将增加至 </w:t>
      </w:r>
      <w:r>
        <w:rPr>
          <w:rFonts w:ascii="Times New Roman" w:hAnsi="Times New Roman" w:cs="Times New Roman" w:eastAsia="Times New Roman" w:hint="default"/>
        </w:rPr>
        <w:t>1,280,759,826 </w:t>
      </w:r>
      <w:r>
        <w:rPr>
          <w:rFonts w:ascii="Times New Roman" w:hAnsi="Times New Roman" w:cs="Times New Roman" w:eastAsia="Times New Roman" w:hint="default"/>
          <w:spacing w:val="7"/>
        </w:rPr>
        <w:t> </w:t>
      </w:r>
      <w:r>
        <w:rPr>
          <w:spacing w:val="-3"/>
        </w:rPr>
        <w:t>股。以上股份符合解限售要求，于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30</w:t>
      </w:r>
      <w:r>
        <w:rPr>
          <w:spacing w:val="-3"/>
        </w:rPr>
        <w:t>日上市流通，无限</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1133"/>
        <w:jc w:val="left"/>
      </w:pPr>
      <w:r>
        <w:rPr/>
        <w:t>售流通股增加 </w:t>
      </w:r>
      <w:r>
        <w:rPr>
          <w:rFonts w:ascii="Times New Roman" w:hAnsi="Times New Roman" w:cs="Times New Roman" w:eastAsia="Times New Roman" w:hint="default"/>
        </w:rPr>
        <w:t>254,777,062</w:t>
      </w:r>
      <w:r>
        <w:rPr>
          <w:rFonts w:ascii="Times New Roman" w:hAnsi="Times New Roman" w:cs="Times New Roman" w:eastAsia="Times New Roman" w:hint="default"/>
          <w:spacing w:val="11"/>
        </w:rPr>
        <w:t> </w:t>
      </w:r>
      <w:r>
        <w:rPr/>
        <w:t>股。</w:t>
      </w:r>
    </w:p>
    <w:p>
      <w:pPr>
        <w:pStyle w:val="BodyText"/>
        <w:spacing w:line="240" w:lineRule="auto" w:before="177"/>
        <w:ind w:left="573" w:right="1133"/>
        <w:jc w:val="left"/>
      </w:pPr>
      <w:r>
        <w:rPr>
          <w:rFonts w:ascii="Times New Roman" w:hAnsi="Times New Roman" w:cs="Times New Roman" w:eastAsia="Times New Roman" w:hint="default"/>
        </w:rPr>
        <w:t>2.</w:t>
      </w:r>
      <w:r>
        <w:rPr/>
        <w:t>董事、高级管理人员徐大庆高管锁定股到期，无限售股份增加限售</w:t>
      </w:r>
      <w:r>
        <w:rPr>
          <w:rFonts w:ascii="Times New Roman" w:hAnsi="Times New Roman" w:cs="Times New Roman" w:eastAsia="Times New Roman" w:hint="default"/>
        </w:rPr>
        <w:t>102,000</w:t>
      </w:r>
      <w:r>
        <w:rPr/>
        <w:t>股。</w:t>
      </w:r>
    </w:p>
    <w:p>
      <w:pPr>
        <w:pStyle w:val="BodyText"/>
        <w:spacing w:line="240" w:lineRule="auto" w:before="177"/>
        <w:ind w:left="573" w:right="1133"/>
        <w:jc w:val="left"/>
      </w:pPr>
      <w:r>
        <w:rPr>
          <w:rFonts w:ascii="Times New Roman" w:hAnsi="Times New Roman" w:cs="Times New Roman" w:eastAsia="Times New Roman" w:hint="default"/>
        </w:rPr>
        <w:t>3.</w:t>
      </w:r>
      <w:r>
        <w:rPr/>
        <w:t>监事孙莉莉换届高管锁定股到期，无限售股份增加限售</w:t>
      </w:r>
      <w:r>
        <w:rPr>
          <w:rFonts w:ascii="Times New Roman" w:hAnsi="Times New Roman" w:cs="Times New Roman" w:eastAsia="Times New Roman" w:hint="default"/>
        </w:rPr>
        <w:t>90,750</w:t>
      </w:r>
      <w:r>
        <w:rPr/>
        <w:t>股。</w:t>
      </w:r>
    </w:p>
    <w:p>
      <w:pPr>
        <w:spacing w:before="162"/>
        <w:ind w:left="152" w:right="1133"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股份变动的过户情况</w:t>
      </w:r>
    </w:p>
    <w:p>
      <w:pPr>
        <w:spacing w:line="338" w:lineRule="auto" w:before="41"/>
        <w:ind w:left="152" w:right="8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股份回购的实施进展情况</w:t>
      </w:r>
    </w:p>
    <w:p>
      <w:pPr>
        <w:spacing w:line="340" w:lineRule="auto" w:before="43"/>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采用集中竞价方式减持回购股份的实施进展情况</w:t>
      </w:r>
    </w:p>
    <w:p>
      <w:pPr>
        <w:spacing w:line="340" w:lineRule="auto" w:before="40"/>
        <w:ind w:left="15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38" w:lineRule="auto" w:before="41"/>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公司认为必要或证券监管机构要求披露的其他内容</w:t>
      </w:r>
    </w:p>
    <w:p>
      <w:pPr>
        <w:spacing w:before="43"/>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bookmarkStart w:name="2、限售股份变动情况" w:id="110"/>
      <w:bookmarkEnd w:id="110"/>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4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仲桂兰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63,694,266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63,694,266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徐大庆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高管股锁定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孙莉莉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90,750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高管股锁定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31,847,132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31,847,132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72"/>
              <w:jc w:val="both"/>
              <w:rPr>
                <w:rFonts w:ascii="宋体" w:hAnsi="宋体" w:cs="宋体" w:eastAsia="宋体" w:hint="default"/>
                <w:sz w:val="18"/>
                <w:szCs w:val="18"/>
              </w:rPr>
            </w:pPr>
            <w:r>
              <w:rPr>
                <w:rFonts w:ascii="宋体" w:hAnsi="宋体" w:cs="宋体" w:eastAsia="宋体" w:hint="default"/>
                <w:sz w:val="18"/>
                <w:szCs w:val="18"/>
              </w:rPr>
              <w:t>佛山市科技孵化 合伙企业（有限 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31,847,132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31,847,132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北京富德昊邦投 资中心（有限合 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63,694,266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63,694,266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上海红樱资产管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63,694,266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63,694,266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高管股锁定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255,050,858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4" w:right="0"/>
              <w:jc w:val="left"/>
              <w:rPr>
                <w:rFonts w:ascii="Times New Roman" w:hAnsi="Times New Roman" w:cs="Times New Roman" w:eastAsia="Times New Roman" w:hint="default"/>
                <w:sz w:val="18"/>
                <w:szCs w:val="18"/>
              </w:rPr>
            </w:pPr>
            <w:r>
              <w:rPr>
                <w:rFonts w:ascii="Times New Roman"/>
                <w:sz w:val="18"/>
              </w:rPr>
              <w:t>254,969,812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81,046</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bookmarkStart w:name="二、证券发行与上市情况" w:id="111"/>
      <w:bookmarkEnd w:id="111"/>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bookmarkStart w:name="1、报告期内证券发行（不含优先股）情况" w:id="112"/>
      <w:bookmarkEnd w:id="112"/>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bookmarkStart w:name="2、公司股份总数及股东结构的变动、公司资产和负债结构的变动情况说明" w:id="113"/>
      <w:bookmarkEnd w:id="113"/>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6"/>
          <w:szCs w:val="26"/>
        </w:rPr>
      </w:pPr>
    </w:p>
    <w:p>
      <w:pPr>
        <w:pStyle w:val="Heading5"/>
        <w:spacing w:line="240" w:lineRule="auto"/>
        <w:ind w:right="1133"/>
        <w:jc w:val="left"/>
        <w:rPr>
          <w:b w:val="0"/>
          <w:bCs w:val="0"/>
        </w:rPr>
      </w:pPr>
      <w:bookmarkStart w:name="3、现存的内部职工股情况" w:id="114"/>
      <w:bookmarkEnd w:id="114"/>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bookmarkStart w:name="三、股东和实际控制人情况" w:id="115"/>
      <w:bookmarkEnd w:id="115"/>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bookmarkStart w:name="1、公司股东数量及持股情况" w:id="116"/>
      <w:bookmarkEnd w:id="116"/>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274"/>
        <w:gridCol w:w="934"/>
        <w:gridCol w:w="478"/>
        <w:gridCol w:w="697"/>
        <w:gridCol w:w="92"/>
        <w:gridCol w:w="785"/>
        <w:gridCol w:w="341"/>
        <w:gridCol w:w="449"/>
        <w:gridCol w:w="755"/>
        <w:gridCol w:w="872"/>
        <w:gridCol w:w="317"/>
        <w:gridCol w:w="1033"/>
        <w:gridCol w:w="140"/>
        <w:gridCol w:w="1208"/>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63" w:right="0"/>
              <w:jc w:val="left"/>
              <w:rPr>
                <w:rFonts w:ascii="Times New Roman" w:hAnsi="Times New Roman" w:cs="Times New Roman" w:eastAsia="Times New Roman" w:hint="default"/>
                <w:sz w:val="18"/>
                <w:szCs w:val="18"/>
              </w:rPr>
            </w:pPr>
            <w:r>
              <w:rPr>
                <w:rFonts w:ascii="Times New Roman"/>
                <w:sz w:val="18"/>
              </w:rPr>
              <w:t>96,047</w:t>
            </w:r>
          </w:p>
        </w:tc>
        <w:tc>
          <w:tcPr>
            <w:tcW w:w="1175"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92,798</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9"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9"/>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1" w:right="102"/>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7"/>
              <w:ind w:left="11" w:right="43"/>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71"/>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706"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9" w:space="0" w:color="D2D2D2"/>
              <w:bottom w:val="single" w:sz="4" w:space="0" w:color="000000"/>
              <w:right w:val="single" w:sz="9" w:space="0" w:color="D2D2D2"/>
            </w:tcBorders>
          </w:tcPr>
          <w:p>
            <w:pPr/>
          </w:p>
        </w:tc>
        <w:tc>
          <w:tcPr>
            <w:tcW w:w="1175"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10"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9" w:type="dxa"/>
            <w:gridSpan w:val="2"/>
            <w:vMerge/>
            <w:tcBorders>
              <w:left w:val="single" w:sz="10"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8" w:type="dxa"/>
            <w:vMerge/>
            <w:tcBorders>
              <w:left w:val="single" w:sz="10" w:space="0" w:color="D2D2D2"/>
              <w:bottom w:val="single" w:sz="4" w:space="0" w:color="000000"/>
              <w:right w:val="single" w:sz="4" w:space="0" w:color="000000"/>
            </w:tcBorders>
          </w:tcPr>
          <w:p>
            <w:pPr/>
          </w:p>
        </w:tc>
      </w:tr>
      <w:tr>
        <w:trPr>
          <w:trHeight w:val="391" w:hRule="exact"/>
        </w:trPr>
        <w:tc>
          <w:tcPr>
            <w:tcW w:w="9571"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3"/>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7"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1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8" w:type="dxa"/>
            <w:gridSpan w:val="4"/>
            <w:vMerge/>
            <w:tcBorders>
              <w:left w:val="single" w:sz="4" w:space="0" w:color="000000"/>
              <w:right w:val="single" w:sz="4" w:space="0" w:color="000000"/>
            </w:tcBorders>
            <w:shd w:val="clear" w:color="auto" w:fill="D2D2D2"/>
          </w:tcPr>
          <w:p>
            <w:pPr/>
          </w:p>
        </w:tc>
      </w:tr>
      <w:tr>
        <w:trPr>
          <w:trHeight w:val="142"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5"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8"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90" w:type="dxa"/>
            <w:gridSpan w:val="2"/>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敦化市康平投资 有限责任公司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36.65%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469,443,5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65</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-2005637</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4</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469,443,5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65</w:t>
            </w:r>
          </w:p>
        </w:tc>
        <w:tc>
          <w:tcPr>
            <w:tcW w:w="1349"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153"/>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469,443,533</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仲维光</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4.83%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61,922,55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61,922,55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61,922,552</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仲桂兰</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4.28%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54,837,90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-8856361</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54,837,90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54,837,839</w:t>
            </w:r>
          </w:p>
        </w:tc>
      </w:tr>
      <w:tr>
        <w:trPr>
          <w:trHeight w:val="102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北京富德昊邦投 资中心（有限合 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2.81%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36,046,54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36,046,54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27,350,000</w:t>
            </w: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上海红樱资产管</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2.75%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35,280,14</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20" w:right="0"/>
              <w:jc w:val="left"/>
              <w:rPr>
                <w:rFonts w:ascii="Times New Roman" w:hAnsi="Times New Roman" w:cs="Times New Roman" w:eastAsia="Times New Roman" w:hint="default"/>
                <w:sz w:val="18"/>
                <w:szCs w:val="18"/>
              </w:rPr>
            </w:pPr>
            <w:r>
              <w:rPr>
                <w:rFonts w:ascii="Times New Roman"/>
                <w:sz w:val="18"/>
              </w:rPr>
              <w:t>35,280,14</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28,680,000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69"/>
        <w:gridCol w:w="1412"/>
        <w:gridCol w:w="790"/>
        <w:gridCol w:w="785"/>
        <w:gridCol w:w="790"/>
        <w:gridCol w:w="787"/>
        <w:gridCol w:w="840"/>
        <w:gridCol w:w="1349"/>
        <w:gridCol w:w="1349"/>
      </w:tblGrid>
      <w:tr>
        <w:trPr>
          <w:trHeight w:val="36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41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佛山市科技孵化 </w:t>
            </w:r>
            <w:r>
              <w:rPr>
                <w:rFonts w:ascii="宋体" w:hAnsi="宋体" w:cs="宋体" w:eastAsia="宋体" w:hint="default"/>
                <w:spacing w:val="-4"/>
                <w:sz w:val="18"/>
                <w:szCs w:val="18"/>
              </w:rPr>
              <w:t>合伙企业（有限合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25,924,74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25,924,74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4,777,070</w:t>
            </w: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郭华</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15,940,000</w:t>
            </w: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王俭英</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9,613,733</w:t>
            </w:r>
          </w:p>
        </w:tc>
        <w:tc>
          <w:tcPr>
            <w:tcW w:w="7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9,613,733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龙士学</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8,313,600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8,313,600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中国农业银行股 份有限公司－中 证</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交易型开放 式指数证券投资 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6,039,682</w:t>
            </w:r>
          </w:p>
        </w:tc>
        <w:tc>
          <w:tcPr>
            <w:tcW w:w="7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6,039,682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0"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73"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90" w:type="dxa"/>
            <w:gridSpan w:val="7"/>
            <w:vMerge w:val="restart"/>
            <w:tcBorders>
              <w:top w:val="single" w:sz="4" w:space="0" w:color="000000"/>
              <w:left w:val="single" w:sz="10" w:space="0" w:color="D2D2D2"/>
              <w:right w:val="single" w:sz="4" w:space="0" w:color="000000"/>
            </w:tcBorders>
          </w:tcPr>
          <w:p>
            <w:pPr>
              <w:pStyle w:val="TableParagraph"/>
              <w:spacing w:line="304" w:lineRule="auto" w:before="49"/>
              <w:ind w:left="19" w:right="20"/>
              <w:jc w:val="both"/>
              <w:rPr>
                <w:rFonts w:ascii="宋体" w:hAnsi="宋体" w:cs="宋体" w:eastAsia="宋体" w:hint="default"/>
                <w:sz w:val="18"/>
                <w:szCs w:val="18"/>
              </w:rPr>
            </w:pPr>
            <w:r>
              <w:rPr>
                <w:rFonts w:ascii="宋体" w:hAnsi="宋体" w:cs="宋体" w:eastAsia="宋体" w:hint="default"/>
                <w:sz w:val="18"/>
                <w:szCs w:val="18"/>
              </w:rPr>
              <w:t>郭春生先生通过其亲属持有康平公司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53.80%</w:t>
            </w:r>
            <w:r>
              <w:rPr>
                <w:rFonts w:ascii="宋体" w:hAnsi="宋体" w:cs="宋体" w:eastAsia="宋体" w:hint="default"/>
                <w:sz w:val="18"/>
                <w:szCs w:val="18"/>
              </w:rPr>
              <w:t>的股份，康平公司持有本公司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36.65%</w:t>
            </w:r>
            <w:r>
              <w:rPr>
                <w:rFonts w:ascii="宋体" w:hAnsi="宋体" w:cs="宋体" w:eastAsia="宋体" w:hint="default"/>
                <w:sz w:val="18"/>
                <w:szCs w:val="18"/>
              </w:rPr>
              <w:t>的 股份，而持有本公司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4.83%</w:t>
            </w:r>
            <w:r>
              <w:rPr>
                <w:rFonts w:ascii="宋体" w:hAnsi="宋体" w:cs="宋体" w:eastAsia="宋体" w:hint="default"/>
                <w:sz w:val="18"/>
                <w:szCs w:val="18"/>
              </w:rPr>
              <w:t>股份的自然人股东仲维光与持有本公司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4.28%</w:t>
            </w:r>
            <w:r>
              <w:rPr>
                <w:rFonts w:ascii="宋体" w:hAnsi="宋体" w:cs="宋体" w:eastAsia="宋体" w:hint="default"/>
                <w:sz w:val="18"/>
                <w:szCs w:val="18"/>
              </w:rPr>
              <w:t>股份的自然 </w:t>
            </w:r>
            <w:r>
              <w:rPr>
                <w:rFonts w:ascii="宋体" w:hAnsi="宋体" w:cs="宋体" w:eastAsia="宋体" w:hint="default"/>
                <w:spacing w:val="-1"/>
                <w:sz w:val="18"/>
                <w:szCs w:val="18"/>
              </w:rPr>
              <w:t>人股东仲桂兰为郭春生先生的亲属，所以康平公司、仲桂兰女士与仲维光先生存在关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联关系。除上述情况外，其他前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名股东之间未知是否存在关联关系，也未知是否 属于一致行动人。</w:t>
            </w:r>
          </w:p>
        </w:tc>
      </w:tr>
      <w:tr>
        <w:trPr>
          <w:trHeight w:val="703"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0" w:type="dxa"/>
            <w:gridSpan w:val="7"/>
            <w:vMerge/>
            <w:tcBorders>
              <w:left w:val="single" w:sz="10" w:space="0" w:color="D2D2D2"/>
              <w:right w:val="single" w:sz="4" w:space="0" w:color="000000"/>
            </w:tcBorders>
          </w:tcPr>
          <w:p>
            <w:pPr/>
          </w:p>
        </w:tc>
      </w:tr>
      <w:tr>
        <w:trPr>
          <w:trHeight w:val="473"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90" w:type="dxa"/>
            <w:gridSpan w:val="7"/>
            <w:vMerge/>
            <w:tcBorders>
              <w:left w:val="single" w:sz="10" w:space="0" w:color="D2D2D2"/>
              <w:bottom w:val="single" w:sz="4" w:space="0" w:color="000000"/>
              <w:right w:val="single" w:sz="4" w:space="0" w:color="000000"/>
            </w:tcBorders>
          </w:tcPr>
          <w:p>
            <w:pPr/>
          </w:p>
        </w:tc>
      </w:tr>
      <w:tr>
        <w:trPr>
          <w:trHeight w:val="404"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2"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2"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92"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2"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敦化市康平投资有限责任公司</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469,443,565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469,443,565</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仲维光</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61,922,552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61,922,552</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仲桂兰</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54,837,905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54,837,905</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33"/>
              <w:jc w:val="left"/>
              <w:rPr>
                <w:rFonts w:ascii="宋体" w:hAnsi="宋体" w:cs="宋体" w:eastAsia="宋体" w:hint="default"/>
                <w:sz w:val="18"/>
                <w:szCs w:val="18"/>
              </w:rPr>
            </w:pPr>
            <w:r>
              <w:rPr>
                <w:rFonts w:ascii="宋体" w:hAnsi="宋体" w:cs="宋体" w:eastAsia="宋体" w:hint="default"/>
                <w:sz w:val="18"/>
                <w:szCs w:val="18"/>
              </w:rPr>
              <w:t>北京富德昊邦投资中心（有限合伙）</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36,046,546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36,046,546</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上海红樱资产管理有限公司</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35,280,140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35,280,140</w:t>
            </w:r>
          </w:p>
        </w:tc>
      </w:tr>
      <w:tr>
        <w:trPr>
          <w:trHeight w:val="716"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佛山市科技孵化合伙企业（有限合 伙）</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25,924,740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25,924,740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郭华</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15,940,000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王俭英</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9,613,733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9,613,733</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龙士学</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8,313,600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8,313,600</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中国农业银行股份有限公司－中证</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交易型开放式指数证券投资基金</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6,039,682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6,039,682</w:t>
            </w:r>
          </w:p>
        </w:tc>
      </w:tr>
      <w:tr>
        <w:trPr>
          <w:trHeight w:val="674"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及前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tc>
        <w:tc>
          <w:tcPr>
            <w:tcW w:w="6690"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48"/>
              <w:jc w:val="left"/>
              <w:rPr>
                <w:rFonts w:ascii="宋体" w:hAnsi="宋体" w:cs="宋体" w:eastAsia="宋体" w:hint="default"/>
                <w:sz w:val="18"/>
                <w:szCs w:val="18"/>
              </w:rPr>
            </w:pPr>
            <w:r>
              <w:rPr>
                <w:rFonts w:ascii="宋体" w:hAnsi="宋体" w:cs="宋体" w:eastAsia="宋体" w:hint="default"/>
                <w:sz w:val="18"/>
                <w:szCs w:val="18"/>
              </w:rPr>
              <w:t>郭春生先生通过其亲属持有康平公司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53.80%</w:t>
            </w:r>
            <w:r>
              <w:rPr>
                <w:rFonts w:ascii="宋体" w:hAnsi="宋体" w:cs="宋体" w:eastAsia="宋体" w:hint="default"/>
                <w:sz w:val="18"/>
                <w:szCs w:val="18"/>
              </w:rPr>
              <w:t>的股份，康平公司持有本公司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36.65%</w:t>
            </w:r>
            <w:r>
              <w:rPr>
                <w:rFonts w:ascii="宋体" w:hAnsi="宋体" w:cs="宋体" w:eastAsia="宋体" w:hint="default"/>
                <w:sz w:val="18"/>
                <w:szCs w:val="18"/>
              </w:rPr>
              <w:t>的 股份，而持有本公司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4.83%</w:t>
            </w:r>
            <w:r>
              <w:rPr>
                <w:rFonts w:ascii="宋体" w:hAnsi="宋体" w:cs="宋体" w:eastAsia="宋体" w:hint="default"/>
                <w:sz w:val="18"/>
                <w:szCs w:val="18"/>
              </w:rPr>
              <w:t>股份的自然人股东仲维光与持有本公司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4.28%</w:t>
            </w:r>
            <w:r>
              <w:rPr>
                <w:rFonts w:ascii="宋体" w:hAnsi="宋体" w:cs="宋体" w:eastAsia="宋体" w:hint="default"/>
                <w:sz w:val="18"/>
                <w:szCs w:val="18"/>
              </w:rPr>
              <w:t>股份的自然</w:t>
            </w:r>
          </w:p>
        </w:tc>
      </w:tr>
    </w:tbl>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0"/>
        <w:gridCol w:w="6690"/>
      </w:tblGrid>
      <w:tr>
        <w:trPr>
          <w:trHeight w:val="987"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145"/>
              <w:jc w:val="left"/>
              <w:rPr>
                <w:rFonts w:ascii="宋体" w:hAnsi="宋体" w:cs="宋体" w:eastAsia="宋体" w:hint="default"/>
                <w:sz w:val="18"/>
                <w:szCs w:val="18"/>
              </w:rPr>
            </w:pPr>
            <w:r>
              <w:rPr>
                <w:rFonts w:ascii="宋体" w:hAnsi="宋体" w:cs="宋体" w:eastAsia="宋体" w:hint="default"/>
                <w:sz w:val="18"/>
                <w:szCs w:val="18"/>
              </w:rPr>
              <w:t>名股东之间关联关系或一致行动的 说明</w:t>
            </w:r>
          </w:p>
        </w:tc>
        <w:tc>
          <w:tcPr>
            <w:tcW w:w="66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6" w:right="20"/>
              <w:jc w:val="both"/>
              <w:rPr>
                <w:rFonts w:ascii="宋体" w:hAnsi="宋体" w:cs="宋体" w:eastAsia="宋体" w:hint="default"/>
                <w:sz w:val="18"/>
                <w:szCs w:val="18"/>
              </w:rPr>
            </w:pPr>
            <w:r>
              <w:rPr>
                <w:rFonts w:ascii="宋体" w:hAnsi="宋体" w:cs="宋体" w:eastAsia="宋体" w:hint="default"/>
                <w:spacing w:val="-1"/>
                <w:sz w:val="18"/>
                <w:szCs w:val="18"/>
              </w:rPr>
              <w:t>人股东仲桂兰为郭春生先生的亲属，所以康平公司、仲桂兰女士与仲维光先生存在关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联关系。除上述情况外，其他前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名股东之间未知是否存在关联关系，也未知是否 属于一致行动人。</w:t>
            </w:r>
          </w:p>
        </w:tc>
      </w:tr>
      <w:tr>
        <w:trPr>
          <w:trHeight w:val="1025"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龙士学通过江海证券有限公司客户信用交易担保证券账户持有本公司无限售股份</w:t>
            </w:r>
          </w:p>
          <w:p>
            <w:pPr>
              <w:pStyle w:val="TableParagraph"/>
              <w:spacing w:line="240" w:lineRule="auto" w:before="76"/>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8,313,600 </w:t>
            </w:r>
            <w:r>
              <w:rPr>
                <w:rFonts w:ascii="宋体" w:hAnsi="宋体" w:cs="宋体" w:eastAsia="宋体" w:hint="default"/>
                <w:spacing w:val="-3"/>
                <w:sz w:val="18"/>
                <w:szCs w:val="18"/>
              </w:rPr>
              <w:t>股，普通证券账户持有本公司无限售流通股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股，合计持有公司无限售流通</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8,313,600 </w:t>
            </w:r>
            <w:r>
              <w:rPr>
                <w:rFonts w:ascii="宋体" w:hAnsi="宋体" w:cs="宋体" w:eastAsia="宋体" w:hint="default"/>
                <w:sz w:val="18"/>
                <w:szCs w:val="18"/>
              </w:rPr>
              <w:t>股。</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1"/>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bookmarkStart w:name="2、公司控股股东情况" w:id="117"/>
      <w:bookmarkEnd w:id="117"/>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26"/>
          <w:szCs w:val="26"/>
        </w:rPr>
      </w:pPr>
    </w:p>
    <w:p>
      <w:pPr>
        <w:spacing w:line="360" w:lineRule="auto" w:before="0"/>
        <w:ind w:left="152" w:right="859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控股股东类型：法人</w:t>
      </w:r>
    </w:p>
    <w:tbl>
      <w:tblPr>
        <w:tblW w:w="0" w:type="auto"/>
        <w:jc w:val="left"/>
        <w:tblInd w:w="148" w:type="dxa"/>
        <w:tblLayout w:type="fixed"/>
        <w:tblCellMar>
          <w:top w:w="0" w:type="dxa"/>
          <w:left w:w="0" w:type="dxa"/>
          <w:bottom w:w="0" w:type="dxa"/>
          <w:right w:w="0" w:type="dxa"/>
        </w:tblCellMar>
        <w:tblLook w:val="01E0"/>
      </w:tblPr>
      <w:tblGrid>
        <w:gridCol w:w="1997"/>
        <w:gridCol w:w="1829"/>
        <w:gridCol w:w="1894"/>
        <w:gridCol w:w="1934"/>
        <w:gridCol w:w="1916"/>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821" w:right="72"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敦化市康平投资有限责 任公司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郭春辉</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91222403244835987T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对外投资</w:t>
            </w:r>
          </w:p>
        </w:tc>
      </w:tr>
      <w:tr>
        <w:trPr>
          <w:trHeight w:val="1027"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控股股东报告期内无控股和参股其他境内外上市公司的股权情况。</w:t>
            </w:r>
          </w:p>
        </w:tc>
      </w:tr>
    </w:tbl>
    <w:p>
      <w:pPr>
        <w:spacing w:before="67"/>
        <w:ind w:left="152" w:right="1133"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5"/>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5"/>
        <w:rPr>
          <w:rFonts w:ascii="宋体" w:hAnsi="宋体" w:cs="宋体" w:eastAsia="宋体" w:hint="default"/>
          <w:sz w:val="21"/>
          <w:szCs w:val="21"/>
        </w:rPr>
      </w:pPr>
    </w:p>
    <w:p>
      <w:pPr>
        <w:pStyle w:val="Heading5"/>
        <w:spacing w:line="240" w:lineRule="auto"/>
        <w:ind w:right="1133"/>
        <w:jc w:val="left"/>
        <w:rPr>
          <w:b w:val="0"/>
          <w:bCs w:val="0"/>
        </w:rPr>
      </w:pPr>
      <w:bookmarkStart w:name="3、公司实际控制人及其一致行动人" w:id="118"/>
      <w:bookmarkEnd w:id="118"/>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841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郭春生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月起任通化紫金药业有限责任公司（本公司前身）董事长兼总经理，</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p>
          <w:p>
            <w:pPr>
              <w:pStyle w:val="TableParagraph"/>
              <w:spacing w:line="300" w:lineRule="auto" w:before="63"/>
              <w:ind w:left="23" w:right="23"/>
              <w:jc w:val="left"/>
              <w:rPr>
                <w:rFonts w:ascii="宋体" w:hAnsi="宋体" w:cs="宋体" w:eastAsia="宋体" w:hint="default"/>
                <w:sz w:val="18"/>
                <w:szCs w:val="18"/>
              </w:rPr>
            </w:pPr>
            <w:r>
              <w:rPr>
                <w:rFonts w:ascii="宋体" w:hAnsi="宋体" w:cs="宋体" w:eastAsia="宋体" w:hint="default"/>
                <w:sz w:val="18"/>
                <w:szCs w:val="18"/>
              </w:rPr>
              <w:t>辞去吉林紫鑫药业股份有限公司董事长及总经理职务，继续担任董事，</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日董 </w:t>
            </w:r>
            <w:r>
              <w:rPr>
                <w:rFonts w:ascii="宋体" w:hAnsi="宋体" w:cs="宋体" w:eastAsia="宋体" w:hint="default"/>
                <w:sz w:val="18"/>
                <w:szCs w:val="18"/>
              </w:rPr>
              <w:t>事任期届满后，不再公司担任任何职务。</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70"/>
        <w:ind w:left="152" w:right="1133"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0" w:lineRule="auto" w:before="115"/>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w:t>
      </w:r>
    </w:p>
    <w:p>
      <w:pPr>
        <w:spacing w:after="0" w:line="3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p>
      <w:pPr>
        <w:spacing w:line="3795" w:lineRule="exact"/>
        <w:ind w:left="1355" w:right="0" w:firstLine="0"/>
        <w:rPr>
          <w:rFonts w:ascii="宋体" w:hAnsi="宋体" w:cs="宋体" w:eastAsia="宋体" w:hint="default"/>
          <w:sz w:val="20"/>
          <w:szCs w:val="20"/>
        </w:rPr>
      </w:pPr>
      <w:r>
        <w:rPr>
          <w:rFonts w:ascii="宋体" w:hAnsi="宋体" w:cs="宋体" w:eastAsia="宋体" w:hint="default"/>
          <w:position w:val="-75"/>
          <w:sz w:val="20"/>
          <w:szCs w:val="20"/>
        </w:rPr>
        <w:drawing>
          <wp:inline distT="0" distB="0" distL="0" distR="0">
            <wp:extent cx="4591170" cy="240982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4591170" cy="2409825"/>
                    </a:xfrm>
                    <a:prstGeom prst="rect">
                      <a:avLst/>
                    </a:prstGeom>
                  </pic:spPr>
                </pic:pic>
              </a:graphicData>
            </a:graphic>
          </wp:inline>
        </w:drawing>
      </w:r>
      <w:r>
        <w:rPr>
          <w:rFonts w:ascii="宋体" w:hAnsi="宋体" w:cs="宋体" w:eastAsia="宋体" w:hint="default"/>
          <w:position w:val="-75"/>
          <w:sz w:val="20"/>
          <w:szCs w:val="20"/>
        </w:rPr>
      </w:r>
    </w:p>
    <w:p>
      <w:pPr>
        <w:spacing w:line="240" w:lineRule="auto" w:before="6"/>
        <w:rPr>
          <w:rFonts w:ascii="宋体" w:hAnsi="宋体" w:cs="宋体" w:eastAsia="宋体" w:hint="default"/>
          <w:sz w:val="22"/>
          <w:szCs w:val="22"/>
        </w:rPr>
      </w:pPr>
    </w:p>
    <w:p>
      <w:pPr>
        <w:pStyle w:val="Heading4"/>
        <w:spacing w:line="240" w:lineRule="auto"/>
        <w:ind w:right="1133"/>
        <w:jc w:val="left"/>
      </w:pPr>
      <w:r>
        <w:rPr/>
        <w:t>实际控制人通过信托或其他资产管理方式控制公司</w:t>
      </w:r>
    </w:p>
    <w:p>
      <w:pPr>
        <w:spacing w:line="240" w:lineRule="auto" w:before="8"/>
        <w:rPr>
          <w:rFonts w:ascii="宋体" w:hAnsi="宋体" w:cs="宋体" w:eastAsia="宋体" w:hint="default"/>
          <w:sz w:val="18"/>
          <w:szCs w:val="18"/>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bookmarkStart w:name="4、其他持股在10%以上的法人股东" w:id="119"/>
      <w:bookmarkEnd w:id="119"/>
      <w:r>
        <w:rPr>
          <w:b w:val="0"/>
          <w:bCs w:val="0"/>
        </w:rPr>
      </w: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bookmarkStart w:name="5、控股股东、实际控制人、重组方及其他承诺主体股份限制减持情况" w:id="120"/>
      <w:bookmarkEnd w:id="120"/>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5"/>
        <w:rPr>
          <w:rFonts w:ascii="宋体" w:hAnsi="宋体" w:cs="宋体" w:eastAsia="宋体" w:hint="default"/>
          <w:b/>
          <w:bCs/>
          <w:sz w:val="26"/>
          <w:szCs w:val="26"/>
        </w:rPr>
      </w:pPr>
    </w:p>
    <w:p>
      <w:pPr>
        <w:spacing w:line="415" w:lineRule="auto" w:before="0"/>
        <w:ind w:left="532" w:right="1194" w:hanging="38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公司控股股东敦化市康平投资有限责任公司与其一致行动人仲维光及仲桂兰未能按照股票质押式回购业务交易协议约</w:t>
      </w:r>
    </w:p>
    <w:p>
      <w:pPr>
        <w:spacing w:line="477" w:lineRule="auto" w:before="101"/>
        <w:ind w:left="152" w:right="0" w:firstLine="0"/>
        <w:jc w:val="left"/>
        <w:rPr>
          <w:rFonts w:ascii="宋体" w:hAnsi="宋体" w:cs="宋体" w:eastAsia="宋体" w:hint="default"/>
          <w:sz w:val="18"/>
          <w:szCs w:val="18"/>
        </w:rPr>
      </w:pPr>
      <w:r>
        <w:rPr/>
        <w:pict>
          <v:shape style="position:absolute;margin-left:56.279999pt;margin-top:47.481754pt;width:446.05pt;height:207.1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66"/>
                    <w:gridCol w:w="1621"/>
                    <w:gridCol w:w="2266"/>
                    <w:gridCol w:w="1426"/>
                    <w:gridCol w:w="1921"/>
                  </w:tblGrid>
                  <w:tr>
                    <w:trPr>
                      <w:trHeight w:val="658" w:hRule="exact"/>
                    </w:trPr>
                    <w:tc>
                      <w:tcPr>
                        <w:tcW w:w="889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减持明细表</w:t>
                        </w:r>
                        <w:r>
                          <w:rPr>
                            <w:rFonts w:ascii="宋体" w:hAnsi="宋体" w:cs="宋体" w:eastAsia="宋体" w:hint="default"/>
                            <w:sz w:val="18"/>
                            <w:szCs w:val="18"/>
                          </w:rPr>
                        </w:r>
                      </w:p>
                    </w:tc>
                  </w:tr>
                  <w:tr>
                    <w:trPr>
                      <w:trHeight w:val="348" w:hRule="exact"/>
                    </w:trPr>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66" w:right="0"/>
                          <w:jc w:val="left"/>
                          <w:rPr>
                            <w:rFonts w:ascii="宋体" w:hAnsi="宋体" w:cs="宋体" w:eastAsia="宋体" w:hint="default"/>
                            <w:sz w:val="18"/>
                            <w:szCs w:val="18"/>
                          </w:rPr>
                        </w:pPr>
                        <w:r>
                          <w:rPr>
                            <w:rFonts w:ascii="宋体" w:hAnsi="宋体" w:cs="宋体" w:eastAsia="宋体" w:hint="default"/>
                            <w:b/>
                            <w:bCs/>
                            <w:sz w:val="18"/>
                            <w:szCs w:val="18"/>
                          </w:rPr>
                          <w:t>减持股东</w:t>
                        </w:r>
                        <w:r>
                          <w:rPr>
                            <w:rFonts w:ascii="宋体" w:hAnsi="宋体" w:cs="宋体" w:eastAsia="宋体" w:hint="default"/>
                            <w:sz w:val="18"/>
                            <w:szCs w:val="18"/>
                          </w:rPr>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 w:right="0"/>
                          <w:jc w:val="center"/>
                          <w:rPr>
                            <w:rFonts w:ascii="宋体" w:hAnsi="宋体" w:cs="宋体" w:eastAsia="宋体" w:hint="default"/>
                            <w:sz w:val="18"/>
                            <w:szCs w:val="18"/>
                          </w:rPr>
                        </w:pPr>
                        <w:r>
                          <w:rPr>
                            <w:rFonts w:ascii="宋体" w:hAnsi="宋体" w:cs="宋体" w:eastAsia="宋体" w:hint="default"/>
                            <w:b/>
                            <w:bCs/>
                            <w:sz w:val="18"/>
                            <w:szCs w:val="18"/>
                          </w:rPr>
                          <w:t>日期</w:t>
                        </w:r>
                        <w:r>
                          <w:rPr>
                            <w:rFonts w:ascii="宋体" w:hAnsi="宋体" w:cs="宋体" w:eastAsia="宋体" w:hint="default"/>
                            <w:sz w:val="18"/>
                            <w:szCs w:val="18"/>
                          </w:rPr>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减持数量（股）</w:t>
                        </w:r>
                        <w:r>
                          <w:rPr>
                            <w:rFonts w:ascii="宋体" w:hAnsi="宋体" w:cs="宋体" w:eastAsia="宋体" w:hint="default"/>
                            <w:sz w:val="18"/>
                            <w:szCs w:val="18"/>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均价</w:t>
                        </w:r>
                        <w:r>
                          <w:rPr>
                            <w:rFonts w:ascii="宋体" w:hAnsi="宋体" w:cs="宋体" w:eastAsia="宋体" w:hint="default"/>
                            <w:sz w:val="18"/>
                            <w:szCs w:val="18"/>
                          </w:rPr>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89"/>
                          <w:jc w:val="right"/>
                          <w:rPr>
                            <w:rFonts w:ascii="宋体" w:hAnsi="宋体" w:cs="宋体" w:eastAsia="宋体" w:hint="default"/>
                            <w:sz w:val="18"/>
                            <w:szCs w:val="18"/>
                          </w:rPr>
                        </w:pPr>
                        <w:r>
                          <w:rPr>
                            <w:rFonts w:ascii="宋体" w:hAnsi="宋体" w:cs="宋体" w:eastAsia="宋体" w:hint="default"/>
                            <w:b/>
                            <w:bCs/>
                            <w:w w:val="95"/>
                            <w:sz w:val="18"/>
                            <w:szCs w:val="18"/>
                          </w:rPr>
                          <w:t>减持方式</w:t>
                        </w:r>
                        <w:r>
                          <w:rPr>
                            <w:rFonts w:ascii="宋体" w:hAnsi="宋体" w:cs="宋体" w:eastAsia="宋体" w:hint="default"/>
                            <w:sz w:val="18"/>
                            <w:szCs w:val="18"/>
                          </w:rPr>
                        </w:r>
                      </w:p>
                    </w:tc>
                  </w:tr>
                  <w:tr>
                    <w:trPr>
                      <w:trHeight w:val="346" w:hRule="exact"/>
                    </w:trPr>
                    <w:tc>
                      <w:tcPr>
                        <w:tcW w:w="16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康平公司</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2019/5/10</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1,237,500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10.88</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90"/>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9"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2019/5/13</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1,092,100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10.54</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90"/>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8"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2019/5/14</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1,900,000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10.48</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90"/>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6"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2019/5/31</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1,968,000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8.38</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90"/>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8"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2019/6/3</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1,496,000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7.85</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90"/>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6"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2019/6/4</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1,140,000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7.90</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88"/>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8"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2019/6/5</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880,000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7.57</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90"/>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8"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2019/6/6</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683,000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7.36</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90"/>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6" w:hRule="exact"/>
                    </w:trPr>
                    <w:tc>
                      <w:tcPr>
                        <w:tcW w:w="1666" w:type="dxa"/>
                        <w:vMerge/>
                        <w:tcBorders>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2019/6/10</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529,000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7.31</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90"/>
                          <w:jc w:val="right"/>
                          <w:rPr>
                            <w:rFonts w:ascii="宋体" w:hAnsi="宋体" w:cs="宋体" w:eastAsia="宋体" w:hint="default"/>
                            <w:sz w:val="18"/>
                            <w:szCs w:val="18"/>
                          </w:rPr>
                        </w:pPr>
                        <w:r>
                          <w:rPr>
                            <w:rFonts w:ascii="宋体" w:hAnsi="宋体" w:cs="宋体" w:eastAsia="宋体" w:hint="default"/>
                            <w:sz w:val="18"/>
                            <w:szCs w:val="18"/>
                          </w:rPr>
                          <w:t>集中竞价</w:t>
                        </w:r>
                      </w:p>
                    </w:tc>
                  </w:tr>
                </w:tbl>
                <w:p>
                  <w:pPr/>
                </w:p>
              </w:txbxContent>
            </v:textbox>
            <w10:wrap type="none"/>
          </v:shape>
        </w:pict>
      </w:r>
      <w:r>
        <w:rPr>
          <w:rFonts w:ascii="宋体" w:hAnsi="宋体" w:cs="宋体" w:eastAsia="宋体" w:hint="default"/>
          <w:spacing w:val="-2"/>
          <w:sz w:val="18"/>
          <w:szCs w:val="18"/>
        </w:rPr>
        <w:t>定购回股票，相关质权人可能对康平公司与其一致行动人仲维光及仲桂兰已违约的股票进行平仓处理，导致康平公司与其一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致行动人仲维光及仲桂兰被动减持其持有的股份。具体减持情况如下：</w:t>
      </w:r>
    </w:p>
    <w:p>
      <w:pPr>
        <w:spacing w:after="0" w:line="477"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666"/>
        <w:gridCol w:w="1621"/>
        <w:gridCol w:w="2266"/>
        <w:gridCol w:w="1426"/>
        <w:gridCol w:w="1924"/>
      </w:tblGrid>
      <w:tr>
        <w:trPr>
          <w:trHeight w:val="348" w:hRule="exact"/>
        </w:trPr>
        <w:tc>
          <w:tcPr>
            <w:tcW w:w="1666" w:type="dxa"/>
            <w:vMerge w:val="restart"/>
            <w:tcBorders>
              <w:top w:val="single" w:sz="6" w:space="0" w:color="000000"/>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2019/6/11</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412,000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7.34</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6"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2019/6/12</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311,000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7.45</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8"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2019/6/13</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252,000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7.52</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6"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2019/6/14</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197,000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7.58</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8"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2019/6/17</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153,000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7.40</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8"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2019/6/18</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120,700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7.32</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6"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2019/6/20</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7.65</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8"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2019/8/8</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349,600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5.74</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6"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2019/8/9</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270,000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5.73</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8"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2019/8/9</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155,000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5.66</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6"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2019/8/12</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469,000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5.47</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9"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2019/8/12</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383,981</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5.53</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8"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2019/8/12</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820,000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5.49</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6"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2019/8/13</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263,000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5.54</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8"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2019/8/13</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463,000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5.54</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6"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2019/8/14</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174,000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5.65</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8"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2019/8/14</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152,300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5.68</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8"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2019/8/14</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143,127</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5.65</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6"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2019/8/15</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206,000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5.66</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8"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2019/8/16</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3,810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5.67</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6"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2019/8/29</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270,900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6.63</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8"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2019/8/30</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523,900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6.39</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6"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2019/9/2</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340,000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6.34</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8"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2019/9/2</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453,350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6.35</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8"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2019/9/2</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971,600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6.37</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6"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2019/9/3</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778,544</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6.38</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8"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2019/9/3</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450,000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6.39</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6"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2019/9/4</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382,000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6.35</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8"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2019/9/4</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659,700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6.37</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8"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2019/9/5</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207,462</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6.43</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6"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2019/9/5</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254,000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6.44</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9"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2019/9/5</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438,400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6.47</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6"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2019/9/6</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48,000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6.34</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8"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2019/9/9</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263,000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6.37</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6"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2019/11/6</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349,600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6.25</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8"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2019/11/7</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425,000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5.86</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8"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2019/11/8</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579,000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5.77</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6"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2019/11/11</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870,000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5.52</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8"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2019/11/11</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384,100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5.53</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92"/>
              <w:jc w:val="right"/>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8" w:hRule="exact"/>
        </w:trPr>
        <w:tc>
          <w:tcPr>
            <w:tcW w:w="1666" w:type="dxa"/>
            <w:vMerge/>
            <w:tcBorders>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2019/11/12</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814,800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5.51</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93"/>
              <w:jc w:val="right"/>
              <w:rPr>
                <w:rFonts w:ascii="宋体" w:hAnsi="宋体" w:cs="宋体" w:eastAsia="宋体" w:hint="default"/>
                <w:sz w:val="18"/>
                <w:szCs w:val="18"/>
              </w:rPr>
            </w:pPr>
            <w:r>
              <w:rPr>
                <w:rFonts w:ascii="宋体" w:hAnsi="宋体" w:cs="宋体" w:eastAsia="宋体" w:hint="default"/>
                <w:sz w:val="18"/>
                <w:szCs w:val="18"/>
              </w:rPr>
              <w:t>集中竞价</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666"/>
        <w:gridCol w:w="1621"/>
        <w:gridCol w:w="2266"/>
        <w:gridCol w:w="1426"/>
        <w:gridCol w:w="1921"/>
      </w:tblGrid>
      <w:tr>
        <w:trPr>
          <w:trHeight w:val="348" w:hRule="exact"/>
        </w:trPr>
        <w:tc>
          <w:tcPr>
            <w:tcW w:w="1666" w:type="dxa"/>
            <w:vMerge w:val="restart"/>
            <w:tcBorders>
              <w:top w:val="single" w:sz="6" w:space="0" w:color="000000"/>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2019/11/13</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333,000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5.51</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6"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2019/11/14</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298,000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5.51</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8"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2019/11/18</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336,000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5.58</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6"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2019/11/19</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234,000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5.63</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8"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2019/12/2</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724,600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5.40</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8"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2019/12/2</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582,000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5.41</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6"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2019/12/2</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542,600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5.44</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8"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2019/12/2</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65" w:right="0"/>
              <w:jc w:val="left"/>
              <w:rPr>
                <w:rFonts w:ascii="Times New Roman" w:hAnsi="Times New Roman" w:cs="Times New Roman" w:eastAsia="Times New Roman" w:hint="default"/>
                <w:sz w:val="18"/>
                <w:szCs w:val="18"/>
              </w:rPr>
            </w:pPr>
            <w:r>
              <w:rPr>
                <w:rFonts w:ascii="Times New Roman"/>
                <w:sz w:val="18"/>
              </w:rPr>
              <w:t>1,218,800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5.41</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6"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2019/12/4</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585,000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5.44</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8"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2019/12/4</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468,000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5.49</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6"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2019/12/4</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436,900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5.49</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9"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2019/12/4</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981,300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5.48</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8" w:hRule="exact"/>
        </w:trPr>
        <w:tc>
          <w:tcPr>
            <w:tcW w:w="1666" w:type="dxa"/>
            <w:vMerge/>
            <w:tcBorders>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719" w:right="0"/>
              <w:jc w:val="left"/>
              <w:rPr>
                <w:rFonts w:ascii="Times New Roman" w:hAnsi="Times New Roman" w:cs="Times New Roman" w:eastAsia="Times New Roman" w:hint="default"/>
                <w:sz w:val="18"/>
                <w:szCs w:val="18"/>
              </w:rPr>
            </w:pPr>
            <w:r>
              <w:rPr>
                <w:rFonts w:ascii="Times New Roman"/>
                <w:b/>
                <w:sz w:val="18"/>
              </w:rPr>
              <w:t>32,487,674</w:t>
            </w:r>
            <w:r>
              <w:rPr>
                <w:rFonts w:ascii="Times New Roman"/>
                <w:sz w:val="18"/>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346" w:hRule="exact"/>
        </w:trPr>
        <w:tc>
          <w:tcPr>
            <w:tcW w:w="16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仲桂兰</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2019/8/12</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65" w:right="0"/>
              <w:jc w:val="left"/>
              <w:rPr>
                <w:rFonts w:ascii="Times New Roman" w:hAnsi="Times New Roman" w:cs="Times New Roman" w:eastAsia="Times New Roman" w:hint="default"/>
                <w:sz w:val="18"/>
                <w:szCs w:val="18"/>
              </w:rPr>
            </w:pPr>
            <w:r>
              <w:rPr>
                <w:rFonts w:ascii="Times New Roman"/>
                <w:sz w:val="18"/>
              </w:rPr>
              <w:t>1,280,000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5.56</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8"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2019/8/29</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65" w:right="0"/>
              <w:jc w:val="left"/>
              <w:rPr>
                <w:rFonts w:ascii="Times New Roman" w:hAnsi="Times New Roman" w:cs="Times New Roman" w:eastAsia="Times New Roman" w:hint="default"/>
                <w:sz w:val="18"/>
                <w:szCs w:val="18"/>
              </w:rPr>
            </w:pPr>
            <w:r>
              <w:rPr>
                <w:rFonts w:ascii="Times New Roman"/>
                <w:sz w:val="18"/>
              </w:rPr>
              <w:t>1,440,000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6.48</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6"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2019/9/2</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65" w:right="0"/>
              <w:jc w:val="left"/>
              <w:rPr>
                <w:rFonts w:ascii="Times New Roman" w:hAnsi="Times New Roman" w:cs="Times New Roman" w:eastAsia="Times New Roman" w:hint="default"/>
                <w:sz w:val="18"/>
                <w:szCs w:val="18"/>
              </w:rPr>
            </w:pPr>
            <w:r>
              <w:rPr>
                <w:rFonts w:ascii="Times New Roman"/>
                <w:sz w:val="18"/>
              </w:rPr>
              <w:t>1,916,361</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6.35</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8"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2019/11/11</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65" w:right="0"/>
              <w:jc w:val="left"/>
              <w:rPr>
                <w:rFonts w:ascii="Times New Roman" w:hAnsi="Times New Roman" w:cs="Times New Roman" w:eastAsia="Times New Roman" w:hint="default"/>
                <w:sz w:val="18"/>
                <w:szCs w:val="18"/>
              </w:rPr>
            </w:pPr>
            <w:r>
              <w:rPr>
                <w:rFonts w:ascii="Times New Roman"/>
                <w:sz w:val="18"/>
              </w:rPr>
              <w:t>1,600,000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5.48</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8"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2019/11/12</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120,000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5.50</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6" w:hRule="exact"/>
        </w:trPr>
        <w:tc>
          <w:tcPr>
            <w:tcW w:w="1666" w:type="dxa"/>
            <w:vMerge/>
            <w:tcBorders>
              <w:left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2019/12/2</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65" w:right="0"/>
              <w:jc w:val="left"/>
              <w:rPr>
                <w:rFonts w:ascii="Times New Roman" w:hAnsi="Times New Roman" w:cs="Times New Roman" w:eastAsia="Times New Roman" w:hint="default"/>
                <w:sz w:val="18"/>
                <w:szCs w:val="18"/>
              </w:rPr>
            </w:pPr>
            <w:r>
              <w:rPr>
                <w:rFonts w:ascii="Times New Roman"/>
                <w:sz w:val="18"/>
              </w:rPr>
              <w:t>2,500,000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5.45</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集中竞价</w:t>
            </w:r>
          </w:p>
        </w:tc>
      </w:tr>
      <w:tr>
        <w:trPr>
          <w:trHeight w:val="348" w:hRule="exact"/>
        </w:trPr>
        <w:tc>
          <w:tcPr>
            <w:tcW w:w="1666" w:type="dxa"/>
            <w:vMerge/>
            <w:tcBorders>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765" w:right="0"/>
              <w:jc w:val="left"/>
              <w:rPr>
                <w:rFonts w:ascii="Times New Roman" w:hAnsi="Times New Roman" w:cs="Times New Roman" w:eastAsia="Times New Roman" w:hint="default"/>
                <w:sz w:val="18"/>
                <w:szCs w:val="18"/>
              </w:rPr>
            </w:pPr>
            <w:r>
              <w:rPr>
                <w:rFonts w:ascii="Times New Roman"/>
                <w:b/>
                <w:sz w:val="18"/>
              </w:rPr>
              <w:t>8,856,361</w:t>
            </w:r>
            <w:r>
              <w:rPr>
                <w:rFonts w:ascii="Times New Roman"/>
                <w:sz w:val="18"/>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center"/>
              <w:rPr>
                <w:rFonts w:ascii="Times New Roman" w:hAnsi="Times New Roman" w:cs="Times New Roman" w:eastAsia="Times New Roman" w:hint="default"/>
                <w:sz w:val="18"/>
                <w:szCs w:val="18"/>
              </w:rPr>
            </w:pPr>
            <w:r>
              <w:rPr>
                <w:rFonts w:ascii="Times New Roman"/>
                <w:b/>
                <w:sz w:val="18"/>
              </w:rPr>
              <w:t>5.84</w:t>
            </w:r>
            <w:r>
              <w:rPr>
                <w:rFonts w:ascii="Times New Roman"/>
                <w:sz w:val="18"/>
              </w:rPr>
            </w:r>
          </w:p>
        </w:tc>
        <w:tc>
          <w:tcPr>
            <w:tcW w:w="192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2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719" w:right="0"/>
              <w:jc w:val="left"/>
              <w:rPr>
                <w:rFonts w:ascii="Times New Roman" w:hAnsi="Times New Roman" w:cs="Times New Roman" w:eastAsia="Times New Roman" w:hint="default"/>
                <w:sz w:val="18"/>
                <w:szCs w:val="18"/>
              </w:rPr>
            </w:pPr>
            <w:r>
              <w:rPr>
                <w:rFonts w:ascii="Times New Roman"/>
                <w:b/>
                <w:sz w:val="18"/>
              </w:rPr>
              <w:t>41,344,035</w:t>
            </w:r>
            <w:r>
              <w:rPr>
                <w:rFonts w:ascii="Times New Roman"/>
                <w:sz w:val="18"/>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7"/>
        <w:ind w:left="3365" w:right="1133"/>
        <w:jc w:val="left"/>
        <w:rPr>
          <w:b w:val="0"/>
          <w:bCs w:val="0"/>
        </w:rPr>
      </w:pPr>
      <w:bookmarkStart w:name="第七节优先股相关情况" w:id="121"/>
      <w:bookmarkEnd w:id="121"/>
      <w:r>
        <w:rPr>
          <w:b w:val="0"/>
          <w:bCs w:val="0"/>
        </w:rPr>
      </w:r>
      <w:bookmarkStart w:name="_bookmark6" w:id="122"/>
      <w:bookmarkEnd w:id="122"/>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spacing w:line="340" w:lineRule="auto" w:before="44"/>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3" w:right="1133"/>
        <w:jc w:val="left"/>
        <w:rPr>
          <w:b w:val="0"/>
          <w:bCs w:val="0"/>
        </w:rPr>
      </w:pPr>
      <w:bookmarkStart w:name="第八节可转换公司债券相关情况" w:id="123"/>
      <w:bookmarkEnd w:id="123"/>
      <w:r>
        <w:rPr>
          <w:b w:val="0"/>
          <w:bCs w:val="0"/>
        </w:rPr>
      </w:r>
      <w:bookmarkStart w:name="_bookmark7" w:id="124"/>
      <w:bookmarkEnd w:id="124"/>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spacing w:line="338"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报告期公司不存在可转换公司债券。</w:t>
      </w:r>
    </w:p>
    <w:p>
      <w:pPr>
        <w:spacing w:after="0" w:line="33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58" w:right="1133"/>
        <w:jc w:val="left"/>
        <w:rPr>
          <w:b w:val="0"/>
          <w:bCs w:val="0"/>
        </w:rPr>
      </w:pPr>
      <w:bookmarkStart w:name="第九节董事、监事、高级管理人员和员工情况" w:id="125"/>
      <w:bookmarkEnd w:id="125"/>
      <w:r>
        <w:rPr>
          <w:b w:val="0"/>
          <w:bCs w:val="0"/>
        </w:rPr>
      </w:r>
      <w:bookmarkStart w:name="_bookmark8" w:id="126"/>
      <w:bookmarkEnd w:id="126"/>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1133"/>
        <w:jc w:val="left"/>
        <w:rPr>
          <w:b w:val="0"/>
          <w:bCs w:val="0"/>
        </w:rPr>
      </w:pPr>
      <w:bookmarkStart w:name="一、董事、监事和高级管理人员持股变动" w:id="127"/>
      <w:bookmarkEnd w:id="127"/>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孙莉莉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121,000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徐大庆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韩明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108,062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108,062</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365,062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365,062</w:t>
            </w:r>
          </w:p>
        </w:tc>
      </w:tr>
    </w:tbl>
    <w:p>
      <w:pPr>
        <w:spacing w:line="240" w:lineRule="auto" w:before="1"/>
        <w:rPr>
          <w:rFonts w:ascii="宋体" w:hAnsi="宋体" w:cs="宋体" w:eastAsia="宋体" w:hint="default"/>
          <w:b/>
          <w:bCs/>
          <w:sz w:val="18"/>
          <w:szCs w:val="18"/>
        </w:rPr>
      </w:pPr>
    </w:p>
    <w:p>
      <w:pPr>
        <w:pStyle w:val="Heading3"/>
        <w:spacing w:line="240" w:lineRule="auto" w:before="26"/>
        <w:ind w:right="1133"/>
        <w:jc w:val="left"/>
        <w:rPr>
          <w:b w:val="0"/>
          <w:bCs w:val="0"/>
        </w:rPr>
      </w:pPr>
      <w:bookmarkStart w:name="二、公司董事、监事、高级管理人员变动情况" w:id="128"/>
      <w:bookmarkEnd w:id="128"/>
      <w:r>
        <w:rPr>
          <w:b w:val="0"/>
          <w:bCs w:val="0"/>
        </w:rPr>
      </w: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2"/>
        <w:gridCol w:w="1330"/>
        <w:gridCol w:w="4246"/>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闫忠海</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任跃英</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程岩</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傅穹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张连学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王仁厚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孙莉莉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2"/>
        <w:gridCol w:w="1330"/>
        <w:gridCol w:w="4246"/>
      </w:tblGrid>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栾福梅</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栾福梅</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封有顺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封有顺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徐大庆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徐大庆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秦静</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秦静</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bookmarkStart w:name="三、任职情况" w:id="129"/>
      <w:bookmarkEnd w:id="129"/>
      <w:r>
        <w:rPr>
          <w:b w:val="0"/>
          <w:bCs w:val="0"/>
        </w:rPr>
      </w:r>
      <w:r>
        <w:rPr/>
        <w:t>三、任职情况</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1"/>
        <w:rPr>
          <w:rFonts w:ascii="宋体" w:hAnsi="宋体" w:cs="宋体" w:eastAsia="宋体" w:hint="default"/>
          <w:sz w:val="13"/>
          <w:szCs w:val="13"/>
        </w:rPr>
      </w:pPr>
    </w:p>
    <w:p>
      <w:pPr>
        <w:pStyle w:val="BodyText"/>
        <w:spacing w:line="408" w:lineRule="auto" w:before="0"/>
        <w:ind w:left="573" w:right="1133"/>
        <w:jc w:val="left"/>
      </w:pPr>
      <w:r>
        <w:rPr/>
        <w:t>董事：</w:t>
      </w:r>
      <w:r>
        <w:rPr>
          <w:spacing w:val="-102"/>
        </w:rPr>
        <w:t> </w:t>
      </w:r>
      <w:r>
        <w:rPr/>
        <w:t>封有顺先生，中国国籍，无境外永久居留权，汉族，</w:t>
      </w:r>
      <w:r>
        <w:rPr>
          <w:rFonts w:ascii="Times New Roman" w:hAnsi="Times New Roman" w:cs="Times New Roman" w:eastAsia="Times New Roman" w:hint="default"/>
        </w:rPr>
        <w:t>1980</w:t>
      </w:r>
      <w:r>
        <w:rPr/>
        <w:t>年</w:t>
      </w:r>
      <w:r>
        <w:rPr>
          <w:rFonts w:ascii="Times New Roman" w:hAnsi="Times New Roman" w:cs="Times New Roman" w:eastAsia="Times New Roman" w:hint="default"/>
        </w:rPr>
        <w:t>5</w:t>
      </w:r>
      <w:r>
        <w:rPr/>
        <w:t>月出生，本科学历，吉林财经大学会计</w:t>
      </w:r>
    </w:p>
    <w:p>
      <w:pPr>
        <w:pStyle w:val="BodyText"/>
        <w:spacing w:line="386" w:lineRule="auto" w:before="14"/>
        <w:ind w:right="1133"/>
        <w:jc w:val="left"/>
      </w:pPr>
      <w:r>
        <w:rPr>
          <w:spacing w:val="-3"/>
        </w:rPr>
        <w:t>学院校外实务导师，曾任前纽交所上市公司</w:t>
      </w:r>
      <w:r>
        <w:rPr>
          <w:rFonts w:ascii="Times New Roman" w:hAnsi="Times New Roman" w:cs="Times New Roman" w:eastAsia="Times New Roman" w:hint="default"/>
          <w:spacing w:val="-3"/>
        </w:rPr>
        <w:t>AOB</w:t>
      </w:r>
      <w:r>
        <w:rPr>
          <w:spacing w:val="-3"/>
        </w:rPr>
        <w:t>子公司长春新安药业营销事业部总经理，</w:t>
      </w:r>
      <w:r>
        <w:rPr>
          <w:rFonts w:ascii="Times New Roman" w:hAnsi="Times New Roman" w:cs="Times New Roman" w:eastAsia="Times New Roman" w:hint="default"/>
          <w:spacing w:val="-3"/>
        </w:rPr>
        <w:t>2015</w:t>
      </w:r>
      <w:r>
        <w:rPr>
          <w:spacing w:val="-3"/>
        </w:rPr>
        <w:t>年加入吉林</w:t>
      </w:r>
      <w:r>
        <w:rPr>
          <w:spacing w:val="-16"/>
        </w:rPr>
        <w:t> </w:t>
      </w:r>
      <w:r>
        <w:rPr>
          <w:spacing w:val="-16"/>
        </w:rPr>
      </w:r>
      <w:r>
        <w:rPr/>
        <w:t>紫鑫药业股份有限公司任</w:t>
      </w:r>
      <w:r>
        <w:rPr>
          <w:rFonts w:ascii="Times New Roman" w:hAnsi="Times New Roman" w:cs="Times New Roman" w:eastAsia="Times New Roman" w:hint="default"/>
        </w:rPr>
        <w:t>OTC</w:t>
      </w:r>
      <w:r>
        <w:rPr/>
        <w:t>事业部总监、公司销售副总。现任公司第七届董事会董事。</w:t>
      </w:r>
    </w:p>
    <w:p>
      <w:pPr>
        <w:pStyle w:val="BodyText"/>
        <w:spacing w:line="398" w:lineRule="auto" w:before="35"/>
        <w:ind w:right="1128" w:firstLine="420"/>
        <w:jc w:val="both"/>
      </w:pPr>
      <w:r>
        <w:rPr/>
        <w:t>栾福梅女士，中国国籍，中共党员，无境外永久居留权，满族，</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9</w:t>
      </w:r>
      <w:r>
        <w:rPr/>
        <w:t>月出生，本科学历，高级会</w:t>
      </w:r>
      <w:r>
        <w:rPr>
          <w:w w:val="100"/>
        </w:rPr>
        <w:t> </w:t>
      </w:r>
      <w:r>
        <w:rPr>
          <w:spacing w:val="-2"/>
        </w:rPr>
        <w:t>计师，注册会计师，国际注册内部审计师。曾在柳河县财政局会计核算中心工作，柳河县财政监督检查局</w:t>
      </w:r>
      <w:r>
        <w:rPr>
          <w:spacing w:val="-47"/>
        </w:rPr>
        <w:t> </w:t>
      </w:r>
      <w:r>
        <w:rPr>
          <w:spacing w:val="-47"/>
        </w:rPr>
      </w:r>
      <w:r>
        <w:rPr/>
        <w:t>作审计工作，任债务金融科副科长。现任公司第七届董事会董事。</w:t>
      </w:r>
    </w:p>
    <w:p>
      <w:pPr>
        <w:pStyle w:val="BodyText"/>
        <w:spacing w:line="393" w:lineRule="auto" w:before="54"/>
        <w:ind w:right="0" w:firstLine="420"/>
        <w:jc w:val="left"/>
      </w:pPr>
      <w:r>
        <w:rPr/>
        <w:t>韩明先生，中国国籍，无境外永久居留权，汉族，</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12</w:t>
      </w:r>
      <w:r>
        <w:rPr/>
        <w:t>月出生，</w:t>
      </w:r>
      <w:r>
        <w:rPr>
          <w:rFonts w:ascii="Times New Roman" w:hAnsi="Times New Roman" w:cs="Times New Roman" w:eastAsia="Times New Roman" w:hint="default"/>
        </w:rPr>
        <w:t>1997</w:t>
      </w:r>
      <w:r>
        <w:rPr/>
        <w:t>年毕业于吉林化工学院。同</w:t>
      </w:r>
      <w:r>
        <w:rPr>
          <w:w w:val="100"/>
        </w:rPr>
        <w:t> </w:t>
      </w:r>
      <w:r>
        <w:rPr>
          <w:spacing w:val="-2"/>
        </w:rPr>
        <w:t>年工作于吉林敖东药业集团股份有限公司，历任固体车间工艺员、车间工段长、车间技术主任。在职期间</w:t>
      </w:r>
      <w:r>
        <w:rPr>
          <w:spacing w:val="-47"/>
        </w:rPr>
        <w:t> </w:t>
      </w:r>
      <w:r>
        <w:rPr>
          <w:spacing w:val="-47"/>
        </w:rPr>
      </w:r>
      <w:r>
        <w:rPr>
          <w:spacing w:val="-3"/>
        </w:rPr>
        <w:t>完成了车间</w:t>
      </w:r>
      <w:r>
        <w:rPr>
          <w:rFonts w:ascii="Times New Roman" w:hAnsi="Times New Roman" w:cs="Times New Roman" w:eastAsia="Times New Roman" w:hint="default"/>
          <w:spacing w:val="-3"/>
        </w:rPr>
        <w:t>GMP</w:t>
      </w:r>
      <w:r>
        <w:rPr>
          <w:spacing w:val="-3"/>
        </w:rPr>
        <w:t>改造及生产工艺的革新。</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1</w:t>
      </w:r>
      <w:r>
        <w:rPr>
          <w:spacing w:val="-3"/>
        </w:rPr>
        <w:t>月起，历任吉林紫鑫药业股份有限公司生产系统负责人、</w:t>
      </w:r>
      <w:r>
        <w:rPr>
          <w:spacing w:val="-22"/>
        </w:rPr>
        <w:t> </w:t>
      </w:r>
      <w:r>
        <w:rPr>
          <w:spacing w:val="-22"/>
        </w:rPr>
      </w:r>
      <w:r>
        <w:rPr/>
        <w:t>项目总监，现任公司第七届董事会董事、生产系统负责人。</w:t>
      </w:r>
    </w:p>
    <w:p>
      <w:pPr>
        <w:pStyle w:val="BodyText"/>
        <w:spacing w:line="393" w:lineRule="auto" w:before="58"/>
        <w:ind w:right="0" w:firstLine="420"/>
        <w:jc w:val="left"/>
      </w:pPr>
      <w:r>
        <w:rPr>
          <w:spacing w:val="-5"/>
        </w:rPr>
        <w:t>任跃英女士，中国国籍，无境外永久居留权，汉族，民盟党员，</w:t>
      </w:r>
      <w:r>
        <w:rPr>
          <w:rFonts w:ascii="Times New Roman" w:hAnsi="Times New Roman" w:cs="Times New Roman" w:eastAsia="Times New Roman" w:hint="default"/>
          <w:spacing w:val="-5"/>
        </w:rPr>
        <w:t>1958</w:t>
      </w:r>
      <w:r>
        <w:rPr>
          <w:spacing w:val="-5"/>
        </w:rPr>
        <w:t>年</w:t>
      </w:r>
      <w:r>
        <w:rPr>
          <w:rFonts w:ascii="Times New Roman" w:hAnsi="Times New Roman" w:cs="Times New Roman" w:eastAsia="Times New Roman" w:hint="default"/>
          <w:spacing w:val="-5"/>
        </w:rPr>
        <w:t>11</w:t>
      </w:r>
      <w:r>
        <w:rPr>
          <w:spacing w:val="-5"/>
        </w:rPr>
        <w:t>月出生，教授，博士生导师，</w:t>
      </w:r>
      <w:r>
        <w:rPr>
          <w:w w:val="100"/>
        </w:rPr>
        <w:t> </w:t>
      </w:r>
      <w:r>
        <w:rPr>
          <w:spacing w:val="-4"/>
        </w:rPr>
        <w:t>曾先后受聘国家中药材</w:t>
      </w:r>
      <w:r>
        <w:rPr>
          <w:rFonts w:ascii="Times New Roman" w:hAnsi="Times New Roman" w:cs="Times New Roman" w:eastAsia="Times New Roman" w:hint="default"/>
          <w:spacing w:val="-4"/>
        </w:rPr>
        <w:t>GAP</w:t>
      </w:r>
      <w:r>
        <w:rPr>
          <w:spacing w:val="-4"/>
        </w:rPr>
        <w:t>检查员，吉林省人参研究委员会理事，国家天然药物委员会委员。吉林省</w:t>
      </w:r>
      <w:r>
        <w:rPr>
          <w:rFonts w:ascii="Times New Roman" w:hAnsi="Times New Roman" w:cs="Times New Roman" w:eastAsia="Times New Roman" w:hint="default"/>
          <w:spacing w:val="-4"/>
        </w:rPr>
        <w:t>12316</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spacing w:val="-2"/>
        </w:rPr>
        <w:t>农民热线中药材首席专家，吉林省食品药品安全专家委员会委员；吉林省中小企业技术服务专家；吉林省</w:t>
      </w:r>
      <w:r>
        <w:rPr>
          <w:spacing w:val="-45"/>
        </w:rPr>
        <w:t> </w:t>
      </w:r>
      <w:r>
        <w:rPr>
          <w:spacing w:val="-45"/>
        </w:rPr>
      </w:r>
      <w:r>
        <w:rPr>
          <w:spacing w:val="-2"/>
        </w:rPr>
        <w:t>农产品女竞技人协会专家服务团成员；民盟吉林省委参政议政调研员。主持及参加了国家科技部</w:t>
      </w:r>
      <w:r>
        <w:rPr>
          <w:rFonts w:ascii="Times New Roman" w:hAnsi="Times New Roman" w:cs="Times New Roman" w:eastAsia="Times New Roman" w:hint="default"/>
          <w:spacing w:val="-2"/>
        </w:rPr>
        <w:t>21</w:t>
      </w:r>
      <w:r>
        <w:rPr>
          <w:spacing w:val="-2"/>
        </w:rPr>
        <w:t>世纪生</w:t>
      </w:r>
    </w:p>
    <w:p>
      <w:pPr>
        <w:spacing w:after="0" w:line="393"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5"/>
        <w:ind w:right="1105"/>
        <w:jc w:val="both"/>
      </w:pPr>
      <w:r>
        <w:rPr>
          <w:spacing w:val="-4"/>
        </w:rPr>
        <w:t>命中心，《人参规范化种植研究》；科技部</w:t>
      </w:r>
      <w:r>
        <w:rPr>
          <w:rFonts w:ascii="Times New Roman" w:hAnsi="Times New Roman" w:cs="Times New Roman" w:eastAsia="Times New Roman" w:hint="default"/>
          <w:spacing w:val="-4"/>
        </w:rPr>
        <w:t>“</w:t>
      </w:r>
      <w:r>
        <w:rPr>
          <w:spacing w:val="-4"/>
        </w:rPr>
        <w:t>十二五</w:t>
      </w:r>
      <w:r>
        <w:rPr>
          <w:rFonts w:ascii="Times New Roman" w:hAnsi="Times New Roman" w:cs="Times New Roman" w:eastAsia="Times New Roman" w:hint="default"/>
          <w:spacing w:val="-4"/>
        </w:rPr>
        <w:t>”</w:t>
      </w:r>
      <w:r>
        <w:rPr>
          <w:spacing w:val="-4"/>
        </w:rPr>
        <w:t>支撑计划课题 </w:t>
      </w:r>
      <w:r>
        <w:rPr>
          <w:spacing w:val="-3"/>
        </w:rPr>
        <w:t>《人参种质资源保护、发掘与新品种定</w:t>
      </w:r>
      <w:r>
        <w:rPr>
          <w:spacing w:val="-47"/>
        </w:rPr>
        <w:t> </w:t>
      </w:r>
      <w:r>
        <w:rPr>
          <w:spacing w:val="-47"/>
        </w:rPr>
      </w:r>
      <w:r>
        <w:rPr>
          <w:spacing w:val="-2"/>
        </w:rPr>
        <w:t>向培育》及《长白山林下参规范化生产技术体系（</w:t>
      </w:r>
      <w:r>
        <w:rPr>
          <w:rFonts w:ascii="Times New Roman" w:hAnsi="Times New Roman" w:cs="Times New Roman" w:eastAsia="Times New Roman" w:hint="default"/>
          <w:spacing w:val="-2"/>
        </w:rPr>
        <w:t>GAP</w:t>
      </w:r>
      <w:r>
        <w:rPr>
          <w:spacing w:val="-2"/>
        </w:rPr>
        <w:t>）建立》项目；主持省级项目《人参无公害规范化</w:t>
      </w:r>
      <w:r>
        <w:rPr>
          <w:spacing w:val="-43"/>
        </w:rPr>
        <w:t> </w:t>
      </w:r>
      <w:r>
        <w:rPr>
          <w:spacing w:val="-43"/>
        </w:rPr>
      </w:r>
      <w:r>
        <w:rPr>
          <w:spacing w:val="-2"/>
        </w:rPr>
        <w:t>生产技术示范基地》；《人参优质高产综合配套技术》；《五味子规范化示范基地建设科技示范项目》；</w:t>
      </w:r>
    </w:p>
    <w:p>
      <w:pPr>
        <w:pStyle w:val="BodyText"/>
        <w:spacing w:line="408" w:lineRule="auto" w:before="65"/>
        <w:ind w:right="1126"/>
        <w:jc w:val="both"/>
      </w:pPr>
      <w:r>
        <w:rPr>
          <w:spacing w:val="-2"/>
        </w:rPr>
        <w:t>《我省道地中药材品种选育甘草育种专项》；《中药材桔梗的生产技术规程及质量控制系统》等项目；获</w:t>
      </w:r>
      <w:r>
        <w:rPr>
          <w:spacing w:val="-43"/>
        </w:rPr>
        <w:t> </w:t>
      </w:r>
      <w:r>
        <w:rPr>
          <w:spacing w:val="-43"/>
        </w:rPr>
      </w:r>
      <w:r>
        <w:rPr/>
        <w:t>科研成果</w:t>
      </w:r>
      <w:r>
        <w:rPr>
          <w:rFonts w:ascii="Times New Roman" w:hAnsi="Times New Roman" w:cs="Times New Roman" w:eastAsia="Times New Roman" w:hint="default"/>
        </w:rPr>
        <w:t>20</w:t>
      </w:r>
      <w:r>
        <w:rPr/>
        <w:t>余项。现任公司第七届董事会独立董事。</w:t>
      </w:r>
    </w:p>
    <w:p>
      <w:pPr>
        <w:pStyle w:val="BodyText"/>
        <w:spacing w:line="391" w:lineRule="auto" w:before="14"/>
        <w:ind w:right="1104" w:firstLine="420"/>
        <w:jc w:val="both"/>
      </w:pPr>
      <w:r>
        <w:rPr/>
        <w:t>闫忠海先生，中国国籍，中共党员，无境外永久居留权，汉族，</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1</w:t>
      </w:r>
      <w:r>
        <w:rPr/>
        <w:t>月出生，本科学历，律师，</w:t>
      </w:r>
      <w:r>
        <w:rPr>
          <w:w w:val="100"/>
        </w:rPr>
        <w:t> </w:t>
      </w:r>
      <w:r>
        <w:rPr>
          <w:spacing w:val="-2"/>
        </w:rPr>
        <w:t>担任吉林银行长春分行及其下属</w:t>
      </w:r>
      <w:r>
        <w:rPr>
          <w:rFonts w:ascii="Times New Roman" w:hAnsi="Times New Roman" w:cs="Times New Roman" w:eastAsia="Times New Roman" w:hint="default"/>
          <w:spacing w:val="-2"/>
        </w:rPr>
        <w:t>19</w:t>
      </w:r>
      <w:r>
        <w:rPr>
          <w:spacing w:val="-2"/>
        </w:rPr>
        <w:t>家支行、中国人寿保险公司及其分公司、长春市政建设集团有限公司、</w:t>
      </w:r>
      <w:r>
        <w:rPr>
          <w:spacing w:val="-18"/>
        </w:rPr>
        <w:t> </w:t>
      </w:r>
      <w:r>
        <w:rPr>
          <w:spacing w:val="-18"/>
        </w:rPr>
      </w:r>
      <w:r>
        <w:rPr>
          <w:spacing w:val="-2"/>
        </w:rPr>
        <w:t>吉林大学第二医院、吉林省警卫局等常年法律顾问，同时为多家一汽配套产业企业的常年法律顾问，推动</w:t>
      </w:r>
      <w:r>
        <w:rPr>
          <w:spacing w:val="-43"/>
        </w:rPr>
        <w:t> </w:t>
      </w:r>
      <w:r>
        <w:rPr>
          <w:spacing w:val="-43"/>
        </w:rPr>
      </w:r>
      <w:r>
        <w:rPr>
          <w:spacing w:val="-2"/>
        </w:rPr>
        <w:t>民营企业健康发展。曾被吉林省司法厅授予</w:t>
      </w:r>
      <w:r>
        <w:rPr>
          <w:rFonts w:ascii="Times New Roman" w:hAnsi="Times New Roman" w:cs="Times New Roman" w:eastAsia="Times New Roman" w:hint="default"/>
          <w:spacing w:val="-2"/>
        </w:rPr>
        <w:t>“</w:t>
      </w:r>
      <w:r>
        <w:rPr>
          <w:spacing w:val="-2"/>
        </w:rPr>
        <w:t>全省优秀律师</w:t>
      </w:r>
      <w:r>
        <w:rPr>
          <w:rFonts w:ascii="Times New Roman" w:hAnsi="Times New Roman" w:cs="Times New Roman" w:eastAsia="Times New Roman" w:hint="default"/>
          <w:spacing w:val="-2"/>
        </w:rPr>
        <w:t>”</w:t>
      </w:r>
      <w:r>
        <w:rPr>
          <w:spacing w:val="-2"/>
        </w:rPr>
        <w:t>荣誉称号；被朝阳区司法局党总支任命为朝阳</w:t>
      </w:r>
      <w:r>
        <w:rPr>
          <w:spacing w:val="-21"/>
        </w:rPr>
        <w:t> </w:t>
      </w:r>
      <w:r>
        <w:rPr>
          <w:spacing w:val="-21"/>
        </w:rPr>
      </w:r>
      <w:r>
        <w:rPr/>
        <w:t>区司法局第三联合党支部支部书记。现任公司第七届董事会独立董事。</w:t>
      </w:r>
    </w:p>
    <w:p>
      <w:pPr>
        <w:pStyle w:val="BodyText"/>
        <w:spacing w:line="403" w:lineRule="auto" w:before="61"/>
        <w:ind w:right="1126" w:firstLine="420"/>
        <w:jc w:val="both"/>
      </w:pPr>
      <w:r>
        <w:rPr>
          <w:spacing w:val="-2"/>
        </w:rPr>
        <w:t>程岩女士，中国国籍，无境外永久居留权，汉族，</w:t>
      </w:r>
      <w:r>
        <w:rPr>
          <w:rFonts w:ascii="Times New Roman" w:hAnsi="Times New Roman" w:cs="Times New Roman" w:eastAsia="Times New Roman" w:hint="default"/>
          <w:spacing w:val="-2"/>
        </w:rPr>
        <w:t>1975</w:t>
      </w:r>
      <w:r>
        <w:rPr>
          <w:spacing w:val="-2"/>
        </w:rPr>
        <w:t>年</w:t>
      </w:r>
      <w:r>
        <w:rPr>
          <w:rFonts w:ascii="Times New Roman" w:hAnsi="Times New Roman" w:cs="Times New Roman" w:eastAsia="Times New Roman" w:hint="default"/>
          <w:spacing w:val="-2"/>
        </w:rPr>
        <w:t>12</w:t>
      </w:r>
      <w:r>
        <w:rPr>
          <w:spacing w:val="-2"/>
        </w:rPr>
        <w:t>出生，法学硕士，注册会计师，曾任中准</w:t>
      </w:r>
      <w:r>
        <w:rPr>
          <w:w w:val="100"/>
        </w:rPr>
        <w:t> </w:t>
      </w:r>
      <w:r>
        <w:rPr>
          <w:spacing w:val="-2"/>
        </w:rPr>
        <w:t>会计师事务所吉林分所高级经理、立信会计师事务所吉林分所高级经理，现任吉林经济技术开发区城发集</w:t>
      </w:r>
      <w:r>
        <w:rPr>
          <w:spacing w:val="-44"/>
        </w:rPr>
        <w:t> </w:t>
      </w:r>
      <w:r>
        <w:rPr>
          <w:spacing w:val="-44"/>
        </w:rPr>
      </w:r>
      <w:r>
        <w:rPr>
          <w:spacing w:val="-2"/>
        </w:rPr>
        <w:t>塑管业股份有限公司董事、副总经理兼任财务总监，具有丰富的财会知识，能够运用专业知识和技能经验</w:t>
      </w:r>
      <w:r>
        <w:rPr>
          <w:spacing w:val="-44"/>
        </w:rPr>
        <w:t> </w:t>
      </w:r>
      <w:r>
        <w:rPr>
          <w:spacing w:val="-44"/>
        </w:rPr>
      </w:r>
      <w:r>
        <w:rPr>
          <w:spacing w:val="-2"/>
        </w:rPr>
        <w:t>及独立判断能力，针对公司战略、项目计划等提出客观的建议和意见，协助管理层推进经营活动。现任公</w:t>
      </w:r>
      <w:r>
        <w:rPr>
          <w:spacing w:val="-50"/>
        </w:rPr>
        <w:t> </w:t>
      </w:r>
      <w:r>
        <w:rPr>
          <w:spacing w:val="-50"/>
        </w:rPr>
      </w:r>
      <w:r>
        <w:rPr/>
        <w:t>司第七届董事会独立董事。</w:t>
      </w:r>
    </w:p>
    <w:p>
      <w:pPr>
        <w:pStyle w:val="BodyText"/>
        <w:spacing w:line="408" w:lineRule="auto" w:before="50"/>
        <w:ind w:left="573" w:right="1133"/>
        <w:jc w:val="left"/>
      </w:pPr>
      <w:r>
        <w:rPr/>
        <w:t>监事：</w:t>
      </w:r>
      <w:r>
        <w:rPr>
          <w:spacing w:val="-102"/>
        </w:rPr>
        <w:t> </w:t>
      </w:r>
      <w:r>
        <w:rPr/>
        <w:t>王仁厚先生，中国国籍，中共党员，民族汉，</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1</w:t>
      </w:r>
      <w:r>
        <w:rPr/>
        <w:t>出生，高级经济师，本科学历。</w:t>
      </w:r>
      <w:r>
        <w:rPr>
          <w:rFonts w:ascii="Times New Roman" w:hAnsi="Times New Roman" w:cs="Times New Roman" w:eastAsia="Times New Roman" w:hint="default"/>
        </w:rPr>
        <w:t>1991</w:t>
      </w:r>
      <w:r>
        <w:rPr/>
        <w:t>年参加工</w:t>
      </w:r>
    </w:p>
    <w:p>
      <w:pPr>
        <w:pStyle w:val="BodyText"/>
        <w:spacing w:line="408" w:lineRule="auto" w:before="14"/>
        <w:ind w:right="1129"/>
        <w:jc w:val="both"/>
      </w:pPr>
      <w:r>
        <w:rPr>
          <w:spacing w:val="-2"/>
        </w:rPr>
        <w:t>作，一直工作在中国人民银行通化市中心支行。曾任人民银行通化市中心支行党委委员、纪委书记。现任</w:t>
      </w:r>
      <w:r>
        <w:rPr>
          <w:spacing w:val="-47"/>
        </w:rPr>
        <w:t> </w:t>
      </w:r>
      <w:r>
        <w:rPr>
          <w:spacing w:val="-47"/>
        </w:rPr>
      </w:r>
      <w:r>
        <w:rPr/>
        <w:t>公司第七届监事会监事。</w:t>
      </w:r>
    </w:p>
    <w:p>
      <w:pPr>
        <w:pStyle w:val="BodyText"/>
        <w:spacing w:line="386" w:lineRule="auto"/>
        <w:ind w:right="1129" w:firstLine="420"/>
        <w:jc w:val="both"/>
      </w:pPr>
      <w:r>
        <w:rPr/>
        <w:t>白玉彪先生，汉族，</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2</w:t>
      </w:r>
      <w:r>
        <w:rPr/>
        <w:t>月出生，中国注册会计师。</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rFonts w:ascii="Times New Roman" w:hAnsi="Times New Roman" w:cs="Times New Roman" w:eastAsia="Times New Roman" w:hint="default"/>
        </w:rPr>
        <w:t>10</w:t>
      </w:r>
      <w:r>
        <w:rPr/>
        <w:t>月在国富浩华会计师事</w:t>
      </w:r>
      <w:r>
        <w:rPr>
          <w:w w:val="100"/>
        </w:rPr>
        <w:t> </w:t>
      </w:r>
      <w:r>
        <w:rPr>
          <w:spacing w:val="-1"/>
        </w:rPr>
        <w:t>务所任项目经理，</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6</w:t>
      </w:r>
      <w:r>
        <w:rPr>
          <w:spacing w:val="-1"/>
        </w:rPr>
        <w:t>月，在本公司任财务部助理工作，</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7</w:t>
      </w:r>
      <w:r>
        <w:rPr>
          <w:spacing w:val="-1"/>
        </w:rPr>
        <w:t>月至今在本公司任资金管</w:t>
      </w:r>
      <w:r>
        <w:rPr>
          <w:spacing w:val="-45"/>
        </w:rPr>
        <w:t> </w:t>
      </w:r>
      <w:r>
        <w:rPr>
          <w:spacing w:val="-45"/>
        </w:rPr>
      </w:r>
      <w:r>
        <w:rPr/>
        <w:t>理部经理。现任公司第七届监事会监事。</w:t>
      </w:r>
    </w:p>
    <w:p>
      <w:pPr>
        <w:pStyle w:val="BodyText"/>
        <w:spacing w:line="386" w:lineRule="auto" w:before="65"/>
        <w:ind w:right="1128" w:firstLine="420"/>
        <w:jc w:val="both"/>
      </w:pPr>
      <w:r>
        <w:rPr/>
        <w:t>张洪发先生，</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2</w:t>
      </w:r>
      <w:r>
        <w:rPr/>
        <w:t>月出生，经济学学士、会计师。</w:t>
      </w:r>
      <w:r>
        <w:rPr>
          <w:rFonts w:ascii="Times New Roman" w:hAnsi="Times New Roman" w:cs="Times New Roman" w:eastAsia="Times New Roman" w:hint="default"/>
        </w:rPr>
        <w:t>2001</w:t>
      </w:r>
      <w:r>
        <w:rPr/>
        <w:t>年至今历任吉林紫鑫药业股份有限公司会</w:t>
      </w:r>
      <w:r>
        <w:rPr>
          <w:w w:val="100"/>
        </w:rPr>
        <w:t> </w:t>
      </w:r>
      <w:r>
        <w:rPr/>
        <w:t>计、主管会计、审计部副部长、财务部长、第五届监事会职工监事。现任公司第七届监事会监事。</w:t>
      </w:r>
    </w:p>
    <w:p>
      <w:pPr>
        <w:pStyle w:val="BodyText"/>
        <w:spacing w:line="408" w:lineRule="auto" w:before="65"/>
        <w:ind w:left="573" w:right="3554"/>
        <w:jc w:val="left"/>
      </w:pPr>
      <w:r>
        <w:rPr/>
        <w:t>高级管理人员：</w:t>
      </w:r>
      <w:r>
        <w:rPr>
          <w:spacing w:val="-103"/>
        </w:rPr>
        <w:t> </w:t>
      </w:r>
      <w:r>
        <w:rPr>
          <w:spacing w:val="-103"/>
        </w:rPr>
      </w:r>
      <w:r>
        <w:rPr>
          <w:spacing w:val="-2"/>
        </w:rPr>
        <w:t>封有顺先生，现任公司副总经理，详见现任董事主要工作经历。</w:t>
      </w:r>
      <w:r>
        <w:rPr>
          <w:spacing w:val="-52"/>
        </w:rPr>
        <w:t> </w:t>
      </w:r>
      <w:r>
        <w:rPr>
          <w:spacing w:val="-52"/>
        </w:rPr>
      </w:r>
      <w:r>
        <w:rPr>
          <w:spacing w:val="-2"/>
        </w:rPr>
        <w:t>栾福梅女士，现任公司财务总监，详见现任董事主要工作经历。</w:t>
      </w:r>
      <w:r>
        <w:rPr>
          <w:spacing w:val="-52"/>
        </w:rPr>
        <w:t> </w:t>
      </w:r>
      <w:r>
        <w:rPr>
          <w:spacing w:val="-52"/>
        </w:rPr>
      </w:r>
      <w:r>
        <w:rPr/>
        <w:t>韩明先生，现任公司副总经理，详见现任董事主要工作经历。</w:t>
      </w:r>
    </w:p>
    <w:p>
      <w:pPr>
        <w:pStyle w:val="BodyText"/>
        <w:spacing w:line="386" w:lineRule="auto"/>
        <w:ind w:right="1126" w:firstLine="420"/>
        <w:jc w:val="both"/>
      </w:pPr>
      <w:r>
        <w:rPr/>
        <w:t>张万恒先生，中国国籍，无境外永久居留权，汉族，</w:t>
      </w:r>
      <w:r>
        <w:rPr>
          <w:rFonts w:ascii="Times New Roman" w:hAnsi="Times New Roman" w:cs="Times New Roman" w:eastAsia="Times New Roman" w:hint="default"/>
        </w:rPr>
        <w:t>1984</w:t>
      </w:r>
      <w:r>
        <w:rPr/>
        <w:t>年</w:t>
      </w:r>
      <w:r>
        <w:rPr>
          <w:rFonts w:ascii="Times New Roman" w:hAnsi="Times New Roman" w:cs="Times New Roman" w:eastAsia="Times New Roman" w:hint="default"/>
        </w:rPr>
        <w:t>8</w:t>
      </w:r>
      <w:r>
        <w:rPr/>
        <w:t>月出生，硕士学历，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月加入吉</w:t>
      </w:r>
      <w:r>
        <w:rPr>
          <w:w w:val="100"/>
        </w:rPr>
        <w:t> </w:t>
      </w:r>
      <w:r>
        <w:rPr>
          <w:spacing w:val="-2"/>
        </w:rPr>
        <w:t>林紫鑫药业股份有限公司，任吉林紫鑫药物研究有限公司、吉林紫鑫人参研发有限公司主管会计；</w:t>
      </w:r>
      <w:r>
        <w:rPr>
          <w:rFonts w:ascii="Times New Roman" w:hAnsi="Times New Roman" w:cs="Times New Roman" w:eastAsia="Times New Roman" w:hint="default"/>
          <w:spacing w:val="-2"/>
        </w:rPr>
        <w:t>2013</w:t>
      </w:r>
      <w:r>
        <w:rPr>
          <w:spacing w:val="-2"/>
        </w:rPr>
        <w:t>年</w:t>
      </w:r>
    </w:p>
    <w:p>
      <w:pPr>
        <w:spacing w:after="0" w:line="386"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1133"/>
        <w:jc w:val="left"/>
        <w:rPr>
          <w:rFonts w:ascii="Times New Roman" w:hAnsi="Times New Roman" w:cs="Times New Roman" w:eastAsia="Times New Roman" w:hint="default"/>
        </w:rPr>
      </w:pP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月任公司董事会秘书助理；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月任公司证券事务专员；</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2016</w:t>
      </w:r>
    </w:p>
    <w:p>
      <w:pPr>
        <w:pStyle w:val="BodyText"/>
        <w:spacing w:line="240" w:lineRule="auto" w:before="177"/>
        <w:ind w:right="1133"/>
        <w:jc w:val="left"/>
      </w:pPr>
      <w:r>
        <w:rPr/>
        <w:t>年</w:t>
      </w:r>
      <w:r>
        <w:rPr>
          <w:rFonts w:ascii="Times New Roman" w:hAnsi="Times New Roman" w:cs="Times New Roman" w:eastAsia="Times New Roman" w:hint="default"/>
        </w:rPr>
        <w:t>6</w:t>
      </w:r>
      <w:r>
        <w:rPr/>
        <w:t>月任公司证券事务代表；</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月至今任公司副总经理、董事会秘书。</w:t>
      </w:r>
    </w:p>
    <w:p>
      <w:pPr>
        <w:spacing w:before="162"/>
        <w:ind w:left="152" w:right="1133"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在其他单位任职情况</w:t>
      </w:r>
    </w:p>
    <w:p>
      <w:pPr>
        <w:spacing w:before="41"/>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闫忠海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吉林中昱律师事务所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闫忠海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吉林银行股份有限公司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法律顾问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闫忠海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长春银诺克药业有限公司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法律顾问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闫忠海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中国人寿保险公司及其分公司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法律顾问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闫忠海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吉林省警卫局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法律顾问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程岩</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吉林经济技术开发区城发集塑管业股份 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副总经理兼 任财务总监</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任跃英</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吉林农业大学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133"/>
        <w:jc w:val="left"/>
        <w:rPr>
          <w:b w:val="0"/>
          <w:bCs w:val="0"/>
        </w:rPr>
      </w:pPr>
      <w:bookmarkStart w:name="四、董事、监事、高级管理人员报酬情况" w:id="130"/>
      <w:bookmarkEnd w:id="130"/>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3"/>
        <w:rPr>
          <w:rFonts w:ascii="宋体" w:hAnsi="宋体" w:cs="宋体" w:eastAsia="宋体" w:hint="default"/>
          <w:sz w:val="13"/>
          <w:szCs w:val="13"/>
        </w:rPr>
      </w:pPr>
    </w:p>
    <w:p>
      <w:pPr>
        <w:pStyle w:val="BodyText"/>
        <w:spacing w:line="403" w:lineRule="auto" w:before="0"/>
        <w:ind w:right="1133" w:firstLine="420"/>
        <w:jc w:val="left"/>
      </w:pPr>
      <w:r>
        <w:rPr/>
        <w:t>由公司董事会按年度对公司高级管理人员的业绩和履职情况进行考评，并根据工作业绩决定年度薪</w:t>
      </w:r>
      <w:r>
        <w:rPr>
          <w:w w:val="100"/>
        </w:rPr>
        <w:t> </w:t>
      </w:r>
      <w:r>
        <w:rPr>
          <w:spacing w:val="-2"/>
        </w:rPr>
        <w:t>酬，以考核结果作为下一年度的岗位安排、年薪档次、是否续聘及职位升降和下一届任免的依据。年初，</w:t>
      </w:r>
      <w:r>
        <w:rPr>
          <w:spacing w:val="-21"/>
        </w:rPr>
        <w:t> </w:t>
      </w:r>
      <w:r>
        <w:rPr>
          <w:spacing w:val="-21"/>
        </w:rPr>
      </w:r>
      <w:r>
        <w:rPr>
          <w:spacing w:val="-2"/>
        </w:rPr>
        <w:t>董事会根据公司的经营计划和个人的岗位职责，确定年度工资额；年终董事会根据高级管理人员本年度的</w:t>
      </w:r>
      <w:r>
        <w:rPr>
          <w:spacing w:val="-43"/>
        </w:rPr>
        <w:t> </w:t>
      </w:r>
      <w:r>
        <w:rPr>
          <w:spacing w:val="-43"/>
        </w:rPr>
      </w:r>
      <w:r>
        <w:rPr/>
        <w:t>工作业绩进行考评后确定对高管人员的奖金总额。</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日公司召开的</w:t>
      </w:r>
      <w:r>
        <w:rPr>
          <w:rFonts w:ascii="Times New Roman" w:hAnsi="Times New Roman" w:cs="Times New Roman" w:eastAsia="Times New Roman" w:hint="default"/>
        </w:rPr>
        <w:t>2018</w:t>
      </w:r>
      <w:r>
        <w:rPr/>
        <w:t>年年度股东大会审议通</w:t>
      </w:r>
      <w:r>
        <w:rPr>
          <w:w w:val="100"/>
        </w:rPr>
        <w:t> </w:t>
      </w:r>
      <w:r>
        <w:rPr/>
        <w:t>过了《关于调整董监事薪酬的议案》，为现任董事、监事、高级管理人员报酬确定依据。</w:t>
      </w:r>
    </w:p>
    <w:p>
      <w:pPr>
        <w:spacing w:before="35"/>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6"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group style="position:absolute;margin-left:193.850006pt;margin-top:313.72998pt;width:67.8pt;height:27.9pt;mso-position-horizontal-relative:page;mso-position-vertical-relative:page;z-index:-1008592" coordorigin="3877,6275" coordsize="1356,558">
            <v:group style="position:absolute;left:3877;top:6275;width:1356;height:156" coordorigin="3877,6275" coordsize="1356,156">
              <v:shape style="position:absolute;left:3877;top:6275;width:1356;height:156" coordorigin="3877,6275" coordsize="1356,156" path="m3877,6431l5233,6431,5233,6275,3877,6275,3877,6431xe" filled="true" fillcolor="#ffffff" stroked="false">
                <v:path arrowok="t"/>
                <v:fill type="solid"/>
              </v:shape>
            </v:group>
            <v:group style="position:absolute;left:3888;top:6431;width:2;height:392" coordorigin="3888,6431" coordsize="2,392">
              <v:shape style="position:absolute;left:3888;top:6431;width:2;height:392" coordorigin="3888,6431" coordsize="0,392" path="m3888,6431l3888,6822e" filled="false" stroked="true" strokeweight="1.08pt" strokecolor="#ffffff">
                <v:path arrowok="t"/>
              </v:shape>
            </v:group>
            <v:group style="position:absolute;left:3899;top:6431;width:1311;height:392" coordorigin="3899,6431" coordsize="1311,392">
              <v:shape style="position:absolute;left:3899;top:6431;width:1311;height:392" coordorigin="3899,6431" coordsize="1311,392" path="m3899,6822l5209,6822,5209,6431,3899,6431,3899,6822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郭春林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封有顺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44.47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栾福梅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闫忠海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任跃英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王仁厚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白玉彪</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张洪发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张万恒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徐大庆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秦静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8"/>
              <w:jc w:val="left"/>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傅穹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张连学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孙莉莉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289.09</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bookmarkStart w:name="五、公司员工情况" w:id="131"/>
      <w:bookmarkEnd w:id="131"/>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bookmarkStart w:name="1、员工数量、专业构成及教育程度" w:id="132"/>
      <w:bookmarkEnd w:id="132"/>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614</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1,517</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1,551</w:t>
            </w:r>
          </w:p>
        </w:tc>
      </w:tr>
      <w:tr>
        <w:trPr>
          <w:trHeight w:val="40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864</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79"/>
        <w:gridCol w:w="4792"/>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355</w:t>
            </w:r>
          </w:p>
        </w:tc>
      </w:tr>
      <w:tr>
        <w:trPr>
          <w:trHeight w:val="40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1,517</w:t>
            </w:r>
          </w:p>
        </w:tc>
      </w:tr>
      <w:tr>
        <w:trPr>
          <w:trHeight w:val="39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本科以上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大中专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305</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949</w:t>
            </w:r>
          </w:p>
        </w:tc>
      </w:tr>
      <w:tr>
        <w:trPr>
          <w:trHeight w:val="40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1,517</w:t>
            </w: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bookmarkStart w:name="2、薪酬政策" w:id="133"/>
      <w:bookmarkEnd w:id="133"/>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0" w:firstLine="420"/>
        <w:jc w:val="left"/>
      </w:pPr>
      <w:r>
        <w:rPr/>
        <w:t>公司建立了完善的绩效考评体系和薪酬管理办法。根据公司年度经营计划和目标，对其工作绩效和管</w:t>
      </w:r>
      <w:r>
        <w:rPr>
          <w:w w:val="100"/>
        </w:rPr>
        <w:t> </w:t>
      </w:r>
      <w:r>
        <w:rPr>
          <w:spacing w:val="-2"/>
        </w:rPr>
        <w:t>理指标进行考评，与当期收入挂钩。公司董事、监事薪酬方案由薪酬与考核委员会提出，报经董事会批准</w:t>
      </w:r>
      <w:r>
        <w:rPr>
          <w:spacing w:val="-47"/>
        </w:rPr>
        <w:t> </w:t>
      </w:r>
      <w:r>
        <w:rPr>
          <w:spacing w:val="-47"/>
        </w:rPr>
      </w:r>
      <w:r>
        <w:rPr>
          <w:spacing w:val="-2"/>
        </w:rPr>
        <w:t>后，提交股东大会审议通过后实施；公司高级管理人员的薪酬方案报董事会批准后根据公司薪酬管理制度</w:t>
      </w:r>
      <w:r>
        <w:rPr>
          <w:spacing w:val="-43"/>
        </w:rPr>
        <w:t> </w:t>
      </w:r>
      <w:r>
        <w:rPr>
          <w:spacing w:val="-43"/>
        </w:rPr>
      </w:r>
      <w:r>
        <w:rPr>
          <w:spacing w:val="-5"/>
        </w:rPr>
        <w:t>及考核指标按期支付。本公司实行劳动合同制，员工按照《劳动法》的有关规定与公司签订《劳动合同》，</w:t>
      </w:r>
      <w:r>
        <w:rPr>
          <w:spacing w:val="-6"/>
        </w:rPr>
        <w:t> </w:t>
      </w:r>
      <w:r>
        <w:rPr>
          <w:spacing w:val="-6"/>
        </w:rPr>
      </w:r>
      <w:r>
        <w:rPr/>
        <w:t>享受权利并承担义务。</w:t>
      </w:r>
    </w:p>
    <w:p>
      <w:pPr>
        <w:spacing w:line="240" w:lineRule="auto" w:before="8"/>
        <w:rPr>
          <w:rFonts w:ascii="宋体" w:hAnsi="宋体" w:cs="宋体" w:eastAsia="宋体" w:hint="default"/>
          <w:sz w:val="20"/>
          <w:szCs w:val="20"/>
        </w:rPr>
      </w:pPr>
    </w:p>
    <w:p>
      <w:pPr>
        <w:pStyle w:val="Heading5"/>
        <w:spacing w:line="240" w:lineRule="auto"/>
        <w:ind w:right="1133"/>
        <w:jc w:val="left"/>
        <w:rPr>
          <w:b w:val="0"/>
          <w:bCs w:val="0"/>
        </w:rPr>
      </w:pPr>
      <w:bookmarkStart w:name="3、培训计划" w:id="134"/>
      <w:bookmarkEnd w:id="134"/>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33" w:firstLine="420"/>
        <w:jc w:val="left"/>
      </w:pPr>
      <w:r>
        <w:rPr>
          <w:spacing w:val="-2"/>
        </w:rPr>
        <w:t>公司重视对员工业务技能的培训，并为之搭建了一个健全的职业发展平台，让每一位员工明确自身发</w:t>
      </w:r>
      <w:r>
        <w:rPr>
          <w:w w:val="100"/>
        </w:rPr>
        <w:t> </w:t>
      </w:r>
      <w:r>
        <w:rPr>
          <w:spacing w:val="-2"/>
        </w:rPr>
        <w:t>展的方向，实现自我价值。针对各管理人员及员工进行分岗、分级培训，实现岗位责任制，培训的重点：</w:t>
      </w:r>
    </w:p>
    <w:p>
      <w:pPr>
        <w:pStyle w:val="BodyText"/>
        <w:spacing w:line="240" w:lineRule="auto"/>
        <w:ind w:left="573" w:right="1133"/>
        <w:jc w:val="left"/>
      </w:pPr>
      <w:r>
        <w:rPr>
          <w:rFonts w:ascii="Times New Roman" w:hAnsi="Times New Roman" w:cs="Times New Roman" w:eastAsia="Times New Roman" w:hint="default"/>
        </w:rPr>
        <w:t>1</w:t>
      </w:r>
      <w:r>
        <w:rPr/>
        <w:t>、经营层培训：公司章程、内控管理制度培训等；</w:t>
      </w:r>
    </w:p>
    <w:p>
      <w:pPr>
        <w:pStyle w:val="BodyText"/>
        <w:spacing w:line="240" w:lineRule="auto" w:before="177"/>
        <w:ind w:left="594" w:right="1133"/>
        <w:jc w:val="left"/>
      </w:pPr>
      <w:r>
        <w:rPr>
          <w:rFonts w:ascii="Times New Roman" w:hAnsi="Times New Roman" w:cs="Times New Roman" w:eastAsia="Times New Roman" w:hint="default"/>
        </w:rPr>
        <w:t>2</w:t>
      </w:r>
      <w:r>
        <w:rPr/>
        <w:t>、董监高培训：证券法、上市公司相关法律法规、内控管理制度培训等。</w:t>
      </w:r>
    </w:p>
    <w:p>
      <w:pPr>
        <w:spacing w:line="240" w:lineRule="auto" w:before="8"/>
        <w:rPr>
          <w:rFonts w:ascii="宋体" w:hAnsi="宋体" w:cs="宋体" w:eastAsia="宋体" w:hint="default"/>
          <w:sz w:val="30"/>
          <w:szCs w:val="30"/>
        </w:rPr>
      </w:pPr>
    </w:p>
    <w:p>
      <w:pPr>
        <w:pStyle w:val="Heading5"/>
        <w:spacing w:line="240" w:lineRule="auto"/>
        <w:ind w:right="1133"/>
        <w:jc w:val="left"/>
        <w:rPr>
          <w:b w:val="0"/>
          <w:bCs w:val="0"/>
        </w:rPr>
      </w:pPr>
      <w:bookmarkStart w:name="4、劳务外包情况" w:id="135"/>
      <w:bookmarkEnd w:id="135"/>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5"/>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78"/>
        <w:jc w:val="center"/>
        <w:rPr>
          <w:b w:val="0"/>
          <w:bCs w:val="0"/>
        </w:rPr>
      </w:pPr>
      <w:bookmarkStart w:name="第十节公司治理" w:id="136"/>
      <w:bookmarkEnd w:id="136"/>
      <w:r>
        <w:rPr>
          <w:b w:val="0"/>
          <w:bCs w:val="0"/>
        </w:rPr>
      </w:r>
      <w:bookmarkStart w:name="_bookmark9" w:id="137"/>
      <w:bookmarkEnd w:id="137"/>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133"/>
        <w:jc w:val="left"/>
        <w:rPr>
          <w:b w:val="0"/>
          <w:bCs w:val="0"/>
        </w:rPr>
      </w:pPr>
      <w:bookmarkStart w:name="一、公司治理的基本状况" w:id="138"/>
      <w:bookmarkEnd w:id="138"/>
      <w:r>
        <w:rPr>
          <w:b w:val="0"/>
          <w:bCs w:val="0"/>
        </w:rPr>
      </w: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26" w:firstLine="420"/>
        <w:jc w:val="both"/>
      </w:pPr>
      <w:r>
        <w:rPr>
          <w:spacing w:val="-2"/>
        </w:rPr>
        <w:t>报告期内，公司严格按照《公司法》、《证券法》、《上市公司治理准则》、《深圳证券交易所股票</w:t>
      </w:r>
      <w:r>
        <w:rPr>
          <w:w w:val="100"/>
        </w:rPr>
        <w:t> </w:t>
      </w:r>
      <w:r>
        <w:rPr>
          <w:spacing w:val="-2"/>
        </w:rPr>
        <w:t>上市规则》、《深圳证券交易所中小企业板上市公司规范运作指引》和中国证券监督管理委员会有关法律</w:t>
      </w:r>
      <w:r>
        <w:rPr>
          <w:spacing w:val="-44"/>
        </w:rPr>
        <w:t> </w:t>
      </w:r>
      <w:r>
        <w:rPr>
          <w:spacing w:val="-44"/>
        </w:rPr>
      </w:r>
      <w:r>
        <w:rPr>
          <w:spacing w:val="-2"/>
        </w:rPr>
        <w:t>法规、规范性文件及公司章程的要求，不断完善公司治理结构，建立健全内部管理和控制制度，进一步规</w:t>
      </w:r>
      <w:r>
        <w:rPr>
          <w:spacing w:val="-50"/>
        </w:rPr>
        <w:t> </w:t>
      </w:r>
      <w:r>
        <w:rPr>
          <w:spacing w:val="-50"/>
        </w:rPr>
      </w:r>
      <w:r>
        <w:rPr>
          <w:spacing w:val="-2"/>
        </w:rPr>
        <w:t>范公司运作，提高公司治理水平。报告期末，公司治理实际情况与《公司法》和中国证监会相关规定的要</w:t>
      </w:r>
      <w:r>
        <w:rPr>
          <w:spacing w:val="-42"/>
        </w:rPr>
        <w:t> </w:t>
      </w:r>
      <w:r>
        <w:rPr>
          <w:spacing w:val="-42"/>
        </w:rPr>
      </w:r>
      <w:r>
        <w:rPr/>
        <w:t>求不存在差异。</w:t>
      </w:r>
    </w:p>
    <w:p>
      <w:pPr>
        <w:pStyle w:val="BodyText"/>
        <w:spacing w:line="398" w:lineRule="auto"/>
        <w:ind w:right="1133" w:firstLine="420"/>
        <w:jc w:val="left"/>
      </w:pPr>
      <w:r>
        <w:rPr>
          <w:rFonts w:ascii="Times New Roman" w:hAnsi="Times New Roman" w:cs="Times New Roman" w:eastAsia="Times New Roman" w:hint="default"/>
        </w:rPr>
        <w:t>1</w:t>
      </w:r>
      <w:r>
        <w:rPr/>
        <w:t>、股东大会与实际控制人：股东大会是公司的最高权力机构，按照《股东大会议事规则》的规定召</w:t>
      </w:r>
      <w:r>
        <w:rPr>
          <w:w w:val="100"/>
        </w:rPr>
        <w:t> </w:t>
      </w:r>
      <w:r>
        <w:rPr>
          <w:spacing w:val="-2"/>
        </w:rPr>
        <w:t>集、召开公司股东大会，能够确保所有股东，特别是中小股东享有平等地位，确保所有股东能够充分行使</w:t>
      </w:r>
      <w:r>
        <w:rPr>
          <w:spacing w:val="-47"/>
        </w:rPr>
        <w:t> </w:t>
      </w:r>
      <w:r>
        <w:rPr>
          <w:spacing w:val="-47"/>
        </w:rPr>
      </w:r>
      <w:r>
        <w:rPr/>
        <w:t>自己的权利。</w:t>
      </w:r>
    </w:p>
    <w:p>
      <w:pPr>
        <w:pStyle w:val="BodyText"/>
        <w:spacing w:line="398" w:lineRule="auto" w:before="54"/>
        <w:ind w:right="0" w:firstLine="420"/>
        <w:jc w:val="left"/>
      </w:pPr>
      <w:r>
        <w:rPr>
          <w:rFonts w:ascii="Times New Roman" w:hAnsi="Times New Roman" w:cs="Times New Roman" w:eastAsia="Times New Roman" w:hint="default"/>
        </w:rPr>
        <w:t>2</w:t>
      </w:r>
      <w:r>
        <w:rPr/>
        <w:t>、董事会和董事：董事会是公司的决策机构，公司目前有董事七名，其中独立董事三名，占全体董</w:t>
      </w:r>
      <w:r>
        <w:rPr>
          <w:w w:val="100"/>
        </w:rPr>
        <w:t> </w:t>
      </w:r>
      <w:r>
        <w:rPr>
          <w:spacing w:val="-2"/>
        </w:rPr>
        <w:t>事的三分之一以上；全体董事能够按照《董事会议事规则》、《独立董事工作细则》等规定开展工作，按</w:t>
      </w:r>
      <w:r>
        <w:rPr>
          <w:spacing w:val="-47"/>
        </w:rPr>
        <w:t> </w:t>
      </w:r>
      <w:r>
        <w:rPr>
          <w:spacing w:val="-47"/>
        </w:rPr>
      </w:r>
      <w:r>
        <w:rPr>
          <w:spacing w:val="-5"/>
        </w:rPr>
        <w:t>时出席董事会和股东大会，积极参加相关知识的培训，熟悉有关法律法规，监督内部控制制度的执行情况。</w:t>
      </w:r>
    </w:p>
    <w:p>
      <w:pPr>
        <w:pStyle w:val="BodyText"/>
        <w:spacing w:line="398" w:lineRule="auto" w:before="54"/>
        <w:ind w:right="1133" w:firstLine="420"/>
        <w:jc w:val="left"/>
      </w:pPr>
      <w:r>
        <w:rPr>
          <w:rFonts w:ascii="Times New Roman" w:hAnsi="Times New Roman" w:cs="Times New Roman" w:eastAsia="Times New Roman" w:hint="default"/>
        </w:rPr>
        <w:t>3</w:t>
      </w:r>
      <w:r>
        <w:rPr/>
        <w:t>、监事会和监事：监事会是公司的监督机构，严格按照《公司法》、公司章程等的有关规定产生监</w:t>
      </w:r>
      <w:r>
        <w:rPr>
          <w:w w:val="100"/>
        </w:rPr>
        <w:t> </w:t>
      </w:r>
      <w:r>
        <w:rPr>
          <w:spacing w:val="-2"/>
        </w:rPr>
        <w:t>事，公司监事会现有监事三名，监事会的人数及构成符合法律、法规的要求，对董事、全体高级管理人员</w:t>
      </w:r>
      <w:r>
        <w:rPr>
          <w:spacing w:val="-43"/>
        </w:rPr>
        <w:t> </w:t>
      </w:r>
      <w:r>
        <w:rPr>
          <w:spacing w:val="-43"/>
        </w:rPr>
      </w:r>
      <w:r>
        <w:rPr/>
        <w:t>的行为及公司的财务状况进行监督检查并发表意见。</w:t>
      </w:r>
    </w:p>
    <w:p>
      <w:pPr>
        <w:pStyle w:val="BodyText"/>
        <w:spacing w:line="398" w:lineRule="auto" w:before="54"/>
        <w:ind w:right="1133" w:firstLine="420"/>
        <w:jc w:val="left"/>
      </w:pPr>
      <w:r>
        <w:rPr>
          <w:rFonts w:ascii="Times New Roman" w:hAnsi="Times New Roman" w:cs="Times New Roman" w:eastAsia="Times New Roman" w:hint="default"/>
        </w:rPr>
        <w:t>4</w:t>
      </w:r>
      <w:r>
        <w:rPr/>
        <w:t>、董事会专门委员会：董事会下设战略与投资委员会、提名委员会、薪酬与考核委员会、审计委员</w:t>
      </w:r>
      <w:r>
        <w:rPr>
          <w:w w:val="100"/>
        </w:rPr>
        <w:t> </w:t>
      </w:r>
      <w:r>
        <w:rPr>
          <w:spacing w:val="-7"/>
        </w:rPr>
        <w:t>会四个专业委员会，并制定了《董事会战略决策委员会工作细则》、《董事会提名委员会工作细则》、《董</w:t>
      </w:r>
      <w:r>
        <w:rPr>
          <w:spacing w:val="-23"/>
        </w:rPr>
        <w:t> </w:t>
      </w:r>
      <w:r>
        <w:rPr>
          <w:spacing w:val="-23"/>
        </w:rPr>
      </w:r>
      <w:r>
        <w:rPr/>
        <w:t>事会薪酬与考核委员会工作细则》及《董事会审计委员会工作细则》，所有委员全部到位并开展工作。</w:t>
      </w:r>
    </w:p>
    <w:p>
      <w:pPr>
        <w:pStyle w:val="BodyText"/>
        <w:spacing w:line="386" w:lineRule="auto" w:before="54"/>
        <w:ind w:right="1133" w:firstLine="420"/>
        <w:jc w:val="left"/>
      </w:pPr>
      <w:r>
        <w:rPr>
          <w:rFonts w:ascii="Times New Roman" w:hAnsi="Times New Roman" w:cs="Times New Roman" w:eastAsia="Times New Roman" w:hint="default"/>
          <w:spacing w:val="-2"/>
        </w:rPr>
        <w:t>5</w:t>
      </w:r>
      <w:r>
        <w:rPr>
          <w:spacing w:val="-2"/>
        </w:rPr>
        <w:t>、关于经理层：公司经理及其他高级管理人员职责清晰，能够严格按照《公司章程》、《总经理工</w:t>
      </w:r>
      <w:r>
        <w:rPr>
          <w:w w:val="100"/>
        </w:rPr>
        <w:t> </w:t>
      </w:r>
      <w:r>
        <w:rPr/>
        <w:t>作细则》等各项管理制度履行职责，勤勉尽责，切实贯彻、执行董事会的决议。</w:t>
      </w:r>
    </w:p>
    <w:p>
      <w:pPr>
        <w:pStyle w:val="BodyText"/>
        <w:spacing w:line="386" w:lineRule="auto" w:before="65"/>
        <w:ind w:right="1133" w:firstLine="420"/>
        <w:jc w:val="left"/>
      </w:pPr>
      <w:r>
        <w:rPr>
          <w:rFonts w:ascii="Times New Roman" w:hAnsi="Times New Roman" w:cs="Times New Roman" w:eastAsia="Times New Roman" w:hint="default"/>
          <w:spacing w:val="-2"/>
        </w:rPr>
        <w:t>6</w:t>
      </w:r>
      <w:r>
        <w:rPr>
          <w:spacing w:val="-2"/>
        </w:rPr>
        <w:t>、关于相关利益者：公司能够充分尊重和维护相关利益者的合法权益，实现股东、员工、社会等各</w:t>
      </w:r>
      <w:r>
        <w:rPr>
          <w:w w:val="100"/>
        </w:rPr>
        <w:t> </w:t>
      </w:r>
      <w:r>
        <w:rPr/>
        <w:t>方利益的协调平衡，共同推动公司持续、稳定、健康的发展。</w:t>
      </w:r>
    </w:p>
    <w:p>
      <w:pPr>
        <w:pStyle w:val="BodyText"/>
        <w:spacing w:line="400" w:lineRule="auto" w:before="65"/>
        <w:ind w:right="1133" w:firstLine="420"/>
        <w:jc w:val="left"/>
      </w:pPr>
      <w:r>
        <w:rPr>
          <w:rFonts w:ascii="Times New Roman" w:hAnsi="Times New Roman" w:cs="Times New Roman" w:eastAsia="Times New Roman" w:hint="default"/>
        </w:rPr>
        <w:t>7</w:t>
      </w:r>
      <w:r>
        <w:rPr/>
        <w:t>、关于信息披露和投资者关系管理：公司严格按照有关法律法规以及《信息披露管理办法》等公司</w:t>
      </w:r>
      <w:r>
        <w:rPr>
          <w:w w:val="100"/>
        </w:rPr>
        <w:t> </w:t>
      </w:r>
      <w:r>
        <w:rPr>
          <w:spacing w:val="-2"/>
        </w:rPr>
        <w:t>制度进行信息披露和投资者关系管理，并指定了《证券时报》、《中国证券报》、《上海证券报》、《证</w:t>
      </w:r>
      <w:r>
        <w:rPr>
          <w:spacing w:val="-46"/>
        </w:rPr>
        <w:t> </w:t>
      </w:r>
      <w:r>
        <w:rPr>
          <w:spacing w:val="-46"/>
        </w:rPr>
      </w:r>
      <w:r>
        <w:rPr>
          <w:spacing w:val="-2"/>
        </w:rPr>
        <w:t>券日报》和巨潮资讯网为公司指定的信息披露报纸和网站，真实、及时、准确、完整地披露各项信息，确</w:t>
      </w:r>
      <w:r>
        <w:rPr>
          <w:spacing w:val="-44"/>
        </w:rPr>
        <w:t> </w:t>
      </w:r>
      <w:r>
        <w:rPr>
          <w:spacing w:val="-44"/>
        </w:rPr>
      </w:r>
      <w:r>
        <w:rPr>
          <w:spacing w:val="-2"/>
        </w:rPr>
        <w:t>保所有投资者公平获取公司信息。同时，公司建立了畅通的沟通渠道，通过投资者电话、投资者关系网络</w:t>
      </w:r>
    </w:p>
    <w:p>
      <w:pPr>
        <w:spacing w:after="0" w:line="40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left="573" w:right="1133" w:hanging="421"/>
        <w:jc w:val="left"/>
      </w:pPr>
      <w:r>
        <w:rPr/>
        <w:t>互动平台以及现场交流等方式与投资者进行充分的沟通交流。</w:t>
      </w:r>
      <w:r>
        <w:rPr>
          <w:w w:val="100"/>
        </w:rPr>
        <w:t> </w:t>
      </w:r>
      <w:r>
        <w:rPr>
          <w:spacing w:val="-2"/>
        </w:rPr>
        <w:t>综上公司定期进行检查、评估和及时的修订完善各项规章制度，使各项制度得到有效的贯彻执行，对</w:t>
      </w:r>
    </w:p>
    <w:p>
      <w:pPr>
        <w:spacing w:line="403" w:lineRule="auto" w:before="46"/>
        <w:ind w:left="152" w:right="1133" w:firstLine="0"/>
        <w:jc w:val="left"/>
        <w:rPr>
          <w:rFonts w:ascii="宋体" w:hAnsi="宋体" w:cs="宋体" w:eastAsia="宋体" w:hint="default"/>
          <w:sz w:val="18"/>
          <w:szCs w:val="18"/>
        </w:rPr>
      </w:pPr>
      <w:r>
        <w:rPr>
          <w:rFonts w:ascii="宋体" w:hAnsi="宋体" w:cs="宋体" w:eastAsia="宋体" w:hint="default"/>
          <w:spacing w:val="-2"/>
          <w:sz w:val="21"/>
          <w:szCs w:val="21"/>
        </w:rPr>
        <w:t>公司的生产经营起到了重要的指导、规范、控制和监督作用，公司严格按照该制度的规定，对公司定期报</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告披露以及其他重大事项过程中涉及的内幕知情人员情况进行了登记备案。</w:t>
      </w:r>
      <w:r>
        <w:rPr>
          <w:rFonts w:ascii="宋体" w:hAnsi="宋体" w:cs="宋体" w:eastAsia="宋体" w:hint="default"/>
          <w:w w:val="100"/>
          <w:sz w:val="21"/>
          <w:szCs w:val="21"/>
        </w:rPr>
        <w:t> </w:t>
      </w: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0"/>
        <w:ind w:left="152" w:right="35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3"/>
        <w:spacing w:line="240" w:lineRule="auto"/>
        <w:ind w:right="1133"/>
        <w:jc w:val="left"/>
        <w:rPr>
          <w:b w:val="0"/>
          <w:bCs w:val="0"/>
        </w:rPr>
      </w:pPr>
      <w:bookmarkStart w:name="二、公司相对于控股股东在业务、人员、资产、机构、财务等方面的独立情况" w:id="139"/>
      <w:bookmarkEnd w:id="139"/>
      <w:r>
        <w:rPr>
          <w:b w:val="0"/>
          <w:bCs w:val="0"/>
        </w:rPr>
      </w:r>
      <w:r>
        <w:rPr/>
        <w:t>二、公司相对于控股股东在业务、人员、资产、机构、财务等方面的独立情况</w:t>
      </w:r>
      <w:r>
        <w:rPr>
          <w:b w:val="0"/>
          <w:bCs w:val="0"/>
        </w:rPr>
      </w:r>
    </w:p>
    <w:p>
      <w:pPr>
        <w:spacing w:line="240" w:lineRule="auto" w:before="11"/>
        <w:rPr>
          <w:rFonts w:ascii="宋体" w:hAnsi="宋体" w:cs="宋体" w:eastAsia="宋体" w:hint="default"/>
          <w:b/>
          <w:bCs/>
          <w:sz w:val="30"/>
          <w:szCs w:val="30"/>
        </w:rPr>
      </w:pPr>
    </w:p>
    <w:p>
      <w:pPr>
        <w:pStyle w:val="BodyText"/>
        <w:spacing w:line="398" w:lineRule="auto" w:before="0"/>
        <w:ind w:right="0" w:firstLine="420"/>
        <w:jc w:val="left"/>
      </w:pPr>
      <w:r>
        <w:rPr>
          <w:spacing w:val="-3"/>
        </w:rPr>
        <w:t>公司具备完整、规范的产、供、销生产经营管理体制和运行机制，在业务、人员、资产、机构、财务</w:t>
      </w:r>
      <w:r>
        <w:rPr>
          <w:w w:val="100"/>
        </w:rPr>
        <w:t> </w:t>
      </w:r>
      <w:r>
        <w:rPr/>
        <w:t>等方面与股东单位完全分开，独立运作。</w:t>
      </w:r>
      <w:r>
        <w:rPr>
          <w:rFonts w:ascii="Times New Roman" w:hAnsi="Times New Roman" w:cs="Times New Roman" w:eastAsia="Times New Roman" w:hint="default"/>
        </w:rPr>
        <w:t>1</w:t>
      </w:r>
      <w:r>
        <w:rPr/>
        <w:t>、业务独立：公司具有完整的采购供应体系、完整的生产管理</w:t>
      </w:r>
      <w:r>
        <w:rPr>
          <w:w w:val="100"/>
        </w:rPr>
        <w:t> </w:t>
      </w:r>
      <w:r>
        <w:rPr/>
        <w:t>体系和独立的销售运作体系，独立开展业务，不依赖于任何股东及关联方。</w:t>
      </w:r>
      <w:r>
        <w:rPr>
          <w:rFonts w:ascii="Times New Roman" w:hAnsi="Times New Roman" w:cs="Times New Roman" w:eastAsia="Times New Roman" w:hint="default"/>
        </w:rPr>
        <w:t>2</w:t>
      </w:r>
      <w:r>
        <w:rPr/>
        <w:t>、人员独立：本公司董事、</w:t>
      </w:r>
      <w:r>
        <w:rPr>
          <w:w w:val="100"/>
        </w:rPr>
        <w:t> </w:t>
      </w:r>
      <w:r>
        <w:rPr/>
        <w:t>监事及高级管理人员严格按照《公司法》和《公司章程》的有关规定产生；公司建有独立的人事及工资管</w:t>
      </w:r>
      <w:r>
        <w:rPr>
          <w:w w:val="100"/>
        </w:rPr>
        <w:t> </w:t>
      </w:r>
      <w:r>
        <w:rPr/>
        <w:t>理系统；公司还制订了严格的《人事管理制度》，对人员管理做到了制度化。</w:t>
      </w:r>
      <w:r>
        <w:rPr>
          <w:rFonts w:ascii="Times New Roman" w:hAnsi="Times New Roman" w:cs="Times New Roman" w:eastAsia="Times New Roman" w:hint="default"/>
        </w:rPr>
        <w:t>3</w:t>
      </w:r>
      <w:r>
        <w:rPr/>
        <w:t>、资产独立本：公司的主</w:t>
      </w:r>
      <w:r>
        <w:rPr>
          <w:w w:val="100"/>
        </w:rPr>
        <w:t> </w:t>
      </w:r>
      <w:r>
        <w:rPr/>
        <w:t>要资产包括主营业务所需的完整的生产设备、土地、厂房、办公用房、仓储用房、交通工具和知识产权，</w:t>
      </w:r>
      <w:r>
        <w:rPr>
          <w:w w:val="100"/>
        </w:rPr>
        <w:t> </w:t>
      </w:r>
      <w:r>
        <w:rPr/>
        <w:t>具有完整的配套设施。上述资产产权清晰，完全独立于股东单位。</w:t>
      </w:r>
      <w:r>
        <w:rPr>
          <w:rFonts w:ascii="Times New Roman" w:hAnsi="Times New Roman" w:cs="Times New Roman" w:eastAsia="Times New Roman" w:hint="default"/>
        </w:rPr>
        <w:t>4</w:t>
      </w:r>
      <w:r>
        <w:rPr/>
        <w:t>、机构独立：本公司设股东大会、董</w:t>
      </w:r>
      <w:r>
        <w:rPr>
          <w:w w:val="100"/>
        </w:rPr>
        <w:t> </w:t>
      </w:r>
      <w:r>
        <w:rPr>
          <w:spacing w:val="-2"/>
        </w:rPr>
        <w:t>事会、监事会，按照《公司章程》的规定履行相关权利和义务。公司拥有独立的组织机构，拥有独立的运</w:t>
      </w:r>
      <w:r>
        <w:rPr>
          <w:spacing w:val="-45"/>
        </w:rPr>
        <w:t> </w:t>
      </w:r>
      <w:r>
        <w:rPr>
          <w:spacing w:val="-45"/>
        </w:rPr>
      </w:r>
      <w:r>
        <w:rPr>
          <w:spacing w:val="-2"/>
        </w:rPr>
        <w:t>作、管理和考核机制。公司总经理、副总经理、董事会秘书、财务总监均在公司领取报酬。</w:t>
      </w:r>
      <w:r>
        <w:rPr>
          <w:rFonts w:ascii="Times New Roman" w:hAnsi="Times New Roman" w:cs="Times New Roman" w:eastAsia="Times New Roman" w:hint="default"/>
          <w:spacing w:val="-2"/>
        </w:rPr>
        <w:t>5</w:t>
      </w:r>
      <w:r>
        <w:rPr>
          <w:spacing w:val="-2"/>
        </w:rPr>
        <w:t>、财务独立：</w:t>
      </w:r>
      <w:r>
        <w:rPr>
          <w:spacing w:val="-47"/>
        </w:rPr>
        <w:t> </w:t>
      </w:r>
      <w:r>
        <w:rPr>
          <w:spacing w:val="-47"/>
        </w:rPr>
      </w:r>
      <w:r>
        <w:rPr>
          <w:spacing w:val="-5"/>
        </w:rPr>
        <w:t>公司设有独立的财务部门，建立独立的财务会计核算体系和财务管理制度，财务人员与股东单位完全独立，</w:t>
      </w:r>
      <w:r>
        <w:rPr>
          <w:spacing w:val="-4"/>
        </w:rPr>
        <w:t> </w:t>
      </w:r>
      <w:r>
        <w:rPr>
          <w:spacing w:val="-4"/>
        </w:rPr>
      </w:r>
      <w:r>
        <w:rPr/>
        <w:t>不存在交叉任职情况。公司独立开设银行帐户，作为独立的纳税人依法独立纳税。</w:t>
      </w:r>
    </w:p>
    <w:p>
      <w:pPr>
        <w:spacing w:line="240" w:lineRule="auto" w:before="4"/>
        <w:rPr>
          <w:rFonts w:ascii="宋体" w:hAnsi="宋体" w:cs="宋体" w:eastAsia="宋体" w:hint="default"/>
          <w:sz w:val="19"/>
          <w:szCs w:val="19"/>
        </w:rPr>
      </w:pPr>
    </w:p>
    <w:p>
      <w:pPr>
        <w:pStyle w:val="Heading3"/>
        <w:spacing w:line="240" w:lineRule="auto"/>
        <w:ind w:right="1133"/>
        <w:jc w:val="left"/>
        <w:rPr>
          <w:b w:val="0"/>
          <w:bCs w:val="0"/>
        </w:rPr>
      </w:pPr>
      <w:bookmarkStart w:name="三、同业竞争情况" w:id="140"/>
      <w:bookmarkEnd w:id="140"/>
      <w:r>
        <w:rPr>
          <w:b w:val="0"/>
          <w:bCs w:val="0"/>
        </w:rPr>
      </w: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bookmarkStart w:name="四、报告期内召开的年度股东大会和临时股东大会的有关情况" w:id="141"/>
      <w:bookmarkEnd w:id="141"/>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bookmarkStart w:name="1、本报告期股东大会情况" w:id="142"/>
      <w:bookmarkEnd w:id="142"/>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2019-004</w:t>
            </w:r>
            <w:r>
              <w:rPr>
                <w:rFonts w:ascii="宋体" w:hAnsi="宋体" w:cs="宋体" w:eastAsia="宋体" w:hint="default"/>
                <w:sz w:val="18"/>
                <w:szCs w:val="18"/>
              </w:rPr>
              <w:t>）</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98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2019-041</w:t>
            </w:r>
            <w:r>
              <w:rPr>
                <w:rFonts w:ascii="宋体" w:hAnsi="宋体" w:cs="宋体" w:eastAsia="宋体" w:hint="default"/>
                <w:sz w:val="18"/>
                <w:szCs w:val="18"/>
              </w:rPr>
              <w:t>）</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48.31%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2019-051</w:t>
            </w: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bookmarkStart w:name="2、表决权恢复的优先股股东请求召开临时股东大会" w:id="143"/>
      <w:bookmarkEnd w:id="143"/>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bookmarkStart w:name="五、报告期内独立董事履行职责的情况" w:id="144"/>
      <w:bookmarkEnd w:id="144"/>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bookmarkStart w:name="1、独立董事出席董事会及股东大会的情况" w:id="145"/>
      <w:bookmarkEnd w:id="145"/>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闫忠海</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任跃英</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程岩</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傅穹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王旭</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张连学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bookmarkStart w:name="2、独立董事对公司有关事项提出异议的情况" w:id="146"/>
      <w:bookmarkEnd w:id="146"/>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7"/>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3"/>
        <w:rPr>
          <w:rFonts w:ascii="宋体" w:hAnsi="宋体" w:cs="宋体" w:eastAsia="宋体" w:hint="default"/>
          <w:sz w:val="21"/>
          <w:szCs w:val="21"/>
        </w:rPr>
      </w:pPr>
    </w:p>
    <w:p>
      <w:pPr>
        <w:pStyle w:val="Heading5"/>
        <w:spacing w:line="240" w:lineRule="auto"/>
        <w:ind w:right="1133"/>
        <w:jc w:val="left"/>
        <w:rPr>
          <w:b w:val="0"/>
          <w:bCs w:val="0"/>
        </w:rPr>
      </w:pPr>
      <w:bookmarkStart w:name="3、独立董事履行职责的其他说明" w:id="147"/>
      <w:bookmarkEnd w:id="147"/>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7"/>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独立董事对公司有关建议被采纳或未被采纳的说明</w:t>
      </w:r>
    </w:p>
    <w:p>
      <w:pPr>
        <w:pStyle w:val="BodyText"/>
        <w:spacing w:line="240" w:lineRule="auto" w:before="95"/>
        <w:ind w:left="573" w:right="0"/>
        <w:jc w:val="left"/>
      </w:pPr>
      <w:r>
        <w:rPr/>
        <w:t>报告期内，独立董事积极有效地履行独立董事的职责，利用参加相关会议的时间，对公司进行了多次</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024"/>
        <w:jc w:val="left"/>
      </w:pPr>
      <w:r>
        <w:rPr>
          <w:spacing w:val="-5"/>
        </w:rPr>
        <w:t>现场考察，对公司的生产经营、财务状况、内部控制建立健全、管理层对股东大会和董事会决议执行情况、</w:t>
      </w:r>
      <w:r>
        <w:rPr>
          <w:spacing w:val="-9"/>
        </w:rPr>
        <w:t> </w:t>
      </w:r>
      <w:r>
        <w:rPr>
          <w:spacing w:val="-9"/>
        </w:rPr>
      </w:r>
      <w:r>
        <w:rPr>
          <w:spacing w:val="-2"/>
        </w:rPr>
        <w:t>募集资金使用、关联交易、业务发展和投资项目的进展等情况进行调查，在董事会决策过程中发表专业意</w:t>
      </w:r>
      <w:r>
        <w:rPr>
          <w:spacing w:val="-45"/>
        </w:rPr>
        <w:t> </w:t>
      </w:r>
      <w:r>
        <w:rPr>
          <w:spacing w:val="-45"/>
        </w:rPr>
      </w:r>
      <w:r>
        <w:rPr/>
        <w:t>见。</w:t>
      </w:r>
    </w:p>
    <w:p>
      <w:pPr>
        <w:spacing w:line="240" w:lineRule="auto" w:before="8"/>
        <w:rPr>
          <w:rFonts w:ascii="宋体" w:hAnsi="宋体" w:cs="宋体" w:eastAsia="宋体" w:hint="default"/>
          <w:sz w:val="18"/>
          <w:szCs w:val="18"/>
        </w:rPr>
      </w:pPr>
    </w:p>
    <w:p>
      <w:pPr>
        <w:pStyle w:val="Heading3"/>
        <w:spacing w:line="240" w:lineRule="auto"/>
        <w:ind w:right="1133"/>
        <w:jc w:val="left"/>
        <w:rPr>
          <w:b w:val="0"/>
          <w:bCs w:val="0"/>
        </w:rPr>
      </w:pPr>
      <w:bookmarkStart w:name="六、董事会下设专门委员会在报告期内履行职责情况" w:id="148"/>
      <w:bookmarkEnd w:id="148"/>
      <w:r>
        <w:rPr>
          <w:b w:val="0"/>
          <w:bCs w:val="0"/>
        </w:rPr>
      </w:r>
      <w:r>
        <w:rPr/>
        <w:t>六、董事会下设专门委员会在报告期内履行职责情况</w:t>
      </w:r>
      <w:r>
        <w:rPr>
          <w:b w:val="0"/>
          <w:bCs w:val="0"/>
        </w:rPr>
      </w:r>
    </w:p>
    <w:p>
      <w:pPr>
        <w:spacing w:line="240" w:lineRule="auto" w:before="10"/>
        <w:rPr>
          <w:rFonts w:ascii="宋体" w:hAnsi="宋体" w:cs="宋体" w:eastAsia="宋体" w:hint="default"/>
          <w:b/>
          <w:bCs/>
          <w:sz w:val="30"/>
          <w:szCs w:val="30"/>
        </w:rPr>
      </w:pPr>
    </w:p>
    <w:p>
      <w:pPr>
        <w:pStyle w:val="BodyText"/>
        <w:spacing w:line="386" w:lineRule="auto" w:before="0"/>
        <w:ind w:left="573" w:right="1133"/>
        <w:jc w:val="left"/>
      </w:pPr>
      <w:r>
        <w:rPr>
          <w:rFonts w:ascii="Times New Roman" w:hAnsi="Times New Roman" w:cs="Times New Roman" w:eastAsia="Times New Roman" w:hint="default"/>
        </w:rPr>
        <w:t>1</w:t>
      </w:r>
      <w:r>
        <w:rPr/>
        <w:t>、审计委员会履行职责情况</w:t>
      </w:r>
      <w:r>
        <w:rPr>
          <w:w w:val="100"/>
        </w:rPr>
        <w:t> </w:t>
      </w:r>
      <w:r>
        <w:rPr>
          <w:spacing w:val="-2"/>
        </w:rPr>
        <w:t>报告期内，审计委员会每季度审议内部审计部门提交的审计工作报告和工作计划；对公司内部控制情</w:t>
      </w:r>
    </w:p>
    <w:p>
      <w:pPr>
        <w:pStyle w:val="BodyText"/>
        <w:spacing w:line="398" w:lineRule="auto" w:before="65"/>
        <w:ind w:right="0"/>
        <w:jc w:val="left"/>
      </w:pPr>
      <w:r>
        <w:rPr>
          <w:spacing w:val="-2"/>
        </w:rPr>
        <w:t>况进行审核，出具</w:t>
      </w:r>
      <w:r>
        <w:rPr>
          <w:rFonts w:ascii="Times New Roman" w:hAnsi="Times New Roman" w:cs="Times New Roman" w:eastAsia="Times New Roman" w:hint="default"/>
          <w:spacing w:val="-2"/>
        </w:rPr>
        <w:t>2019</w:t>
      </w:r>
      <w:r>
        <w:rPr>
          <w:spacing w:val="-2"/>
        </w:rPr>
        <w:t>年度内部控制自我评价报告；审计委员会与会计师事务所协商确定了公司</w:t>
      </w:r>
      <w:r>
        <w:rPr>
          <w:rFonts w:ascii="Times New Roman" w:hAnsi="Times New Roman" w:cs="Times New Roman" w:eastAsia="Times New Roman" w:hint="default"/>
          <w:spacing w:val="-2"/>
        </w:rPr>
        <w:t>2019</w:t>
      </w:r>
      <w:r>
        <w:rPr>
          <w:spacing w:val="-2"/>
        </w:rPr>
        <w:t>年度</w:t>
      </w:r>
      <w:r>
        <w:rPr>
          <w:spacing w:val="-36"/>
        </w:rPr>
        <w:t> </w:t>
      </w:r>
      <w:r>
        <w:rPr>
          <w:spacing w:val="-5"/>
        </w:rPr>
        <w:t>财务报告审计工作的时间安排，并不断加强与年审注册会计师的沟通，督促其在约定时限内提交审计报告。</w:t>
      </w:r>
      <w:r>
        <w:rPr>
          <w:spacing w:val="-6"/>
        </w:rPr>
        <w:t> </w:t>
      </w:r>
      <w:r>
        <w:rPr>
          <w:spacing w:val="-6"/>
        </w:rPr>
      </w:r>
      <w:r>
        <w:rPr/>
        <w:t>在审阅审计报告后，向董事会提交审阅意见以及续聘会计师事务所的建议书。</w:t>
      </w:r>
    </w:p>
    <w:p>
      <w:pPr>
        <w:pStyle w:val="BodyText"/>
        <w:spacing w:line="386" w:lineRule="auto" w:before="54"/>
        <w:ind w:left="573" w:right="1133"/>
        <w:jc w:val="left"/>
      </w:pPr>
      <w:r>
        <w:rPr>
          <w:rFonts w:ascii="Times New Roman" w:hAnsi="Times New Roman" w:cs="Times New Roman" w:eastAsia="Times New Roman" w:hint="default"/>
        </w:rPr>
        <w:t>2</w:t>
      </w:r>
      <w:r>
        <w:rPr/>
        <w:t>、薪酬与考核委员会履行职责情况</w:t>
      </w:r>
      <w:r>
        <w:rPr>
          <w:w w:val="100"/>
        </w:rPr>
        <w:t> </w:t>
      </w:r>
      <w:r>
        <w:rPr>
          <w:spacing w:val="-2"/>
        </w:rPr>
        <w:t>报告期内，薪酬与考核委员会认真了解公司薪酬现状及社会整体薪酬水平，听取公司薪酬支付情况的</w:t>
      </w:r>
    </w:p>
    <w:p>
      <w:pPr>
        <w:pStyle w:val="BodyText"/>
        <w:spacing w:line="408" w:lineRule="auto" w:before="65"/>
        <w:ind w:right="1133"/>
        <w:jc w:val="left"/>
      </w:pPr>
      <w:r>
        <w:rPr>
          <w:spacing w:val="-2"/>
        </w:rPr>
        <w:t>汇报。对公司董事、高级管理人员薪酬进行了审阅，认为其薪酬标准和发放符合公司的薪酬管理制度，年</w:t>
      </w:r>
      <w:r>
        <w:rPr>
          <w:spacing w:val="-44"/>
        </w:rPr>
        <w:t> </w:t>
      </w:r>
      <w:r>
        <w:rPr>
          <w:spacing w:val="-44"/>
        </w:rPr>
      </w:r>
      <w:r>
        <w:rPr/>
        <w:t>度报告中所披露的董事、高级管理人员薪酬是合理和真实的。</w:t>
      </w:r>
    </w:p>
    <w:p>
      <w:pPr>
        <w:pStyle w:val="BodyText"/>
        <w:spacing w:line="386" w:lineRule="auto"/>
        <w:ind w:left="573" w:right="1133"/>
        <w:jc w:val="left"/>
      </w:pPr>
      <w:r>
        <w:rPr>
          <w:rFonts w:ascii="Times New Roman" w:hAnsi="Times New Roman" w:cs="Times New Roman" w:eastAsia="Times New Roman" w:hint="default"/>
        </w:rPr>
        <w:t>3</w:t>
      </w:r>
      <w:r>
        <w:rPr/>
        <w:t>、战略与投资委员会履行职责情况</w:t>
      </w:r>
      <w:r>
        <w:rPr>
          <w:w w:val="100"/>
        </w:rPr>
        <w:t> </w:t>
      </w:r>
      <w:r>
        <w:rPr>
          <w:spacing w:val="-2"/>
        </w:rPr>
        <w:t>报告期内，战略委员会认真履行职责，对公司未来发展规划、项目投资、融资等进行了充分讨论和论</w:t>
      </w:r>
    </w:p>
    <w:p>
      <w:pPr>
        <w:pStyle w:val="BodyText"/>
        <w:spacing w:line="240" w:lineRule="auto" w:before="65"/>
        <w:ind w:right="1133"/>
        <w:jc w:val="left"/>
      </w:pPr>
      <w:r>
        <w:rPr/>
        <w:t>证。</w:t>
      </w:r>
    </w:p>
    <w:p>
      <w:pPr>
        <w:spacing w:line="240" w:lineRule="auto" w:before="9"/>
        <w:rPr>
          <w:rFonts w:ascii="宋体" w:hAnsi="宋体" w:cs="宋体" w:eastAsia="宋体" w:hint="default"/>
          <w:sz w:val="29"/>
          <w:szCs w:val="29"/>
        </w:rPr>
      </w:pPr>
    </w:p>
    <w:p>
      <w:pPr>
        <w:pStyle w:val="Heading3"/>
        <w:spacing w:line="240" w:lineRule="auto"/>
        <w:ind w:right="1133"/>
        <w:jc w:val="left"/>
        <w:rPr>
          <w:b w:val="0"/>
          <w:bCs w:val="0"/>
        </w:rPr>
      </w:pPr>
      <w:bookmarkStart w:name="七、监事会工作情况" w:id="149"/>
      <w:bookmarkEnd w:id="149"/>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38" w:lineRule="auto" w:before="117"/>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监事会对报告期内的监督事项无异议。</w:t>
      </w:r>
    </w:p>
    <w:p>
      <w:pPr>
        <w:spacing w:line="240" w:lineRule="auto" w:before="8"/>
        <w:rPr>
          <w:rFonts w:ascii="宋体" w:hAnsi="宋体" w:cs="宋体" w:eastAsia="宋体" w:hint="default"/>
          <w:sz w:val="19"/>
          <w:szCs w:val="19"/>
        </w:rPr>
      </w:pPr>
    </w:p>
    <w:p>
      <w:pPr>
        <w:pStyle w:val="Heading3"/>
        <w:spacing w:line="240" w:lineRule="auto"/>
        <w:ind w:right="1133"/>
        <w:jc w:val="left"/>
        <w:rPr>
          <w:b w:val="0"/>
          <w:bCs w:val="0"/>
        </w:rPr>
      </w:pPr>
      <w:bookmarkStart w:name="八、高级管理人员的考评及激励情况" w:id="150"/>
      <w:bookmarkEnd w:id="150"/>
      <w:r>
        <w:rPr>
          <w:b w:val="0"/>
          <w:bCs w:val="0"/>
        </w:rPr>
      </w:r>
      <w:r>
        <w:rPr/>
        <w:t>八、高级管理人员的考评及激励情况</w:t>
      </w:r>
      <w:r>
        <w:rPr>
          <w:b w:val="0"/>
          <w:bCs w:val="0"/>
        </w:rPr>
      </w:r>
    </w:p>
    <w:p>
      <w:pPr>
        <w:spacing w:line="240" w:lineRule="auto" w:before="11"/>
        <w:rPr>
          <w:rFonts w:ascii="宋体" w:hAnsi="宋体" w:cs="宋体" w:eastAsia="宋体" w:hint="default"/>
          <w:b/>
          <w:bCs/>
          <w:sz w:val="30"/>
          <w:szCs w:val="30"/>
        </w:rPr>
      </w:pPr>
    </w:p>
    <w:p>
      <w:pPr>
        <w:pStyle w:val="BodyText"/>
        <w:spacing w:line="400" w:lineRule="auto" w:before="0"/>
        <w:ind w:right="1133" w:firstLine="420"/>
        <w:jc w:val="left"/>
      </w:pPr>
      <w:r>
        <w:rPr>
          <w:spacing w:val="-2"/>
        </w:rPr>
        <w:t>公司已经逐步完善和建立公正、透明的高级管理人员的绩效评价标准和激励约束机制，公司高级管理</w:t>
      </w:r>
      <w:r>
        <w:rPr>
          <w:w w:val="100"/>
        </w:rPr>
        <w:t> </w:t>
      </w:r>
      <w:r>
        <w:rPr/>
        <w:t>人员的聘任公开、透明，符合法律法规的规定。</w:t>
      </w:r>
      <w:r>
        <w:rPr>
          <w:rFonts w:ascii="Times New Roman" w:hAnsi="Times New Roman" w:cs="Times New Roman" w:eastAsia="Times New Roman" w:hint="default"/>
        </w:rPr>
        <w:t>1</w:t>
      </w:r>
      <w:r>
        <w:rPr/>
        <w:t>、考评机制：由公司董事会按年度对公司高级管理人员</w:t>
      </w:r>
      <w:r>
        <w:rPr>
          <w:w w:val="100"/>
        </w:rPr>
        <w:t> </w:t>
      </w:r>
      <w:r>
        <w:rPr>
          <w:spacing w:val="-2"/>
        </w:rPr>
        <w:t>的业绩和履职情况进行考评，并根据工作业绩决定年度薪酬，以考核结果作为下一年度的岗位安排、年薪</w:t>
      </w:r>
      <w:r>
        <w:rPr>
          <w:spacing w:val="-43"/>
        </w:rPr>
        <w:t> </w:t>
      </w:r>
      <w:r>
        <w:rPr>
          <w:spacing w:val="-43"/>
        </w:rPr>
      </w:r>
      <w:r>
        <w:rPr/>
        <w:t>档次、是否续聘及职位升降和下一届任免的依据。</w:t>
      </w:r>
      <w:r>
        <w:rPr>
          <w:rFonts w:ascii="Times New Roman" w:hAnsi="Times New Roman" w:cs="Times New Roman" w:eastAsia="Times New Roman" w:hint="default"/>
        </w:rPr>
        <w:t>2</w:t>
      </w:r>
      <w:r>
        <w:rPr/>
        <w:t>、激励机制：年初，董事会根据公司的经营计划和个</w:t>
      </w:r>
      <w:r>
        <w:rPr>
          <w:w w:val="100"/>
        </w:rPr>
        <w:t> </w:t>
      </w:r>
      <w:r>
        <w:rPr>
          <w:spacing w:val="-2"/>
        </w:rPr>
        <w:t>人的岗位职责，确定年度工资额；年终董事会根据高级管理人员本年度的工作业绩进行考评后确定对高管</w:t>
      </w:r>
      <w:r>
        <w:rPr>
          <w:spacing w:val="-43"/>
        </w:rPr>
        <w:t> </w:t>
      </w:r>
      <w:r>
        <w:rPr>
          <w:spacing w:val="-43"/>
        </w:rPr>
      </w:r>
      <w:r>
        <w:rPr/>
        <w:t>人员的奖金总额。</w:t>
      </w:r>
    </w:p>
    <w:p>
      <w:pPr>
        <w:spacing w:after="0" w:line="40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133"/>
        <w:jc w:val="left"/>
        <w:rPr>
          <w:b w:val="0"/>
          <w:bCs w:val="0"/>
        </w:rPr>
      </w:pPr>
      <w:bookmarkStart w:name="九、内部控制评价报告" w:id="151"/>
      <w:bookmarkEnd w:id="151"/>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bookmarkStart w:name="1、报告期内发现的内部控制重大缺陷的具体情况" w:id="152"/>
      <w:bookmarkEnd w:id="152"/>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bookmarkStart w:name="2、内控自我评价报告" w:id="153"/>
      <w:bookmarkEnd w:id="153"/>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3"/>
        <w:gridCol w:w="3333"/>
        <w:gridCol w:w="3053"/>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巨潮资讯网 </w:t>
            </w:r>
            <w:hyperlink r:id="rId11">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年度内部控制的自我评价报告》</w:t>
            </w:r>
          </w:p>
        </w:tc>
      </w:tr>
      <w:tr>
        <w:trPr>
          <w:trHeight w:val="71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6" w:hRule="exact"/>
        </w:trPr>
        <w:tc>
          <w:tcPr>
            <w:tcW w:w="9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3"/>
        <w:spacing w:line="240" w:lineRule="auto" w:before="26"/>
        <w:ind w:right="1133"/>
        <w:jc w:val="left"/>
        <w:rPr>
          <w:b w:val="0"/>
          <w:bCs w:val="0"/>
        </w:rPr>
      </w:pPr>
      <w:bookmarkStart w:name="十、内部控制审计报告或鉴证报告" w:id="154"/>
      <w:bookmarkEnd w:id="154"/>
      <w:r>
        <w:rPr>
          <w:b w:val="0"/>
          <w:bCs w:val="0"/>
        </w:rPr>
      </w: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5"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我们认为</w:t>
            </w:r>
            <w:r>
              <w:rPr>
                <w:rFonts w:ascii="宋体" w:hAnsi="宋体" w:cs="宋体" w:eastAsia="宋体" w:hint="default"/>
                <w:spacing w:val="-15"/>
                <w:sz w:val="18"/>
                <w:szCs w:val="18"/>
              </w:rPr>
              <w:t>，</w:t>
            </w:r>
            <w:r>
              <w:rPr>
                <w:rFonts w:ascii="宋体" w:hAnsi="宋体" w:cs="宋体" w:eastAsia="宋体" w:hint="default"/>
                <w:sz w:val="18"/>
                <w:szCs w:val="18"/>
              </w:rPr>
              <w:t>贵公司按</w:t>
            </w:r>
            <w:r>
              <w:rPr>
                <w:rFonts w:ascii="宋体" w:hAnsi="宋体" w:cs="宋体" w:eastAsia="宋体" w:hint="default"/>
                <w:spacing w:val="-15"/>
                <w:sz w:val="18"/>
                <w:szCs w:val="18"/>
              </w:rPr>
              <w:t>照</w:t>
            </w:r>
            <w:r>
              <w:rPr>
                <w:rFonts w:ascii="宋体" w:hAnsi="宋体" w:cs="宋体" w:eastAsia="宋体" w:hint="default"/>
                <w:sz w:val="18"/>
                <w:szCs w:val="18"/>
              </w:rPr>
              <w:t>《企业内部控制基本规范</w:t>
            </w:r>
            <w:r>
              <w:rPr>
                <w:rFonts w:ascii="宋体" w:hAnsi="宋体" w:cs="宋体" w:eastAsia="宋体" w:hint="default"/>
                <w:spacing w:val="-106"/>
                <w:sz w:val="18"/>
                <w:szCs w:val="18"/>
              </w:rPr>
              <w:t>》</w:t>
            </w:r>
            <w:r>
              <w:rPr>
                <w:rFonts w:ascii="宋体" w:hAnsi="宋体" w:cs="宋体" w:eastAsia="宋体" w:hint="default"/>
                <w:sz w:val="18"/>
                <w:szCs w:val="18"/>
              </w:rPr>
              <w:t>（</w:t>
            </w:r>
            <w:r>
              <w:rPr>
                <w:rFonts w:ascii="宋体" w:hAnsi="宋体" w:cs="宋体" w:eastAsia="宋体" w:hint="default"/>
                <w:spacing w:val="-15"/>
                <w:sz w:val="18"/>
                <w:szCs w:val="18"/>
              </w:rPr>
              <w:t>及</w:t>
            </w:r>
            <w:r>
              <w:rPr>
                <w:rFonts w:ascii="宋体" w:hAnsi="宋体" w:cs="宋体" w:eastAsia="宋体" w:hint="default"/>
                <w:sz w:val="18"/>
                <w:szCs w:val="18"/>
              </w:rPr>
              <w:t>《关于加强期货经纪公司内部控制的指导原则</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规定的标准于</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日在所有重大方面保持了与财务报表相关的有效的内部控制。</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71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pacing w:val="-2"/>
                <w:sz w:val="18"/>
                <w:szCs w:val="18"/>
              </w:rPr>
              <w:t>详见巨潮资讯网（</w:t>
            </w:r>
            <w:hyperlink r:id="rId11">
              <w:r>
                <w:rPr>
                  <w:rFonts w:ascii="Times New Roman" w:hAnsi="Times New Roman" w:cs="Times New Roman" w:eastAsia="Times New Roman" w:hint="default"/>
                  <w:spacing w:val="-2"/>
                  <w:sz w:val="18"/>
                  <w:szCs w:val="18"/>
                </w:rPr>
                <w:t>http://www.cninfo.com.cn</w:t>
              </w:r>
            </w:hyperlink>
            <w:r>
              <w:rPr>
                <w:rFonts w:ascii="宋体" w:hAnsi="宋体" w:cs="宋体" w:eastAsia="宋体" w:hint="default"/>
                <w:spacing w:val="-2"/>
                <w:sz w:val="18"/>
                <w:szCs w:val="18"/>
              </w:rPr>
              <w:t>）刊登的《吉林紫鑫药业股份有限公司内部控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制鉴证报告》</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无保留意见</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40" w:lineRule="auto" w:before="115"/>
        <w:ind w:left="152" w:right="4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after="0" w:line="3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33"/>
        <w:jc w:val="left"/>
        <w:rPr>
          <w:b w:val="0"/>
          <w:bCs w:val="0"/>
        </w:rPr>
      </w:pPr>
      <w:bookmarkStart w:name="第十一节公司债券相关情况" w:id="155"/>
      <w:bookmarkEnd w:id="155"/>
      <w:r>
        <w:rPr>
          <w:b w:val="0"/>
          <w:bCs w:val="0"/>
        </w:rPr>
      </w:r>
      <w:bookmarkStart w:name="_bookmark10" w:id="156"/>
      <w:bookmarkEnd w:id="156"/>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52" w:right="211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1133"/>
        <w:jc w:val="left"/>
        <w:rPr>
          <w:b w:val="0"/>
          <w:bCs w:val="0"/>
        </w:rPr>
      </w:pPr>
      <w:bookmarkStart w:name="第十二节 财务报告" w:id="157"/>
      <w:bookmarkEnd w:id="157"/>
      <w:r>
        <w:rPr>
          <w:b w:val="0"/>
          <w:bCs w:val="0"/>
        </w:rPr>
      </w:r>
      <w:bookmarkStart w:name="_bookmark11" w:id="158"/>
      <w:bookmarkEnd w:id="158"/>
      <w:r>
        <w:rPr>
          <w:b w:val="0"/>
          <w:bCs w:val="0"/>
        </w:rPr>
      </w:r>
      <w:r>
        <w:rPr/>
        <w:t>第十二节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133"/>
        <w:jc w:val="left"/>
        <w:rPr>
          <w:b w:val="0"/>
          <w:bCs w:val="0"/>
        </w:rPr>
      </w:pPr>
      <w:bookmarkStart w:name="一、审计报告" w:id="159"/>
      <w:bookmarkEnd w:id="159"/>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中准会计师事务所（特殊普通合伙）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中准审字</w:t>
            </w:r>
            <w:r>
              <w:rPr>
                <w:rFonts w:ascii="Times New Roman" w:hAnsi="Times New Roman" w:cs="Times New Roman" w:eastAsia="Times New Roman" w:hint="default"/>
                <w:sz w:val="18"/>
                <w:szCs w:val="18"/>
              </w:rPr>
              <w:t>[2020]2160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刘昆、常明</w:t>
            </w:r>
          </w:p>
        </w:tc>
      </w:tr>
    </w:tbl>
    <w:p>
      <w:pPr>
        <w:spacing w:before="49"/>
        <w:ind w:left="0" w:right="978"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12"/>
        <w:rPr>
          <w:rFonts w:ascii="宋体" w:hAnsi="宋体" w:cs="宋体" w:eastAsia="宋体" w:hint="default"/>
          <w:sz w:val="11"/>
          <w:szCs w:val="11"/>
        </w:rPr>
      </w:pPr>
    </w:p>
    <w:p>
      <w:pPr>
        <w:spacing w:line="828" w:lineRule="exact"/>
        <w:ind w:left="153" w:right="0" w:firstLine="0"/>
        <w:rPr>
          <w:rFonts w:ascii="宋体" w:hAnsi="宋体" w:cs="宋体" w:eastAsia="宋体" w:hint="default"/>
          <w:sz w:val="20"/>
          <w:szCs w:val="20"/>
        </w:rPr>
      </w:pPr>
      <w:r>
        <w:rPr>
          <w:rFonts w:ascii="宋体" w:hAnsi="宋体" w:cs="宋体" w:eastAsia="宋体" w:hint="default"/>
          <w:position w:val="-16"/>
          <w:sz w:val="20"/>
          <w:szCs w:val="20"/>
        </w:rPr>
        <w:drawing>
          <wp:inline distT="0" distB="0" distL="0" distR="0">
            <wp:extent cx="604489" cy="525779"/>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3" cstate="print"/>
                    <a:stretch>
                      <a:fillRect/>
                    </a:stretch>
                  </pic:blipFill>
                  <pic:spPr>
                    <a:xfrm>
                      <a:off x="0" y="0"/>
                      <a:ext cx="604489" cy="525779"/>
                    </a:xfrm>
                    <a:prstGeom prst="rect">
                      <a:avLst/>
                    </a:prstGeom>
                  </pic:spPr>
                </pic:pic>
              </a:graphicData>
            </a:graphic>
          </wp:inline>
        </w:drawing>
      </w:r>
      <w:r>
        <w:rPr>
          <w:rFonts w:ascii="宋体" w:hAnsi="宋体" w:cs="宋体" w:eastAsia="宋体" w:hint="default"/>
          <w:position w:val="-16"/>
          <w:sz w:val="20"/>
          <w:szCs w:val="20"/>
        </w:rPr>
      </w:r>
    </w:p>
    <w:p>
      <w:pPr>
        <w:pStyle w:val="Heading2"/>
        <w:spacing w:line="240" w:lineRule="auto" w:before="144"/>
        <w:ind w:right="1133"/>
        <w:jc w:val="left"/>
        <w:rPr>
          <w:rFonts w:ascii="宋体" w:hAnsi="宋体" w:cs="宋体" w:eastAsia="宋体" w:hint="default"/>
        </w:rPr>
      </w:pPr>
      <w:r>
        <w:rPr>
          <w:rFonts w:ascii="宋体" w:hAnsi="宋体" w:cs="宋体" w:eastAsia="宋体" w:hint="default"/>
        </w:rPr>
        <w:t>中准会计师事务所（特殊普通合伙）</w:t>
      </w:r>
    </w:p>
    <w:p>
      <w:pPr>
        <w:spacing w:line="240" w:lineRule="auto" w:before="4"/>
        <w:rPr>
          <w:rFonts w:ascii="宋体" w:hAnsi="宋体" w:cs="宋体" w:eastAsia="宋体" w:hint="default"/>
          <w:sz w:val="24"/>
          <w:szCs w:val="24"/>
        </w:rPr>
      </w:pPr>
    </w:p>
    <w:p>
      <w:pPr>
        <w:pStyle w:val="Heading2"/>
        <w:tabs>
          <w:tab w:pos="6768" w:val="left" w:leader="none"/>
        </w:tabs>
        <w:spacing w:line="240" w:lineRule="auto"/>
        <w:ind w:right="1133"/>
        <w:jc w:val="left"/>
      </w:pPr>
      <w:r>
        <w:rPr>
          <w:w w:val="100"/>
        </w:rPr>
      </w:r>
      <w:r>
        <w:rPr>
          <w:u w:val="single" w:color="000000"/>
        </w:rPr>
        <w:t>Zhongzhun Certified Public</w:t>
      </w:r>
      <w:r>
        <w:rPr>
          <w:spacing w:val="-22"/>
          <w:u w:val="single" w:color="000000"/>
        </w:rPr>
        <w:t> </w:t>
      </w:r>
      <w:r>
        <w:rPr>
          <w:u w:val="single" w:color="000000"/>
        </w:rPr>
        <w:t>Accountants</w:t>
        <w:tab/>
      </w:r>
      <w:r>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7"/>
          <w:szCs w:val="27"/>
        </w:rPr>
      </w:pPr>
    </w:p>
    <w:p>
      <w:pPr>
        <w:tabs>
          <w:tab w:pos="595" w:val="left" w:leader="none"/>
          <w:tab w:pos="1190" w:val="left" w:leader="none"/>
          <w:tab w:pos="1785" w:val="left" w:leader="none"/>
        </w:tabs>
        <w:spacing w:before="0"/>
        <w:ind w:left="0" w:right="980" w:firstLine="0"/>
        <w:jc w:val="center"/>
        <w:rPr>
          <w:rFonts w:ascii="宋体" w:hAnsi="宋体" w:cs="宋体" w:eastAsia="宋体" w:hint="default"/>
          <w:sz w:val="32"/>
          <w:szCs w:val="32"/>
        </w:rPr>
      </w:pPr>
      <w:r>
        <w:rPr>
          <w:rFonts w:ascii="宋体" w:hAnsi="宋体" w:cs="宋体" w:eastAsia="宋体" w:hint="default"/>
          <w:b/>
          <w:bCs/>
          <w:w w:val="95"/>
          <w:sz w:val="32"/>
          <w:szCs w:val="32"/>
        </w:rPr>
        <w:t>审</w:t>
        <w:tab/>
        <w:t>计</w:t>
        <w:tab/>
        <w:t>报</w:t>
        <w:tab/>
      </w:r>
      <w:r>
        <w:rPr>
          <w:rFonts w:ascii="宋体" w:hAnsi="宋体" w:cs="宋体" w:eastAsia="宋体" w:hint="default"/>
          <w:b/>
          <w:bCs/>
          <w:sz w:val="32"/>
          <w:szCs w:val="32"/>
        </w:rPr>
        <w:t>告</w:t>
      </w:r>
      <w:r>
        <w:rPr>
          <w:rFonts w:ascii="宋体" w:hAnsi="宋体" w:cs="宋体" w:eastAsia="宋体" w:hint="default"/>
          <w:sz w:val="32"/>
          <w:szCs w:val="32"/>
        </w:rPr>
      </w:r>
    </w:p>
    <w:p>
      <w:pPr>
        <w:spacing w:line="240" w:lineRule="auto" w:before="5"/>
        <w:rPr>
          <w:rFonts w:ascii="宋体" w:hAnsi="宋体" w:cs="宋体" w:eastAsia="宋体" w:hint="default"/>
          <w:b/>
          <w:bCs/>
          <w:sz w:val="42"/>
          <w:szCs w:val="42"/>
        </w:rPr>
      </w:pPr>
    </w:p>
    <w:p>
      <w:pPr>
        <w:pStyle w:val="BodyText"/>
        <w:spacing w:line="240" w:lineRule="auto" w:before="0"/>
        <w:ind w:left="3957" w:right="1133"/>
        <w:jc w:val="left"/>
      </w:pPr>
      <w:r>
        <w:rPr/>
        <w:t>中准审字</w:t>
      </w:r>
      <w:r>
        <w:rPr>
          <w:rFonts w:ascii="Times New Roman" w:hAnsi="Times New Roman" w:cs="Times New Roman" w:eastAsia="Times New Roman" w:hint="default"/>
        </w:rPr>
        <w:t>[2020]2160</w:t>
      </w:r>
      <w:r>
        <w:rPr/>
        <w:t>号</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7"/>
          <w:szCs w:val="27"/>
        </w:rPr>
      </w:pPr>
    </w:p>
    <w:p>
      <w:pPr>
        <w:spacing w:line="417" w:lineRule="auto" w:before="0"/>
        <w:ind w:left="152" w:right="6674" w:firstLine="0"/>
        <w:jc w:val="left"/>
        <w:rPr>
          <w:rFonts w:ascii="宋体" w:hAnsi="宋体" w:cs="宋体" w:eastAsia="宋体" w:hint="default"/>
          <w:sz w:val="24"/>
          <w:szCs w:val="24"/>
        </w:rPr>
      </w:pPr>
      <w:r>
        <w:rPr>
          <w:rFonts w:ascii="宋体" w:hAnsi="宋体" w:cs="宋体" w:eastAsia="宋体" w:hint="default"/>
          <w:sz w:val="24"/>
          <w:szCs w:val="24"/>
        </w:rPr>
        <w:t>吉林紫鑫药业股份有限公司全体股东： </w:t>
      </w:r>
      <w:r>
        <w:rPr>
          <w:rFonts w:ascii="宋体" w:hAnsi="宋体" w:cs="宋体" w:eastAsia="宋体" w:hint="default"/>
          <w:b/>
          <w:bCs/>
          <w:sz w:val="24"/>
          <w:szCs w:val="24"/>
        </w:rPr>
        <w:t>一、审计意见</w:t>
      </w:r>
      <w:r>
        <w:rPr>
          <w:rFonts w:ascii="宋体" w:hAnsi="宋体" w:cs="宋体" w:eastAsia="宋体" w:hint="default"/>
          <w:sz w:val="24"/>
          <w:szCs w:val="24"/>
        </w:rPr>
      </w:r>
    </w:p>
    <w:p>
      <w:pPr>
        <w:pStyle w:val="BodyText"/>
        <w:spacing w:line="240" w:lineRule="auto" w:before="59"/>
        <w:ind w:left="719" w:right="0"/>
        <w:jc w:val="left"/>
        <w:rPr>
          <w:rFonts w:ascii="Times New Roman" w:hAnsi="Times New Roman" w:cs="Times New Roman" w:eastAsia="Times New Roman" w:hint="default"/>
        </w:rPr>
      </w:pPr>
      <w:r>
        <w:rPr>
          <w:w w:val="100"/>
        </w:rPr>
        <w:t>我们审计</w:t>
      </w:r>
      <w:r>
        <w:rPr>
          <w:spacing w:val="-1"/>
          <w:w w:val="100"/>
        </w:rPr>
        <w:t>了</w:t>
      </w:r>
      <w:r>
        <w:rPr>
          <w:w w:val="100"/>
        </w:rPr>
        <w:t>吉林紫鑫药</w:t>
      </w:r>
      <w:r>
        <w:rPr>
          <w:spacing w:val="-2"/>
          <w:w w:val="100"/>
        </w:rPr>
        <w:t>业</w:t>
      </w:r>
      <w:r>
        <w:rPr>
          <w:w w:val="100"/>
        </w:rPr>
        <w:t>股份有限公司（以下简</w:t>
      </w:r>
      <w:r>
        <w:rPr>
          <w:spacing w:val="-3"/>
          <w:w w:val="100"/>
        </w:rPr>
        <w:t>称</w:t>
      </w:r>
      <w:r>
        <w:rPr>
          <w:w w:val="100"/>
        </w:rPr>
        <w:t>“紫鑫药业”或“公</w:t>
      </w:r>
      <w:r>
        <w:rPr>
          <w:spacing w:val="-3"/>
          <w:w w:val="100"/>
        </w:rPr>
        <w:t>司</w:t>
      </w:r>
      <w:r>
        <w:rPr>
          <w:spacing w:val="-104"/>
          <w:w w:val="100"/>
        </w:rPr>
        <w:t>”</w:t>
      </w:r>
      <w:r>
        <w:rPr>
          <w:spacing w:val="-3"/>
          <w:w w:val="100"/>
        </w:rPr>
        <w:t>）</w:t>
      </w:r>
      <w:r>
        <w:rPr>
          <w:w w:val="100"/>
        </w:rPr>
        <w:t>财务报表，包括</w:t>
      </w:r>
      <w:r>
        <w:rPr>
          <w:spacing w:val="1"/>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19</w:t>
      </w:r>
    </w:p>
    <w:p>
      <w:pPr>
        <w:pStyle w:val="BodyText"/>
        <w:spacing w:line="336" w:lineRule="auto" w:before="119"/>
        <w:ind w:right="1050"/>
        <w:jc w:val="left"/>
      </w:pP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日的合并及母公司资产负债表，</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年度的合并及母公司利润表、合并及母公司现金流量表、</w:t>
      </w:r>
      <w:r>
        <w:rPr>
          <w:w w:val="100"/>
        </w:rPr>
        <w:t> </w:t>
      </w:r>
      <w:r>
        <w:rPr/>
        <w:t>合并及母公司股东权益变动表以及相关财务报表附注。</w:t>
      </w:r>
    </w:p>
    <w:p>
      <w:pPr>
        <w:pStyle w:val="BodyText"/>
        <w:spacing w:line="240" w:lineRule="auto" w:before="49"/>
        <w:ind w:left="719" w:right="0"/>
        <w:jc w:val="left"/>
        <w:rPr>
          <w:rFonts w:ascii="Times New Roman" w:hAnsi="Times New Roman" w:cs="Times New Roman" w:eastAsia="Times New Roman" w:hint="default"/>
        </w:rPr>
      </w:pPr>
      <w:r>
        <w:rPr>
          <w:w w:val="100"/>
        </w:rPr>
        <w:t>我们</w:t>
      </w:r>
      <w:r>
        <w:rPr>
          <w:spacing w:val="-3"/>
          <w:w w:val="100"/>
        </w:rPr>
        <w:t>认</w:t>
      </w:r>
      <w:r>
        <w:rPr>
          <w:w w:val="100"/>
        </w:rPr>
        <w:t>为</w:t>
      </w:r>
      <w:r>
        <w:rPr>
          <w:spacing w:val="-108"/>
          <w:w w:val="100"/>
        </w:rPr>
        <w:t>，</w:t>
      </w:r>
      <w:r>
        <w:rPr>
          <w:w w:val="100"/>
        </w:rPr>
        <w:t>后</w:t>
      </w:r>
      <w:r>
        <w:rPr>
          <w:spacing w:val="-3"/>
          <w:w w:val="100"/>
        </w:rPr>
        <w:t>附</w:t>
      </w:r>
      <w:r>
        <w:rPr>
          <w:w w:val="100"/>
        </w:rPr>
        <w:t>的</w:t>
      </w:r>
      <w:r>
        <w:rPr>
          <w:spacing w:val="-3"/>
          <w:w w:val="100"/>
        </w:rPr>
        <w:t>财</w:t>
      </w:r>
      <w:r>
        <w:rPr>
          <w:w w:val="100"/>
        </w:rPr>
        <w:t>务</w:t>
      </w:r>
      <w:r>
        <w:rPr>
          <w:spacing w:val="-3"/>
          <w:w w:val="100"/>
        </w:rPr>
        <w:t>报表</w:t>
      </w:r>
      <w:r>
        <w:rPr>
          <w:w w:val="100"/>
        </w:rPr>
        <w:t>在所</w:t>
      </w:r>
      <w:r>
        <w:rPr>
          <w:spacing w:val="-3"/>
          <w:w w:val="100"/>
        </w:rPr>
        <w:t>有</w:t>
      </w:r>
      <w:r>
        <w:rPr>
          <w:w w:val="100"/>
        </w:rPr>
        <w:t>重</w:t>
      </w:r>
      <w:r>
        <w:rPr>
          <w:spacing w:val="-3"/>
          <w:w w:val="100"/>
        </w:rPr>
        <w:t>大</w:t>
      </w:r>
      <w:r>
        <w:rPr>
          <w:w w:val="100"/>
        </w:rPr>
        <w:t>方</w:t>
      </w:r>
      <w:r>
        <w:rPr>
          <w:spacing w:val="-3"/>
          <w:w w:val="100"/>
        </w:rPr>
        <w:t>面</w:t>
      </w:r>
      <w:r>
        <w:rPr>
          <w:w w:val="100"/>
        </w:rPr>
        <w:t>按</w:t>
      </w:r>
      <w:r>
        <w:rPr>
          <w:spacing w:val="-3"/>
          <w:w w:val="100"/>
        </w:rPr>
        <w:t>照</w:t>
      </w:r>
      <w:r>
        <w:rPr>
          <w:w w:val="100"/>
        </w:rPr>
        <w:t>企</w:t>
      </w:r>
      <w:r>
        <w:rPr>
          <w:spacing w:val="-3"/>
          <w:w w:val="100"/>
        </w:rPr>
        <w:t>业</w:t>
      </w:r>
      <w:r>
        <w:rPr>
          <w:w w:val="100"/>
        </w:rPr>
        <w:t>会计</w:t>
      </w:r>
      <w:r>
        <w:rPr>
          <w:spacing w:val="-3"/>
          <w:w w:val="100"/>
        </w:rPr>
        <w:t>准</w:t>
      </w:r>
      <w:r>
        <w:rPr>
          <w:w w:val="100"/>
        </w:rPr>
        <w:t>则</w:t>
      </w:r>
      <w:r>
        <w:rPr>
          <w:spacing w:val="-3"/>
          <w:w w:val="100"/>
        </w:rPr>
        <w:t>的</w:t>
      </w:r>
      <w:r>
        <w:rPr>
          <w:w w:val="100"/>
        </w:rPr>
        <w:t>规</w:t>
      </w:r>
      <w:r>
        <w:rPr>
          <w:spacing w:val="-3"/>
          <w:w w:val="100"/>
        </w:rPr>
        <w:t>定</w:t>
      </w:r>
      <w:r>
        <w:rPr>
          <w:w w:val="100"/>
        </w:rPr>
        <w:t>编</w:t>
      </w:r>
      <w:r>
        <w:rPr>
          <w:spacing w:val="-3"/>
          <w:w w:val="100"/>
        </w:rPr>
        <w:t>制</w:t>
      </w:r>
      <w:r>
        <w:rPr>
          <w:spacing w:val="-106"/>
          <w:w w:val="100"/>
        </w:rPr>
        <w:t>，</w:t>
      </w:r>
      <w:r>
        <w:rPr>
          <w:spacing w:val="-3"/>
          <w:w w:val="100"/>
        </w:rPr>
        <w:t>公允</w:t>
      </w:r>
      <w:r>
        <w:rPr>
          <w:w w:val="100"/>
        </w:rPr>
        <w:t>反映</w:t>
      </w:r>
      <w:r>
        <w:rPr>
          <w:spacing w:val="-3"/>
          <w:w w:val="100"/>
        </w:rPr>
        <w:t>了</w:t>
      </w:r>
      <w:r>
        <w:rPr>
          <w:w w:val="100"/>
        </w:rPr>
        <w:t>紫</w:t>
      </w:r>
      <w:r>
        <w:rPr>
          <w:spacing w:val="-3"/>
          <w:w w:val="100"/>
        </w:rPr>
        <w:t>鑫</w:t>
      </w:r>
      <w:r>
        <w:rPr>
          <w:w w:val="100"/>
        </w:rPr>
        <w:t>药业</w:t>
      </w:r>
      <w:r>
        <w:rPr>
          <w:spacing w:val="-67"/>
        </w:rPr>
        <w:t> </w:t>
      </w:r>
      <w:r>
        <w:rPr>
          <w:rFonts w:ascii="Times New Roman" w:hAnsi="Times New Roman" w:cs="Times New Roman" w:eastAsia="Times New Roman" w:hint="default"/>
          <w:w w:val="100"/>
        </w:rPr>
        <w:t>2019</w:t>
      </w:r>
    </w:p>
    <w:p>
      <w:pPr>
        <w:pStyle w:val="BodyText"/>
        <w:spacing w:line="240" w:lineRule="auto" w:before="117"/>
        <w:ind w:right="1133"/>
        <w:jc w:val="left"/>
      </w:pP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日的合并及母公司财务状况以及</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年度的合并及母公司经营成果和现金流量。</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408" w:lineRule="auto" w:before="175"/>
        <w:ind w:left="573" w:right="1133" w:hanging="421"/>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pacing w:val="-2"/>
          <w:sz w:val="21"/>
          <w:szCs w:val="21"/>
        </w:rPr>
        <w:t>我们按照中国注册会计师审计准则的规定执行了审计工作。审计报告的“注册会计师对财务报表审计</w:t>
      </w:r>
    </w:p>
    <w:p>
      <w:pPr>
        <w:pStyle w:val="BodyText"/>
        <w:spacing w:line="408" w:lineRule="auto"/>
        <w:ind w:right="1126"/>
        <w:jc w:val="both"/>
      </w:pPr>
      <w:r>
        <w:rPr>
          <w:spacing w:val="-2"/>
        </w:rPr>
        <w:t>的责任”部分进一步阐述了我们在这些准则下的责任。按照中国注册会计师职业道德守则，我们独立于紫</w:t>
      </w:r>
      <w:r>
        <w:rPr>
          <w:spacing w:val="-43"/>
        </w:rPr>
        <w:t> </w:t>
      </w:r>
      <w:r>
        <w:rPr>
          <w:spacing w:val="-43"/>
        </w:rPr>
      </w:r>
      <w:r>
        <w:rPr>
          <w:spacing w:val="-2"/>
        </w:rPr>
        <w:t>鑫药业，并履行了职业道德方面的其他责任。我们相信，我们获取的审计证据是充分、适当的，为发表审</w:t>
      </w:r>
      <w:r>
        <w:rPr>
          <w:spacing w:val="-42"/>
        </w:rPr>
        <w:t> </w:t>
      </w:r>
      <w:r>
        <w:rPr>
          <w:spacing w:val="-42"/>
        </w:rPr>
      </w:r>
      <w:r>
        <w:rPr/>
        <w:t>计意见提供了基础。</w:t>
      </w:r>
    </w:p>
    <w:p>
      <w:pPr>
        <w:pStyle w:val="Heading5"/>
        <w:spacing w:line="240" w:lineRule="auto" w:before="46"/>
        <w:ind w:right="0"/>
        <w:jc w:val="both"/>
        <w:rPr>
          <w:b w:val="0"/>
          <w:bCs w:val="0"/>
        </w:rPr>
      </w:pPr>
      <w:r>
        <w:rPr/>
        <w:t>三、关键审计事项</w:t>
      </w:r>
      <w:r>
        <w:rPr>
          <w:b w:val="0"/>
          <w:bCs w:val="0"/>
        </w:rPr>
      </w:r>
    </w:p>
    <w:p>
      <w:pPr>
        <w:pStyle w:val="BodyText"/>
        <w:spacing w:line="355" w:lineRule="auto" w:before="94"/>
        <w:ind w:right="1126" w:firstLine="566"/>
        <w:jc w:val="both"/>
      </w:pPr>
      <w:r>
        <w:rPr>
          <w:spacing w:val="-1"/>
        </w:rPr>
        <w:t>关键审计事项是我们根据职业判断，认为对本期财务报表审计最为重要的事项。这些事项的应对以</w:t>
      </w:r>
      <w:r>
        <w:rPr>
          <w:w w:val="100"/>
        </w:rPr>
        <w:t> </w:t>
      </w:r>
      <w:r>
        <w:rPr>
          <w:spacing w:val="-2"/>
        </w:rPr>
        <w:t>对财务报表整体进行审计并形成审计意见为背景，我们不对这些事项单独发表意见。我们确定下列事项是</w:t>
      </w:r>
      <w:r>
        <w:rPr>
          <w:spacing w:val="-43"/>
        </w:rPr>
        <w:t> </w:t>
      </w:r>
      <w:r>
        <w:rPr>
          <w:spacing w:val="-43"/>
        </w:rPr>
      </w:r>
      <w:r>
        <w:rPr/>
        <w:t>需要在审计报告中沟通的关键审计事项。</w:t>
      </w:r>
    </w:p>
    <w:p>
      <w:pPr>
        <w:pStyle w:val="BodyText"/>
        <w:spacing w:line="408" w:lineRule="auto" w:before="133"/>
        <w:ind w:left="573" w:right="8870"/>
        <w:jc w:val="left"/>
      </w:pPr>
      <w:r>
        <w:rPr>
          <w:spacing w:val="-1"/>
        </w:rPr>
        <w:t>（一）收入确认</w:t>
      </w:r>
      <w:r>
        <w:rPr>
          <w:spacing w:val="-96"/>
        </w:rPr>
        <w:t> </w:t>
      </w:r>
      <w:r>
        <w:rPr>
          <w:spacing w:val="-96"/>
        </w:rPr>
      </w:r>
      <w:r>
        <w:rPr>
          <w:rFonts w:ascii="宋体" w:hAnsi="宋体" w:cs="宋体" w:eastAsia="宋体" w:hint="default"/>
        </w:rPr>
        <w:t>1</w:t>
      </w:r>
      <w:r>
        <w:rPr/>
        <w:t>、事项描述</w:t>
      </w:r>
    </w:p>
    <w:p>
      <w:pPr>
        <w:pStyle w:val="BodyText"/>
        <w:spacing w:line="408" w:lineRule="auto"/>
        <w:ind w:right="1126" w:firstLine="420"/>
        <w:jc w:val="both"/>
      </w:pPr>
      <w:r>
        <w:rPr>
          <w:spacing w:val="-5"/>
          <w:w w:val="100"/>
        </w:rPr>
        <w:t>请参阅财务报表附注“二”、财务报表编制基础（二十五）</w:t>
      </w:r>
      <w:r>
        <w:rPr>
          <w:rFonts w:ascii="宋体" w:hAnsi="宋体" w:cs="宋体" w:eastAsia="宋体" w:hint="default"/>
          <w:spacing w:val="-5"/>
          <w:w w:val="100"/>
        </w:rPr>
        <w:t>/</w:t>
      </w:r>
      <w:r>
        <w:rPr>
          <w:spacing w:val="-5"/>
          <w:w w:val="100"/>
        </w:rPr>
        <w:t>财务报表附注“五”、合并财务报表项目</w:t>
      </w:r>
      <w:r>
        <w:rPr>
          <w:w w:val="100"/>
        </w:rPr>
        <w:t> </w:t>
      </w:r>
      <w:r>
        <w:rPr>
          <w:spacing w:val="-12"/>
          <w:w w:val="100"/>
        </w:rPr>
        <w:t>附注注释“</w:t>
      </w:r>
      <w:r>
        <w:rPr>
          <w:rFonts w:ascii="宋体" w:hAnsi="宋体" w:cs="宋体" w:eastAsia="宋体" w:hint="default"/>
          <w:spacing w:val="-12"/>
          <w:w w:val="100"/>
        </w:rPr>
        <w:t>36</w:t>
      </w:r>
      <w:r>
        <w:rPr>
          <w:spacing w:val="-12"/>
          <w:w w:val="100"/>
        </w:rPr>
        <w:t>”。</w:t>
      </w:r>
      <w:r>
        <w:rPr>
          <w:rFonts w:ascii="宋体" w:hAnsi="宋体" w:cs="宋体" w:eastAsia="宋体" w:hint="default"/>
          <w:spacing w:val="-12"/>
          <w:w w:val="100"/>
        </w:rPr>
        <w:t>2019</w:t>
      </w:r>
      <w:r>
        <w:rPr>
          <w:rFonts w:ascii="宋体" w:hAnsi="宋体" w:cs="宋体" w:eastAsia="宋体" w:hint="default"/>
          <w:spacing w:val="-53"/>
          <w:w w:val="100"/>
        </w:rPr>
        <w:t> </w:t>
      </w:r>
      <w:r>
        <w:rPr>
          <w:spacing w:val="-3"/>
          <w:w w:val="100"/>
        </w:rPr>
        <w:t>年度，紫鑫药业营业收入为</w:t>
      </w:r>
      <w:r>
        <w:rPr>
          <w:spacing w:val="-50"/>
          <w:w w:val="100"/>
        </w:rPr>
        <w:t> </w:t>
      </w:r>
      <w:r>
        <w:rPr>
          <w:rFonts w:ascii="宋体" w:hAnsi="宋体" w:cs="宋体" w:eastAsia="宋体" w:hint="default"/>
          <w:spacing w:val="-1"/>
          <w:w w:val="100"/>
        </w:rPr>
        <w:t>859,289,244.11</w:t>
      </w:r>
      <w:r>
        <w:rPr>
          <w:rFonts w:ascii="宋体" w:hAnsi="宋体" w:cs="宋体" w:eastAsia="宋体" w:hint="default"/>
          <w:spacing w:val="-51"/>
          <w:w w:val="100"/>
        </w:rPr>
        <w:t> </w:t>
      </w:r>
      <w:r>
        <w:rPr>
          <w:spacing w:val="-3"/>
          <w:w w:val="100"/>
        </w:rPr>
        <w:t>元，由于营业收入是紫鑫药业的关键业</w:t>
      </w:r>
      <w:r>
        <w:rPr>
          <w:w w:val="100"/>
        </w:rPr>
        <w:t> </w:t>
      </w:r>
      <w:r>
        <w:rPr>
          <w:spacing w:val="-2"/>
        </w:rPr>
        <w:t>绩指标，从而存在管理层为了达到特定目标或期望而操纵收入确认的固有风险。因此，我们将营业收入的</w:t>
      </w:r>
      <w:r>
        <w:rPr>
          <w:spacing w:val="-43"/>
        </w:rPr>
        <w:t> </w:t>
      </w:r>
      <w:r>
        <w:rPr>
          <w:spacing w:val="-43"/>
        </w:rPr>
      </w:r>
      <w:r>
        <w:rPr/>
        <w:t>确认作为关键审计事项。</w:t>
      </w:r>
    </w:p>
    <w:p>
      <w:pPr>
        <w:pStyle w:val="BodyText"/>
        <w:spacing w:line="240" w:lineRule="auto"/>
        <w:ind w:left="573" w:right="1133"/>
        <w:jc w:val="left"/>
      </w:pPr>
      <w:r>
        <w:rPr>
          <w:rFonts w:ascii="宋体" w:hAnsi="宋体" w:cs="宋体" w:eastAsia="宋体" w:hint="default"/>
        </w:rPr>
        <w:t>2</w:t>
      </w:r>
      <w:r>
        <w:rPr/>
        <w:t>、审计应对，我们执行的主要审计程序包括：</w:t>
      </w:r>
    </w:p>
    <w:p>
      <w:pPr>
        <w:spacing w:line="240" w:lineRule="auto" w:before="10"/>
        <w:rPr>
          <w:rFonts w:ascii="宋体" w:hAnsi="宋体" w:cs="宋体" w:eastAsia="宋体" w:hint="default"/>
          <w:sz w:val="14"/>
          <w:szCs w:val="14"/>
        </w:rPr>
      </w:pPr>
    </w:p>
    <w:p>
      <w:pPr>
        <w:pStyle w:val="BodyText"/>
        <w:spacing w:line="240" w:lineRule="auto" w:before="0"/>
        <w:ind w:left="573" w:right="1133"/>
        <w:jc w:val="left"/>
      </w:pPr>
      <w:r>
        <w:rPr/>
        <w:t>（</w:t>
      </w:r>
      <w:r>
        <w:rPr>
          <w:rFonts w:ascii="宋体" w:hAnsi="宋体" w:cs="宋体" w:eastAsia="宋体" w:hint="default"/>
        </w:rPr>
        <w:t>1</w:t>
      </w:r>
      <w:r>
        <w:rPr/>
        <w:t>）了解和评价管理层与收入确认相关的关键内部控制的设计和运行有效性；</w:t>
      </w:r>
    </w:p>
    <w:p>
      <w:pPr>
        <w:spacing w:line="240" w:lineRule="auto" w:before="10"/>
        <w:rPr>
          <w:rFonts w:ascii="宋体" w:hAnsi="宋体" w:cs="宋体" w:eastAsia="宋体" w:hint="default"/>
          <w:sz w:val="14"/>
          <w:szCs w:val="14"/>
        </w:rPr>
      </w:pPr>
    </w:p>
    <w:p>
      <w:pPr>
        <w:pStyle w:val="BodyText"/>
        <w:spacing w:line="240" w:lineRule="auto" w:before="0"/>
        <w:ind w:left="573" w:right="1133"/>
        <w:jc w:val="left"/>
      </w:pPr>
      <w:r>
        <w:rPr/>
        <w:t>（</w:t>
      </w:r>
      <w:r>
        <w:rPr>
          <w:rFonts w:ascii="宋体" w:hAnsi="宋体" w:cs="宋体" w:eastAsia="宋体" w:hint="default"/>
        </w:rPr>
        <w:t>2</w:t>
      </w:r>
      <w:r>
        <w:rPr/>
        <w:t>）分产品分类别对收入执行分析性复核程序；</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spacing w:val="-2"/>
        </w:rPr>
        <w:t>（</w:t>
      </w:r>
      <w:r>
        <w:rPr>
          <w:rFonts w:ascii="宋体" w:hAnsi="宋体" w:cs="宋体" w:eastAsia="宋体" w:hint="default"/>
          <w:spacing w:val="-2"/>
        </w:rPr>
        <w:t>3</w:t>
      </w:r>
      <w:r>
        <w:rPr>
          <w:spacing w:val="-2"/>
        </w:rPr>
        <w:t>）对本年记录的交易选取样本，核对销售</w:t>
      </w:r>
      <w:r>
        <w:rPr>
          <w:spacing w:val="43"/>
        </w:rPr>
        <w:t> </w:t>
      </w:r>
      <w:r>
        <w:rPr>
          <w:spacing w:val="-2"/>
        </w:rPr>
        <w:t>合同或订货单、出库单或结算单、发票等业务凭证，评</w:t>
      </w:r>
      <w:r>
        <w:rPr>
          <w:w w:val="100"/>
        </w:rPr>
        <w:t> </w:t>
      </w:r>
      <w:r>
        <w:rPr/>
        <w:t>价收入确认的真实性；</w:t>
      </w:r>
    </w:p>
    <w:p>
      <w:pPr>
        <w:pStyle w:val="BodyText"/>
        <w:spacing w:line="408" w:lineRule="auto"/>
        <w:ind w:right="1133" w:firstLine="420"/>
        <w:jc w:val="left"/>
      </w:pPr>
      <w:r>
        <w:rPr/>
        <w:t>（</w:t>
      </w:r>
      <w:r>
        <w:rPr>
          <w:rFonts w:ascii="宋体" w:hAnsi="宋体" w:cs="宋体" w:eastAsia="宋体" w:hint="default"/>
        </w:rPr>
        <w:t>4</w:t>
      </w:r>
      <w:r>
        <w:rPr/>
        <w:t>）选取主要客户实施积极式函证程序，询证本期发生的销售金额及往来款项余额，向主要客户进</w:t>
      </w:r>
      <w:r>
        <w:rPr>
          <w:w w:val="100"/>
        </w:rPr>
        <w:t> </w:t>
      </w:r>
      <w:r>
        <w:rPr/>
        <w:t>行访谈。对未回函的客户执行替代性审计程序，查验客户期后回款情况；</w:t>
      </w:r>
    </w:p>
    <w:p>
      <w:pPr>
        <w:pStyle w:val="BodyText"/>
        <w:spacing w:line="240" w:lineRule="auto"/>
        <w:ind w:left="573" w:right="0"/>
        <w:jc w:val="left"/>
      </w:pPr>
      <w:r>
        <w:rPr/>
        <w:t>（</w:t>
      </w:r>
      <w:r>
        <w:rPr>
          <w:rFonts w:ascii="宋体" w:hAnsi="宋体" w:cs="宋体" w:eastAsia="宋体" w:hint="default"/>
        </w:rPr>
        <w:t>5</w:t>
      </w:r>
      <w:r>
        <w:rPr/>
        <w:t>）测试审计截止日前后的营业收入会计记录，评价收入确认完整性及是否计入了恰当的会计期间；</w:t>
      </w:r>
    </w:p>
    <w:p>
      <w:pPr>
        <w:spacing w:line="240" w:lineRule="auto" w:before="10"/>
        <w:rPr>
          <w:rFonts w:ascii="宋体" w:hAnsi="宋体" w:cs="宋体" w:eastAsia="宋体" w:hint="default"/>
          <w:sz w:val="14"/>
          <w:szCs w:val="14"/>
        </w:rPr>
      </w:pPr>
    </w:p>
    <w:p>
      <w:pPr>
        <w:pStyle w:val="BodyText"/>
        <w:spacing w:line="240" w:lineRule="auto" w:before="0"/>
        <w:ind w:left="573" w:right="1133"/>
        <w:jc w:val="left"/>
      </w:pPr>
      <w:r>
        <w:rPr/>
        <w:t>（</w:t>
      </w:r>
      <w:r>
        <w:rPr>
          <w:rFonts w:ascii="宋体" w:hAnsi="宋体" w:cs="宋体" w:eastAsia="宋体" w:hint="default"/>
        </w:rPr>
        <w:t>6</w:t>
      </w:r>
      <w:r>
        <w:rPr/>
        <w:t>）检查营业收入是否已按照企业会计准则的规定在财务报表中作出恰当的列报和披露。</w:t>
      </w:r>
    </w:p>
    <w:p>
      <w:pPr>
        <w:spacing w:line="240" w:lineRule="auto" w:before="11"/>
        <w:rPr>
          <w:rFonts w:ascii="宋体" w:hAnsi="宋体" w:cs="宋体" w:eastAsia="宋体" w:hint="default"/>
          <w:sz w:val="14"/>
          <w:szCs w:val="14"/>
        </w:rPr>
      </w:pPr>
    </w:p>
    <w:p>
      <w:pPr>
        <w:pStyle w:val="BodyText"/>
        <w:spacing w:line="408" w:lineRule="auto" w:before="0"/>
        <w:ind w:left="573" w:right="8870"/>
        <w:jc w:val="left"/>
      </w:pPr>
      <w:r>
        <w:rPr>
          <w:spacing w:val="-1"/>
        </w:rPr>
        <w:t>（二）存货认定</w:t>
      </w:r>
      <w:r>
        <w:rPr>
          <w:spacing w:val="-96"/>
        </w:rPr>
        <w:t> </w:t>
      </w:r>
      <w:r>
        <w:rPr>
          <w:spacing w:val="-96"/>
        </w:rPr>
      </w:r>
      <w:r>
        <w:rPr>
          <w:rFonts w:ascii="宋体" w:hAnsi="宋体" w:cs="宋体" w:eastAsia="宋体" w:hint="default"/>
        </w:rPr>
        <w:t>1</w:t>
      </w:r>
      <w:r>
        <w:rPr/>
        <w:t>、事项描述</w:t>
      </w:r>
    </w:p>
    <w:p>
      <w:pPr>
        <w:pStyle w:val="BodyText"/>
        <w:spacing w:line="408" w:lineRule="auto"/>
        <w:ind w:right="1117" w:firstLine="420"/>
        <w:jc w:val="left"/>
      </w:pPr>
      <w:r>
        <w:rPr>
          <w:spacing w:val="2"/>
          <w:w w:val="100"/>
        </w:rPr>
        <w:t>请</w:t>
      </w:r>
      <w:r>
        <w:rPr>
          <w:w w:val="100"/>
        </w:rPr>
        <w:t>参阅财</w:t>
      </w:r>
      <w:r>
        <w:rPr>
          <w:spacing w:val="2"/>
          <w:w w:val="100"/>
        </w:rPr>
        <w:t>务</w:t>
      </w:r>
      <w:r>
        <w:rPr>
          <w:w w:val="100"/>
        </w:rPr>
        <w:t>报表</w:t>
      </w:r>
      <w:r>
        <w:rPr>
          <w:spacing w:val="2"/>
          <w:w w:val="100"/>
        </w:rPr>
        <w:t>附</w:t>
      </w:r>
      <w:r>
        <w:rPr>
          <w:w w:val="100"/>
        </w:rPr>
        <w:t>注“</w:t>
      </w:r>
      <w:r>
        <w:rPr>
          <w:spacing w:val="2"/>
          <w:w w:val="100"/>
        </w:rPr>
        <w:t>二</w:t>
      </w:r>
      <w:r>
        <w:rPr>
          <w:spacing w:val="-106"/>
          <w:w w:val="100"/>
        </w:rPr>
        <w:t>”</w:t>
      </w:r>
      <w:r>
        <w:rPr>
          <w:spacing w:val="2"/>
          <w:w w:val="100"/>
        </w:rPr>
        <w:t>、</w:t>
      </w:r>
      <w:r>
        <w:rPr>
          <w:w w:val="100"/>
        </w:rPr>
        <w:t>财务报</w:t>
      </w:r>
      <w:r>
        <w:rPr>
          <w:spacing w:val="2"/>
          <w:w w:val="100"/>
        </w:rPr>
        <w:t>表</w:t>
      </w:r>
      <w:r>
        <w:rPr>
          <w:w w:val="100"/>
        </w:rPr>
        <w:t>编制</w:t>
      </w:r>
      <w:r>
        <w:rPr>
          <w:spacing w:val="2"/>
          <w:w w:val="100"/>
        </w:rPr>
        <w:t>基</w:t>
      </w:r>
      <w:r>
        <w:rPr>
          <w:w w:val="100"/>
        </w:rPr>
        <w:t>础（十</w:t>
      </w:r>
      <w:r>
        <w:rPr>
          <w:spacing w:val="2"/>
          <w:w w:val="100"/>
        </w:rPr>
        <w:t>八</w:t>
      </w:r>
      <w:r>
        <w:rPr>
          <w:spacing w:val="3"/>
          <w:w w:val="100"/>
        </w:rPr>
        <w:t>）</w:t>
      </w:r>
      <w:r>
        <w:rPr>
          <w:rFonts w:ascii="宋体" w:hAnsi="宋体" w:cs="宋体" w:eastAsia="宋体" w:hint="default"/>
          <w:w w:val="100"/>
        </w:rPr>
        <w:t>/</w:t>
      </w:r>
      <w:r>
        <w:rPr>
          <w:spacing w:val="2"/>
          <w:w w:val="100"/>
        </w:rPr>
        <w:t>财</w:t>
      </w:r>
      <w:r>
        <w:rPr>
          <w:w w:val="100"/>
        </w:rPr>
        <w:t>务报</w:t>
      </w:r>
      <w:r>
        <w:rPr>
          <w:spacing w:val="2"/>
          <w:w w:val="100"/>
        </w:rPr>
        <w:t>表</w:t>
      </w:r>
      <w:r>
        <w:rPr>
          <w:w w:val="100"/>
        </w:rPr>
        <w:t>附注“</w:t>
      </w:r>
      <w:r>
        <w:rPr>
          <w:spacing w:val="2"/>
          <w:w w:val="100"/>
        </w:rPr>
        <w:t>五</w:t>
      </w:r>
      <w:r>
        <w:rPr>
          <w:spacing w:val="-106"/>
          <w:w w:val="100"/>
        </w:rPr>
        <w:t>”</w:t>
      </w:r>
      <w:r>
        <w:rPr>
          <w:spacing w:val="2"/>
          <w:w w:val="100"/>
        </w:rPr>
        <w:t>、</w:t>
      </w:r>
      <w:r>
        <w:rPr>
          <w:w w:val="100"/>
        </w:rPr>
        <w:t>合并财</w:t>
      </w:r>
      <w:r>
        <w:rPr>
          <w:spacing w:val="2"/>
          <w:w w:val="100"/>
        </w:rPr>
        <w:t>务</w:t>
      </w:r>
      <w:r>
        <w:rPr>
          <w:w w:val="100"/>
        </w:rPr>
        <w:t>报表</w:t>
      </w:r>
      <w:r>
        <w:rPr>
          <w:spacing w:val="2"/>
          <w:w w:val="100"/>
        </w:rPr>
        <w:t>项</w:t>
      </w:r>
      <w:r>
        <w:rPr>
          <w:w w:val="100"/>
        </w:rPr>
        <w:t>目附</w:t>
      </w:r>
      <w:r>
        <w:rPr>
          <w:w w:val="100"/>
        </w:rPr>
        <w:t> 注注</w:t>
      </w:r>
      <w:r>
        <w:rPr>
          <w:spacing w:val="-8"/>
          <w:w w:val="100"/>
        </w:rPr>
        <w:t>释</w:t>
      </w:r>
      <w:r>
        <w:rPr>
          <w:spacing w:val="-2"/>
          <w:w w:val="100"/>
        </w:rPr>
        <w:t>“</w:t>
      </w:r>
      <w:r>
        <w:rPr>
          <w:rFonts w:ascii="宋体" w:hAnsi="宋体" w:cs="宋体" w:eastAsia="宋体" w:hint="default"/>
          <w:spacing w:val="-1"/>
          <w:w w:val="100"/>
        </w:rPr>
        <w:t>7</w:t>
      </w:r>
      <w:r>
        <w:rPr>
          <w:spacing w:val="-108"/>
          <w:w w:val="100"/>
        </w:rPr>
        <w:t>”</w:t>
      </w:r>
      <w:r>
        <w:rPr>
          <w:spacing w:val="-5"/>
          <w:w w:val="100"/>
        </w:rPr>
        <w:t>。</w:t>
      </w:r>
      <w:r>
        <w:rPr>
          <w:spacing w:val="-3"/>
          <w:w w:val="100"/>
        </w:rPr>
        <w:t>截</w:t>
      </w:r>
      <w:r>
        <w:rPr>
          <w:w w:val="100"/>
        </w:rPr>
        <w:t>止</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12</w:t>
      </w:r>
      <w:r>
        <w:rPr>
          <w:rFonts w:ascii="宋体" w:hAnsi="宋体" w:cs="宋体" w:eastAsia="宋体" w:hint="default"/>
          <w:spacing w:val="-54"/>
        </w:rPr>
        <w:t> </w:t>
      </w:r>
      <w:r>
        <w:rPr>
          <w:w w:val="100"/>
        </w:rPr>
        <w:t>月</w:t>
      </w:r>
      <w:r>
        <w:rPr>
          <w:spacing w:val="-53"/>
        </w:rPr>
        <w:t> </w:t>
      </w:r>
      <w:r>
        <w:rPr>
          <w:rFonts w:ascii="宋体" w:hAnsi="宋体" w:cs="宋体" w:eastAsia="宋体" w:hint="default"/>
          <w:w w:val="100"/>
        </w:rPr>
        <w:t>31</w:t>
      </w:r>
      <w:r>
        <w:rPr>
          <w:rFonts w:ascii="宋体" w:hAnsi="宋体" w:cs="宋体" w:eastAsia="宋体" w:hint="default"/>
          <w:spacing w:val="-55"/>
        </w:rPr>
        <w:t> </w:t>
      </w:r>
      <w:r>
        <w:rPr>
          <w:spacing w:val="-3"/>
          <w:w w:val="100"/>
        </w:rPr>
        <w:t>日</w:t>
      </w:r>
      <w:r>
        <w:rPr>
          <w:spacing w:val="-5"/>
          <w:w w:val="100"/>
        </w:rPr>
        <w:t>，</w:t>
      </w:r>
      <w:r>
        <w:rPr>
          <w:spacing w:val="-3"/>
          <w:w w:val="100"/>
        </w:rPr>
        <w:t>紫</w:t>
      </w:r>
      <w:r>
        <w:rPr>
          <w:w w:val="100"/>
        </w:rPr>
        <w:t>鑫</w:t>
      </w:r>
      <w:r>
        <w:rPr>
          <w:spacing w:val="-3"/>
          <w:w w:val="100"/>
        </w:rPr>
        <w:t>药业</w:t>
      </w:r>
      <w:r>
        <w:rPr>
          <w:w w:val="100"/>
        </w:rPr>
        <w:t>存货</w:t>
      </w:r>
      <w:r>
        <w:rPr>
          <w:spacing w:val="-3"/>
          <w:w w:val="100"/>
        </w:rPr>
        <w:t>余</w:t>
      </w:r>
      <w:r>
        <w:rPr>
          <w:w w:val="100"/>
        </w:rPr>
        <w:t>额</w:t>
      </w:r>
      <w:r>
        <w:rPr>
          <w:spacing w:val="-3"/>
          <w:w w:val="100"/>
        </w:rPr>
        <w:t>为</w:t>
      </w:r>
      <w:r>
        <w:rPr>
          <w:w w:val="100"/>
        </w:rPr>
        <w:t>人</w:t>
      </w:r>
      <w:r>
        <w:rPr>
          <w:spacing w:val="-3"/>
          <w:w w:val="100"/>
        </w:rPr>
        <w:t>民</w:t>
      </w:r>
      <w:r>
        <w:rPr>
          <w:w w:val="100"/>
        </w:rPr>
        <w:t>币</w:t>
      </w:r>
      <w:r>
        <w:rPr>
          <w:spacing w:val="-53"/>
        </w:rPr>
        <w:t> </w:t>
      </w:r>
      <w:r>
        <w:rPr>
          <w:rFonts w:ascii="宋体" w:hAnsi="宋体" w:cs="宋体" w:eastAsia="宋体" w:hint="default"/>
          <w:spacing w:val="-3"/>
          <w:w w:val="100"/>
        </w:rPr>
        <w:t>6</w:t>
      </w:r>
      <w:r>
        <w:rPr>
          <w:rFonts w:ascii="宋体" w:hAnsi="宋体" w:cs="宋体" w:eastAsia="宋体" w:hint="default"/>
          <w:w w:val="100"/>
        </w:rPr>
        <w:t>,75</w:t>
      </w:r>
      <w:r>
        <w:rPr>
          <w:rFonts w:ascii="宋体" w:hAnsi="宋体" w:cs="宋体" w:eastAsia="宋体" w:hint="default"/>
          <w:spacing w:val="-3"/>
          <w:w w:val="100"/>
        </w:rPr>
        <w:t>6,</w:t>
      </w:r>
      <w:r>
        <w:rPr>
          <w:rFonts w:ascii="宋体" w:hAnsi="宋体" w:cs="宋体" w:eastAsia="宋体" w:hint="default"/>
          <w:w w:val="100"/>
        </w:rPr>
        <w:t>006,6</w:t>
      </w:r>
      <w:r>
        <w:rPr>
          <w:rFonts w:ascii="宋体" w:hAnsi="宋体" w:cs="宋体" w:eastAsia="宋体" w:hint="default"/>
          <w:spacing w:val="-3"/>
          <w:w w:val="100"/>
        </w:rPr>
        <w:t>7</w:t>
      </w:r>
      <w:r>
        <w:rPr>
          <w:rFonts w:ascii="宋体" w:hAnsi="宋体" w:cs="宋体" w:eastAsia="宋体" w:hint="default"/>
          <w:w w:val="100"/>
        </w:rPr>
        <w:t>0.</w:t>
      </w:r>
      <w:r>
        <w:rPr>
          <w:rFonts w:ascii="宋体" w:hAnsi="宋体" w:cs="宋体" w:eastAsia="宋体" w:hint="default"/>
          <w:spacing w:val="-3"/>
          <w:w w:val="100"/>
        </w:rPr>
        <w:t>5</w:t>
      </w:r>
      <w:r>
        <w:rPr>
          <w:rFonts w:ascii="宋体" w:hAnsi="宋体" w:cs="宋体" w:eastAsia="宋体" w:hint="default"/>
          <w:w w:val="100"/>
        </w:rPr>
        <w:t>3</w:t>
      </w:r>
      <w:r>
        <w:rPr>
          <w:rFonts w:ascii="宋体" w:hAnsi="宋体" w:cs="宋体" w:eastAsia="宋体" w:hint="default"/>
          <w:spacing w:val="-52"/>
        </w:rPr>
        <w:t> </w:t>
      </w:r>
      <w:r>
        <w:rPr>
          <w:spacing w:val="-3"/>
          <w:w w:val="100"/>
        </w:rPr>
        <w:t>元</w:t>
      </w:r>
      <w:r>
        <w:rPr>
          <w:spacing w:val="-5"/>
          <w:w w:val="100"/>
        </w:rPr>
        <w:t>，</w:t>
      </w:r>
      <w:r>
        <w:rPr>
          <w:spacing w:val="-3"/>
          <w:w w:val="100"/>
        </w:rPr>
        <w:t>占</w:t>
      </w:r>
      <w:r>
        <w:rPr>
          <w:w w:val="100"/>
        </w:rPr>
        <w:t>公</w:t>
      </w:r>
      <w:r>
        <w:rPr>
          <w:spacing w:val="-3"/>
          <w:w w:val="100"/>
        </w:rPr>
        <w:t>司总</w:t>
      </w:r>
      <w:r>
        <w:rPr>
          <w:w w:val="100"/>
        </w:rPr>
        <w:t>资产</w:t>
      </w:r>
    </w:p>
    <w:p>
      <w:pPr>
        <w:pStyle w:val="BodyText"/>
        <w:spacing w:line="240" w:lineRule="auto"/>
        <w:ind w:right="0"/>
        <w:jc w:val="both"/>
      </w:pPr>
      <w:r>
        <w:rPr>
          <w:rFonts w:ascii="宋体" w:hAnsi="宋体" w:cs="宋体" w:eastAsia="宋体" w:hint="default"/>
        </w:rPr>
        <w:t>10,658,639,431.93</w:t>
      </w:r>
      <w:r>
        <w:rPr>
          <w:rFonts w:ascii="宋体" w:hAnsi="宋体" w:cs="宋体" w:eastAsia="宋体" w:hint="default"/>
          <w:spacing w:val="-56"/>
        </w:rPr>
        <w:t> </w:t>
      </w:r>
      <w:r>
        <w:rPr/>
        <w:t>元的</w:t>
      </w:r>
      <w:r>
        <w:rPr>
          <w:spacing w:val="-56"/>
        </w:rPr>
        <w:t> </w:t>
      </w:r>
      <w:r>
        <w:rPr>
          <w:rFonts w:ascii="宋体" w:hAnsi="宋体" w:cs="宋体" w:eastAsia="宋体" w:hint="default"/>
        </w:rPr>
        <w:t>63.39%</w:t>
      </w:r>
      <w:r>
        <w:rPr/>
        <w:t>，因此我们将存货认定确定为关键审计事项。</w:t>
      </w:r>
    </w:p>
    <w:p>
      <w:pPr>
        <w:spacing w:line="240" w:lineRule="auto" w:before="10"/>
        <w:rPr>
          <w:rFonts w:ascii="宋体" w:hAnsi="宋体" w:cs="宋体" w:eastAsia="宋体" w:hint="default"/>
          <w:sz w:val="14"/>
          <w:szCs w:val="14"/>
        </w:rPr>
      </w:pPr>
    </w:p>
    <w:p>
      <w:pPr>
        <w:pStyle w:val="BodyText"/>
        <w:spacing w:line="240" w:lineRule="auto" w:before="0"/>
        <w:ind w:left="573" w:right="1133"/>
        <w:jc w:val="left"/>
      </w:pPr>
      <w:r>
        <w:rPr>
          <w:rFonts w:ascii="宋体" w:hAnsi="宋体" w:cs="宋体" w:eastAsia="宋体" w:hint="default"/>
        </w:rPr>
        <w:t>2</w:t>
      </w:r>
      <w:r>
        <w:rPr/>
        <w:t>、审计应对，我们执行的主要审计程序包括：</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left="573" w:right="1133"/>
        <w:jc w:val="left"/>
      </w:pPr>
      <w:r>
        <w:rPr/>
        <w:t>（</w:t>
      </w:r>
      <w:r>
        <w:rPr>
          <w:rFonts w:ascii="宋体" w:hAnsi="宋体" w:cs="宋体" w:eastAsia="宋体" w:hint="default"/>
        </w:rPr>
        <w:t>1</w:t>
      </w:r>
      <w:r>
        <w:rPr/>
        <w:t>）了解和评价公司与存货相关的关键内部控制设计和执行的有效性；</w:t>
      </w:r>
    </w:p>
    <w:p>
      <w:pPr>
        <w:spacing w:line="240" w:lineRule="auto" w:before="10"/>
        <w:rPr>
          <w:rFonts w:ascii="宋体" w:hAnsi="宋体" w:cs="宋体" w:eastAsia="宋体" w:hint="default"/>
          <w:sz w:val="14"/>
          <w:szCs w:val="14"/>
        </w:rPr>
      </w:pPr>
    </w:p>
    <w:p>
      <w:pPr>
        <w:pStyle w:val="BodyText"/>
        <w:spacing w:line="240" w:lineRule="auto" w:before="0"/>
        <w:ind w:left="573" w:right="1133"/>
        <w:jc w:val="left"/>
      </w:pPr>
      <w:r>
        <w:rPr/>
        <w:t>（</w:t>
      </w:r>
      <w:r>
        <w:rPr>
          <w:rFonts w:ascii="宋体" w:hAnsi="宋体" w:cs="宋体" w:eastAsia="宋体" w:hint="default"/>
        </w:rPr>
        <w:t>2</w:t>
      </w:r>
      <w:r>
        <w:rPr/>
        <w:t>）复核公司的存货盘点计划并实地监盘公司期末存货；</w:t>
      </w:r>
    </w:p>
    <w:p>
      <w:pPr>
        <w:spacing w:line="240" w:lineRule="auto" w:before="10"/>
        <w:rPr>
          <w:rFonts w:ascii="宋体" w:hAnsi="宋体" w:cs="宋体" w:eastAsia="宋体" w:hint="default"/>
          <w:sz w:val="14"/>
          <w:szCs w:val="14"/>
        </w:rPr>
      </w:pPr>
    </w:p>
    <w:p>
      <w:pPr>
        <w:pStyle w:val="BodyText"/>
        <w:spacing w:line="408" w:lineRule="auto" w:before="0"/>
        <w:ind w:right="1133" w:firstLine="420"/>
        <w:jc w:val="left"/>
      </w:pPr>
      <w:r>
        <w:rPr/>
        <w:t>（</w:t>
      </w:r>
      <w:r>
        <w:rPr>
          <w:rFonts w:ascii="宋体" w:hAnsi="宋体" w:cs="宋体" w:eastAsia="宋体" w:hint="default"/>
        </w:rPr>
        <w:t>3</w:t>
      </w:r>
      <w:r>
        <w:rPr/>
        <w:t>）对存货期末余额进行对比分析，选取样本对生产成本进行复算、对存货入库、发出计价进行测</w:t>
      </w:r>
      <w:r>
        <w:rPr>
          <w:w w:val="100"/>
        </w:rPr>
        <w:t> </w:t>
      </w:r>
      <w:r>
        <w:rPr/>
        <w:t>试；针对原材料及库存商品等执行截止性测试程序；以确认存货成本结转的准确性；</w:t>
      </w:r>
    </w:p>
    <w:p>
      <w:pPr>
        <w:pStyle w:val="BodyText"/>
        <w:spacing w:line="408" w:lineRule="auto"/>
        <w:ind w:right="1133" w:firstLine="420"/>
        <w:jc w:val="left"/>
      </w:pPr>
      <w:r>
        <w:rPr/>
        <w:t>（</w:t>
      </w:r>
      <w:r>
        <w:rPr>
          <w:rFonts w:ascii="宋体" w:hAnsi="宋体" w:cs="宋体" w:eastAsia="宋体" w:hint="default"/>
        </w:rPr>
        <w:t>4</w:t>
      </w:r>
      <w:r>
        <w:rPr/>
        <w:t>）选取样本复核采购、销售合同，查询供应商工商信息，并向其函证交易的金额及往来余额或进</w:t>
      </w:r>
      <w:r>
        <w:rPr>
          <w:w w:val="100"/>
        </w:rPr>
        <w:t> </w:t>
      </w:r>
      <w:r>
        <w:rPr/>
        <w:t>行电话访谈；</w:t>
      </w:r>
    </w:p>
    <w:p>
      <w:pPr>
        <w:pStyle w:val="BodyText"/>
        <w:spacing w:line="408" w:lineRule="auto"/>
        <w:ind w:left="784" w:right="1940" w:hanging="212"/>
        <w:jc w:val="left"/>
      </w:pPr>
      <w:r>
        <w:rPr/>
        <w:t>（</w:t>
      </w:r>
      <w:r>
        <w:rPr>
          <w:rFonts w:ascii="宋体" w:hAnsi="宋体" w:cs="宋体" w:eastAsia="宋体" w:hint="default"/>
        </w:rPr>
        <w:t>5</w:t>
      </w:r>
      <w:r>
        <w:rPr/>
        <w:t>）对本期外购的消耗性生物资产主要实施的审计程序：</w:t>
      </w:r>
      <w:r>
        <w:rPr>
          <w:w w:val="100"/>
        </w:rPr>
        <w:t> </w:t>
      </w:r>
      <w:r>
        <w:rPr>
          <w:rFonts w:ascii="宋体" w:hAnsi="宋体" w:cs="宋体" w:eastAsia="宋体" w:hint="default"/>
          <w:spacing w:val="-4"/>
          <w:w w:val="100"/>
        </w:rPr>
        <w:t>1</w:t>
      </w:r>
      <w:r>
        <w:rPr>
          <w:spacing w:val="-4"/>
          <w:w w:val="100"/>
        </w:rPr>
        <w:t>）查验公司《人参产业发展战略规划》，分析消耗性生物资产本期增加的动因及合理性；</w:t>
      </w:r>
    </w:p>
    <w:p>
      <w:pPr>
        <w:pStyle w:val="BodyText"/>
        <w:spacing w:line="408" w:lineRule="auto"/>
        <w:ind w:right="1133" w:firstLine="631"/>
        <w:jc w:val="left"/>
      </w:pPr>
      <w:r>
        <w:rPr>
          <w:rFonts w:ascii="宋体" w:hAnsi="宋体" w:cs="宋体" w:eastAsia="宋体" w:hint="default"/>
        </w:rPr>
        <w:t>2</w:t>
      </w:r>
      <w:r>
        <w:rPr/>
        <w:t>）检查森林资源资产价格评估报告，对评估专业技术人员的估值方法进行了解和评价，并就评估</w:t>
      </w:r>
      <w:r>
        <w:rPr>
          <w:w w:val="100"/>
        </w:rPr>
        <w:t> </w:t>
      </w:r>
      <w:r>
        <w:rPr/>
        <w:t>价值与消耗性生物资产入账价值进行核对；</w:t>
      </w:r>
    </w:p>
    <w:p>
      <w:pPr>
        <w:pStyle w:val="BodyText"/>
        <w:spacing w:line="240" w:lineRule="auto"/>
        <w:ind w:left="784" w:right="1133"/>
        <w:jc w:val="left"/>
      </w:pPr>
      <w:r>
        <w:rPr>
          <w:rFonts w:ascii="宋体" w:hAnsi="宋体" w:cs="宋体" w:eastAsia="宋体" w:hint="default"/>
        </w:rPr>
        <w:t>3</w:t>
      </w:r>
      <w:r>
        <w:rPr/>
        <w:t>）检查消耗性生物资产买卖合同、委托付款协议、结算合同等资料；</w:t>
      </w:r>
    </w:p>
    <w:p>
      <w:pPr>
        <w:spacing w:line="240" w:lineRule="auto" w:before="10"/>
        <w:rPr>
          <w:rFonts w:ascii="宋体" w:hAnsi="宋体" w:cs="宋体" w:eastAsia="宋体" w:hint="default"/>
          <w:sz w:val="14"/>
          <w:szCs w:val="14"/>
        </w:rPr>
      </w:pPr>
    </w:p>
    <w:p>
      <w:pPr>
        <w:pStyle w:val="BodyText"/>
        <w:spacing w:line="240" w:lineRule="auto" w:before="0"/>
        <w:ind w:left="784" w:right="1133"/>
        <w:jc w:val="left"/>
      </w:pPr>
      <w:r>
        <w:rPr>
          <w:rFonts w:ascii="宋体" w:hAnsi="宋体" w:cs="宋体" w:eastAsia="宋体" w:hint="default"/>
        </w:rPr>
        <w:t>4</w:t>
      </w:r>
      <w:r>
        <w:rPr/>
        <w:t>）向全部供应商函证或电话访谈；</w:t>
      </w:r>
    </w:p>
    <w:p>
      <w:pPr>
        <w:spacing w:line="240" w:lineRule="auto" w:before="10"/>
        <w:rPr>
          <w:rFonts w:ascii="宋体" w:hAnsi="宋体" w:cs="宋体" w:eastAsia="宋体" w:hint="default"/>
          <w:sz w:val="14"/>
          <w:szCs w:val="14"/>
        </w:rPr>
      </w:pPr>
    </w:p>
    <w:p>
      <w:pPr>
        <w:pStyle w:val="BodyText"/>
        <w:spacing w:line="408" w:lineRule="auto" w:before="0"/>
        <w:ind w:left="784" w:right="1133" w:hanging="212"/>
        <w:jc w:val="left"/>
      </w:pPr>
      <w:r>
        <w:rPr/>
        <w:t>（</w:t>
      </w:r>
      <w:r>
        <w:rPr>
          <w:rFonts w:ascii="宋体" w:hAnsi="宋体" w:cs="宋体" w:eastAsia="宋体" w:hint="default"/>
        </w:rPr>
        <w:t>6</w:t>
      </w:r>
      <w:r>
        <w:rPr/>
        <w:t>）存货减值测试主要实施的审计程序</w:t>
      </w:r>
      <w:r>
        <w:rPr>
          <w:w w:val="100"/>
        </w:rPr>
        <w:t> </w:t>
      </w:r>
      <w:r>
        <w:rPr>
          <w:rFonts w:ascii="宋体" w:hAnsi="宋体" w:cs="宋体" w:eastAsia="宋体" w:hint="default"/>
          <w:spacing w:val="-2"/>
        </w:rPr>
        <w:t>1</w:t>
      </w:r>
      <w:r>
        <w:rPr>
          <w:spacing w:val="-2"/>
        </w:rPr>
        <w:t>）结合存货监盘，对存货存储的条件进行检查，对存货状况进行了解；</w:t>
      </w:r>
    </w:p>
    <w:p>
      <w:pPr>
        <w:pStyle w:val="BodyText"/>
        <w:spacing w:line="408" w:lineRule="auto"/>
        <w:ind w:right="0" w:firstLine="631"/>
        <w:jc w:val="left"/>
      </w:pPr>
      <w:r>
        <w:rPr>
          <w:rFonts w:ascii="宋体" w:hAnsi="宋体" w:cs="宋体" w:eastAsia="宋体" w:hint="default"/>
        </w:rPr>
        <w:t>2</w:t>
      </w:r>
      <w:r>
        <w:rPr/>
        <w:t>）复核公司测试存货可变现净值的确定依据的合理性，评价存货减值计提情况，对于人参产品主</w:t>
      </w:r>
      <w:r>
        <w:rPr>
          <w:w w:val="100"/>
        </w:rPr>
        <w:t> </w:t>
      </w:r>
      <w:r>
        <w:rPr>
          <w:spacing w:val="-2"/>
        </w:rPr>
        <w:t>要是查询人参电子交易平台上交易的价格以及公司对外销售的价格，结合公司外部聘请的评估专家确认的</w:t>
      </w:r>
      <w:r>
        <w:rPr>
          <w:spacing w:val="-43"/>
        </w:rPr>
        <w:t> </w:t>
      </w:r>
      <w:r>
        <w:rPr>
          <w:spacing w:val="-43"/>
        </w:rPr>
      </w:r>
      <w:r>
        <w:rPr>
          <w:spacing w:val="-5"/>
        </w:rPr>
        <w:t>评估价格进行减值测算，了解外部估值专家的胜任能力、专业素质和客观性。复核评估师采用的评估方法、</w:t>
      </w:r>
      <w:r>
        <w:rPr>
          <w:spacing w:val="-3"/>
        </w:rPr>
        <w:t> </w:t>
      </w:r>
      <w:r>
        <w:rPr>
          <w:spacing w:val="-3"/>
        </w:rPr>
      </w:r>
      <w:r>
        <w:rPr/>
        <w:t>计算方式、以及关键假设，折现率等参数的合理性；</w:t>
      </w:r>
    </w:p>
    <w:p>
      <w:pPr>
        <w:pStyle w:val="BodyText"/>
        <w:spacing w:line="408" w:lineRule="auto"/>
        <w:ind w:right="1133" w:firstLine="631"/>
        <w:jc w:val="left"/>
      </w:pPr>
      <w:r>
        <w:rPr>
          <w:rFonts w:ascii="宋体" w:hAnsi="宋体" w:cs="宋体" w:eastAsia="宋体" w:hint="default"/>
        </w:rPr>
        <w:t>3</w:t>
      </w:r>
      <w:r>
        <w:rPr/>
        <w:t>）对于除人参类存货外的其他存货，复核管理层对存货至完工时将要发生的成本、销售费用和相</w:t>
      </w:r>
      <w:r>
        <w:rPr>
          <w:w w:val="100"/>
        </w:rPr>
        <w:t> </w:t>
      </w:r>
      <w:r>
        <w:rPr/>
        <w:t>关税费估计</w:t>
      </w:r>
      <w:r>
        <w:rPr>
          <w:spacing w:val="-4"/>
        </w:rPr>
        <w:t> </w:t>
      </w:r>
      <w:r>
        <w:rPr/>
        <w:t>的合理性并测试管理层对存货可变现净值的计算的准确性；</w:t>
      </w:r>
    </w:p>
    <w:p>
      <w:pPr>
        <w:pStyle w:val="BodyText"/>
        <w:spacing w:line="321" w:lineRule="auto"/>
        <w:ind w:right="2114" w:firstLine="420"/>
        <w:jc w:val="left"/>
        <w:rPr>
          <w:rFonts w:ascii="宋体" w:hAnsi="宋体" w:cs="宋体" w:eastAsia="宋体" w:hint="default"/>
        </w:rPr>
      </w:pPr>
      <w:r>
        <w:rPr>
          <w:spacing w:val="-2"/>
        </w:rPr>
        <w:t>（</w:t>
      </w:r>
      <w:r>
        <w:rPr>
          <w:rFonts w:ascii="宋体" w:hAnsi="宋体" w:cs="宋体" w:eastAsia="宋体" w:hint="default"/>
          <w:spacing w:val="-2"/>
        </w:rPr>
        <w:t>7</w:t>
      </w:r>
      <w:r>
        <w:rPr>
          <w:spacing w:val="-2"/>
        </w:rPr>
        <w:t>）检查存货是否已按照企业会计准则的规定在财务报表中作出恰当的列报和披露。</w:t>
      </w:r>
      <w:r>
        <w:rPr>
          <w:w w:val="100"/>
        </w:rPr>
        <w:t> </w:t>
      </w:r>
      <w:r>
        <w:rPr>
          <w:rFonts w:ascii="宋体" w:hAnsi="宋体" w:cs="宋体" w:eastAsia="宋体" w:hint="default"/>
          <w:b/>
          <w:bCs/>
        </w:rPr>
        <w:t>四、其他信息</w:t>
      </w:r>
      <w:r>
        <w:rPr>
          <w:rFonts w:ascii="宋体" w:hAnsi="宋体" w:cs="宋体" w:eastAsia="宋体" w:hint="default"/>
        </w:rPr>
      </w:r>
    </w:p>
    <w:p>
      <w:pPr>
        <w:pStyle w:val="BodyText"/>
        <w:spacing w:line="408" w:lineRule="auto" w:before="160"/>
        <w:ind w:right="1122" w:firstLine="420"/>
        <w:jc w:val="left"/>
      </w:pPr>
      <w:r>
        <w:rPr/>
        <w:t>紫鑫药业管理层对其他信息负责。其他信息包括紫鑫药业 </w:t>
      </w:r>
      <w:r>
        <w:rPr>
          <w:rFonts w:ascii="宋体" w:hAnsi="宋体" w:cs="宋体" w:eastAsia="宋体" w:hint="default"/>
        </w:rPr>
        <w:t>2019</w:t>
      </w:r>
      <w:r>
        <w:rPr>
          <w:rFonts w:ascii="宋体" w:hAnsi="宋体" w:cs="宋体" w:eastAsia="宋体" w:hint="default"/>
          <w:spacing w:val="-28"/>
        </w:rPr>
        <w:t> </w:t>
      </w:r>
      <w:r>
        <w:rPr/>
        <w:t>年度报告中涵盖的信息，但不包括财</w:t>
      </w:r>
      <w:r>
        <w:rPr>
          <w:w w:val="100"/>
        </w:rPr>
        <w:t> </w:t>
      </w:r>
      <w:r>
        <w:rPr/>
        <w:t>务报表和我们的审计报告。</w:t>
      </w:r>
    </w:p>
    <w:p>
      <w:pPr>
        <w:pStyle w:val="BodyText"/>
        <w:spacing w:line="408" w:lineRule="auto"/>
        <w:ind w:left="573" w:right="1133"/>
        <w:jc w:val="left"/>
      </w:pPr>
      <w:r>
        <w:rPr/>
        <w:t>我们对财务报表发表的审计意见不涵盖其他信息，我们也不对其他信息发表任何形式的鉴证结论。</w:t>
      </w:r>
      <w:r>
        <w:rPr>
          <w:w w:val="100"/>
        </w:rPr>
        <w:t> </w:t>
      </w:r>
      <w:r>
        <w:rPr>
          <w:spacing w:val="-2"/>
        </w:rPr>
        <w:t>结合我们对财务报表的审计，我们的责任是阅读其他信息，在此过程中，考虑其他信息是否与财务报</w:t>
      </w:r>
    </w:p>
    <w:p>
      <w:pPr>
        <w:pStyle w:val="BodyText"/>
        <w:spacing w:line="408" w:lineRule="auto"/>
        <w:ind w:left="573" w:right="1133" w:hanging="421"/>
        <w:jc w:val="left"/>
      </w:pPr>
      <w:r>
        <w:rPr/>
        <w:t>表或我们在审计过程中了解到的情况存在重大不一致或者似乎存在重大错报。</w:t>
      </w:r>
      <w:r>
        <w:rPr>
          <w:w w:val="100"/>
        </w:rPr>
        <w:t> </w:t>
      </w:r>
      <w:r>
        <w:rPr>
          <w:spacing w:val="-2"/>
        </w:rPr>
        <w:t>基于我们已执行的工作，如果我们确定其他信息存在重大错报，我们应当报告该事实。在这方面，我</w:t>
      </w:r>
    </w:p>
    <w:p>
      <w:pPr>
        <w:spacing w:line="408" w:lineRule="auto" w:before="46"/>
        <w:ind w:left="152" w:right="6794" w:firstLine="0"/>
        <w:jc w:val="left"/>
        <w:rPr>
          <w:rFonts w:ascii="宋体" w:hAnsi="宋体" w:cs="宋体" w:eastAsia="宋体" w:hint="default"/>
          <w:sz w:val="21"/>
          <w:szCs w:val="21"/>
        </w:rPr>
      </w:pPr>
      <w:r>
        <w:rPr>
          <w:rFonts w:ascii="宋体" w:hAnsi="宋体" w:cs="宋体" w:eastAsia="宋体" w:hint="default"/>
          <w:sz w:val="21"/>
          <w:szCs w:val="21"/>
        </w:rPr>
        <w:t>们无任何事项需要报告。</w:t>
      </w:r>
      <w:r>
        <w:rPr>
          <w:rFonts w:ascii="宋体" w:hAnsi="宋体" w:cs="宋体" w:eastAsia="宋体" w:hint="default"/>
          <w:w w:val="100"/>
          <w:sz w:val="21"/>
          <w:szCs w:val="21"/>
        </w:rPr>
        <w:t> </w:t>
      </w:r>
      <w:r>
        <w:rPr>
          <w:rFonts w:ascii="宋体" w:hAnsi="宋体" w:cs="宋体" w:eastAsia="宋体" w:hint="default"/>
          <w:b/>
          <w:bCs/>
          <w:spacing w:val="-1"/>
          <w:sz w:val="21"/>
          <w:szCs w:val="21"/>
        </w:rPr>
        <w:t>五、管理层和治理层对财务报表的责任</w:t>
      </w:r>
      <w:r>
        <w:rPr>
          <w:rFonts w:ascii="宋体" w:hAnsi="宋体" w:cs="宋体" w:eastAsia="宋体" w:hint="default"/>
          <w:spacing w:val="-1"/>
          <w:sz w:val="21"/>
          <w:szCs w:val="21"/>
        </w:rPr>
      </w:r>
    </w:p>
    <w:p>
      <w:pPr>
        <w:spacing w:after="0" w:line="408" w:lineRule="auto"/>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pStyle w:val="BodyText"/>
        <w:spacing w:line="408" w:lineRule="auto" w:before="175"/>
        <w:ind w:right="1126" w:firstLine="420"/>
        <w:jc w:val="both"/>
      </w:pPr>
      <w:r>
        <w:rPr>
          <w:spacing w:val="-2"/>
        </w:rPr>
        <w:t>紫鑫药业管理层负责按照企业会计准则的规定编制财务报表，使其实现公允反映，并设计、执行和维</w:t>
      </w:r>
      <w:r>
        <w:rPr>
          <w:w w:val="100"/>
        </w:rPr>
        <w:t> </w:t>
      </w:r>
      <w:r>
        <w:rPr/>
        <w:t>护必要的内部控制，以使财务报表不存在由于舞弊或错误导致的重大错报。</w:t>
      </w:r>
    </w:p>
    <w:p>
      <w:pPr>
        <w:pStyle w:val="BodyText"/>
        <w:spacing w:line="408" w:lineRule="auto"/>
        <w:ind w:right="1126" w:firstLine="420"/>
        <w:jc w:val="both"/>
      </w:pPr>
      <w:r>
        <w:rPr>
          <w:spacing w:val="-2"/>
        </w:rPr>
        <w:t>在编制财务报表时，管理层负责评估紫鑫药业的持续经营能力，披露与持续经营相关的事项，并运用</w:t>
      </w:r>
      <w:r>
        <w:rPr>
          <w:w w:val="100"/>
        </w:rPr>
        <w:t> </w:t>
      </w:r>
      <w:r>
        <w:rPr/>
        <w:t>持续经营假设，除非计划进行清算、终止运营或别无其他现实的选择。</w:t>
      </w:r>
    </w:p>
    <w:p>
      <w:pPr>
        <w:spacing w:line="408" w:lineRule="auto" w:before="46"/>
        <w:ind w:left="152" w:right="2114" w:firstLine="420"/>
        <w:jc w:val="left"/>
        <w:rPr>
          <w:rFonts w:ascii="宋体" w:hAnsi="宋体" w:cs="宋体" w:eastAsia="宋体" w:hint="default"/>
          <w:sz w:val="21"/>
          <w:szCs w:val="21"/>
        </w:rPr>
      </w:pPr>
      <w:r>
        <w:rPr>
          <w:rFonts w:ascii="宋体" w:hAnsi="宋体" w:cs="宋体" w:eastAsia="宋体" w:hint="default"/>
          <w:spacing w:val="-2"/>
          <w:sz w:val="21"/>
          <w:szCs w:val="21"/>
        </w:rPr>
        <w:t>紫鑫药业治理层负责监督紫鑫药业的财务报告过程。</w:t>
      </w:r>
      <w:r>
        <w:rPr>
          <w:rFonts w:ascii="宋体" w:hAnsi="宋体" w:cs="宋体" w:eastAsia="宋体" w:hint="default"/>
          <w:w w:val="100"/>
          <w:sz w:val="21"/>
          <w:szCs w:val="21"/>
        </w:rPr>
        <w:t> </w:t>
      </w:r>
      <w:r>
        <w:rPr>
          <w:rFonts w:ascii="宋体" w:hAnsi="宋体" w:cs="宋体" w:eastAsia="宋体" w:hint="default"/>
          <w:b/>
          <w:bCs/>
          <w:sz w:val="21"/>
          <w:szCs w:val="21"/>
        </w:rPr>
        <w:t>六、注册会计师对财务报表审计的责任</w:t>
      </w:r>
      <w:r>
        <w:rPr>
          <w:rFonts w:ascii="宋体" w:hAnsi="宋体" w:cs="宋体" w:eastAsia="宋体" w:hint="default"/>
          <w:sz w:val="21"/>
          <w:szCs w:val="21"/>
        </w:rPr>
      </w:r>
    </w:p>
    <w:p>
      <w:pPr>
        <w:pStyle w:val="BodyText"/>
        <w:spacing w:line="408" w:lineRule="auto"/>
        <w:ind w:right="1126" w:firstLine="420"/>
        <w:jc w:val="both"/>
      </w:pPr>
      <w:r>
        <w:rPr>
          <w:spacing w:val="-2"/>
        </w:rPr>
        <w:t>我们的目标是对财务报表整体是否不存在由于舞弊或错误导致的重大错报获取合理保证，并出具包含</w:t>
      </w:r>
      <w:r>
        <w:rPr>
          <w:w w:val="100"/>
        </w:rPr>
        <w:t> </w:t>
      </w:r>
      <w:r>
        <w:rPr>
          <w:spacing w:val="-2"/>
        </w:rPr>
        <w:t>审计意见的审计报告。合理保证是高水平的保证，但并不能保证按照审计准则执行的审计在某一重大错报</w:t>
      </w:r>
      <w:r>
        <w:rPr>
          <w:spacing w:val="-43"/>
        </w:rPr>
        <w:t> </w:t>
      </w:r>
      <w:r>
        <w:rPr>
          <w:spacing w:val="-43"/>
        </w:rPr>
      </w:r>
      <w:r>
        <w:rPr>
          <w:spacing w:val="-2"/>
        </w:rPr>
        <w:t>存在时总能发现错报可能由于舞弊或错误导致，如果合理预期错报单独或汇总起来可能影响财务报表使用</w:t>
      </w:r>
      <w:r>
        <w:rPr>
          <w:spacing w:val="-43"/>
        </w:rPr>
        <w:t> </w:t>
      </w:r>
      <w:r>
        <w:rPr>
          <w:spacing w:val="-43"/>
        </w:rPr>
      </w:r>
      <w:r>
        <w:rPr/>
        <w:t>者依据财务报表作出的经济决策，则通常认为错报是重大的。</w:t>
      </w:r>
    </w:p>
    <w:p>
      <w:pPr>
        <w:pStyle w:val="BodyText"/>
        <w:spacing w:line="408" w:lineRule="auto"/>
        <w:ind w:right="1128" w:firstLine="420"/>
        <w:jc w:val="both"/>
      </w:pPr>
      <w:r>
        <w:rPr>
          <w:spacing w:val="-2"/>
        </w:rPr>
        <w:t>在按照审计准则执行审计工作的过程中，我们运用职业判断，并保持职业怀疑。同时，我们也执行以</w:t>
      </w:r>
      <w:r>
        <w:rPr>
          <w:w w:val="100"/>
        </w:rPr>
        <w:t> </w:t>
      </w:r>
      <w:r>
        <w:rPr/>
        <w:t>下工作：</w:t>
      </w:r>
    </w:p>
    <w:p>
      <w:pPr>
        <w:pStyle w:val="BodyText"/>
        <w:spacing w:line="408" w:lineRule="auto"/>
        <w:ind w:right="0" w:firstLine="420"/>
        <w:jc w:val="left"/>
      </w:pPr>
      <w:r>
        <w:rPr/>
        <w:t>（</w:t>
      </w:r>
      <w:r>
        <w:rPr>
          <w:rFonts w:ascii="宋体" w:hAnsi="宋体" w:cs="宋体" w:eastAsia="宋体" w:hint="default"/>
        </w:rPr>
        <w:t>1</w:t>
      </w:r>
      <w:r>
        <w:rPr/>
        <w:t>）识别和评估由于舞弊或错误导致的财务报表重大错报风险，设计和实施审计程序以应对这些风</w:t>
      </w:r>
      <w:r>
        <w:rPr>
          <w:w w:val="100"/>
        </w:rPr>
        <w:t> </w:t>
      </w:r>
      <w:r>
        <w:rPr>
          <w:spacing w:val="-5"/>
        </w:rPr>
        <w:t>险，并获取充分、适当的审计证据，作为发表审计意见的基础。由于舞弊可能涉及串通、伪造、故意遗漏、</w:t>
      </w:r>
      <w:r>
        <w:rPr>
          <w:spacing w:val="-6"/>
        </w:rPr>
        <w:t> </w:t>
      </w:r>
      <w:r>
        <w:rPr>
          <w:spacing w:val="-6"/>
        </w:rPr>
      </w:r>
      <w:r>
        <w:rPr>
          <w:spacing w:val="-2"/>
        </w:rPr>
        <w:t>虚假陈述或凌驾于内部控制之上，未能发现由于舞弊导致的重大错报的风险高于未能发现由于错误导致的</w:t>
      </w:r>
      <w:r>
        <w:rPr>
          <w:spacing w:val="-43"/>
        </w:rPr>
        <w:t> </w:t>
      </w:r>
      <w:r>
        <w:rPr>
          <w:spacing w:val="-43"/>
        </w:rPr>
      </w:r>
      <w:r>
        <w:rPr/>
        <w:t>重大错报的风险。</w:t>
      </w:r>
    </w:p>
    <w:p>
      <w:pPr>
        <w:pStyle w:val="BodyText"/>
        <w:spacing w:line="408" w:lineRule="auto"/>
        <w:ind w:right="1136" w:firstLine="420"/>
        <w:jc w:val="both"/>
      </w:pPr>
      <w:r>
        <w:rPr/>
        <w:t>（</w:t>
      </w:r>
      <w:r>
        <w:rPr>
          <w:rFonts w:ascii="宋体" w:hAnsi="宋体" w:cs="宋体" w:eastAsia="宋体" w:hint="default"/>
        </w:rPr>
        <w:t>2</w:t>
      </w:r>
      <w:r>
        <w:rPr/>
        <w:t>）了解与审计相关的内部控制，以设计恰当的审计程序，但目的并非对内部控制的有效性发表审</w:t>
      </w:r>
      <w:r>
        <w:rPr>
          <w:w w:val="100"/>
        </w:rPr>
        <w:t> </w:t>
      </w:r>
      <w:r>
        <w:rPr/>
        <w:t>计意见。</w:t>
      </w:r>
    </w:p>
    <w:p>
      <w:pPr>
        <w:pStyle w:val="BodyText"/>
        <w:spacing w:line="240" w:lineRule="auto"/>
        <w:ind w:left="573" w:right="1133"/>
        <w:jc w:val="left"/>
      </w:pPr>
      <w:r>
        <w:rPr/>
        <w:t>（</w:t>
      </w:r>
      <w:r>
        <w:rPr>
          <w:rFonts w:ascii="宋体" w:hAnsi="宋体" w:cs="宋体" w:eastAsia="宋体" w:hint="default"/>
        </w:rPr>
        <w:t>3</w:t>
      </w:r>
      <w:r>
        <w:rPr/>
        <w:t>）评价管理层选用会计政策的恰当性和作出会计估计及相关披露的合理性。</w:t>
      </w:r>
    </w:p>
    <w:p>
      <w:pPr>
        <w:spacing w:line="240" w:lineRule="auto" w:before="10"/>
        <w:rPr>
          <w:rFonts w:ascii="宋体" w:hAnsi="宋体" w:cs="宋体" w:eastAsia="宋体" w:hint="default"/>
          <w:sz w:val="14"/>
          <w:szCs w:val="14"/>
        </w:rPr>
      </w:pPr>
    </w:p>
    <w:p>
      <w:pPr>
        <w:pStyle w:val="BodyText"/>
        <w:spacing w:line="408" w:lineRule="auto" w:before="0"/>
        <w:ind w:right="1126" w:firstLine="420"/>
        <w:jc w:val="both"/>
      </w:pPr>
      <w:r>
        <w:rPr/>
        <w:t>（</w:t>
      </w:r>
      <w:r>
        <w:rPr>
          <w:rFonts w:ascii="宋体" w:hAnsi="宋体" w:cs="宋体" w:eastAsia="宋体" w:hint="default"/>
        </w:rPr>
        <w:t>4</w:t>
      </w:r>
      <w:r>
        <w:rPr/>
        <w:t>）对管理层使用持续经营假设的恰当性得出结论。同时，根据获取的审计证据，就可能导致对紫</w:t>
      </w:r>
      <w:r>
        <w:rPr>
          <w:w w:val="100"/>
        </w:rPr>
        <w:t> </w:t>
      </w:r>
      <w:r>
        <w:rPr>
          <w:spacing w:val="-2"/>
        </w:rPr>
        <w:t>鑫药业持续经营能力产生重大疑虑的事项或情况是否存在重大不确定性得出结论。如果我们得出结论认为</w:t>
      </w:r>
      <w:r>
        <w:rPr>
          <w:spacing w:val="-43"/>
        </w:rPr>
        <w:t> </w:t>
      </w:r>
      <w:r>
        <w:rPr>
          <w:spacing w:val="-43"/>
        </w:rPr>
      </w:r>
      <w:r>
        <w:rPr>
          <w:spacing w:val="-2"/>
        </w:rPr>
        <w:t>存在重大不确定性，审计准则要求我们在审计报告中提请报表使用者注意财务报表中的相关披露；如果披</w:t>
      </w:r>
      <w:r>
        <w:rPr>
          <w:spacing w:val="-43"/>
        </w:rPr>
        <w:t> </w:t>
      </w:r>
      <w:r>
        <w:rPr>
          <w:spacing w:val="-43"/>
        </w:rPr>
      </w:r>
      <w:r>
        <w:rPr>
          <w:spacing w:val="-2"/>
        </w:rPr>
        <w:t>露不充分，我们应当发表非无保留意见。我们的结论基于截至审计报告日可获得的信息。然而，未来的事</w:t>
      </w:r>
      <w:r>
        <w:rPr>
          <w:spacing w:val="-46"/>
        </w:rPr>
        <w:t> </w:t>
      </w:r>
      <w:r>
        <w:rPr>
          <w:spacing w:val="-46"/>
        </w:rPr>
      </w:r>
      <w:r>
        <w:rPr/>
        <w:t>项或情况可能导致紫鑫药业公司不能持续经营。</w:t>
      </w:r>
    </w:p>
    <w:p>
      <w:pPr>
        <w:pStyle w:val="BodyText"/>
        <w:spacing w:line="408" w:lineRule="auto"/>
        <w:ind w:right="1128" w:firstLine="420"/>
        <w:jc w:val="both"/>
      </w:pPr>
      <w:r>
        <w:rPr>
          <w:spacing w:val="-5"/>
          <w:w w:val="100"/>
        </w:rPr>
        <w:t>（</w:t>
      </w:r>
      <w:r>
        <w:rPr>
          <w:rFonts w:ascii="宋体" w:hAnsi="宋体" w:cs="宋体" w:eastAsia="宋体" w:hint="default"/>
          <w:spacing w:val="-5"/>
          <w:w w:val="100"/>
        </w:rPr>
        <w:t>5</w:t>
      </w:r>
      <w:r>
        <w:rPr>
          <w:spacing w:val="-5"/>
          <w:w w:val="100"/>
        </w:rPr>
        <w:t>）评价财务报表的总体列报、结构和内容（包括披露），并评价财务报表是否公允反映相关交易和</w:t>
      </w:r>
      <w:r>
        <w:rPr>
          <w:w w:val="100"/>
        </w:rPr>
        <w:t> </w:t>
      </w:r>
      <w:r>
        <w:rPr/>
        <w:t>事项。</w:t>
      </w:r>
    </w:p>
    <w:p>
      <w:pPr>
        <w:pStyle w:val="BodyText"/>
        <w:spacing w:line="408" w:lineRule="auto"/>
        <w:ind w:right="1136" w:firstLine="420"/>
        <w:jc w:val="both"/>
      </w:pPr>
      <w:r>
        <w:rPr/>
        <w:t>（</w:t>
      </w:r>
      <w:r>
        <w:rPr>
          <w:rFonts w:ascii="宋体" w:hAnsi="宋体" w:cs="宋体" w:eastAsia="宋体" w:hint="default"/>
        </w:rPr>
        <w:t>6</w:t>
      </w:r>
      <w:r>
        <w:rPr/>
        <w:t>）就紫鑫药业中实体或业务活动的财务信息获取充分、适当的审计证据，以对合并财务报表发布</w:t>
      </w:r>
      <w:r>
        <w:rPr>
          <w:w w:val="100"/>
        </w:rPr>
        <w:t> </w:t>
      </w:r>
      <w:r>
        <w:rPr/>
        <w:t>审计意见。</w:t>
      </w:r>
      <w:r>
        <w:rPr>
          <w:spacing w:val="-6"/>
        </w:rPr>
        <w:t> </w:t>
      </w:r>
      <w:r>
        <w:rPr/>
        <w:t>我们负责指导、监督和执行紫鑫药业审计，并对审计意见承担全部责任。</w:t>
      </w:r>
    </w:p>
    <w:p>
      <w:pPr>
        <w:pStyle w:val="BodyText"/>
        <w:spacing w:line="408" w:lineRule="auto"/>
        <w:ind w:right="1126" w:firstLine="420"/>
        <w:jc w:val="both"/>
      </w:pPr>
      <w:r>
        <w:rPr>
          <w:spacing w:val="-2"/>
        </w:rPr>
        <w:t>我们与治理层就计划的审计范围、时间安排和重大审计发现等事项进行沟通，包括沟通我们在审计中</w:t>
      </w:r>
      <w:r>
        <w:rPr>
          <w:w w:val="100"/>
        </w:rPr>
        <w:t> </w:t>
      </w:r>
      <w:r>
        <w:rPr>
          <w:spacing w:val="-2"/>
        </w:rPr>
        <w:t>识别出的值得关注的内部控制缺陷。我们还就已遵守与独立性相关的职业道德要求向治理层提供声明，并</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left="573" w:right="1133" w:hanging="421"/>
        <w:jc w:val="left"/>
      </w:pPr>
      <w:r>
        <w:rPr/>
        <w:t>与治理层沟通可能被合理认为影响我们独立性的所有关系和其他事项，以及相关的防范措施。</w:t>
      </w:r>
      <w:r>
        <w:rPr>
          <w:w w:val="100"/>
        </w:rPr>
        <w:t> </w:t>
      </w:r>
      <w:r>
        <w:rPr>
          <w:spacing w:val="-2"/>
        </w:rPr>
        <w:t>从与治理层沟通过的事项中，我们确定哪些事项对本期财务报表审计最为重要，因而构成关键审计事</w:t>
      </w:r>
    </w:p>
    <w:p>
      <w:pPr>
        <w:pStyle w:val="BodyText"/>
        <w:spacing w:line="408" w:lineRule="auto"/>
        <w:ind w:right="1126"/>
        <w:jc w:val="both"/>
      </w:pPr>
      <w:r>
        <w:rPr>
          <w:spacing w:val="-2"/>
        </w:rPr>
        <w:t>项。我们在审计报告中描述这些事项，除非法律法规禁止公开披露这些事项，或在极少数情形下，如果合</w:t>
      </w:r>
      <w:r>
        <w:rPr>
          <w:spacing w:val="-47"/>
        </w:rPr>
        <w:t> </w:t>
      </w:r>
      <w:r>
        <w:rPr>
          <w:spacing w:val="-47"/>
        </w:rPr>
      </w:r>
      <w:r>
        <w:rPr>
          <w:spacing w:val="-2"/>
        </w:rPr>
        <w:t>理预期在审计报告中沟通某事项造成的负面后果超过在公众利益方面产生的益处，我们确定不应在审计报</w:t>
      </w:r>
      <w:r>
        <w:rPr>
          <w:spacing w:val="-43"/>
        </w:rPr>
        <w:t> </w:t>
      </w:r>
      <w:r>
        <w:rPr>
          <w:spacing w:val="-43"/>
        </w:rPr>
      </w:r>
      <w:r>
        <w:rPr/>
        <w:t>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tabs>
          <w:tab w:pos="5950" w:val="left" w:leader="none"/>
        </w:tabs>
        <w:spacing w:line="240" w:lineRule="auto" w:before="0"/>
        <w:ind w:left="2051" w:right="1133"/>
        <w:jc w:val="left"/>
      </w:pPr>
      <w:r>
        <w:rPr>
          <w:spacing w:val="-1"/>
        </w:rPr>
        <w:t>中准会计师事务所（特殊普通合伙）</w:t>
        <w:tab/>
      </w:r>
      <w:r>
        <w:rPr>
          <w:spacing w:val="-2"/>
        </w:rPr>
        <w:t>中国注册会计师：刘昆</w:t>
      </w:r>
    </w:p>
    <w:p>
      <w:pPr>
        <w:spacing w:line="240" w:lineRule="auto" w:before="10"/>
        <w:rPr>
          <w:rFonts w:ascii="宋体" w:hAnsi="宋体" w:cs="宋体" w:eastAsia="宋体" w:hint="default"/>
          <w:sz w:val="14"/>
          <w:szCs w:val="14"/>
        </w:rPr>
      </w:pPr>
    </w:p>
    <w:p>
      <w:pPr>
        <w:pStyle w:val="BodyText"/>
        <w:spacing w:line="240" w:lineRule="auto" w:before="0"/>
        <w:ind w:left="6763" w:right="1133"/>
        <w:jc w:val="left"/>
      </w:pPr>
      <w:r>
        <w:rPr/>
        <w:t>（项目合伙人）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tabs>
          <w:tab w:pos="6036" w:val="left" w:leader="none"/>
        </w:tabs>
        <w:spacing w:line="240" w:lineRule="auto" w:before="0"/>
        <w:ind w:left="2976" w:right="1133"/>
        <w:jc w:val="left"/>
      </w:pPr>
      <w:r>
        <w:rPr>
          <w:spacing w:val="-1"/>
        </w:rPr>
        <w:t>中国</w:t>
      </w:r>
      <w:r>
        <w:rPr>
          <w:rFonts w:ascii="Times New Roman" w:hAnsi="Times New Roman" w:cs="Times New Roman" w:eastAsia="Times New Roman" w:hint="default"/>
          <w:spacing w:val="-1"/>
        </w:rPr>
        <w:t>•</w:t>
      </w:r>
      <w:r>
        <w:rPr>
          <w:spacing w:val="-1"/>
        </w:rPr>
        <w:t>北京</w:t>
        <w:tab/>
        <w:t>中国注册会计师：常明</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BodyText"/>
        <w:spacing w:line="240" w:lineRule="auto" w:before="0"/>
        <w:ind w:left="6223" w:right="1133"/>
        <w:jc w:val="left"/>
      </w:pPr>
      <w:r>
        <w:rPr/>
        <w:t>二</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年四月二十九日</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133"/>
        <w:jc w:val="left"/>
        <w:rPr>
          <w:b w:val="0"/>
          <w:bCs w:val="0"/>
        </w:rPr>
      </w:pPr>
      <w:bookmarkStart w:name="二、财务报表" w:id="160"/>
      <w:bookmarkEnd w:id="160"/>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财务附注中报表的单位为：元</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bookmarkStart w:name="1、合并资产负债表" w:id="161"/>
      <w:bookmarkEnd w:id="16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编制单位：吉林紫鑫药业股份有限公司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213" w:space="863"/>
            <w:col w:w="1642" w:space="3202"/>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18,035,011.31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130,109,720.93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5,773,316.67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1,151,930,904.25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920,635,308.80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1,832,877.98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134,311,918.93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371,537,833.32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50,893,586.03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65,136,748.95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6,756,006,670.53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6,109,089,020.03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35,788,512.96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47,143,422.03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8,148,799,481.99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7,649,425,370.73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24,651,428.57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1,440,620,668.86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1,068,322,527.11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334,959,802.48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649,225,509.18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3,849,443.81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4,491,017.78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404,526,801.00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417,837,361.64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4,622,039.46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4,622,039.46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6,697,812.62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6,697,812.62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63,891,300.84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226,281.25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18,731,841.97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15,067,931.45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207,288,810.33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55,283,206.64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2,509,839,949.94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2,269,773,687.13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10,658,639,431.93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9,919,199,057.86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3,583,818,342.17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2,897,000,000.00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331,594,325.38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323,282,367.20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33,792,215.53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135,975,034.15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17,890,651.10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8,113,856.03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18,437,349.28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9,142,761.31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198,673,981.34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211,571,005.83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83,367,713.27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430,770.41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392,925,777.98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519,217,177.81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4,577,132,642.78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4,304,302,202.33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1,373,453,391.21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1,030,950,643.77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14,917,144.83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450,201.10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832,465.10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260,130,559.84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257,326,293.51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421,667.33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455,400.33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1,634,655,819.48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1,304,481,947.54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6,211,788,462.26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5,608,784,149.87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1,280,759,826.00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1,280,759,826.00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1,533,835,753.68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1,533,835,753.68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7,859,421.46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7,793,455.49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93,279,947.67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82,090,518.80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1,528,290,130.99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1,403,054,707.93</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4,444,025,079.80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4,307,534,261.90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2,825,889.87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2,880,646.09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4,446,850,969.67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4,310,414,907.99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10,658,639,431.93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9,919,199,057.86</w:t>
            </w:r>
          </w:p>
        </w:tc>
      </w:tr>
    </w:tbl>
    <w:p>
      <w:pPr>
        <w:spacing w:line="240" w:lineRule="auto" w:before="11"/>
        <w:rPr>
          <w:rFonts w:ascii="Times New Roman" w:hAnsi="Times New Roman" w:cs="Times New Roman" w:eastAsia="Times New Roman" w:hint="default"/>
          <w:sz w:val="22"/>
          <w:szCs w:val="22"/>
        </w:rPr>
      </w:pPr>
    </w:p>
    <w:p>
      <w:pPr>
        <w:tabs>
          <w:tab w:pos="3425" w:val="left" w:leader="none"/>
          <w:tab w:pos="7568" w:val="left" w:leader="none"/>
        </w:tabs>
        <w:spacing w:before="44"/>
        <w:ind w:left="0" w:right="1223" w:firstLine="0"/>
        <w:jc w:val="right"/>
        <w:rPr>
          <w:rFonts w:ascii="宋体" w:hAnsi="宋体" w:cs="宋体" w:eastAsia="宋体" w:hint="default"/>
          <w:sz w:val="18"/>
          <w:szCs w:val="18"/>
        </w:rPr>
      </w:pPr>
      <w:r>
        <w:rPr>
          <w:rFonts w:ascii="宋体" w:hAnsi="宋体" w:cs="宋体" w:eastAsia="宋体" w:hint="default"/>
          <w:sz w:val="18"/>
          <w:szCs w:val="18"/>
        </w:rPr>
        <w:t>法定代表人：封有顺</w:t>
        <w:tab/>
      </w:r>
      <w:r>
        <w:rPr>
          <w:rFonts w:ascii="宋体" w:hAnsi="宋体" w:cs="宋体" w:eastAsia="宋体" w:hint="default"/>
          <w:spacing w:val="-1"/>
          <w:sz w:val="18"/>
          <w:szCs w:val="18"/>
        </w:rPr>
        <w:t>主管会计工作负责人：栾福梅</w:t>
        <w:tab/>
      </w:r>
      <w:r>
        <w:rPr>
          <w:rFonts w:ascii="宋体" w:hAnsi="宋体" w:cs="宋体" w:eastAsia="宋体" w:hint="default"/>
          <w:sz w:val="18"/>
          <w:szCs w:val="18"/>
        </w:rPr>
        <w:t>会计机构负责人：李长婷</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bookmarkStart w:name="2、母公司资产负债表" w:id="162"/>
      <w:bookmarkEnd w:id="16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4,543,982.42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105,757,743.72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5,679,966.67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468,502,087.05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330,678,363.18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1,434,992.55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82,161,849.80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231,214,699.12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4,420,119,050.02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4,063,554,463.96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20"/>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20"/>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733,955,973.65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475,404,975.24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4,941,489.60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5,710,717,935.49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5,217,231,701.49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1,490,239,519.14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1,486,315,069.14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24,651,428.57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530,007,774.71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102,393,696.26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134,360,684.91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508,384,918.83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97,625,183.82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101,869,410.14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843,689.32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843,689.32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51,804,494.00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5,654,603.55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4,066,114.06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136,753,341.68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1,166,865.48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2,471,940,719.70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2,253,039,763.23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8,182,658,655.19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7,470,271,464.72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2,940,818,387.34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2,271,000,000.00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156,563,782.92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116,744,978.27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9,342,218.83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3,869,432.78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7,531,756.48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5,622,545.51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1,004,016,864.36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813,081,442.28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233,232,728.44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4,185,273,009.93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3,743,551,127.28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397,750,191.21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233,444,043.77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450,201.10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832,465.10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84,651,491.87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89,629,194.73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483,051,884.18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324,105,703.60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4,668,324,894.11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4,067,656,830.88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1,280,759,826.00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1,280,759,826.00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1,535,327,451.39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1,535,327,451.39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92,118,196.96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80,928,768.09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606,128,286.73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505,598,588.36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3,514,333,761.08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3,402,614,633.84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8,182,658,655.19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7,470,271,464.72</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33"/>
        <w:jc w:val="left"/>
        <w:rPr>
          <w:b w:val="0"/>
          <w:bCs w:val="0"/>
        </w:rPr>
      </w:pPr>
      <w:bookmarkStart w:name="3、合并利润表" w:id="163"/>
      <w:bookmarkEnd w:id="16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859,289,244.11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1,324,961,112.13</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859,289,244.11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1,324,961,112.13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3"/>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874,730,744.75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1,140,876,167.38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201,924,360.53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465,867,141.20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3"/>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22,196,587.16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25,169,037.58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91,995,555.71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151,219,484.20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196,631,140.43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207,918,938.88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40,355,846.19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45,565,651.11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321,627,254.73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245,135,914.41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3"/>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318,830,006.19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244,773,399.80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3"/>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-87,982.57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-261,867.68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126,609,201.36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19,726,427.92</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8,820,000.00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9,434,140.32</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8,820,000.00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8,820,000.00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107.719986pt;width:158.9pt;height:20.65pt;mso-position-horizontal-relative:page;mso-position-vertical-relative:page;z-index:-1008568" coordorigin="4220,2154" coordsize="3178,413">
            <v:group style="position:absolute;left:4231;top:2165;width:2;height:392" coordorigin="4231,2165" coordsize="2,392">
              <v:shape style="position:absolute;left:4231;top:2165;width:2;height:392" coordorigin="4231,2165" coordsize="0,392" path="m4231,2165l4231,2556e" filled="false" stroked="true" strokeweight="1.08pt" strokecolor="#ffffff">
                <v:path arrowok="t"/>
              </v:shape>
            </v:group>
            <v:group style="position:absolute;left:4242;top:2165;width:3157;height:392" coordorigin="4242,2165" coordsize="3157,392">
              <v:shape style="position:absolute;left:4242;top:2165;width:3157;height:392" coordorigin="4242,2165" coordsize="3157,392" path="m4242,2556l7398,2556,7398,2165,4242,2165,4242,2556xe" filled="true" fillcolor="#ffffff" stroked="false">
                <v:path arrowok="t"/>
                <v:fill type="solid"/>
              </v:shape>
            </v:group>
            <w10:wrap type="none"/>
          </v:group>
        </w:pict>
      </w:r>
      <w:r>
        <w:rPr/>
        <w:pict>
          <v:group style="position:absolute;margin-left:211.009995pt;margin-top:366.589996pt;width:158.9pt;height:20.65pt;mso-position-horizontal-relative:page;mso-position-vertical-relative:page;z-index:-1008544" coordorigin="4220,7332" coordsize="3178,413">
            <v:group style="position:absolute;left:4231;top:7343;width:2;height:392" coordorigin="4231,7343" coordsize="2,392">
              <v:shape style="position:absolute;left:4231;top:7343;width:2;height:392" coordorigin="4231,7343" coordsize="0,392" path="m4231,7343l4231,7734e" filled="false" stroked="true" strokeweight="1.08pt" strokecolor="#ffffff">
                <v:path arrowok="t"/>
              </v:shape>
            </v:group>
            <v:group style="position:absolute;left:4242;top:7343;width:3157;height:392" coordorigin="4242,7343" coordsize="3157,392">
              <v:shape style="position:absolute;left:4242;top:7343;width:3157;height:392" coordorigin="4242,7343" coordsize="3157,392" path="m4242,7734l7398,7734,7398,7343,4242,7343,4242,773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1117"/>
        <w:gridCol w:w="2105"/>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5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2"/>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87" w:right="0"/>
              <w:jc w:val="left"/>
              <w:rPr>
                <w:rFonts w:ascii="Times New Roman" w:hAnsi="Times New Roman" w:cs="Times New Roman" w:eastAsia="Times New Roman" w:hint="default"/>
                <w:sz w:val="18"/>
                <w:szCs w:val="18"/>
              </w:rPr>
            </w:pPr>
            <w:r>
              <w:rPr>
                <w:rFonts w:ascii="Times New Roman"/>
                <w:sz w:val="18"/>
              </w:rPr>
              <w:t>-29,374,174.52</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2,988,473.75</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-554,044.53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-134,201.81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90,059,481.67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216,099,784.93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63,700.61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116,562.46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3,508,339.35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4,079,919.56</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17"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86,614,842.93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212,136,427.83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16,379,735.66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38,148,426.58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70,235,107.27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173,988,001.25</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70,235,107.27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173,988,001.25</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70,289,863.49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174,072,146.42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-54,756.22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-84,145.17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65,965.97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2,464,292.39</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65,965.97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2,464,292.39</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1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其他权益工具投资公允价</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36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65,965.97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2,464,292.39</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32,232.97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2,430,559.39</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33,733.00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33,733.00</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70,301,073.24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176,452,293.64</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70,355,829.46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176,536,438.81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-54,756.22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-84,145.17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0.14</w:t>
            </w:r>
          </w:p>
        </w:tc>
      </w:tr>
    </w:tbl>
    <w:p>
      <w:pPr>
        <w:tabs>
          <w:tab w:pos="3578" w:val="left" w:leader="none"/>
          <w:tab w:pos="7721" w:val="left" w:leader="none"/>
        </w:tabs>
        <w:spacing w:line="624" w:lineRule="auto" w:before="49"/>
        <w:ind w:left="152" w:right="1223"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法定代表人：封有顺</w:t>
        <w:tab/>
      </w:r>
      <w:r>
        <w:rPr>
          <w:rFonts w:ascii="宋体" w:hAnsi="宋体" w:cs="宋体" w:eastAsia="宋体" w:hint="default"/>
          <w:spacing w:val="-1"/>
          <w:sz w:val="18"/>
          <w:szCs w:val="18"/>
        </w:rPr>
        <w:t>主管会计工作负责人：栾福梅</w:t>
        <w:tab/>
      </w:r>
      <w:r>
        <w:rPr>
          <w:rFonts w:ascii="宋体" w:hAnsi="宋体" w:cs="宋体" w:eastAsia="宋体" w:hint="default"/>
          <w:sz w:val="18"/>
          <w:szCs w:val="18"/>
        </w:rPr>
        <w:t>会计机构负责人：李长婷</w:t>
      </w:r>
    </w:p>
    <w:p>
      <w:pPr>
        <w:pStyle w:val="Heading5"/>
        <w:spacing w:line="240" w:lineRule="auto" w:before="68"/>
        <w:ind w:right="1133"/>
        <w:jc w:val="left"/>
        <w:rPr>
          <w:b w:val="0"/>
          <w:bCs w:val="0"/>
        </w:rPr>
      </w:pPr>
      <w:bookmarkStart w:name="4、母公司利润表" w:id="164"/>
      <w:bookmarkEnd w:id="164"/>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291"/>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502,077,203.59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690,266,148.34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126,742,527.59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384,594,118.00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7,439,371.70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8,555,143.86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60,882,392.97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56,429,629.89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70,553,530.74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79,114,416.84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26,253,763.55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32,152,352.68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219,885,256.02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152,281,756.54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219,853,059.60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151,995,729.47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-48,268.57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153,184.04</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62,974,599.00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10,421,771.11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8,820,000.00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8,820,000.00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8,820,000.00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8,820,000.00</w:t>
            </w: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-10,414,768.53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17,041,826.50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-554,044.53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51,146,146.96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13,422,328.14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24,364.75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31,873.87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2,591,139.13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4,065,850.02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48,579,372.58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9,388,351.99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3,666,298.22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2,556,273.97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44,913,074.36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6,832,078.02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44,913,074.36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6,832,078.02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83" w:right="0"/>
              <w:jc w:val="left"/>
              <w:rPr>
                <w:rFonts w:ascii="宋体" w:hAnsi="宋体" w:cs="宋体" w:eastAsia="宋体" w:hint="default"/>
                <w:sz w:val="18"/>
                <w:szCs w:val="18"/>
              </w:rPr>
            </w:pPr>
            <w:r>
              <w:rPr>
                <w:rFonts w:ascii="宋体" w:hAnsi="宋体" w:cs="宋体" w:eastAsia="宋体" w:hint="default"/>
                <w:sz w:val="18"/>
                <w:szCs w:val="18"/>
              </w:rPr>
              <w:t>（二）终止经营净利润（净亏损</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44,913,074.36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6,832,078.02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0.01</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33"/>
        <w:jc w:val="left"/>
        <w:rPr>
          <w:b w:val="0"/>
          <w:bCs w:val="0"/>
        </w:rPr>
      </w:pPr>
      <w:bookmarkStart w:name="5、合并现金流量表" w:id="165"/>
      <w:bookmarkEnd w:id="16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641,438,841.47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1,222,801,204.92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3,119,105.73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170,459,980.63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187,784,241.16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815,017,927.83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1,410,585,446.08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727,592,127.47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1,626,029,442.48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111,638,409.68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136,098,717.91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102,934,073.82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205,306,774.98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196,133,213.21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210,582,629.15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1,138,297,824.18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2,178,017,564.52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-323,279,896.35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-767,432,118.44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58,970.00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7,500.00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-11,179.25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111,028,970.00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8,816,320.75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378,784,434.71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150,231,821.27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-379,023.42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378,784,434.71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151,652,797.85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-267,755,464.71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-142,836,477.10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4,062,245,000.00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4,050,398,888.89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4,062,245,000.00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4,051,798,888.89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3,223,213,747.78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3,564,489,894.44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266,621,845.88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226,323,453.39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93,852,529.18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84,864,141.76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3,583,688,122.84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3,875,677,489.59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478,556,877.16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176,121,399.30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403,774.28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2,493,295.47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-112,074,709.62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-731,653,900.77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130,109,720.93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861,763,621.70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18,035,011.31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130,109,720.93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5"/>
        <w:spacing w:line="240" w:lineRule="auto" w:before="36"/>
        <w:ind w:right="1133"/>
        <w:jc w:val="left"/>
        <w:rPr>
          <w:b w:val="0"/>
          <w:bCs w:val="0"/>
        </w:rPr>
      </w:pPr>
      <w:bookmarkStart w:name="6、母公司现金流量表" w:id="166"/>
      <w:bookmarkEnd w:id="16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383,123,692.45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632,038,835.15</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278,300,432.54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441,429,605.68</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661,424,124.99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1,073,468,440.83</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558,229,615.04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298,780,388.38</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46,941,878.47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59,776,529.95</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65,292,108.00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87,649,393.68</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239,775,636.64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967,051,301.83</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910,239,238.15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1,413,257,613.84</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-248,815,113.16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-339,789,173.01</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110,970,000.00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8,820,000.00</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58,970.00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111,028,970.00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8,820,000.00</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306,932,483.51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59,797,291.76</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3,924,450.00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66,361,500.00</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310,856,933.51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126,158,791.76</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-199,827,963.51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-117,338,791.76</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2,806,445,000.00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2,857,000,000.00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2,806,445,000.00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2,857,000,000.00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2,267,016,387.61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2,840,989,894.44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170,951,776.73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149,671,099.27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21,047,520.29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23,991,296.88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2,459,015,684.63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3,014,652,290.59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347,429,315.37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-157,652,290.59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-101,213,761.30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-614,780,255.36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105,757,743.72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720,537,999.08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4,543,982.42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105,757,743.72</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7、合并所有者权益变动表" w:id="167"/>
      <w:bookmarkEnd w:id="16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41"/>
        <w:gridCol w:w="494"/>
        <w:gridCol w:w="466"/>
        <w:gridCol w:w="466"/>
        <w:gridCol w:w="468"/>
        <w:gridCol w:w="583"/>
        <w:gridCol w:w="586"/>
        <w:gridCol w:w="583"/>
        <w:gridCol w:w="584"/>
        <w:gridCol w:w="583"/>
        <w:gridCol w:w="583"/>
        <w:gridCol w:w="586"/>
        <w:gridCol w:w="584"/>
        <w:gridCol w:w="583"/>
        <w:gridCol w:w="586"/>
        <w:gridCol w:w="578"/>
      </w:tblGrid>
      <w:tr>
        <w:trPr>
          <w:trHeight w:val="401" w:hRule="exact"/>
        </w:trPr>
        <w:tc>
          <w:tcPr>
            <w:tcW w:w="1241" w:type="dxa"/>
            <w:vMerge w:val="restart"/>
            <w:tcBorders>
              <w:top w:val="single" w:sz="4" w:space="0" w:color="000000"/>
              <w:left w:val="single" w:sz="4" w:space="0" w:color="000000"/>
              <w:right w:val="single" w:sz="4" w:space="0" w:color="000000"/>
            </w:tcBorders>
            <w:shd w:val="clear" w:color="auto" w:fill="D2D2D2"/>
          </w:tcPr>
          <w:p>
            <w:pP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9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2" w:hRule="exact"/>
        </w:trPr>
        <w:tc>
          <w:tcPr>
            <w:tcW w:w="1241" w:type="dxa"/>
            <w:vMerge/>
            <w:tcBorders>
              <w:left w:val="single" w:sz="4" w:space="0" w:color="000000"/>
              <w:bottom w:val="single" w:sz="4" w:space="0" w:color="FFFFFF"/>
              <w:right w:val="single" w:sz="4" w:space="0" w:color="000000"/>
            </w:tcBorders>
            <w:shd w:val="clear" w:color="auto" w:fill="D2D2D2"/>
          </w:tcPr>
          <w:p>
            <w:pPr/>
          </w:p>
        </w:tc>
        <w:tc>
          <w:tcPr>
            <w:tcW w:w="7149" w:type="dxa"/>
            <w:gridSpan w:val="13"/>
            <w:vMerge/>
            <w:tcBorders>
              <w:left w:val="single" w:sz="4" w:space="0" w:color="000000"/>
              <w:bottom w:val="single" w:sz="4" w:space="0" w:color="FFFFFF"/>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right w:val="single" w:sz="4" w:space="0" w:color="000000"/>
            </w:tcBorders>
            <w:shd w:val="clear" w:color="auto" w:fill="D2D2D2"/>
          </w:tcPr>
          <w:p>
            <w:pPr/>
          </w:p>
        </w:tc>
      </w:tr>
      <w:tr>
        <w:trPr>
          <w:trHeight w:val="204" w:hRule="exact"/>
        </w:trPr>
        <w:tc>
          <w:tcPr>
            <w:tcW w:w="124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94" w:type="dxa"/>
            <w:vMerge w:val="restart"/>
            <w:tcBorders>
              <w:top w:val="single" w:sz="4" w:space="0" w:color="FFFFFF"/>
              <w:left w:val="single" w:sz="4" w:space="0" w:color="000000"/>
              <w:right w:val="single" w:sz="4" w:space="0" w:color="000000"/>
            </w:tcBorders>
            <w:shd w:val="clear" w:color="auto" w:fill="D2D2D2"/>
          </w:tcPr>
          <w:p>
            <w:pPr/>
          </w:p>
        </w:tc>
        <w:tc>
          <w:tcPr>
            <w:tcW w:w="1400"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6"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FFFFFF"/>
              <w:left w:val="single" w:sz="4" w:space="0" w:color="000000"/>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65"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3" w:hRule="exact"/>
        </w:trPr>
        <w:tc>
          <w:tcPr>
            <w:tcW w:w="1241" w:type="dxa"/>
            <w:vMerge w:val="restart"/>
            <w:tcBorders>
              <w:top w:val="nil" w:sz="6" w:space="0" w:color="auto"/>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33" w:hRule="exact"/>
        </w:trPr>
        <w:tc>
          <w:tcPr>
            <w:tcW w:w="1241"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2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r>
      <w:tr>
        <w:trPr>
          <w:trHeight w:val="96" w:hRule="exact"/>
        </w:trPr>
        <w:tc>
          <w:tcPr>
            <w:tcW w:w="1241"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1,280</w:t>
            </w:r>
          </w:p>
          <w:p>
            <w:pPr>
              <w:pStyle w:val="TableParagraph"/>
              <w:spacing w:line="240" w:lineRule="auto" w:before="102"/>
              <w:ind w:left="94" w:right="0"/>
              <w:jc w:val="left"/>
              <w:rPr>
                <w:rFonts w:ascii="Times New Roman" w:hAnsi="Times New Roman" w:cs="Times New Roman" w:eastAsia="Times New Roman" w:hint="default"/>
                <w:sz w:val="18"/>
                <w:szCs w:val="18"/>
              </w:rPr>
            </w:pPr>
            <w:r>
              <w:rPr>
                <w:rFonts w:ascii="Times New Roman"/>
                <w:sz w:val="18"/>
              </w:rPr>
              <w:t>,759,</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826.0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1,533,</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835,75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3.68</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18"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100" w:right="0"/>
              <w:jc w:val="left"/>
              <w:rPr>
                <w:rFonts w:ascii="Times New Roman" w:hAnsi="Times New Roman" w:cs="Times New Roman" w:eastAsia="Times New Roman" w:hint="default"/>
                <w:sz w:val="18"/>
                <w:szCs w:val="18"/>
              </w:rPr>
            </w:pPr>
            <w:r>
              <w:rPr>
                <w:rFonts w:ascii="Times New Roman"/>
                <w:sz w:val="18"/>
              </w:rPr>
              <w:t>7,793,</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455.49</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82,090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,518.8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83" w:type="dxa"/>
            <w:vMerge w:val="restart"/>
            <w:tcBorders>
              <w:top w:val="single" w:sz="18" w:space="0" w:color="D2D2D2"/>
              <w:left w:val="single" w:sz="4" w:space="0" w:color="000000"/>
              <w:right w:val="single" w:sz="4" w:space="0" w:color="000000"/>
            </w:tcBorders>
          </w:tcPr>
          <w:p>
            <w:pPr/>
          </w:p>
        </w:tc>
        <w:tc>
          <w:tcPr>
            <w:tcW w:w="586" w:type="dxa"/>
            <w:vMerge w:val="restart"/>
            <w:tcBorders>
              <w:top w:val="single" w:sz="18" w:space="0" w:color="D2D2D2"/>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1,403,</w:t>
            </w:r>
          </w:p>
          <w:p>
            <w:pPr>
              <w:pStyle w:val="TableParagraph"/>
              <w:spacing w:line="240" w:lineRule="auto" w:before="102"/>
              <w:ind w:left="39" w:right="0"/>
              <w:jc w:val="center"/>
              <w:rPr>
                <w:rFonts w:ascii="Times New Roman" w:hAnsi="Times New Roman" w:cs="Times New Roman" w:eastAsia="Times New Roman" w:hint="default"/>
                <w:sz w:val="18"/>
                <w:szCs w:val="18"/>
              </w:rPr>
            </w:pPr>
            <w:r>
              <w:rPr>
                <w:rFonts w:ascii="Times New Roman"/>
                <w:sz w:val="18"/>
              </w:rPr>
              <w:t>054,70</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7.93</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4,307,</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534,26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1.90</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2,880,</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646.09</w:t>
            </w:r>
          </w:p>
        </w:tc>
        <w:tc>
          <w:tcPr>
            <w:tcW w:w="578" w:type="dxa"/>
            <w:vMerge w:val="restart"/>
            <w:tcBorders>
              <w:top w:val="single" w:sz="36" w:space="0" w:color="D2D2D2"/>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4,310,</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414,90</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7.99</w:t>
            </w:r>
          </w:p>
        </w:tc>
      </w:tr>
      <w:tr>
        <w:trPr>
          <w:trHeight w:val="703"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317"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-846,2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25.84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-846,2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25.84</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-846,2</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25.84</w:t>
            </w:r>
          </w:p>
        </w:tc>
      </w:tr>
      <w:tr>
        <w:trPr>
          <w:trHeight w:val="71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112"/>
              <w:ind w:left="49" w:right="0"/>
              <w:jc w:val="left"/>
              <w:rPr>
                <w:rFonts w:ascii="Times New Roman" w:hAnsi="Times New Roman" w:cs="Times New Roman" w:eastAsia="Times New Roman" w:hint="default"/>
                <w:sz w:val="18"/>
                <w:szCs w:val="18"/>
              </w:rPr>
            </w:pPr>
            <w:r>
              <w:rPr>
                <w:rFonts w:ascii="Times New Roman"/>
                <w:sz w:val="18"/>
              </w:rPr>
              <w:t>1,280</w:t>
            </w:r>
          </w:p>
          <w:p>
            <w:pPr>
              <w:pStyle w:val="TableParagraph"/>
              <w:spacing w:line="240" w:lineRule="auto" w:before="102"/>
              <w:ind w:left="94" w:right="0"/>
              <w:jc w:val="left"/>
              <w:rPr>
                <w:rFonts w:ascii="Times New Roman" w:hAnsi="Times New Roman" w:cs="Times New Roman" w:eastAsia="Times New Roman" w:hint="default"/>
                <w:sz w:val="18"/>
                <w:szCs w:val="18"/>
              </w:rPr>
            </w:pPr>
            <w:r>
              <w:rPr>
                <w:rFonts w:ascii="Times New Roman"/>
                <w:sz w:val="18"/>
              </w:rPr>
              <w:t>,759,</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826.0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1,533,</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835,75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3.68</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7,793,</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455.49</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82,090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1,402,</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208,48</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2.09</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4,306,</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688,03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6.06</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2,880,</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646.09</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4,309,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568,68</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2.15</w:t>
            </w:r>
          </w:p>
        </w:tc>
      </w:tr>
      <w:tr>
        <w:trPr>
          <w:trHeight w:val="703"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3"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36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65,965</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126,08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1,648.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137,33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7,043.</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-54,75</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6.22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137,28</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2,287.</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52</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67,047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70,289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137,33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7,043.</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-54,75</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6.22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137,28</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2,287.</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52</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4,491,</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307.44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-4,491,</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307.44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4,491,</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307.44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-4,491,</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307.44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0"/>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-66,98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1,214.</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28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6,698,</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121.43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60,283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67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137"/>
              <w:jc w:val="left"/>
              <w:rPr>
                <w:rFonts w:ascii="宋体" w:hAnsi="宋体" w:cs="宋体" w:eastAsia="宋体" w:hint="default"/>
                <w:sz w:val="18"/>
                <w:szCs w:val="18"/>
              </w:rPr>
            </w:pPr>
            <w:r>
              <w:rPr>
                <w:rFonts w:ascii="宋体" w:hAnsi="宋体" w:cs="宋体" w:eastAsia="宋体" w:hint="default"/>
                <w:sz w:val="18"/>
                <w:szCs w:val="18"/>
              </w:rPr>
              <w:t>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-66,98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1,214.</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28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6,698,</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121.43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60,283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1,280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,759,</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826.0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1,533,</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835,75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3.68</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7,859,</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421.46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93,279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1,528,</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290,13</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0.99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4,444,</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025,07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9.80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2,825,</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889.87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4,446,</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850,96</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9.67</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90"/>
        <w:gridCol w:w="500"/>
        <w:gridCol w:w="449"/>
        <w:gridCol w:w="449"/>
        <w:gridCol w:w="493"/>
        <w:gridCol w:w="576"/>
        <w:gridCol w:w="576"/>
        <w:gridCol w:w="578"/>
        <w:gridCol w:w="576"/>
        <w:gridCol w:w="576"/>
        <w:gridCol w:w="578"/>
        <w:gridCol w:w="588"/>
        <w:gridCol w:w="567"/>
        <w:gridCol w:w="569"/>
        <w:gridCol w:w="641"/>
        <w:gridCol w:w="653"/>
      </w:tblGrid>
      <w:tr>
        <w:trPr>
          <w:trHeight w:val="402" w:hRule="exact"/>
        </w:trPr>
        <w:tc>
          <w:tcPr>
            <w:tcW w:w="1190" w:type="dxa"/>
            <w:vMerge w:val="restart"/>
            <w:tcBorders>
              <w:top w:val="single" w:sz="4" w:space="0" w:color="000000"/>
              <w:left w:val="single" w:sz="4" w:space="0" w:color="000000"/>
              <w:right w:val="single" w:sz="4" w:space="0" w:color="000000"/>
            </w:tcBorders>
            <w:shd w:val="clear" w:color="auto" w:fill="D2D2D2"/>
          </w:tcPr>
          <w:p>
            <w:pPr/>
          </w:p>
        </w:tc>
        <w:tc>
          <w:tcPr>
            <w:tcW w:w="83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252" w:hRule="exact"/>
        </w:trPr>
        <w:tc>
          <w:tcPr>
            <w:tcW w:w="1190" w:type="dxa"/>
            <w:vMerge/>
            <w:tcBorders>
              <w:left w:val="single" w:sz="4" w:space="0" w:color="000000"/>
              <w:right w:val="single" w:sz="4" w:space="0" w:color="000000"/>
            </w:tcBorders>
            <w:shd w:val="clear" w:color="auto" w:fill="D2D2D2"/>
          </w:tcPr>
          <w:p>
            <w:pPr/>
          </w:p>
        </w:tc>
        <w:tc>
          <w:tcPr>
            <w:tcW w:w="7076"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9" w:hRule="exact"/>
        </w:trPr>
        <w:tc>
          <w:tcPr>
            <w:tcW w:w="1190" w:type="dxa"/>
            <w:vMerge/>
            <w:tcBorders>
              <w:left w:val="single" w:sz="4" w:space="0" w:color="000000"/>
              <w:bottom w:val="nil" w:sz="6" w:space="0" w:color="auto"/>
              <w:right w:val="single" w:sz="4" w:space="0" w:color="000000"/>
            </w:tcBorders>
            <w:shd w:val="clear" w:color="auto" w:fill="D2D2D2"/>
          </w:tcPr>
          <w:p>
            <w:pPr/>
          </w:p>
        </w:tc>
        <w:tc>
          <w:tcPr>
            <w:tcW w:w="7076" w:type="dxa"/>
            <w:gridSpan w:val="13"/>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1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0" w:type="dxa"/>
            <w:vMerge w:val="restart"/>
            <w:tcBorders>
              <w:top w:val="single" w:sz="4" w:space="0" w:color="000000"/>
              <w:left w:val="single" w:sz="4" w:space="0" w:color="000000"/>
              <w:right w:val="single" w:sz="4" w:space="0" w:color="000000"/>
            </w:tcBorders>
            <w:shd w:val="clear" w:color="auto" w:fill="D2D2D2"/>
          </w:tcPr>
          <w:p>
            <w:pPr/>
          </w:p>
        </w:tc>
        <w:tc>
          <w:tcPr>
            <w:tcW w:w="13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000000"/>
              <w:left w:val="single" w:sz="4" w:space="0" w:color="000000"/>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6"/>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tcBorders>
              <w:left w:val="single" w:sz="4" w:space="0" w:color="000000"/>
              <w:right w:val="single" w:sz="4" w:space="0" w:color="000000"/>
            </w:tcBorders>
            <w:shd w:val="clear" w:color="auto" w:fill="D2D2D2"/>
          </w:tcPr>
          <w:p>
            <w:pPr/>
          </w:p>
        </w:tc>
      </w:tr>
      <w:tr>
        <w:trPr>
          <w:trHeight w:val="165" w:hRule="exact"/>
        </w:trPr>
        <w:tc>
          <w:tcPr>
            <w:tcW w:w="1190" w:type="dxa"/>
            <w:vMerge/>
            <w:tcBorders>
              <w:left w:val="single" w:sz="4" w:space="0" w:color="000000"/>
              <w:bottom w:val="nil" w:sz="6" w:space="0" w:color="auto"/>
              <w:right w:val="single" w:sz="4" w:space="0" w:color="000000"/>
            </w:tcBorders>
            <w:shd w:val="clear" w:color="auto" w:fill="D2D2D2"/>
          </w:tcPr>
          <w:p>
            <w:pPr/>
          </w:p>
        </w:tc>
        <w:tc>
          <w:tcPr>
            <w:tcW w:w="500" w:type="dxa"/>
            <w:vMerge/>
            <w:tcBorders>
              <w:left w:val="single" w:sz="4" w:space="0" w:color="000000"/>
              <w:bottom w:val="nil" w:sz="6" w:space="0" w:color="auto"/>
              <w:right w:val="single" w:sz="4" w:space="0" w:color="000000"/>
            </w:tcBorders>
            <w:shd w:val="clear" w:color="auto" w:fill="D2D2D2"/>
          </w:tcPr>
          <w:p>
            <w:pPr/>
          </w:p>
        </w:tc>
        <w:tc>
          <w:tcPr>
            <w:tcW w:w="1390" w:type="dxa"/>
            <w:gridSpan w:val="3"/>
            <w:vMerge/>
            <w:tcBorders>
              <w:left w:val="single" w:sz="4" w:space="0" w:color="000000"/>
              <w:bottom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3" w:hRule="exact"/>
        </w:trPr>
        <w:tc>
          <w:tcPr>
            <w:tcW w:w="1190" w:type="dxa"/>
            <w:vMerge w:val="restart"/>
            <w:tcBorders>
              <w:top w:val="nil" w:sz="6" w:space="0" w:color="auto"/>
              <w:left w:val="single" w:sz="4" w:space="0" w:color="000000"/>
              <w:right w:val="single" w:sz="4" w:space="0" w:color="000000"/>
            </w:tcBorders>
            <w:shd w:val="clear" w:color="auto" w:fill="D2D2D2"/>
          </w:tcPr>
          <w:p>
            <w:pPr/>
          </w:p>
        </w:tc>
        <w:tc>
          <w:tcPr>
            <w:tcW w:w="5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7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0"/>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0"/>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2" w:hRule="exact"/>
        </w:trPr>
        <w:tc>
          <w:tcPr>
            <w:tcW w:w="1190" w:type="dxa"/>
            <w:vMerge/>
            <w:tcBorders>
              <w:left w:val="single" w:sz="4" w:space="0" w:color="000000"/>
              <w:right w:val="single" w:sz="4" w:space="0" w:color="000000"/>
            </w:tcBorders>
            <w:shd w:val="clear" w:color="auto" w:fill="D2D2D2"/>
          </w:tcPr>
          <w:p>
            <w:pPr/>
          </w:p>
        </w:tc>
        <w:tc>
          <w:tcPr>
            <w:tcW w:w="500" w:type="dxa"/>
            <w:vMerge/>
            <w:tcBorders>
              <w:left w:val="single" w:sz="4" w:space="0" w:color="000000"/>
              <w:bottom w:val="nil" w:sz="6" w:space="0" w:color="auto"/>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34" w:hRule="exact"/>
        </w:trPr>
        <w:tc>
          <w:tcPr>
            <w:tcW w:w="1190" w:type="dxa"/>
            <w:vMerge/>
            <w:tcBorders>
              <w:left w:val="single" w:sz="4" w:space="0" w:color="000000"/>
              <w:right w:val="single" w:sz="4" w:space="0" w:color="000000"/>
            </w:tcBorders>
            <w:shd w:val="clear" w:color="auto" w:fill="D2D2D2"/>
          </w:tcPr>
          <w:p>
            <w:pPr/>
          </w:p>
        </w:tc>
        <w:tc>
          <w:tcPr>
            <w:tcW w:w="500" w:type="dxa"/>
            <w:vMerge w:val="restart"/>
            <w:tcBorders>
              <w:top w:val="nil" w:sz="6" w:space="0" w:color="auto"/>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r>
      <w:tr>
        <w:trPr>
          <w:trHeight w:val="215" w:hRule="exact"/>
        </w:trPr>
        <w:tc>
          <w:tcPr>
            <w:tcW w:w="1190" w:type="dxa"/>
            <w:vMerge/>
            <w:tcBorders>
              <w:left w:val="single" w:sz="4" w:space="0" w:color="000000"/>
              <w:bottom w:val="single" w:sz="4" w:space="0" w:color="000000"/>
              <w:right w:val="single" w:sz="4" w:space="0" w:color="000000"/>
            </w:tcBorders>
            <w:shd w:val="clear" w:color="auto" w:fill="D2D2D2"/>
          </w:tcPr>
          <w:p>
            <w:pPr/>
          </w:p>
        </w:tc>
        <w:tc>
          <w:tcPr>
            <w:tcW w:w="500"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9"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0" w:type="dxa"/>
            <w:vMerge w:val="restart"/>
            <w:tcBorders>
              <w:top w:val="single" w:sz="4" w:space="0" w:color="000000"/>
              <w:left w:val="single" w:sz="9" w:space="0" w:color="D2D2D2"/>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1,280</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,759,</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826.0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1,533,</w:t>
            </w:r>
          </w:p>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658,81</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0.16</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17"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93" w:right="0"/>
              <w:jc w:val="left"/>
              <w:rPr>
                <w:rFonts w:ascii="Times New Roman" w:hAnsi="Times New Roman" w:cs="Times New Roman" w:eastAsia="Times New Roman" w:hint="default"/>
                <w:sz w:val="18"/>
                <w:szCs w:val="18"/>
              </w:rPr>
            </w:pPr>
            <w:r>
              <w:rPr>
                <w:rFonts w:ascii="Times New Roman"/>
                <w:sz w:val="18"/>
              </w:rPr>
              <w:t>5,329,</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163.10</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81,407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2"/>
                <w:sz w:val="18"/>
              </w:rPr>
              <w:t>,311.0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vMerge w:val="restart"/>
            <w:tcBorders>
              <w:top w:val="single" w:sz="17" w:space="0" w:color="D2D2D2"/>
              <w:left w:val="single" w:sz="4" w:space="0" w:color="000000"/>
              <w:right w:val="single" w:sz="4" w:space="0" w:color="000000"/>
            </w:tcBorders>
          </w:tcPr>
          <w:p>
            <w:pPr/>
          </w:p>
        </w:tc>
        <w:tc>
          <w:tcPr>
            <w:tcW w:w="588" w:type="dxa"/>
            <w:vMerge w:val="restart"/>
            <w:tcBorders>
              <w:top w:val="single" w:sz="17" w:space="0" w:color="D2D2D2"/>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1,229,</w:t>
            </w:r>
          </w:p>
          <w:p>
            <w:pPr>
              <w:pStyle w:val="TableParagraph"/>
              <w:spacing w:line="240" w:lineRule="auto" w:before="102"/>
              <w:ind w:left="41" w:right="0"/>
              <w:jc w:val="center"/>
              <w:rPr>
                <w:rFonts w:ascii="Times New Roman" w:hAnsi="Times New Roman" w:cs="Times New Roman" w:eastAsia="Times New Roman" w:hint="default"/>
                <w:sz w:val="18"/>
                <w:szCs w:val="18"/>
              </w:rPr>
            </w:pPr>
            <w:r>
              <w:rPr>
                <w:rFonts w:ascii="Times New Roman"/>
                <w:sz w:val="18"/>
              </w:rPr>
              <w:t>665,76</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9.31</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4,130,</w:t>
            </w:r>
          </w:p>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820,87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9.57</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1,478,8</w:t>
            </w:r>
          </w:p>
          <w:p>
            <w:pPr>
              <w:pStyle w:val="TableParagraph"/>
              <w:spacing w:line="240" w:lineRule="auto" w:before="102"/>
              <w:ind w:left="188" w:right="0"/>
              <w:jc w:val="center"/>
              <w:rPr>
                <w:rFonts w:ascii="Times New Roman" w:hAnsi="Times New Roman" w:cs="Times New Roman" w:eastAsia="Times New Roman" w:hint="default"/>
                <w:sz w:val="18"/>
                <w:szCs w:val="18"/>
              </w:rPr>
            </w:pPr>
            <w:r>
              <w:rPr>
                <w:rFonts w:ascii="Times New Roman"/>
                <w:sz w:val="18"/>
              </w:rPr>
              <w:t>44.23</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4,132,2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99,723.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r>
      <w:tr>
        <w:trPr>
          <w:trHeight w:val="703"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87"/>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50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17"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3"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5"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85"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0" w:type="dxa"/>
            <w:vMerge w:val="restart"/>
            <w:tcBorders>
              <w:top w:val="single" w:sz="4" w:space="0" w:color="000000"/>
              <w:left w:val="single" w:sz="9" w:space="0" w:color="D2D2D2"/>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1,280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,759,</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826.0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1,533,</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658,81</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0.16</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5,329,</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163.10</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81,407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
                <w:sz w:val="18"/>
              </w:rPr>
              <w:t>,311.0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1,229,</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665,76</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9.31</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4,130,</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820,87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9.57</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1,478,8</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44.23</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4,132,2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99,723.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r>
      <w:tr>
        <w:trPr>
          <w:trHeight w:val="703"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87"/>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50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17"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674"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7"/>
              <w:jc w:val="left"/>
              <w:rPr>
                <w:rFonts w:ascii="宋体" w:hAnsi="宋体" w:cs="宋体" w:eastAsia="宋体" w:hint="default"/>
                <w:sz w:val="18"/>
                <w:szCs w:val="18"/>
              </w:rPr>
            </w:pPr>
            <w:r>
              <w:rPr>
                <w:rFonts w:ascii="宋体" w:hAnsi="宋体" w:cs="宋体" w:eastAsia="宋体" w:hint="default"/>
                <w:sz w:val="18"/>
                <w:szCs w:val="18"/>
              </w:rPr>
              <w:t>三、本期增减 变动金额（减</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176,94</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2,464,</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683,20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173,38</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8,938.</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176,71</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3,382.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1,401,8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178,115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67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117"/>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0" w:right="0"/>
              <w:jc w:val="left"/>
              <w:rPr>
                <w:rFonts w:ascii="Times New Roman" w:hAnsi="Times New Roman" w:cs="Times New Roman" w:eastAsia="Times New Roman" w:hint="default"/>
                <w:sz w:val="18"/>
                <w:szCs w:val="18"/>
              </w:rPr>
            </w:pPr>
            <w:r>
              <w:rPr>
                <w:rFonts w:ascii="Times New Roman"/>
                <w:sz w:val="18"/>
              </w:rPr>
              <w:t>3.52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0" w:right="0"/>
              <w:jc w:val="left"/>
              <w:rPr>
                <w:rFonts w:ascii="Times New Roman" w:hAnsi="Times New Roman" w:cs="Times New Roman" w:eastAsia="Times New Roman" w:hint="default"/>
                <w:sz w:val="18"/>
                <w:szCs w:val="18"/>
              </w:rPr>
            </w:pPr>
            <w:r>
              <w:rPr>
                <w:rFonts w:ascii="Times New Roman"/>
                <w:sz w:val="18"/>
              </w:rPr>
              <w:t>292.39</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0" w:right="0"/>
              <w:jc w:val="left"/>
              <w:rPr>
                <w:rFonts w:ascii="Times New Roman" w:hAnsi="Times New Roman" w:cs="Times New Roman" w:eastAsia="Times New Roman" w:hint="default"/>
                <w:sz w:val="18"/>
                <w:szCs w:val="18"/>
              </w:rPr>
            </w:pPr>
            <w:r>
              <w:rPr>
                <w:rFonts w:ascii="Times New Roman"/>
                <w:sz w:val="18"/>
              </w:rPr>
              <w:t>7.80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6" w:right="0"/>
              <w:jc w:val="left"/>
              <w:rPr>
                <w:rFonts w:ascii="Times New Roman" w:hAnsi="Times New Roman" w:cs="Times New Roman" w:eastAsia="Times New Roman" w:hint="default"/>
                <w:sz w:val="18"/>
                <w:szCs w:val="18"/>
              </w:rPr>
            </w:pPr>
            <w:r>
              <w:rPr>
                <w:rFonts w:ascii="Times New Roman"/>
                <w:sz w:val="18"/>
              </w:rPr>
              <w:t>62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5" w:right="0"/>
              <w:jc w:val="left"/>
              <w:rPr>
                <w:rFonts w:ascii="Times New Roman" w:hAnsi="Times New Roman" w:cs="Times New Roman" w:eastAsia="Times New Roman" w:hint="default"/>
                <w:sz w:val="18"/>
                <w:szCs w:val="18"/>
              </w:rPr>
            </w:pPr>
            <w:r>
              <w:rPr>
                <w:rFonts w:ascii="Times New Roman"/>
                <w:sz w:val="18"/>
              </w:rPr>
              <w:t>33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6" w:right="0"/>
              <w:jc w:val="left"/>
              <w:rPr>
                <w:rFonts w:ascii="Times New Roman" w:hAnsi="Times New Roman" w:cs="Times New Roman" w:eastAsia="Times New Roman" w:hint="default"/>
                <w:sz w:val="18"/>
                <w:szCs w:val="18"/>
              </w:rPr>
            </w:pPr>
            <w:r>
              <w:rPr>
                <w:rFonts w:ascii="Times New Roman"/>
                <w:sz w:val="18"/>
              </w:rPr>
              <w:t>01.86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1" w:right="0"/>
              <w:jc w:val="left"/>
              <w:rPr>
                <w:rFonts w:ascii="Times New Roman" w:hAnsi="Times New Roman" w:cs="Times New Roman" w:eastAsia="Times New Roman" w:hint="default"/>
                <w:sz w:val="18"/>
                <w:szCs w:val="18"/>
              </w:rPr>
            </w:pPr>
            <w:r>
              <w:rPr>
                <w:rFonts w:ascii="Times New Roman"/>
                <w:sz w:val="18"/>
              </w:rPr>
              <w:t>,184.19</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2,464,</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292.39</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174,07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2,146.</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176,53</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6,438.</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81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-84,145</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.17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176,452</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,293.64</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176,94</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3.52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176,94</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3.52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-176,94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3.52</w:t>
            </w: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176,94</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3.52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176,94</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3.52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-176,94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3.52</w:t>
            </w: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683,20</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7.80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-683,2</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07.80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683,20</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7.80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-683,2</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07.80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1,662,8</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90.55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1,662,8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90.55</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36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1,662,8</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90.55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1,662,8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90.55</w:t>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1,280</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,759,</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826.0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1,533,</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835,75</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3.68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7,793,</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455.49</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82,090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1,403,</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054,70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7.93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4,307,</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534,26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1.90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2,880,6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46.09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4,310,4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14,907.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99</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33"/>
        <w:jc w:val="left"/>
        <w:rPr>
          <w:b w:val="0"/>
          <w:bCs w:val="0"/>
        </w:rPr>
      </w:pPr>
      <w:bookmarkStart w:name="8、母公司所有者权益变动表" w:id="168"/>
      <w:bookmarkEnd w:id="16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83"/>
        <w:gridCol w:w="640"/>
        <w:gridCol w:w="605"/>
        <w:gridCol w:w="603"/>
        <w:gridCol w:w="605"/>
        <w:gridCol w:w="727"/>
        <w:gridCol w:w="728"/>
        <w:gridCol w:w="725"/>
        <w:gridCol w:w="727"/>
        <w:gridCol w:w="727"/>
        <w:gridCol w:w="615"/>
        <w:gridCol w:w="710"/>
        <w:gridCol w:w="862"/>
      </w:tblGrid>
      <w:tr>
        <w:trPr>
          <w:trHeight w:val="402"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07" w:hRule="exact"/>
        </w:trPr>
        <w:tc>
          <w:tcPr>
            <w:tcW w:w="12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5"/>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5"/>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5"/>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5"/>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5"/>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5"/>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5"/>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283" w:type="dxa"/>
            <w:vMerge/>
            <w:tcBorders>
              <w:left w:val="single" w:sz="4" w:space="0" w:color="000000"/>
              <w:bottom w:val="nil" w:sz="6" w:space="0" w:color="auto"/>
              <w:right w:val="single" w:sz="4" w:space="0" w:color="000000"/>
            </w:tcBorders>
            <w:shd w:val="clear" w:color="auto" w:fill="D2D2D2"/>
          </w:tcPr>
          <w:p>
            <w:pPr/>
          </w:p>
        </w:tc>
        <w:tc>
          <w:tcPr>
            <w:tcW w:w="6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tcBorders>
              <w:left w:val="single" w:sz="4" w:space="0" w:color="000000"/>
              <w:right w:val="single" w:sz="4" w:space="0" w:color="000000"/>
            </w:tcBorders>
            <w:shd w:val="clear" w:color="auto" w:fill="D2D2D2"/>
          </w:tcPr>
          <w:p>
            <w:pPr/>
          </w:p>
        </w:tc>
      </w:tr>
      <w:tr>
        <w:trPr>
          <w:trHeight w:val="199" w:hRule="exact"/>
        </w:trPr>
        <w:tc>
          <w:tcPr>
            <w:tcW w:w="1283" w:type="dxa"/>
            <w:vMerge w:val="restart"/>
            <w:tcBorders>
              <w:top w:val="nil" w:sz="6" w:space="0" w:color="auto"/>
              <w:left w:val="single" w:sz="4" w:space="0" w:color="000000"/>
              <w:right w:val="single" w:sz="4" w:space="0" w:color="000000"/>
            </w:tcBorders>
            <w:shd w:val="clear" w:color="auto" w:fill="D2D2D2"/>
          </w:tcPr>
          <w:p>
            <w:pPr/>
          </w:p>
        </w:tc>
        <w:tc>
          <w:tcPr>
            <w:tcW w:w="640"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r>
      <w:tr>
        <w:trPr>
          <w:trHeight w:val="184" w:hRule="exact"/>
        </w:trPr>
        <w:tc>
          <w:tcPr>
            <w:tcW w:w="1283" w:type="dxa"/>
            <w:vMerge/>
            <w:tcBorders>
              <w:left w:val="single" w:sz="4" w:space="0" w:color="000000"/>
              <w:bottom w:val="single" w:sz="4" w:space="0" w:color="000000"/>
              <w:right w:val="single" w:sz="4" w:space="0" w:color="000000"/>
            </w:tcBorders>
            <w:shd w:val="clear" w:color="auto" w:fill="D2D2D2"/>
          </w:tcPr>
          <w:p>
            <w:pPr/>
          </w:p>
        </w:tc>
        <w:tc>
          <w:tcPr>
            <w:tcW w:w="64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3"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84"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10" w:space="0" w:color="D2D2D2"/>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1,280,7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59,826.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22"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1,535,32</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7,451.39</w:t>
            </w:r>
          </w:p>
        </w:tc>
        <w:tc>
          <w:tcPr>
            <w:tcW w:w="728" w:type="dxa"/>
            <w:vMerge w:val="restart"/>
            <w:tcBorders>
              <w:top w:val="single" w:sz="22" w:space="0" w:color="D2D2D2"/>
              <w:left w:val="single" w:sz="4" w:space="0" w:color="000000"/>
              <w:right w:val="single" w:sz="4" w:space="0" w:color="000000"/>
            </w:tcBorders>
          </w:tcPr>
          <w:p>
            <w:pPr/>
          </w:p>
        </w:tc>
        <w:tc>
          <w:tcPr>
            <w:tcW w:w="725" w:type="dxa"/>
            <w:vMerge w:val="restart"/>
            <w:tcBorders>
              <w:top w:val="single" w:sz="22" w:space="0" w:color="D2D2D2"/>
              <w:left w:val="single" w:sz="4" w:space="0" w:color="000000"/>
              <w:right w:val="single" w:sz="4" w:space="0" w:color="000000"/>
            </w:tcBorders>
          </w:tcPr>
          <w:p>
            <w:pPr/>
          </w:p>
        </w:tc>
        <w:tc>
          <w:tcPr>
            <w:tcW w:w="727" w:type="dxa"/>
            <w:vMerge w:val="restart"/>
            <w:tcBorders>
              <w:top w:val="single" w:sz="22" w:space="0" w:color="D2D2D2"/>
              <w:left w:val="single" w:sz="4" w:space="0" w:color="000000"/>
              <w:right w:val="single" w:sz="4" w:space="0" w:color="000000"/>
            </w:tcBorders>
          </w:tcPr>
          <w:p>
            <w:pPr/>
          </w:p>
        </w:tc>
        <w:tc>
          <w:tcPr>
            <w:tcW w:w="727" w:type="dxa"/>
            <w:vMerge w:val="restart"/>
            <w:tcBorders>
              <w:top w:val="single" w:sz="22"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80,928,7</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68.09</w:t>
            </w:r>
          </w:p>
        </w:tc>
        <w:tc>
          <w:tcPr>
            <w:tcW w:w="615" w:type="dxa"/>
            <w:vMerge w:val="restart"/>
            <w:tcBorders>
              <w:top w:val="single" w:sz="22" w:space="0" w:color="D2D2D2"/>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505,598,</w:t>
            </w:r>
          </w:p>
          <w:p>
            <w:pPr>
              <w:pStyle w:val="TableParagraph"/>
              <w:spacing w:line="240" w:lineRule="auto" w:before="105"/>
              <w:ind w:left="158" w:right="0"/>
              <w:jc w:val="center"/>
              <w:rPr>
                <w:rFonts w:ascii="Times New Roman" w:hAnsi="Times New Roman" w:cs="Times New Roman" w:eastAsia="Times New Roman" w:hint="default"/>
                <w:sz w:val="18"/>
                <w:szCs w:val="18"/>
              </w:rPr>
            </w:pPr>
            <w:r>
              <w:rPr>
                <w:rFonts w:ascii="Times New Roman"/>
                <w:sz w:val="18"/>
              </w:rPr>
              <w:t>588.36</w:t>
            </w:r>
          </w:p>
        </w:tc>
        <w:tc>
          <w:tcPr>
            <w:tcW w:w="862" w:type="dxa"/>
            <w:vMerge w:val="restart"/>
            <w:tcBorders>
              <w:top w:val="single" w:sz="22"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3,402,614,</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633.84</w:t>
            </w:r>
          </w:p>
        </w:tc>
      </w:tr>
      <w:tr>
        <w:trPr>
          <w:trHeight w:val="703" w:hRule="exact"/>
        </w:trPr>
        <w:tc>
          <w:tcPr>
            <w:tcW w:w="12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40"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5"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-175,161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-175,161.4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59,826.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1,535,32</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7,451.39</w:t>
            </w:r>
          </w:p>
        </w:tc>
        <w:tc>
          <w:tcPr>
            <w:tcW w:w="72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80,928,7</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68.09</w:t>
            </w:r>
          </w:p>
        </w:tc>
        <w:tc>
          <w:tcPr>
            <w:tcW w:w="615"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505,423,</w:t>
            </w:r>
          </w:p>
          <w:p>
            <w:pPr>
              <w:pStyle w:val="TableParagraph"/>
              <w:spacing w:line="240" w:lineRule="auto" w:before="105"/>
              <w:ind w:left="158" w:right="0"/>
              <w:jc w:val="center"/>
              <w:rPr>
                <w:rFonts w:ascii="Times New Roman" w:hAnsi="Times New Roman" w:cs="Times New Roman" w:eastAsia="Times New Roman" w:hint="default"/>
                <w:sz w:val="18"/>
                <w:szCs w:val="18"/>
              </w:rPr>
            </w:pPr>
            <w:r>
              <w:rPr>
                <w:rFonts w:ascii="Times New Roman"/>
                <w:sz w:val="18"/>
              </w:rPr>
              <w:t>426.96</w:t>
            </w: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3,402,439,</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472.44</w:t>
            </w:r>
          </w:p>
        </w:tc>
      </w:tr>
      <w:tr>
        <w:trPr>
          <w:trHeight w:val="703" w:hRule="exact"/>
        </w:trPr>
        <w:tc>
          <w:tcPr>
            <w:tcW w:w="12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40"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1027"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11,189,4</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28.87</w:t>
            </w: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100,704,</w:t>
            </w:r>
          </w:p>
          <w:p>
            <w:pPr>
              <w:pStyle w:val="TableParagraph"/>
              <w:spacing w:line="240" w:lineRule="auto" w:before="102"/>
              <w:ind w:left="158" w:right="0"/>
              <w:jc w:val="center"/>
              <w:rPr>
                <w:rFonts w:ascii="Times New Roman" w:hAnsi="Times New Roman" w:cs="Times New Roman" w:eastAsia="Times New Roman" w:hint="default"/>
                <w:sz w:val="18"/>
                <w:szCs w:val="18"/>
              </w:rPr>
            </w:pPr>
            <w:r>
              <w:rPr>
                <w:rFonts w:ascii="Times New Roman"/>
                <w:sz w:val="18"/>
              </w:rPr>
              <w:t>859.77</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111,894,28</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8.64</w:t>
            </w:r>
          </w:p>
        </w:tc>
      </w:tr>
      <w:tr>
        <w:trPr>
          <w:trHeight w:val="713"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66,981,2</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14.28</w:t>
            </w: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44,913,0</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74.36</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111,894,28</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8.64</w:t>
            </w:r>
          </w:p>
        </w:tc>
      </w:tr>
    </w:tbl>
    <w:p>
      <w:pPr>
        <w:spacing w:after="0" w:line="240" w:lineRule="auto"/>
        <w:jc w:val="left"/>
        <w:rPr>
          <w:rFonts w:ascii="Times New Roman" w:hAnsi="Times New Roman" w:cs="Times New Roman" w:eastAsia="Times New Roman" w:hint="default"/>
          <w:sz w:val="18"/>
          <w:szCs w:val="18"/>
        </w:rPr>
        <w:sectPr>
          <w:footerReference w:type="default" r:id="rId14"/>
          <w:pgSz w:w="11910" w:h="16840"/>
          <w:pgMar w:footer="980" w:header="74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2" w:right="0"/>
              <w:jc w:val="left"/>
              <w:rPr>
                <w:rFonts w:ascii="Times New Roman" w:hAnsi="Times New Roman" w:cs="Times New Roman" w:eastAsia="Times New Roman" w:hint="default"/>
                <w:sz w:val="18"/>
                <w:szCs w:val="18"/>
              </w:rPr>
            </w:pPr>
            <w:r>
              <w:rPr>
                <w:rFonts w:ascii="Times New Roman"/>
                <w:sz w:val="18"/>
              </w:rPr>
              <w:t>4,491,30</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7.44</w:t>
            </w: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3" w:right="0"/>
              <w:jc w:val="center"/>
              <w:rPr>
                <w:rFonts w:ascii="Times New Roman" w:hAnsi="Times New Roman" w:cs="Times New Roman" w:eastAsia="Times New Roman" w:hint="default"/>
                <w:sz w:val="18"/>
                <w:szCs w:val="18"/>
              </w:rPr>
            </w:pPr>
            <w:r>
              <w:rPr>
                <w:rFonts w:ascii="Times New Roman"/>
                <w:sz w:val="18"/>
              </w:rPr>
              <w:t>-4,491,3</w:t>
            </w:r>
          </w:p>
          <w:p>
            <w:pPr>
              <w:pStyle w:val="TableParagraph"/>
              <w:spacing w:line="240" w:lineRule="auto" w:before="102"/>
              <w:ind w:left="248" w:right="0"/>
              <w:jc w:val="center"/>
              <w:rPr>
                <w:rFonts w:ascii="Times New Roman" w:hAnsi="Times New Roman" w:cs="Times New Roman" w:eastAsia="Times New Roman" w:hint="default"/>
                <w:sz w:val="18"/>
                <w:szCs w:val="18"/>
              </w:rPr>
            </w:pPr>
            <w:r>
              <w:rPr>
                <w:rFonts w:ascii="Times New Roman"/>
                <w:sz w:val="18"/>
              </w:rPr>
              <w:t>07.44</w:t>
            </w: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4,491,30</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7.44</w:t>
            </w: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-4,491,3</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07.44</w:t>
            </w: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-66,981,</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214.28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6,698,12</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1.43</w:t>
            </w: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60,283,0</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92.85</w:t>
            </w: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980" w:header="745"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1,280,7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59,826.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1,535,32</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7,451.39</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92,118,1</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96.96</w:t>
            </w: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606,128,</w:t>
            </w:r>
          </w:p>
          <w:p>
            <w:pPr>
              <w:pStyle w:val="TableParagraph"/>
              <w:spacing w:line="240" w:lineRule="auto" w:before="102"/>
              <w:ind w:left="158" w:right="0"/>
              <w:jc w:val="center"/>
              <w:rPr>
                <w:rFonts w:ascii="Times New Roman" w:hAnsi="Times New Roman" w:cs="Times New Roman" w:eastAsia="Times New Roman" w:hint="default"/>
                <w:sz w:val="18"/>
                <w:szCs w:val="18"/>
              </w:rPr>
            </w:pPr>
            <w:r>
              <w:rPr>
                <w:rFonts w:ascii="Times New Roman"/>
                <w:sz w:val="18"/>
              </w:rPr>
              <w:t>286.73</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3,514,333,</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761.08</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09"/>
        <w:gridCol w:w="604"/>
        <w:gridCol w:w="574"/>
        <w:gridCol w:w="572"/>
        <w:gridCol w:w="571"/>
        <w:gridCol w:w="686"/>
        <w:gridCol w:w="686"/>
        <w:gridCol w:w="684"/>
        <w:gridCol w:w="782"/>
        <w:gridCol w:w="665"/>
        <w:gridCol w:w="797"/>
        <w:gridCol w:w="797"/>
        <w:gridCol w:w="931"/>
      </w:tblGrid>
      <w:tr>
        <w:trPr>
          <w:trHeight w:val="398" w:hRule="exact"/>
        </w:trPr>
        <w:tc>
          <w:tcPr>
            <w:tcW w:w="1209" w:type="dxa"/>
            <w:vMerge w:val="restart"/>
            <w:tcBorders>
              <w:top w:val="single" w:sz="4" w:space="0" w:color="000000"/>
              <w:left w:val="single" w:sz="4" w:space="0" w:color="000000"/>
              <w:right w:val="single" w:sz="4" w:space="0" w:color="000000"/>
            </w:tcBorders>
            <w:shd w:val="clear" w:color="auto" w:fill="D2D2D2"/>
          </w:tcPr>
          <w:p>
            <w:pPr/>
          </w:p>
        </w:tc>
        <w:tc>
          <w:tcPr>
            <w:tcW w:w="835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8" w:hRule="exact"/>
        </w:trPr>
        <w:tc>
          <w:tcPr>
            <w:tcW w:w="1209" w:type="dxa"/>
            <w:vMerge/>
            <w:tcBorders>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4" w:space="0" w:color="000000"/>
              <w:right w:val="single" w:sz="4" w:space="0" w:color="000000"/>
            </w:tcBorders>
            <w:shd w:val="clear" w:color="auto" w:fill="D2D2D2"/>
          </w:tcPr>
          <w:p>
            <w:pPr/>
          </w:p>
        </w:tc>
        <w:tc>
          <w:tcPr>
            <w:tcW w:w="1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12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04" w:type="dxa"/>
            <w:vMerge/>
            <w:tcBorders>
              <w:left w:val="single" w:sz="4" w:space="0" w:color="000000"/>
              <w:bottom w:val="nil" w:sz="6" w:space="0" w:color="auto"/>
              <w:right w:val="single" w:sz="4" w:space="0" w:color="000000"/>
            </w:tcBorders>
            <w:shd w:val="clear" w:color="auto" w:fill="D2D2D2"/>
          </w:tcPr>
          <w:p>
            <w:pPr/>
          </w:p>
        </w:tc>
        <w:tc>
          <w:tcPr>
            <w:tcW w:w="1717"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6" w:hRule="exact"/>
        </w:trPr>
        <w:tc>
          <w:tcPr>
            <w:tcW w:w="1209" w:type="dxa"/>
            <w:vMerge/>
            <w:tcBorders>
              <w:left w:val="single" w:sz="4" w:space="0" w:color="000000"/>
              <w:bottom w:val="nil" w:sz="6" w:space="0" w:color="auto"/>
              <w:right w:val="single" w:sz="4" w:space="0" w:color="000000"/>
            </w:tcBorders>
            <w:shd w:val="clear" w:color="auto" w:fill="D2D2D2"/>
          </w:tcPr>
          <w:p>
            <w:pPr/>
          </w:p>
        </w:tc>
        <w:tc>
          <w:tcPr>
            <w:tcW w:w="6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12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91"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tcBorders>
              <w:left w:val="single" w:sz="4" w:space="0" w:color="000000"/>
              <w:right w:val="single" w:sz="4" w:space="0" w:color="000000"/>
            </w:tcBorders>
            <w:shd w:val="clear" w:color="auto" w:fill="D2D2D2"/>
          </w:tcPr>
          <w:p>
            <w:pPr/>
          </w:p>
        </w:tc>
      </w:tr>
      <w:tr>
        <w:trPr>
          <w:trHeight w:val="197" w:hRule="exact"/>
        </w:trPr>
        <w:tc>
          <w:tcPr>
            <w:tcW w:w="1209" w:type="dxa"/>
            <w:vMerge w:val="restart"/>
            <w:tcBorders>
              <w:top w:val="nil" w:sz="6" w:space="0" w:color="auto"/>
              <w:left w:val="single" w:sz="4" w:space="0" w:color="000000"/>
              <w:right w:val="single" w:sz="4" w:space="0" w:color="000000"/>
            </w:tcBorders>
            <w:shd w:val="clear" w:color="auto" w:fill="D2D2D2"/>
          </w:tcPr>
          <w:p>
            <w:pPr/>
          </w:p>
        </w:tc>
        <w:tc>
          <w:tcPr>
            <w:tcW w:w="604"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156" w:hRule="exact"/>
        </w:trPr>
        <w:tc>
          <w:tcPr>
            <w:tcW w:w="1209" w:type="dxa"/>
            <w:vMerge/>
            <w:tcBorders>
              <w:left w:val="single" w:sz="4" w:space="0" w:color="000000"/>
              <w:right w:val="single" w:sz="4" w:space="0" w:color="000000"/>
            </w:tcBorders>
            <w:shd w:val="clear" w:color="auto" w:fill="D2D2D2"/>
          </w:tcPr>
          <w:p>
            <w:pPr/>
          </w:p>
        </w:tc>
        <w:tc>
          <w:tcPr>
            <w:tcW w:w="604"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09" w:type="dxa"/>
            <w:vMerge/>
            <w:tcBorders>
              <w:left w:val="single" w:sz="4" w:space="0" w:color="000000"/>
              <w:bottom w:val="single" w:sz="4" w:space="0" w:color="000000"/>
              <w:right w:val="single" w:sz="4" w:space="0" w:color="000000"/>
            </w:tcBorders>
            <w:shd w:val="clear" w:color="auto" w:fill="D2D2D2"/>
          </w:tcPr>
          <w:p>
            <w:pPr/>
          </w:p>
        </w:tc>
        <w:tc>
          <w:tcPr>
            <w:tcW w:w="604"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1,280,</w:t>
            </w:r>
          </w:p>
          <w:p>
            <w:pPr>
              <w:pStyle w:val="TableParagraph"/>
              <w:spacing w:line="240" w:lineRule="auto" w:before="102"/>
              <w:ind w:left="51" w:right="0"/>
              <w:jc w:val="center"/>
              <w:rPr>
                <w:rFonts w:ascii="Times New Roman" w:hAnsi="Times New Roman" w:cs="Times New Roman" w:eastAsia="Times New Roman" w:hint="default"/>
                <w:sz w:val="18"/>
                <w:szCs w:val="18"/>
              </w:rPr>
            </w:pPr>
            <w:r>
              <w:rPr>
                <w:rFonts w:ascii="Times New Roman"/>
                <w:sz w:val="18"/>
              </w:rPr>
              <w:t>759,82</w:t>
            </w:r>
          </w:p>
          <w:p>
            <w:pPr>
              <w:pStyle w:val="TableParagraph"/>
              <w:spacing w:line="240" w:lineRule="auto" w:before="105"/>
              <w:ind w:left="231" w:right="0"/>
              <w:jc w:val="center"/>
              <w:rPr>
                <w:rFonts w:ascii="Times New Roman" w:hAnsi="Times New Roman" w:cs="Times New Roman" w:eastAsia="Times New Roman" w:hint="default"/>
                <w:sz w:val="18"/>
                <w:szCs w:val="18"/>
              </w:rPr>
            </w:pPr>
            <w:r>
              <w:rPr>
                <w:rFonts w:ascii="Times New Roman"/>
                <w:sz w:val="18"/>
              </w:rPr>
              <w:t>6.00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27,451.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80,245,</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560.29</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499,449,7</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18.14</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3,395,782,5</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55.82</w:t>
            </w:r>
          </w:p>
        </w:tc>
      </w:tr>
      <w:tr>
        <w:trPr>
          <w:trHeight w:val="704"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5"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4"/>
              <w:jc w:val="right"/>
              <w:rPr>
                <w:rFonts w:ascii="宋体" w:hAnsi="宋体" w:cs="宋体" w:eastAsia="宋体" w:hint="default"/>
                <w:sz w:val="18"/>
                <w:szCs w:val="18"/>
              </w:rPr>
            </w:pPr>
            <w:r>
              <w:rPr>
                <w:rFonts w:ascii="宋体" w:hAnsi="宋体" w:cs="宋体" w:eastAsia="宋体" w:hint="default"/>
                <w:sz w:val="18"/>
                <w:szCs w:val="18"/>
              </w:rPr>
              <w:t>其他</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1,280,</w:t>
            </w:r>
          </w:p>
          <w:p>
            <w:pPr>
              <w:pStyle w:val="TableParagraph"/>
              <w:spacing w:line="240" w:lineRule="auto" w:before="102"/>
              <w:ind w:left="51" w:right="0"/>
              <w:jc w:val="center"/>
              <w:rPr>
                <w:rFonts w:ascii="Times New Roman" w:hAnsi="Times New Roman" w:cs="Times New Roman" w:eastAsia="Times New Roman" w:hint="default"/>
                <w:sz w:val="18"/>
                <w:szCs w:val="18"/>
              </w:rPr>
            </w:pPr>
            <w:r>
              <w:rPr>
                <w:rFonts w:ascii="Times New Roman"/>
                <w:sz w:val="18"/>
              </w:rPr>
              <w:t>759,82</w:t>
            </w:r>
          </w:p>
          <w:p>
            <w:pPr>
              <w:pStyle w:val="TableParagraph"/>
              <w:spacing w:line="240" w:lineRule="auto" w:before="105"/>
              <w:ind w:left="231" w:right="0"/>
              <w:jc w:val="center"/>
              <w:rPr>
                <w:rFonts w:ascii="Times New Roman" w:hAnsi="Times New Roman" w:cs="Times New Roman" w:eastAsia="Times New Roman" w:hint="default"/>
                <w:sz w:val="18"/>
                <w:szCs w:val="18"/>
              </w:rPr>
            </w:pPr>
            <w:r>
              <w:rPr>
                <w:rFonts w:ascii="Times New Roman"/>
                <w:sz w:val="18"/>
              </w:rPr>
              <w:t>6.00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27,451.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80,245,</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560.29</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499,449,7</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18.14</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3,395,782,5</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55.82</w:t>
            </w:r>
          </w:p>
        </w:tc>
      </w:tr>
      <w:tr>
        <w:trPr>
          <w:trHeight w:val="703"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1027"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683,207</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.80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6,148,870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6,832,078.0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71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6,832,078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6,832,078.0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r>
      <w:tr>
        <w:trPr>
          <w:trHeight w:val="715"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683,207</w:t>
            </w:r>
          </w:p>
          <w:p>
            <w:pPr>
              <w:pStyle w:val="TableParagraph"/>
              <w:spacing w:line="240" w:lineRule="auto" w:before="102"/>
              <w:ind w:left="407" w:right="0"/>
              <w:jc w:val="left"/>
              <w:rPr>
                <w:rFonts w:ascii="Times New Roman" w:hAnsi="Times New Roman" w:cs="Times New Roman" w:eastAsia="Times New Roman" w:hint="default"/>
                <w:sz w:val="18"/>
                <w:szCs w:val="18"/>
              </w:rPr>
            </w:pPr>
            <w:r>
              <w:rPr>
                <w:rFonts w:ascii="Times New Roman"/>
                <w:sz w:val="18"/>
              </w:rPr>
              <w:t>.80</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-683,207.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80</w:t>
            </w:r>
          </w:p>
        </w:tc>
        <w:tc>
          <w:tcPr>
            <w:tcW w:w="931" w:type="dxa"/>
            <w:vMerge w:val="restart"/>
            <w:tcBorders>
              <w:top w:val="single" w:sz="4" w:space="0" w:color="000000"/>
              <w:left w:val="single" w:sz="4" w:space="0" w:color="000000"/>
              <w:right w:val="single" w:sz="4" w:space="0" w:color="000000"/>
            </w:tcBorders>
          </w:tcPr>
          <w:p>
            <w:pPr/>
          </w:p>
        </w:tc>
      </w:tr>
      <w:tr>
        <w:trPr>
          <w:trHeight w:val="391"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683,207</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.80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-683,207.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1,280,</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759,82</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6.00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27,451.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80,928,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768.09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505,598,5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88.36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3,402,614,6</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33.84</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bookmarkStart w:name="三、公司基本情况" w:id="169"/>
      <w:bookmarkEnd w:id="169"/>
      <w:r>
        <w:rPr>
          <w:b w:val="0"/>
          <w:bCs w:val="0"/>
        </w:rPr>
      </w:r>
      <w:r>
        <w:rPr/>
        <w:t>三、公司基本情况</w:t>
      </w:r>
      <w:r>
        <w:rPr>
          <w:b w:val="0"/>
          <w:bCs w:val="0"/>
        </w:rPr>
      </w:r>
    </w:p>
    <w:p>
      <w:pPr>
        <w:spacing w:line="240" w:lineRule="auto" w:before="8"/>
        <w:rPr>
          <w:rFonts w:ascii="宋体" w:hAnsi="宋体" w:cs="宋体" w:eastAsia="宋体" w:hint="default"/>
          <w:b/>
          <w:bCs/>
          <w:sz w:val="30"/>
          <w:szCs w:val="30"/>
        </w:rPr>
      </w:pPr>
    </w:p>
    <w:p>
      <w:pPr>
        <w:pStyle w:val="BodyText"/>
        <w:spacing w:line="386" w:lineRule="auto" w:before="0"/>
        <w:ind w:right="1126" w:firstLine="420"/>
        <w:jc w:val="both"/>
      </w:pPr>
      <w:r>
        <w:rPr>
          <w:spacing w:val="-3"/>
        </w:rPr>
        <w:t>吉林紫鑫药业股份有限公司（以下简称</w:t>
      </w:r>
      <w:r>
        <w:rPr>
          <w:rFonts w:ascii="Times New Roman" w:hAnsi="Times New Roman" w:cs="Times New Roman" w:eastAsia="Times New Roman" w:hint="default"/>
          <w:spacing w:val="-3"/>
        </w:rPr>
        <w:t>“</w:t>
      </w:r>
      <w:r>
        <w:rPr>
          <w:spacing w:val="-3"/>
        </w:rPr>
        <w:t>公司</w:t>
      </w:r>
      <w:r>
        <w:rPr>
          <w:rFonts w:ascii="Times New Roman" w:hAnsi="Times New Roman" w:cs="Times New Roman" w:eastAsia="Times New Roman" w:hint="default"/>
          <w:spacing w:val="-3"/>
        </w:rPr>
        <w:t>”</w:t>
      </w:r>
      <w:r>
        <w:rPr>
          <w:spacing w:val="-3"/>
        </w:rPr>
        <w:t>或</w:t>
      </w:r>
      <w:r>
        <w:rPr>
          <w:rFonts w:ascii="Times New Roman" w:hAnsi="Times New Roman" w:cs="Times New Roman" w:eastAsia="Times New Roman" w:hint="default"/>
          <w:spacing w:val="-3"/>
        </w:rPr>
        <w:t>“</w:t>
      </w:r>
      <w:r>
        <w:rPr>
          <w:spacing w:val="-3"/>
        </w:rPr>
        <w:t>本公司</w:t>
      </w:r>
      <w:r>
        <w:rPr>
          <w:rFonts w:ascii="Times New Roman" w:hAnsi="Times New Roman" w:cs="Times New Roman" w:eastAsia="Times New Roman" w:hint="default"/>
          <w:spacing w:val="-3"/>
        </w:rPr>
        <w:t>”</w:t>
      </w:r>
      <w:r>
        <w:rPr>
          <w:spacing w:val="-3"/>
        </w:rPr>
        <w:t>）系</w:t>
      </w:r>
      <w:r>
        <w:rPr>
          <w:rFonts w:ascii="Times New Roman" w:hAnsi="Times New Roman" w:cs="Times New Roman" w:eastAsia="Times New Roman" w:hint="default"/>
          <w:spacing w:val="-3"/>
        </w:rPr>
        <w:t>1998</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25</w:t>
      </w:r>
      <w:r>
        <w:rPr>
          <w:spacing w:val="-3"/>
        </w:rPr>
        <w:t>日由敦化市康平保健食品有</w:t>
      </w:r>
      <w:r>
        <w:rPr>
          <w:w w:val="100"/>
        </w:rPr>
        <w:t> </w:t>
      </w:r>
      <w:r>
        <w:rPr/>
        <w:t>限责任公司、敦化市吉泰经贸有限责任公司共同发起设立的有限责任公司。</w:t>
      </w:r>
    </w:p>
    <w:p>
      <w:pPr>
        <w:pStyle w:val="BodyText"/>
        <w:spacing w:line="386" w:lineRule="auto" w:before="65"/>
        <w:ind w:right="1129" w:firstLine="420"/>
        <w:jc w:val="both"/>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日，经吉林省人民政府</w:t>
      </w:r>
      <w:r>
        <w:rPr>
          <w:rFonts w:ascii="Times New Roman" w:hAnsi="Times New Roman" w:cs="Times New Roman" w:eastAsia="Times New Roman" w:hint="default"/>
        </w:rPr>
        <w:t>[2001]5</w:t>
      </w:r>
      <w:r>
        <w:rPr>
          <w:rFonts w:ascii="Times New Roman" w:hAnsi="Times New Roman" w:cs="Times New Roman" w:eastAsia="Times New Roman" w:hint="default"/>
          <w:spacing w:val="34"/>
        </w:rPr>
        <w:t> </w:t>
      </w:r>
      <w:r>
        <w:rPr/>
        <w:t>号文《关于通化紫金药业有限责任公司依法变更为通化紫</w:t>
      </w:r>
      <w:r>
        <w:rPr>
          <w:w w:val="100"/>
        </w:rPr>
        <w:t> </w:t>
      </w:r>
      <w:r>
        <w:rPr>
          <w:spacing w:val="-2"/>
        </w:rPr>
        <w:t>金药业股份有限公司的批复》的批准，以通化紫金药业有限责任公司截至</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日的净资产等额折</w:t>
      </w:r>
      <w:r>
        <w:rPr>
          <w:spacing w:val="-42"/>
        </w:rPr>
        <w:t> </w:t>
      </w:r>
      <w:r>
        <w:rPr>
          <w:spacing w:val="-42"/>
        </w:rPr>
      </w:r>
      <w:r>
        <w:rPr>
          <w:spacing w:val="-3"/>
        </w:rPr>
        <w:t>成股份整体变更为股份有限公司，股本总额为人民币</w:t>
      </w:r>
      <w:r>
        <w:rPr>
          <w:rFonts w:ascii="Times New Roman" w:hAnsi="Times New Roman" w:cs="Times New Roman" w:eastAsia="Times New Roman" w:hint="default"/>
          <w:spacing w:val="-3"/>
        </w:rPr>
        <w:t>35,650,000.00</w:t>
      </w:r>
      <w:r>
        <w:rPr>
          <w:spacing w:val="-3"/>
        </w:rPr>
        <w:t>元。同年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28</w:t>
      </w:r>
      <w:r>
        <w:rPr>
          <w:spacing w:val="-3"/>
        </w:rPr>
        <w:t>日，本公司名称变更为吉</w:t>
      </w:r>
    </w:p>
    <w:p>
      <w:pPr>
        <w:spacing w:after="0" w:line="386"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left="573" w:right="1133" w:hanging="421"/>
        <w:jc w:val="left"/>
      </w:pPr>
      <w:r>
        <w:rPr/>
        <w:t>林紫鑫药业股份有限公司。</w:t>
      </w:r>
      <w:r>
        <w:rPr>
          <w:w w:val="100"/>
        </w:rPr>
        <w:t> </w:t>
      </w:r>
      <w:r>
        <w:rPr/>
        <w:t>根据本公司</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日第二次临时股东大会决议和修改后的章程规定，申请向社会公开发行人民</w:t>
      </w:r>
    </w:p>
    <w:p>
      <w:pPr>
        <w:pStyle w:val="BodyText"/>
        <w:spacing w:line="386" w:lineRule="auto" w:before="14"/>
        <w:ind w:right="1128"/>
        <w:jc w:val="both"/>
      </w:pPr>
      <w:r>
        <w:rPr>
          <w:spacing w:val="-2"/>
        </w:rPr>
        <w:t>币普通股（</w:t>
      </w:r>
      <w:r>
        <w:rPr>
          <w:rFonts w:ascii="Times New Roman" w:hAnsi="Times New Roman" w:cs="Times New Roman" w:eastAsia="Times New Roman" w:hint="default"/>
          <w:spacing w:val="-2"/>
        </w:rPr>
        <w:t>A</w:t>
      </w:r>
      <w:r>
        <w:rPr>
          <w:spacing w:val="-2"/>
        </w:rPr>
        <w:t>股）增加注册资本人民币</w:t>
      </w:r>
      <w:r>
        <w:rPr>
          <w:rFonts w:ascii="Times New Roman" w:hAnsi="Times New Roman" w:cs="Times New Roman" w:eastAsia="Times New Roman" w:hint="default"/>
          <w:spacing w:val="-2"/>
        </w:rPr>
        <w:t>16,900,000.00</w:t>
      </w:r>
      <w:r>
        <w:rPr>
          <w:spacing w:val="-2"/>
        </w:rPr>
        <w:t>元。</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29</w:t>
      </w:r>
      <w:r>
        <w:rPr>
          <w:spacing w:val="-2"/>
        </w:rPr>
        <w:t>日经中国证券监督管理委员会证监发</w:t>
      </w:r>
      <w:r>
        <w:rPr>
          <w:spacing w:val="-19"/>
        </w:rPr>
        <w:t> </w:t>
      </w:r>
      <w:r>
        <w:rPr>
          <w:spacing w:val="-19"/>
        </w:rPr>
      </w:r>
      <w:r>
        <w:rPr>
          <w:spacing w:val="-4"/>
        </w:rPr>
        <w:t>行字（</w:t>
      </w:r>
      <w:r>
        <w:rPr>
          <w:rFonts w:ascii="Times New Roman" w:hAnsi="Times New Roman" w:cs="Times New Roman" w:eastAsia="Times New Roman" w:hint="default"/>
          <w:spacing w:val="-4"/>
        </w:rPr>
        <w:t>2007</w:t>
      </w:r>
      <w:r>
        <w:rPr>
          <w:spacing w:val="-4"/>
        </w:rPr>
        <w:t>）</w:t>
      </w:r>
      <w:r>
        <w:rPr>
          <w:rFonts w:ascii="Times New Roman" w:hAnsi="Times New Roman" w:cs="Times New Roman" w:eastAsia="Times New Roman" w:hint="default"/>
          <w:spacing w:val="-4"/>
        </w:rPr>
        <w:t>25</w:t>
      </w:r>
      <w:r>
        <w:rPr>
          <w:rFonts w:ascii="Times New Roman" w:hAnsi="Times New Roman" w:cs="Times New Roman" w:eastAsia="Times New Roman" w:hint="default"/>
          <w:spacing w:val="26"/>
        </w:rPr>
        <w:t> </w:t>
      </w:r>
      <w:r>
        <w:rPr>
          <w:spacing w:val="-3"/>
        </w:rPr>
        <w:t>号文核准，同意本公司向社会公开发行人民币普通股（</w:t>
      </w:r>
      <w:r>
        <w:rPr>
          <w:rFonts w:ascii="Times New Roman" w:hAnsi="Times New Roman" w:cs="Times New Roman" w:eastAsia="Times New Roman" w:hint="default"/>
          <w:spacing w:val="-3"/>
        </w:rPr>
        <w:t>A</w:t>
      </w:r>
      <w:r>
        <w:rPr>
          <w:spacing w:val="-3"/>
        </w:rPr>
        <w:t>股）</w:t>
      </w:r>
      <w:r>
        <w:rPr>
          <w:rFonts w:ascii="Times New Roman" w:hAnsi="Times New Roman" w:cs="Times New Roman" w:eastAsia="Times New Roman" w:hint="default"/>
          <w:spacing w:val="-3"/>
        </w:rPr>
        <w:t>1,690</w:t>
      </w:r>
      <w:r>
        <w:rPr>
          <w:spacing w:val="-3"/>
        </w:rPr>
        <w:t>万股，每股面值人民币</w:t>
      </w:r>
      <w:r>
        <w:rPr>
          <w:spacing w:val="-93"/>
        </w:rPr>
        <w:t> </w:t>
      </w:r>
      <w:r>
        <w:rPr>
          <w:spacing w:val="-93"/>
        </w:rPr>
      </w:r>
      <w:r>
        <w:rPr>
          <w:rFonts w:ascii="Times New Roman" w:hAnsi="Times New Roman" w:cs="Times New Roman" w:eastAsia="Times New Roman" w:hint="default"/>
        </w:rPr>
        <w:t>1.00</w:t>
      </w:r>
      <w:r>
        <w:rPr/>
        <w:t>元，每股发行价格为人民币</w:t>
      </w:r>
      <w:r>
        <w:rPr>
          <w:rFonts w:ascii="Times New Roman" w:hAnsi="Times New Roman" w:cs="Times New Roman" w:eastAsia="Times New Roman" w:hint="default"/>
        </w:rPr>
        <w:t>9.56</w:t>
      </w:r>
      <w:r>
        <w:rPr/>
        <w:t>元。本公司采用网下向询价对象配售和网上向社会公众投资者定价发</w:t>
      </w:r>
      <w:r>
        <w:rPr>
          <w:spacing w:val="-25"/>
        </w:rPr>
        <w:t> </w:t>
      </w:r>
      <w:r>
        <w:rPr>
          <w:spacing w:val="-25"/>
        </w:rPr>
      </w:r>
      <w:r>
        <w:rPr>
          <w:spacing w:val="-3"/>
        </w:rPr>
        <w:t>行相结合的方式，向社会公开发行人民币普通股（</w:t>
      </w:r>
      <w:r>
        <w:rPr>
          <w:rFonts w:ascii="Times New Roman" w:hAnsi="Times New Roman" w:cs="Times New Roman" w:eastAsia="Times New Roman" w:hint="default"/>
          <w:spacing w:val="-3"/>
        </w:rPr>
        <w:t>A</w:t>
      </w:r>
      <w:r>
        <w:rPr>
          <w:spacing w:val="-3"/>
        </w:rPr>
        <w:t>股）</w:t>
      </w:r>
      <w:r>
        <w:rPr>
          <w:rFonts w:ascii="Times New Roman" w:hAnsi="Times New Roman" w:cs="Times New Roman" w:eastAsia="Times New Roman" w:hint="default"/>
          <w:spacing w:val="-3"/>
        </w:rPr>
        <w:t>16,900,000</w:t>
      </w:r>
      <w:r>
        <w:rPr>
          <w:spacing w:val="-3"/>
        </w:rPr>
        <w:t>股，并于</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w:t>
      </w:r>
      <w:r>
        <w:rPr>
          <w:spacing w:val="-3"/>
        </w:rPr>
        <w:t>日在深圳证券交易</w:t>
      </w:r>
      <w:r>
        <w:rPr>
          <w:spacing w:val="-22"/>
        </w:rPr>
        <w:t> </w:t>
      </w:r>
      <w:r>
        <w:rPr>
          <w:spacing w:val="-22"/>
        </w:rPr>
      </w:r>
      <w:r>
        <w:rPr/>
        <w:t>所上市，股票代码为</w:t>
      </w:r>
      <w:r>
        <w:rPr>
          <w:rFonts w:ascii="Times New Roman" w:hAnsi="Times New Roman" w:cs="Times New Roman" w:eastAsia="Times New Roman" w:hint="default"/>
        </w:rPr>
        <w:t>002118</w:t>
      </w:r>
      <w:r>
        <w:rPr/>
        <w:t>。</w:t>
      </w:r>
    </w:p>
    <w:p>
      <w:pPr>
        <w:pStyle w:val="BodyText"/>
        <w:spacing w:line="386" w:lineRule="auto" w:before="35"/>
        <w:ind w:right="1133" w:firstLine="420"/>
        <w:jc w:val="left"/>
      </w:pP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日止，本公司累计发行股本总数</w:t>
      </w:r>
      <w:r>
        <w:rPr>
          <w:rFonts w:ascii="Times New Roman" w:hAnsi="Times New Roman" w:cs="Times New Roman" w:eastAsia="Times New Roman" w:hint="default"/>
          <w:spacing w:val="-2"/>
        </w:rPr>
        <w:t>128,075.98</w:t>
      </w:r>
      <w:r>
        <w:rPr>
          <w:spacing w:val="-2"/>
        </w:rPr>
        <w:t>万股，注册资本为</w:t>
      </w:r>
      <w:r>
        <w:rPr>
          <w:rFonts w:ascii="Times New Roman" w:hAnsi="Times New Roman" w:cs="Times New Roman" w:eastAsia="Times New Roman" w:hint="default"/>
          <w:spacing w:val="-2"/>
        </w:rPr>
        <w:t>128,075.98</w:t>
      </w:r>
      <w:r>
        <w:rPr>
          <w:spacing w:val="-2"/>
        </w:rPr>
        <w:t>万元，公司</w:t>
      </w:r>
      <w:r>
        <w:rPr>
          <w:w w:val="100"/>
        </w:rPr>
        <w:t> </w:t>
      </w:r>
      <w:r>
        <w:rPr/>
        <w:t>的统一社会信用代码号为：</w:t>
      </w:r>
      <w:r>
        <w:rPr>
          <w:rFonts w:ascii="Times New Roman" w:hAnsi="Times New Roman" w:cs="Times New Roman" w:eastAsia="Times New Roman" w:hint="default"/>
        </w:rPr>
        <w:t>9122000070222720XH</w:t>
      </w:r>
      <w:r>
        <w:rPr/>
        <w:t>。</w:t>
      </w:r>
    </w:p>
    <w:p>
      <w:pPr>
        <w:pStyle w:val="BodyText"/>
        <w:spacing w:line="386" w:lineRule="auto" w:before="35"/>
        <w:ind w:left="573" w:right="1133"/>
        <w:jc w:val="left"/>
      </w:pPr>
      <w:r>
        <w:rPr/>
        <w:t>注册地：吉林省通化市柳河县英利路</w:t>
      </w:r>
      <w:r>
        <w:rPr>
          <w:rFonts w:ascii="Times New Roman" w:hAnsi="Times New Roman" w:cs="Times New Roman" w:eastAsia="Times New Roman" w:hint="default"/>
        </w:rPr>
        <w:t>88</w:t>
      </w:r>
      <w:r>
        <w:rPr/>
        <w:t>号</w:t>
      </w:r>
      <w:r>
        <w:rPr>
          <w:w w:val="100"/>
        </w:rPr>
        <w:t> </w:t>
      </w:r>
      <w:r>
        <w:rPr>
          <w:spacing w:val="-2"/>
        </w:rPr>
        <w:t>主要经营活动为：加工销售中成药，化学药制剂（口服液，片剂，胶囊），药材原料，针织品加工，</w:t>
      </w:r>
    </w:p>
    <w:p>
      <w:pPr>
        <w:pStyle w:val="BodyText"/>
        <w:spacing w:line="405" w:lineRule="auto" w:before="65"/>
        <w:ind w:right="1126"/>
        <w:jc w:val="both"/>
      </w:pPr>
      <w:r>
        <w:rPr>
          <w:spacing w:val="-2"/>
        </w:rPr>
        <w:t>种养殖业；设计，制作，代理电视，报纸，灯箱，路牌广告业务；经营本企业自产产品及相关技术的出口</w:t>
      </w:r>
      <w:r>
        <w:rPr>
          <w:spacing w:val="-46"/>
        </w:rPr>
        <w:t> </w:t>
      </w:r>
      <w:r>
        <w:rPr>
          <w:spacing w:val="-46"/>
        </w:rPr>
      </w:r>
      <w:r>
        <w:rPr>
          <w:spacing w:val="-2"/>
        </w:rPr>
        <w:t>业务（国家限定公司经营或禁止出口的商品除外）；经营本企业生产科研所需的原辅材料、机械设备、仪</w:t>
      </w:r>
      <w:r>
        <w:rPr>
          <w:spacing w:val="-43"/>
        </w:rPr>
        <w:t> </w:t>
      </w:r>
      <w:r>
        <w:rPr>
          <w:spacing w:val="-43"/>
        </w:rPr>
      </w:r>
      <w:r>
        <w:rPr>
          <w:spacing w:val="-2"/>
        </w:rPr>
        <w:t>器仪表、零配件及相关技术的进出口业务（国家限定公司经营或禁止进口的商品除外）；经营本企业的进</w:t>
      </w:r>
      <w:r>
        <w:rPr>
          <w:spacing w:val="-47"/>
        </w:rPr>
        <w:t> </w:t>
      </w:r>
      <w:r>
        <w:rPr>
          <w:spacing w:val="-47"/>
        </w:rPr>
      </w:r>
      <w:r>
        <w:rPr>
          <w:spacing w:val="-2"/>
        </w:rPr>
        <w:t>料加工和</w:t>
      </w:r>
      <w:r>
        <w:rPr>
          <w:rFonts w:ascii="Times New Roman" w:hAnsi="Times New Roman" w:cs="Times New Roman" w:eastAsia="Times New Roman" w:hint="default"/>
          <w:spacing w:val="-2"/>
        </w:rPr>
        <w:t>“</w:t>
      </w:r>
      <w:r>
        <w:rPr>
          <w:spacing w:val="-2"/>
        </w:rPr>
        <w:t>三来一补</w:t>
      </w:r>
      <w:r>
        <w:rPr>
          <w:rFonts w:ascii="Times New Roman" w:hAnsi="Times New Roman" w:cs="Times New Roman" w:eastAsia="Times New Roman" w:hint="default"/>
          <w:spacing w:val="-2"/>
        </w:rPr>
        <w:t>”</w:t>
      </w:r>
      <w:r>
        <w:rPr>
          <w:spacing w:val="-2"/>
        </w:rPr>
        <w:t>业务；生产脱脂棉球；土特产品销售；中药饮片、农副产品、中药材的种植与销售。</w:t>
      </w:r>
      <w:r>
        <w:rPr>
          <w:spacing w:val="-17"/>
        </w:rPr>
        <w:t> </w:t>
      </w:r>
      <w:r>
        <w:rPr>
          <w:spacing w:val="-17"/>
        </w:rPr>
      </w:r>
      <w:r>
        <w:rPr>
          <w:spacing w:val="-2"/>
        </w:rPr>
        <w:t>医疗器械的研发、生产及销售；一次性口罩，棉质口罩，防尘口罩，防晒口罩，防护服，护目镜生产和销</w:t>
      </w:r>
      <w:r>
        <w:rPr>
          <w:spacing w:val="-48"/>
        </w:rPr>
        <w:t> </w:t>
      </w:r>
      <w:r>
        <w:rPr>
          <w:spacing w:val="-48"/>
        </w:rPr>
      </w:r>
      <w:r>
        <w:rPr>
          <w:spacing w:val="-2"/>
        </w:rPr>
        <w:t>售；消毒产品生产、销售。土特产品、保健食品、中药材、土特产品、食用农产品、食品的生产加工、销</w:t>
      </w:r>
      <w:r>
        <w:rPr>
          <w:spacing w:val="-44"/>
        </w:rPr>
        <w:t> </w:t>
      </w:r>
      <w:r>
        <w:rPr>
          <w:spacing w:val="-44"/>
        </w:rPr>
      </w:r>
      <w:r>
        <w:rPr/>
        <w:t>售；化妆品生产销售。</w:t>
      </w:r>
      <w:r>
        <w:rPr>
          <w:rFonts w:ascii="Times New Roman" w:hAnsi="Times New Roman" w:cs="Times New Roman" w:eastAsia="Times New Roman" w:hint="default"/>
        </w:rPr>
        <w:t>***</w:t>
      </w:r>
      <w:r>
        <w:rPr/>
        <w:t>（依法须经批准的项目，经相关部门批准后方可开展经营活动）。</w:t>
      </w:r>
    </w:p>
    <w:p>
      <w:pPr>
        <w:pStyle w:val="Heading5"/>
        <w:spacing w:line="215" w:lineRule="exact"/>
        <w:ind w:left="566" w:right="1133"/>
        <w:jc w:val="left"/>
        <w:rPr>
          <w:b w:val="0"/>
          <w:bCs w:val="0"/>
        </w:rPr>
      </w:pPr>
      <w:r>
        <w:rPr/>
        <w:t>合并财务报表范围</w:t>
      </w:r>
      <w:r>
        <w:rPr>
          <w:b w:val="0"/>
          <w:bCs w:val="0"/>
        </w:rPr>
      </w:r>
    </w:p>
    <w:p>
      <w:pPr>
        <w:pStyle w:val="BodyText"/>
        <w:spacing w:line="240" w:lineRule="auto" w:before="37"/>
        <w:ind w:left="566" w:right="1133"/>
        <w:jc w:val="left"/>
      </w:pPr>
      <w:r>
        <w:rPr/>
        <w:t>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line="240" w:lineRule="auto" w:before="8"/>
        <w:rPr>
          <w:rFonts w:ascii="宋体" w:hAnsi="宋体" w:cs="宋体" w:eastAsia="宋体" w:hint="default"/>
          <w:sz w:val="2"/>
          <w:szCs w:val="2"/>
        </w:rPr>
      </w:pPr>
    </w:p>
    <w:tbl>
      <w:tblPr>
        <w:tblW w:w="0" w:type="auto"/>
        <w:jc w:val="left"/>
        <w:tblInd w:w="152" w:type="dxa"/>
        <w:tblLayout w:type="fixed"/>
        <w:tblCellMar>
          <w:top w:w="0" w:type="dxa"/>
          <w:left w:w="0" w:type="dxa"/>
          <w:bottom w:w="0" w:type="dxa"/>
          <w:right w:w="0" w:type="dxa"/>
        </w:tblCellMar>
        <w:tblLook w:val="01E0"/>
      </w:tblPr>
      <w:tblGrid>
        <w:gridCol w:w="9074"/>
      </w:tblGrid>
      <w:tr>
        <w:trPr>
          <w:trHeight w:val="355" w:hRule="exact"/>
        </w:trPr>
        <w:tc>
          <w:tcPr>
            <w:tcW w:w="9074" w:type="dxa"/>
            <w:tcBorders>
              <w:top w:val="single" w:sz="6" w:space="0" w:color="000000"/>
              <w:left w:val="nil" w:sz="6" w:space="0" w:color="auto"/>
              <w:bottom w:val="single" w:sz="12" w:space="0" w:color="000000"/>
              <w:right w:val="nil" w:sz="6" w:space="0" w:color="auto"/>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子公司名称</w:t>
            </w:r>
          </w:p>
        </w:tc>
      </w:tr>
      <w:tr>
        <w:trPr>
          <w:trHeight w:val="350"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吉林草还丹药业有限公司</w:t>
            </w:r>
          </w:p>
        </w:tc>
      </w:tr>
      <w:tr>
        <w:trPr>
          <w:trHeight w:val="353"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吉林紫鑫敦化医药药材有限公司</w:t>
            </w:r>
          </w:p>
        </w:tc>
      </w:tr>
      <w:tr>
        <w:trPr>
          <w:trHeight w:val="353"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吉林紫鑫初元药业有限公司</w:t>
            </w:r>
          </w:p>
        </w:tc>
      </w:tr>
      <w:tr>
        <w:trPr>
          <w:trHeight w:val="350"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吉林紫鑫般若药业有限公司</w:t>
            </w:r>
          </w:p>
        </w:tc>
      </w:tr>
      <w:tr>
        <w:trPr>
          <w:trHeight w:val="353"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吉林紫鑫禺拙药业有限公司</w:t>
            </w:r>
          </w:p>
        </w:tc>
      </w:tr>
      <w:tr>
        <w:trPr>
          <w:trHeight w:val="353"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吉林紫鑫红石种养殖有限公司</w:t>
            </w:r>
          </w:p>
        </w:tc>
      </w:tr>
      <w:tr>
        <w:trPr>
          <w:trHeight w:val="350"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吉林紫鑫人参销售有限公司</w:t>
            </w:r>
          </w:p>
        </w:tc>
      </w:tr>
      <w:tr>
        <w:trPr>
          <w:trHeight w:val="353"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吉林紫鑫人参研发有限公司</w:t>
            </w:r>
          </w:p>
        </w:tc>
      </w:tr>
      <w:tr>
        <w:trPr>
          <w:trHeight w:val="353"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吉林紫鑫药物研究有限公司</w:t>
            </w:r>
          </w:p>
        </w:tc>
      </w:tr>
      <w:tr>
        <w:trPr>
          <w:trHeight w:val="350"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吉林中科紫鑫科技有限公司</w:t>
            </w:r>
          </w:p>
        </w:tc>
      </w:tr>
      <w:tr>
        <w:trPr>
          <w:trHeight w:val="353"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北方环境能源交易所有限公司</w:t>
            </w:r>
          </w:p>
        </w:tc>
      </w:tr>
      <w:tr>
        <w:trPr>
          <w:trHeight w:val="353"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吉林紫鑫金桂药业有限公司</w:t>
            </w:r>
          </w:p>
        </w:tc>
      </w:tr>
    </w:tbl>
    <w:p>
      <w:pPr>
        <w:spacing w:after="0" w:line="262" w:lineRule="exact"/>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11"/>
        <w:rPr>
          <w:rFonts w:ascii="宋体" w:hAnsi="宋体" w:cs="宋体" w:eastAsia="宋体" w:hint="default"/>
          <w:sz w:val="2"/>
          <w:szCs w:val="2"/>
        </w:rPr>
      </w:pPr>
      <w:r>
        <w:rPr/>
        <w:pict>
          <v:group style="position:absolute;margin-left:55.200001pt;margin-top:55.559982pt;width:484.9pt;height:.1pt;mso-position-horizontal-relative:page;mso-position-vertical-relative:page;z-index:-1008520" coordorigin="1104,1111" coordsize="9698,2">
            <v:shape style="position:absolute;left:1104;top:1111;width:9698;height:2" coordorigin="1104,1111" coordsize="9698,0" path="m1104,1111l10802,1111e" filled="false" stroked="true" strokeweight=".72pt" strokecolor="#000000">
              <v:path arrowok="t"/>
            </v:shape>
            <w10:wrap type="none"/>
          </v:group>
        </w:pict>
      </w:r>
    </w:p>
    <w:tbl>
      <w:tblPr>
        <w:tblW w:w="0" w:type="auto"/>
        <w:jc w:val="left"/>
        <w:tblInd w:w="152" w:type="dxa"/>
        <w:tblLayout w:type="fixed"/>
        <w:tblCellMar>
          <w:top w:w="0" w:type="dxa"/>
          <w:left w:w="0" w:type="dxa"/>
          <w:bottom w:w="0" w:type="dxa"/>
          <w:right w:w="0" w:type="dxa"/>
        </w:tblCellMar>
        <w:tblLook w:val="01E0"/>
      </w:tblPr>
      <w:tblGrid>
        <w:gridCol w:w="9074"/>
      </w:tblGrid>
      <w:tr>
        <w:trPr>
          <w:trHeight w:val="692" w:hRule="exact"/>
        </w:trPr>
        <w:tc>
          <w:tcPr>
            <w:tcW w:w="9074" w:type="dxa"/>
            <w:tcBorders>
              <w:top w:val="single" w:sz="6" w:space="0" w:color="000000"/>
              <w:left w:val="nil" w:sz="6" w:space="0" w:color="auto"/>
              <w:bottom w:val="single" w:sz="12" w:space="0" w:color="000000"/>
              <w:right w:val="nil" w:sz="6" w:space="0" w:color="auto"/>
            </w:tcBorders>
          </w:tcPr>
          <w:p>
            <w:pPr>
              <w:pStyle w:val="TableParagraph"/>
              <w:spacing w:line="272" w:lineRule="exact"/>
              <w:ind w:left="12" w:right="0"/>
              <w:jc w:val="left"/>
              <w:rPr>
                <w:rFonts w:ascii="宋体" w:hAnsi="宋体" w:cs="宋体" w:eastAsia="宋体" w:hint="default"/>
                <w:sz w:val="21"/>
                <w:szCs w:val="21"/>
              </w:rPr>
            </w:pPr>
            <w:r>
              <w:rPr>
                <w:rFonts w:ascii="宋体" w:hAnsi="宋体" w:cs="宋体" w:eastAsia="宋体" w:hint="default"/>
                <w:sz w:val="21"/>
                <w:szCs w:val="21"/>
              </w:rPr>
              <w:t>吉林紫鑫高科技功能食品有限公司</w:t>
            </w:r>
          </w:p>
        </w:tc>
      </w:tr>
      <w:tr>
        <w:trPr>
          <w:trHeight w:val="350"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left="12" w:right="0"/>
              <w:jc w:val="left"/>
              <w:rPr>
                <w:rFonts w:ascii="Times New Roman" w:hAnsi="Times New Roman" w:cs="Times New Roman" w:eastAsia="Times New Roman" w:hint="default"/>
                <w:sz w:val="21"/>
                <w:szCs w:val="21"/>
              </w:rPr>
            </w:pPr>
            <w:r>
              <w:rPr>
                <w:rFonts w:ascii="Times New Roman"/>
                <w:sz w:val="21"/>
              </w:rPr>
              <w:t>Fytagoras</w:t>
            </w:r>
            <w:r>
              <w:rPr>
                <w:rFonts w:ascii="Times New Roman"/>
                <w:spacing w:val="-4"/>
                <w:sz w:val="21"/>
              </w:rPr>
              <w:t> </w:t>
            </w:r>
            <w:r>
              <w:rPr>
                <w:rFonts w:ascii="Times New Roman"/>
                <w:sz w:val="21"/>
              </w:rPr>
              <w:t>B.V.</w:t>
            </w:r>
          </w:p>
        </w:tc>
      </w:tr>
      <w:tr>
        <w:trPr>
          <w:trHeight w:val="353"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北京中科紫鑫科技有限责任公司（吉林中科紫鑫科技有限公司全资子公司）</w:t>
            </w:r>
          </w:p>
        </w:tc>
      </w:tr>
      <w:tr>
        <w:trPr>
          <w:trHeight w:val="353"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敦化市中科紫鑫科技有限公司（北京中科紫鑫科技有限责任公司全资子公司）</w:t>
            </w:r>
          </w:p>
        </w:tc>
      </w:tr>
      <w:tr>
        <w:trPr>
          <w:trHeight w:val="350"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香港中科紫鑫科技有限公司（吉林中科紫鑫科技有限公司全资子公司）</w:t>
            </w:r>
          </w:p>
        </w:tc>
      </w:tr>
      <w:tr>
        <w:trPr>
          <w:trHeight w:val="353"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吉林省众创碳资产管理有限公司（北方环境能源交易所有限公司全资子公司）</w:t>
            </w:r>
          </w:p>
        </w:tc>
      </w:tr>
      <w:tr>
        <w:trPr>
          <w:trHeight w:val="353"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吉林紫鑫参工堂生物科技有限公司</w:t>
            </w:r>
          </w:p>
        </w:tc>
      </w:tr>
      <w:tr>
        <w:trPr>
          <w:trHeight w:val="350"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吉林紫鑫汪清药业有限公司</w:t>
            </w:r>
          </w:p>
        </w:tc>
      </w:tr>
      <w:tr>
        <w:trPr>
          <w:trHeight w:val="353"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36"/>
              <w:ind w:left="12" w:right="0"/>
              <w:jc w:val="left"/>
              <w:rPr>
                <w:rFonts w:ascii="Times New Roman" w:hAnsi="Times New Roman" w:cs="Times New Roman" w:eastAsia="Times New Roman" w:hint="default"/>
                <w:sz w:val="21"/>
                <w:szCs w:val="21"/>
              </w:rPr>
            </w:pPr>
            <w:r>
              <w:rPr>
                <w:rFonts w:ascii="Times New Roman"/>
                <w:sz w:val="21"/>
              </w:rPr>
              <w:t>Zixin Pharmaceuticals USA</w:t>
            </w:r>
            <w:r>
              <w:rPr>
                <w:rFonts w:ascii="Times New Roman"/>
                <w:spacing w:val="-8"/>
                <w:sz w:val="21"/>
              </w:rPr>
              <w:t> </w:t>
            </w:r>
            <w:r>
              <w:rPr>
                <w:rFonts w:ascii="Times New Roman"/>
                <w:sz w:val="21"/>
              </w:rPr>
              <w:t>CORP</w:t>
            </w:r>
          </w:p>
        </w:tc>
      </w:tr>
      <w:tr>
        <w:trPr>
          <w:trHeight w:val="353"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吉林紫鑫桂鹤医药有限公司</w:t>
            </w:r>
          </w:p>
        </w:tc>
      </w:tr>
      <w:tr>
        <w:trPr>
          <w:trHeight w:val="350"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吉林紫鑫药业大药房有限公司</w:t>
            </w:r>
          </w:p>
        </w:tc>
      </w:tr>
      <w:tr>
        <w:trPr>
          <w:trHeight w:val="353"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吉林紫鑫医药产业园孵化器管理有限公司</w:t>
            </w:r>
          </w:p>
        </w:tc>
      </w:tr>
      <w:tr>
        <w:trPr>
          <w:trHeight w:val="353"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吉林紫鑫汉麻研发有限公司</w:t>
            </w:r>
          </w:p>
        </w:tc>
      </w:tr>
      <w:tr>
        <w:trPr>
          <w:trHeight w:val="353"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吉林紫鑫进出口贸易有限公司</w:t>
            </w:r>
          </w:p>
        </w:tc>
      </w:tr>
    </w:tbl>
    <w:p>
      <w:pPr>
        <w:pStyle w:val="BodyText"/>
        <w:spacing w:line="278" w:lineRule="exact" w:before="0"/>
        <w:ind w:left="573" w:right="0"/>
        <w:jc w:val="left"/>
      </w:pPr>
      <w:r>
        <w:rPr>
          <w:spacing w:val="-4"/>
        </w:rPr>
        <w:t>本期合并财务报表范围及其变化情况详见本附注</w:t>
      </w:r>
      <w:r>
        <w:rPr>
          <w:rFonts w:ascii="Times New Roman" w:hAnsi="Times New Roman" w:cs="Times New Roman" w:eastAsia="Times New Roman" w:hint="default"/>
          <w:spacing w:val="-4"/>
        </w:rPr>
        <w:t>“</w:t>
      </w:r>
      <w:r>
        <w:rPr>
          <w:spacing w:val="-4"/>
        </w:rPr>
        <w:t>六、合并范围的变更</w:t>
      </w:r>
      <w:r>
        <w:rPr>
          <w:rFonts w:ascii="Times New Roman" w:hAnsi="Times New Roman" w:cs="Times New Roman" w:eastAsia="Times New Roman" w:hint="default"/>
          <w:spacing w:val="-4"/>
        </w:rPr>
        <w:t>”</w:t>
      </w:r>
      <w:r>
        <w:rPr>
          <w:spacing w:val="-4"/>
        </w:rPr>
        <w:t>和</w:t>
      </w:r>
      <w:r>
        <w:rPr>
          <w:rFonts w:ascii="Times New Roman" w:hAnsi="Times New Roman" w:cs="Times New Roman" w:eastAsia="Times New Roman" w:hint="default"/>
          <w:spacing w:val="-4"/>
        </w:rPr>
        <w:t>“</w:t>
      </w:r>
      <w:r>
        <w:rPr>
          <w:spacing w:val="-4"/>
        </w:rPr>
        <w:t>七、在其他主体中的权益</w:t>
      </w:r>
      <w:r>
        <w:rPr>
          <w:rFonts w:ascii="Times New Roman" w:hAnsi="Times New Roman" w:cs="Times New Roman" w:eastAsia="Times New Roman" w:hint="default"/>
          <w:spacing w:val="-4"/>
        </w:rPr>
        <w:t>”</w:t>
      </w:r>
      <w:r>
        <w:rPr>
          <w:spacing w:val="-4"/>
        </w:rPr>
        <w:t>。</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bookmarkStart w:name="四、财务报表的编制基础" w:id="170"/>
      <w:bookmarkEnd w:id="170"/>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3"/>
        <w:jc w:val="left"/>
        <w:rPr>
          <w:b w:val="0"/>
          <w:bCs w:val="0"/>
        </w:rPr>
      </w:pPr>
      <w:bookmarkStart w:name="1、编制基础" w:id="171"/>
      <w:bookmarkEnd w:id="171"/>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8"/>
        <w:rPr>
          <w:rFonts w:ascii="宋体" w:hAnsi="宋体" w:cs="宋体" w:eastAsia="宋体" w:hint="default"/>
          <w:b/>
          <w:bCs/>
          <w:sz w:val="30"/>
          <w:szCs w:val="30"/>
        </w:rPr>
      </w:pPr>
    </w:p>
    <w:p>
      <w:pPr>
        <w:pStyle w:val="BodyText"/>
        <w:spacing w:line="386" w:lineRule="auto" w:before="0"/>
        <w:ind w:right="1128" w:firstLine="420"/>
        <w:jc w:val="both"/>
      </w:pPr>
      <w:r>
        <w:rPr>
          <w:spacing w:val="-2"/>
        </w:rPr>
        <w:t>本公司以持续经营为基础，根据实际发生的交易和事项，按照财政部颁布的《企业会计准则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w:t>
      </w:r>
      <w:r>
        <w:rPr>
          <w:spacing w:val="-3"/>
          <w:w w:val="100"/>
        </w:rPr>
        <w:t> </w:t>
      </w:r>
      <w:r>
        <w:rPr/>
        <w:t>准则》和各项具体会计准则、企业会计准则应用指南、企业会计准则解释及其他相关规定（以下合称</w:t>
      </w:r>
      <w:r>
        <w:rPr>
          <w:rFonts w:ascii="Times New Roman" w:hAnsi="Times New Roman" w:cs="Times New Roman" w:eastAsia="Times New Roman" w:hint="default"/>
        </w:rPr>
        <w:t>“</w:t>
      </w:r>
      <w:r>
        <w:rPr/>
        <w:t>企</w:t>
      </w:r>
      <w:r>
        <w:rPr>
          <w:spacing w:val="-11"/>
        </w:rPr>
        <w:t> </w:t>
      </w:r>
      <w:r>
        <w:rPr/>
        <w:t>业会计准则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44"/>
        </w:rPr>
        <w:t> </w:t>
      </w:r>
      <w:r>
        <w:rPr>
          <w:spacing w:val="-3"/>
        </w:rPr>
        <w:t>号</w:t>
      </w:r>
      <w:r>
        <w:rPr>
          <w:rFonts w:ascii="Times New Roman" w:hAnsi="Times New Roman" w:cs="Times New Roman" w:eastAsia="Times New Roman" w:hint="default"/>
          <w:spacing w:val="-3"/>
        </w:rPr>
        <w:t>——</w:t>
      </w:r>
      <w:r>
        <w:rPr>
          <w:spacing w:val="-3"/>
        </w:rPr>
        <w:t>财务</w:t>
      </w:r>
      <w:r>
        <w:rPr>
          <w:spacing w:val="-102"/>
        </w:rPr>
        <w:t> </w:t>
      </w:r>
      <w:r>
        <w:rPr/>
        <w:t>报告的一般规定》的披露规定编制财务报表。</w:t>
      </w:r>
    </w:p>
    <w:p>
      <w:pPr>
        <w:spacing w:line="240" w:lineRule="auto" w:before="0"/>
        <w:rPr>
          <w:rFonts w:ascii="宋体" w:hAnsi="宋体" w:cs="宋体" w:eastAsia="宋体" w:hint="default"/>
          <w:sz w:val="22"/>
          <w:szCs w:val="22"/>
        </w:rPr>
      </w:pPr>
    </w:p>
    <w:p>
      <w:pPr>
        <w:pStyle w:val="Heading5"/>
        <w:spacing w:line="240" w:lineRule="auto"/>
        <w:ind w:right="1133"/>
        <w:jc w:val="left"/>
        <w:rPr>
          <w:b w:val="0"/>
          <w:bCs w:val="0"/>
        </w:rPr>
      </w:pPr>
      <w:bookmarkStart w:name="2、持续经营" w:id="172"/>
      <w:bookmarkEnd w:id="172"/>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26" w:firstLine="420"/>
        <w:jc w:val="both"/>
      </w:pPr>
      <w:r>
        <w:rPr>
          <w:spacing w:val="-2"/>
        </w:rPr>
        <w:t>本公司主营业务符合国家产业政策，生产经营正常，盈利能力稳定。自报告期末起</w:t>
      </w:r>
      <w:r>
        <w:rPr>
          <w:rFonts w:ascii="宋体" w:hAnsi="宋体" w:cs="宋体" w:eastAsia="宋体" w:hint="default"/>
          <w:spacing w:val="-2"/>
        </w:rPr>
        <w:t>12</w:t>
      </w:r>
      <w:r>
        <w:rPr>
          <w:spacing w:val="-2"/>
        </w:rPr>
        <w:t>个月本公司持续</w:t>
      </w:r>
      <w:r>
        <w:rPr>
          <w:w w:val="100"/>
        </w:rPr>
        <w:t> </w:t>
      </w:r>
      <w:r>
        <w:rPr/>
        <w:t>经营能力不存在重大疑虑。</w:t>
      </w:r>
    </w:p>
    <w:p>
      <w:pPr>
        <w:spacing w:line="240" w:lineRule="auto" w:before="9"/>
        <w:rPr>
          <w:rFonts w:ascii="宋体" w:hAnsi="宋体" w:cs="宋体" w:eastAsia="宋体" w:hint="default"/>
          <w:sz w:val="18"/>
          <w:szCs w:val="18"/>
        </w:rPr>
      </w:pPr>
    </w:p>
    <w:p>
      <w:pPr>
        <w:pStyle w:val="Heading3"/>
        <w:spacing w:line="240" w:lineRule="auto"/>
        <w:ind w:right="1133"/>
        <w:jc w:val="left"/>
        <w:rPr>
          <w:b w:val="0"/>
          <w:bCs w:val="0"/>
        </w:rPr>
      </w:pPr>
      <w:bookmarkStart w:name="五、重要会计政策及会计估计" w:id="173"/>
      <w:bookmarkEnd w:id="173"/>
      <w:r>
        <w:rPr>
          <w:b w:val="0"/>
          <w:bCs w:val="0"/>
        </w:rPr>
      </w:r>
      <w:r>
        <w:rPr/>
        <w:t>五、重要会计政策及会计估计</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3"/>
        <w:rPr>
          <w:rFonts w:ascii="宋体" w:hAnsi="宋体" w:cs="宋体" w:eastAsia="宋体" w:hint="default"/>
          <w:sz w:val="13"/>
          <w:szCs w:val="13"/>
        </w:rPr>
      </w:pPr>
    </w:p>
    <w:p>
      <w:pPr>
        <w:pStyle w:val="BodyText"/>
        <w:spacing w:line="398" w:lineRule="auto" w:before="0"/>
        <w:ind w:right="1128" w:firstLine="420"/>
        <w:jc w:val="both"/>
      </w:pPr>
      <w:r>
        <w:rPr>
          <w:spacing w:val="2"/>
        </w:rPr>
        <w:t>以下披露内容已涵盖了本公司根据实际生产经营特点制定的具体会计政策和会计估计。详见本附注</w:t>
      </w:r>
      <w:r>
        <w:rPr>
          <w:w w:val="100"/>
        </w:rPr>
        <w:t> </w:t>
      </w:r>
      <w:r>
        <w:rPr/>
        <w:t>三、</w:t>
      </w: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t>应收款项坏账准备</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十六</w:t>
      </w:r>
      <w:r>
        <w:rPr>
          <w:rFonts w:ascii="Times New Roman" w:hAnsi="Times New Roman" w:cs="Times New Roman" w:eastAsia="Times New Roman" w:hint="default"/>
        </w:rPr>
        <w:t>) </w:t>
      </w:r>
      <w:r>
        <w:rPr/>
        <w:t>固定资产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二十</w:t>
      </w:r>
      <w:r>
        <w:rPr>
          <w:rFonts w:ascii="Times New Roman" w:hAnsi="Times New Roman" w:cs="Times New Roman" w:eastAsia="Times New Roman" w:hint="default"/>
        </w:rPr>
        <w:t>)</w:t>
      </w:r>
      <w:r>
        <w:rPr/>
        <w:t>无形资产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二十二</w:t>
      </w:r>
      <w:r>
        <w:rPr>
          <w:rFonts w:ascii="Times New Roman" w:hAnsi="Times New Roman" w:cs="Times New Roman" w:eastAsia="Times New Roman" w:hint="default"/>
        </w:rPr>
        <w:t>)</w:t>
      </w:r>
      <w:r>
        <w:rPr>
          <w:rFonts w:ascii="Times New Roman" w:hAnsi="Times New Roman" w:cs="Times New Roman" w:eastAsia="Times New Roman" w:hint="default"/>
          <w:spacing w:val="14"/>
        </w:rPr>
        <w:t> </w:t>
      </w:r>
      <w:r>
        <w:rPr/>
        <w:t>长期待摊费用</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二</w:t>
      </w:r>
      <w:r>
        <w:rPr>
          <w:w w:val="100"/>
        </w:rPr>
        <w:t> </w:t>
      </w:r>
      <w:r>
        <w:rPr/>
        <w:t>十五</w:t>
      </w:r>
      <w:r>
        <w:rPr>
          <w:rFonts w:ascii="Times New Roman" w:hAnsi="Times New Roman" w:cs="Times New Roman" w:eastAsia="Times New Roman" w:hint="default"/>
        </w:rPr>
        <w:t>)</w:t>
      </w:r>
      <w:r>
        <w:rPr>
          <w:rFonts w:ascii="Times New Roman" w:hAnsi="Times New Roman" w:cs="Times New Roman" w:eastAsia="Times New Roman" w:hint="default"/>
          <w:spacing w:val="32"/>
        </w:rPr>
        <w:t> </w:t>
      </w:r>
      <w:r>
        <w:rPr/>
        <w:t>收入</w:t>
      </w:r>
      <w:r>
        <w:rPr>
          <w:rFonts w:ascii="Times New Roman" w:hAnsi="Times New Roman" w:cs="Times New Roman" w:eastAsia="Times New Roman" w:hint="default"/>
        </w:rPr>
        <w:t>”</w:t>
      </w:r>
      <w:r>
        <w:rPr/>
        <w:t>。</w:t>
      </w:r>
    </w:p>
    <w:p>
      <w:pPr>
        <w:spacing w:after="0" w:line="398" w:lineRule="auto"/>
        <w:jc w:val="both"/>
        <w:sectPr>
          <w:pgSz w:w="11910" w:h="16840"/>
          <w:pgMar w:header="745" w:footer="980" w:top="1060" w:bottom="116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5"/>
        <w:spacing w:line="240" w:lineRule="auto" w:before="36"/>
        <w:ind w:right="1133"/>
        <w:jc w:val="left"/>
        <w:rPr>
          <w:b w:val="0"/>
          <w:bCs w:val="0"/>
        </w:rPr>
      </w:pPr>
      <w:bookmarkStart w:name="1、遵循企业会计准则的声明" w:id="174"/>
      <w:bookmarkEnd w:id="174"/>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0" w:firstLine="420"/>
        <w:jc w:val="left"/>
      </w:pPr>
      <w:r>
        <w:rPr>
          <w:spacing w:val="-5"/>
        </w:rPr>
        <w:t>本公司编制的财务报表符合企业会计准则的要求，真实、完整地反映了本公司的财务状况、经营成果、</w:t>
      </w:r>
      <w:r>
        <w:rPr>
          <w:w w:val="100"/>
        </w:rPr>
        <w:t> </w:t>
      </w:r>
      <w:r>
        <w:rPr/>
        <w:t>现金流量等有关信息。</w:t>
      </w:r>
    </w:p>
    <w:p>
      <w:pPr>
        <w:spacing w:line="240" w:lineRule="auto" w:before="8"/>
        <w:rPr>
          <w:rFonts w:ascii="宋体" w:hAnsi="宋体" w:cs="宋体" w:eastAsia="宋体" w:hint="default"/>
          <w:sz w:val="20"/>
          <w:szCs w:val="20"/>
        </w:rPr>
      </w:pPr>
    </w:p>
    <w:p>
      <w:pPr>
        <w:pStyle w:val="Heading5"/>
        <w:spacing w:line="240" w:lineRule="auto"/>
        <w:ind w:right="1133"/>
        <w:jc w:val="left"/>
        <w:rPr>
          <w:b w:val="0"/>
          <w:bCs w:val="0"/>
        </w:rPr>
      </w:pPr>
      <w:bookmarkStart w:name="2、会计期间" w:id="175"/>
      <w:bookmarkEnd w:id="175"/>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3" w:right="1133"/>
        <w:jc w:val="left"/>
      </w:pPr>
      <w:r>
        <w:rPr/>
        <w:t>本公司自公历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7"/>
        <w:rPr>
          <w:rFonts w:ascii="宋体" w:hAnsi="宋体" w:cs="宋体" w:eastAsia="宋体" w:hint="default"/>
          <w:sz w:val="24"/>
          <w:szCs w:val="24"/>
        </w:rPr>
      </w:pPr>
    </w:p>
    <w:p>
      <w:pPr>
        <w:pStyle w:val="Heading5"/>
        <w:spacing w:line="240" w:lineRule="auto"/>
        <w:ind w:right="1133"/>
        <w:jc w:val="left"/>
        <w:rPr>
          <w:b w:val="0"/>
          <w:bCs w:val="0"/>
        </w:rPr>
      </w:pPr>
      <w:bookmarkStart w:name="3、营业周期" w:id="176"/>
      <w:bookmarkEnd w:id="176"/>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573" w:right="1133"/>
        <w:jc w:val="left"/>
      </w:pPr>
      <w:r>
        <w:rPr/>
        <w:t>本公司营业周期为</w:t>
      </w:r>
      <w:r>
        <w:rPr>
          <w:rFonts w:ascii="Times New Roman" w:hAnsi="Times New Roman" w:cs="Times New Roman" w:eastAsia="Times New Roman" w:hint="default"/>
        </w:rPr>
        <w:t>12</w:t>
      </w:r>
      <w:r>
        <w:rPr/>
        <w:t>个月。</w:t>
      </w:r>
    </w:p>
    <w:p>
      <w:pPr>
        <w:spacing w:line="240" w:lineRule="auto" w:before="7"/>
        <w:rPr>
          <w:rFonts w:ascii="宋体" w:hAnsi="宋体" w:cs="宋体" w:eastAsia="宋体" w:hint="default"/>
          <w:sz w:val="24"/>
          <w:szCs w:val="24"/>
        </w:rPr>
      </w:pPr>
    </w:p>
    <w:p>
      <w:pPr>
        <w:pStyle w:val="Heading5"/>
        <w:spacing w:line="240" w:lineRule="auto"/>
        <w:ind w:right="1133"/>
        <w:jc w:val="left"/>
        <w:rPr>
          <w:b w:val="0"/>
          <w:bCs w:val="0"/>
        </w:rPr>
      </w:pPr>
      <w:bookmarkStart w:name="4、记账本位币" w:id="177"/>
      <w:bookmarkEnd w:id="177"/>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3" w:right="1133"/>
        <w:jc w:val="left"/>
      </w:pPr>
      <w:r>
        <w:rPr/>
        <w:t>本公司采用人民币为记账本位币。</w:t>
      </w:r>
    </w:p>
    <w:p>
      <w:pPr>
        <w:spacing w:line="692" w:lineRule="exact" w:before="29"/>
        <w:ind w:left="566" w:right="1133" w:hanging="414"/>
        <w:jc w:val="left"/>
        <w:rPr>
          <w:rFonts w:ascii="宋体" w:hAnsi="宋体" w:cs="宋体" w:eastAsia="宋体" w:hint="default"/>
          <w:sz w:val="21"/>
          <w:szCs w:val="21"/>
        </w:rPr>
      </w:pPr>
      <w:bookmarkStart w:name="5、同一控制下和非同一控制下企业合并的会计处理方法" w:id="178"/>
      <w:bookmarkEnd w:id="17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企业合并是指将两个或者两个以上单独的企业合并形成一个报告主体的交易或事项。企业合并分为同</w:t>
      </w:r>
    </w:p>
    <w:p>
      <w:pPr>
        <w:pStyle w:val="BodyText"/>
        <w:spacing w:line="408" w:lineRule="auto" w:before="84"/>
        <w:ind w:left="566" w:right="1133" w:hanging="414"/>
        <w:jc w:val="left"/>
      </w:pPr>
      <w:r>
        <w:rPr/>
        <w:t>一控制下的企业合并和非同一控制下的企业合并。</w:t>
      </w:r>
      <w:r>
        <w:rPr>
          <w:w w:val="100"/>
        </w:rPr>
        <w:t> </w:t>
      </w:r>
      <w:r>
        <w:rPr>
          <w:spacing w:val="-2"/>
        </w:rPr>
        <w:t>公司在合并日或购买日确认因企业合并取得的资产、负债。合并日或购买日是指合并方或购买方实际</w:t>
      </w:r>
    </w:p>
    <w:p>
      <w:pPr>
        <w:pStyle w:val="BodyText"/>
        <w:spacing w:line="408" w:lineRule="auto"/>
        <w:ind w:right="1133"/>
        <w:jc w:val="left"/>
      </w:pPr>
      <w:r>
        <w:rPr>
          <w:spacing w:val="-2"/>
        </w:rPr>
        <w:t>取得对被合并方或被购买方控制权的日期，即被合并方或被购买方的净资产或生产经营决策的控制权转移</w:t>
      </w:r>
      <w:r>
        <w:rPr>
          <w:spacing w:val="-43"/>
        </w:rPr>
        <w:t> </w:t>
      </w:r>
      <w:r>
        <w:rPr>
          <w:spacing w:val="-43"/>
        </w:rPr>
      </w:r>
      <w:r>
        <w:rPr/>
        <w:t>给合并方或购买方的日期。</w:t>
      </w:r>
    </w:p>
    <w:p>
      <w:pPr>
        <w:pStyle w:val="BodyText"/>
        <w:spacing w:line="386" w:lineRule="auto"/>
        <w:ind w:left="573" w:right="1133" w:hanging="8"/>
        <w:jc w:val="left"/>
      </w:pPr>
      <w:r>
        <w:rPr>
          <w:rFonts w:ascii="Times New Roman" w:hAnsi="Times New Roman" w:cs="Times New Roman" w:eastAsia="Times New Roman" w:hint="default"/>
        </w:rPr>
        <w:t>1</w:t>
      </w:r>
      <w:r>
        <w:rPr/>
        <w:t>、同一控制下的企业合并</w:t>
      </w:r>
      <w:r>
        <w:rPr>
          <w:w w:val="100"/>
        </w:rPr>
        <w:t> </w:t>
      </w:r>
      <w:r>
        <w:rPr>
          <w:spacing w:val="-2"/>
        </w:rPr>
        <w:t>本公司在企业合并中取得的资产和负债，按照合并日在被合并方在最终控制方合并财务报表中的账面</w:t>
      </w:r>
    </w:p>
    <w:p>
      <w:pPr>
        <w:pStyle w:val="BodyText"/>
        <w:spacing w:line="408" w:lineRule="auto" w:before="65"/>
        <w:ind w:right="0"/>
        <w:jc w:val="left"/>
      </w:pPr>
      <w:r>
        <w:rPr>
          <w:spacing w:val="-5"/>
        </w:rPr>
        <w:t>价值计量。被合并各方采用的会计政策与本公司不一致的，本公司在合并日按照本公司会计政策进行调整，</w:t>
      </w:r>
      <w:r>
        <w:rPr>
          <w:spacing w:val="-6"/>
        </w:rPr>
        <w:t> </w:t>
      </w:r>
      <w:r>
        <w:rPr>
          <w:spacing w:val="-6"/>
        </w:rPr>
      </w:r>
      <w:r>
        <w:rPr/>
        <w:t>在此基础上按照调整后的账面价值确认。</w:t>
      </w:r>
    </w:p>
    <w:p>
      <w:pPr>
        <w:pStyle w:val="BodyText"/>
        <w:spacing w:line="410" w:lineRule="auto"/>
        <w:ind w:right="1133" w:firstLine="420"/>
        <w:jc w:val="left"/>
      </w:pPr>
      <w:r>
        <w:rPr>
          <w:spacing w:val="-2"/>
        </w:rPr>
        <w:t>在合并中取得的净资产账面价值与支付的合并对价账面价值（或发行股份面值总额）的差额，调整资</w:t>
      </w:r>
      <w:r>
        <w:rPr>
          <w:w w:val="100"/>
        </w:rPr>
        <w:t> </w:t>
      </w:r>
      <w:r>
        <w:rPr/>
        <w:t>本公积中的股本溢价，资本公积中的股本溢价不足冲减的，调整留存收益。</w:t>
      </w:r>
    </w:p>
    <w:p>
      <w:pPr>
        <w:pStyle w:val="BodyText"/>
        <w:spacing w:line="408" w:lineRule="auto" w:before="44"/>
        <w:ind w:right="1133" w:firstLine="420"/>
        <w:jc w:val="left"/>
      </w:pPr>
      <w:r>
        <w:rPr>
          <w:spacing w:val="-2"/>
        </w:rPr>
        <w:t>本公司为进行企业合并而发生的各项直接相关费用，包括为进行企业合并而支付的审计费用、评估费</w:t>
      </w:r>
      <w:r>
        <w:rPr>
          <w:w w:val="100"/>
        </w:rPr>
        <w:t> </w:t>
      </w:r>
      <w:r>
        <w:rPr/>
        <w:t>用、法律服务费等，于发生时计入当期损益。</w:t>
      </w:r>
    </w:p>
    <w:p>
      <w:pPr>
        <w:pStyle w:val="BodyText"/>
        <w:spacing w:line="408" w:lineRule="auto"/>
        <w:ind w:right="0" w:firstLine="420"/>
        <w:jc w:val="left"/>
      </w:pPr>
      <w:r>
        <w:rPr>
          <w:spacing w:val="-5"/>
        </w:rPr>
        <w:t>企业合并中发行权益性证券发生的手续费、佣金等，抵减权益性证券溢价收入，溢价收入不足冲减的，</w:t>
      </w:r>
      <w:r>
        <w:rPr>
          <w:w w:val="100"/>
        </w:rPr>
        <w:t> </w:t>
      </w:r>
      <w:r>
        <w:rPr/>
        <w:t>冲减留存收益。</w:t>
      </w:r>
    </w:p>
    <w:p>
      <w:pPr>
        <w:pStyle w:val="BodyText"/>
        <w:spacing w:line="240" w:lineRule="auto"/>
        <w:ind w:left="566" w:right="1133"/>
        <w:jc w:val="left"/>
      </w:pPr>
      <w:r>
        <w:rPr>
          <w:rFonts w:ascii="Times New Roman" w:hAnsi="Times New Roman" w:cs="Times New Roman" w:eastAsia="Times New Roman" w:hint="default"/>
        </w:rPr>
        <w:t>2</w:t>
      </w:r>
      <w:r>
        <w:rPr/>
        <w:t>、非同一控制下的合并</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firstLine="413"/>
        <w:jc w:val="both"/>
      </w:pPr>
      <w:r>
        <w:rPr>
          <w:spacing w:val="-2"/>
        </w:rPr>
        <w:t>本公司在购买日对作为企业合并对价付出的资产、发生或承担的负债按照公允价值计量。公允价值与</w:t>
      </w:r>
      <w:r>
        <w:rPr>
          <w:w w:val="100"/>
        </w:rPr>
        <w:t> </w:t>
      </w:r>
      <w:r>
        <w:rPr/>
        <w:t>其账面价值的差额，计入当期损益。</w:t>
      </w:r>
    </w:p>
    <w:p>
      <w:pPr>
        <w:pStyle w:val="BodyText"/>
        <w:spacing w:line="408" w:lineRule="auto"/>
        <w:ind w:right="1126" w:firstLine="413"/>
        <w:jc w:val="both"/>
      </w:pPr>
      <w:r>
        <w:rPr>
          <w:spacing w:val="-2"/>
        </w:rPr>
        <w:t>本公司在购买日对合并成本进行分配，确认所取得的被购买方各项可辨认资产、负债及或有负债的公</w:t>
      </w:r>
      <w:r>
        <w:rPr>
          <w:w w:val="100"/>
        </w:rPr>
        <w:t> </w:t>
      </w:r>
      <w:r>
        <w:rPr/>
        <w:t>允价值。</w:t>
      </w:r>
    </w:p>
    <w:p>
      <w:pPr>
        <w:pStyle w:val="BodyText"/>
        <w:spacing w:line="408" w:lineRule="auto"/>
        <w:ind w:right="1126" w:firstLine="413"/>
        <w:jc w:val="both"/>
      </w:pPr>
      <w:r>
        <w:rPr>
          <w:spacing w:val="-2"/>
        </w:rPr>
        <w:t>本公司对合并成本大于合并中取得的被购买方可辨认净资产公允价值份额的差额，确认为商誉；合并</w:t>
      </w:r>
      <w:r>
        <w:rPr>
          <w:w w:val="100"/>
        </w:rPr>
        <w:t> </w:t>
      </w:r>
      <w:r>
        <w:rPr/>
        <w:t>成本小于合并中取得的被购买方可辨认净资产公允价值份额的差额，经复核后，计入当期损益。</w:t>
      </w:r>
    </w:p>
    <w:p>
      <w:pPr>
        <w:pStyle w:val="BodyText"/>
        <w:spacing w:line="408" w:lineRule="auto"/>
        <w:ind w:right="1126" w:firstLine="413"/>
        <w:jc w:val="both"/>
      </w:pPr>
      <w:r>
        <w:rPr>
          <w:spacing w:val="-2"/>
        </w:rPr>
        <w:t>企业合并中取得的被购买方除无形资产外的其他各项资产（不仅限于被购买方原已确认的资产），其</w:t>
      </w:r>
      <w:r>
        <w:rPr>
          <w:w w:val="100"/>
        </w:rPr>
        <w:t> </w:t>
      </w:r>
      <w:r>
        <w:rPr>
          <w:spacing w:val="-2"/>
        </w:rPr>
        <w:t>所带来的经济利益很可能流入本公司且公允价值能够可靠计量的，单独确认并按公允价值计量；公允价值</w:t>
      </w:r>
      <w:r>
        <w:rPr>
          <w:spacing w:val="-42"/>
        </w:rPr>
        <w:t> </w:t>
      </w:r>
      <w:r>
        <w:rPr>
          <w:spacing w:val="-42"/>
        </w:rPr>
      </w:r>
      <w:r>
        <w:rPr>
          <w:spacing w:val="-2"/>
        </w:rPr>
        <w:t>能够可靠计量的无形资产，单独确认为无形资产并按公允价值计量；取得的被购买方除或有负债以外的其</w:t>
      </w:r>
      <w:r>
        <w:rPr>
          <w:spacing w:val="-44"/>
        </w:rPr>
        <w:t> </w:t>
      </w:r>
      <w:r>
        <w:rPr>
          <w:spacing w:val="-44"/>
        </w:rPr>
      </w:r>
      <w:r>
        <w:rPr>
          <w:spacing w:val="-2"/>
        </w:rPr>
        <w:t>他各项负债，履行有关义务很可能导致经济利益流出本公司且公允价值能够可靠计量的，单独确认并按照</w:t>
      </w:r>
      <w:r>
        <w:rPr>
          <w:spacing w:val="-44"/>
        </w:rPr>
        <w:t> </w:t>
      </w:r>
      <w:r>
        <w:rPr>
          <w:spacing w:val="-44"/>
        </w:rPr>
      </w:r>
      <w:r>
        <w:rPr>
          <w:spacing w:val="-2"/>
        </w:rPr>
        <w:t>公允价值计量；取得的被购买方或有负债，其公允价值能可靠计量的，单独确认为负债并按照公允价值计</w:t>
      </w:r>
      <w:r>
        <w:rPr>
          <w:spacing w:val="-44"/>
        </w:rPr>
        <w:t> </w:t>
      </w:r>
      <w:r>
        <w:rPr>
          <w:spacing w:val="-44"/>
        </w:rPr>
      </w:r>
      <w:r>
        <w:rPr/>
        <w:t>量。</w:t>
      </w:r>
    </w:p>
    <w:p>
      <w:pPr>
        <w:pStyle w:val="BodyText"/>
        <w:spacing w:line="403" w:lineRule="auto"/>
        <w:ind w:right="1126" w:firstLine="413"/>
        <w:jc w:val="both"/>
      </w:pPr>
      <w:r>
        <w:rPr>
          <w:spacing w:val="-2"/>
        </w:rPr>
        <w:t>本公司在企业合并中取得的被购买方的可抵扣暂时性差异，在购买日不符合递延所得税资产确认条件</w:t>
      </w:r>
      <w:r>
        <w:rPr>
          <w:w w:val="100"/>
        </w:rPr>
        <w:t> </w:t>
      </w:r>
      <w:r>
        <w:rPr>
          <w:spacing w:val="-2"/>
        </w:rPr>
        <w:t>的，不予以确认。购买日后</w:t>
      </w:r>
      <w:r>
        <w:rPr>
          <w:rFonts w:ascii="Times New Roman" w:hAnsi="Times New Roman" w:cs="Times New Roman" w:eastAsia="Times New Roman" w:hint="default"/>
          <w:spacing w:val="-2"/>
        </w:rPr>
        <w:t>12</w:t>
      </w:r>
      <w:r>
        <w:rPr>
          <w:spacing w:val="-2"/>
        </w:rPr>
        <w:t>个月内，如取得新的或进一步的信息表明购买日的相关情况已经存在，预期</w:t>
      </w:r>
      <w:r>
        <w:rPr>
          <w:spacing w:val="-45"/>
        </w:rPr>
        <w:t> </w:t>
      </w:r>
      <w:r>
        <w:rPr>
          <w:spacing w:val="-45"/>
        </w:rPr>
      </w:r>
      <w:r>
        <w:rPr>
          <w:spacing w:val="-2"/>
        </w:rPr>
        <w:t>被购买方在购买日可抵扣暂时性差异带来的经济利益能够实现的，确认相关的递延所得税资产，同时减少</w:t>
      </w:r>
      <w:r>
        <w:rPr>
          <w:spacing w:val="-42"/>
        </w:rPr>
        <w:t> </w:t>
      </w:r>
      <w:r>
        <w:rPr>
          <w:spacing w:val="-42"/>
        </w:rPr>
      </w:r>
      <w:r>
        <w:rPr>
          <w:spacing w:val="-2"/>
        </w:rPr>
        <w:t>商誉，商誉不足冲减的，差额部分确认为当期损益；除上述情况以外，确认与企业合并相关的递延所得税</w:t>
      </w:r>
      <w:r>
        <w:rPr>
          <w:spacing w:val="-44"/>
        </w:rPr>
        <w:t> </w:t>
      </w:r>
      <w:r>
        <w:rPr>
          <w:spacing w:val="-44"/>
        </w:rPr>
      </w:r>
      <w:r>
        <w:rPr/>
        <w:t>资产，计入当期损益。</w:t>
      </w:r>
    </w:p>
    <w:p>
      <w:pPr>
        <w:pStyle w:val="BodyText"/>
        <w:spacing w:line="408" w:lineRule="auto" w:before="50"/>
        <w:ind w:right="1126" w:firstLine="413"/>
        <w:jc w:val="both"/>
      </w:pPr>
      <w:r>
        <w:rPr>
          <w:spacing w:val="-2"/>
        </w:rPr>
        <w:t>非同一控制下企业合并，购买方为企业合并发生的审计、法律服务、评估咨询等中介费用以及其他相</w:t>
      </w:r>
      <w:r>
        <w:rPr>
          <w:w w:val="100"/>
        </w:rPr>
        <w:t> </w:t>
      </w:r>
      <w:r>
        <w:rPr>
          <w:spacing w:val="-2"/>
        </w:rPr>
        <w:t>关管理费用，应当于发生时计入当期损益；购买方作为合并对价发行的权益性证券或债务性证券的交易费</w:t>
      </w:r>
      <w:r>
        <w:rPr>
          <w:spacing w:val="-44"/>
        </w:rPr>
        <w:t> </w:t>
      </w:r>
      <w:r>
        <w:rPr>
          <w:spacing w:val="-44"/>
        </w:rPr>
      </w:r>
      <w:r>
        <w:rPr/>
        <w:t>用，应当计入权益性证券或债务性证券的初始确认金额。</w:t>
      </w:r>
    </w:p>
    <w:p>
      <w:pPr>
        <w:spacing w:line="240" w:lineRule="auto" w:before="8"/>
        <w:rPr>
          <w:rFonts w:ascii="宋体" w:hAnsi="宋体" w:cs="宋体" w:eastAsia="宋体" w:hint="default"/>
          <w:sz w:val="20"/>
          <w:szCs w:val="20"/>
        </w:rPr>
      </w:pPr>
    </w:p>
    <w:p>
      <w:pPr>
        <w:pStyle w:val="Heading5"/>
        <w:spacing w:line="240" w:lineRule="auto"/>
        <w:ind w:right="1133"/>
        <w:jc w:val="left"/>
        <w:rPr>
          <w:b w:val="0"/>
          <w:bCs w:val="0"/>
        </w:rPr>
      </w:pPr>
      <w:bookmarkStart w:name="6、合并财务报表的编制方法" w:id="179"/>
      <w:bookmarkEnd w:id="179"/>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6"/>
        <w:rPr>
          <w:rFonts w:ascii="宋体" w:hAnsi="宋体" w:cs="宋体" w:eastAsia="宋体" w:hint="default"/>
          <w:b/>
          <w:bCs/>
          <w:sz w:val="30"/>
          <w:szCs w:val="30"/>
        </w:rPr>
      </w:pPr>
    </w:p>
    <w:p>
      <w:pPr>
        <w:spacing w:line="398" w:lineRule="auto" w:before="0"/>
        <w:ind w:left="573" w:right="211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、合并范围</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本公司合并财务报表的合并范围以控制为基础确定，所有子公司均纳入合并财务报表。</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、合并程序</w:t>
      </w:r>
      <w:r>
        <w:rPr>
          <w:rFonts w:ascii="宋体" w:hAnsi="宋体" w:cs="宋体" w:eastAsia="宋体" w:hint="default"/>
          <w:sz w:val="21"/>
          <w:szCs w:val="21"/>
        </w:rPr>
      </w:r>
    </w:p>
    <w:p>
      <w:pPr>
        <w:pStyle w:val="BodyText"/>
        <w:spacing w:line="408" w:lineRule="auto" w:before="24"/>
        <w:ind w:right="1126" w:firstLine="420"/>
        <w:jc w:val="both"/>
      </w:pPr>
      <w:r>
        <w:rPr>
          <w:spacing w:val="-2"/>
        </w:rPr>
        <w:t>本公司以自身和各子公司的财务报表为基础，根据其他有关资料，编制合并财务报表。本公司编制合</w:t>
      </w:r>
      <w:r>
        <w:rPr>
          <w:w w:val="100"/>
        </w:rPr>
        <w:t> </w:t>
      </w:r>
      <w:r>
        <w:rPr>
          <w:spacing w:val="-2"/>
        </w:rPr>
        <w:t>并财务报表，将整个企业集团视为一个会计主体，依据相关企业会计准则的确认、计量和列报要求，按照</w:t>
      </w:r>
      <w:r>
        <w:rPr>
          <w:spacing w:val="-47"/>
        </w:rPr>
        <w:t> </w:t>
      </w:r>
      <w:r>
        <w:rPr>
          <w:spacing w:val="-47"/>
        </w:rPr>
      </w:r>
      <w:r>
        <w:rPr/>
        <w:t>统一的会计政策，反映本企业集团整体财务状况、经营成果和现金流量。</w:t>
      </w:r>
    </w:p>
    <w:p>
      <w:pPr>
        <w:pStyle w:val="BodyText"/>
        <w:spacing w:line="408" w:lineRule="auto"/>
        <w:ind w:right="1126" w:firstLine="420"/>
        <w:jc w:val="both"/>
      </w:pPr>
      <w:r>
        <w:rPr>
          <w:spacing w:val="-2"/>
        </w:rPr>
        <w:t>所有纳入合并财务报表合并范围的子公司所采用的会计政策、会计期间与本公司一致，如子公司采用</w:t>
      </w:r>
      <w:r>
        <w:rPr>
          <w:w w:val="100"/>
        </w:rPr>
        <w:t> </w:t>
      </w:r>
      <w:r>
        <w:rPr>
          <w:spacing w:val="-2"/>
        </w:rPr>
        <w:t>的会计政策、会计期间与本公司不一致的，在编制合并财务报表时，按本公司的会计政策、会计期间进行</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jc w:val="both"/>
      </w:pPr>
      <w:r>
        <w:rPr>
          <w:spacing w:val="-2"/>
        </w:rPr>
        <w:t>必要的调整。对于非同一控制下企业合并取得的子公司，以购买日可辨认净资产公允价值为基础对其财务</w:t>
      </w:r>
      <w:r>
        <w:rPr>
          <w:spacing w:val="-43"/>
        </w:rPr>
        <w:t> </w:t>
      </w:r>
      <w:r>
        <w:rPr>
          <w:spacing w:val="-43"/>
        </w:rPr>
      </w:r>
      <w:r>
        <w:rPr>
          <w:spacing w:val="-2"/>
        </w:rPr>
        <w:t>报表进行调整。合并财务报表以本公司及子公司的财务报表为基础，根据其他有关资料，按照权益法调整</w:t>
      </w:r>
      <w:r>
        <w:rPr>
          <w:spacing w:val="-44"/>
        </w:rPr>
        <w:t> </w:t>
      </w:r>
      <w:r>
        <w:rPr>
          <w:spacing w:val="-44"/>
        </w:rPr>
      </w:r>
      <w:r>
        <w:rPr/>
        <w:t>对子公司的长期股权投资后，由本公司编制。</w:t>
      </w:r>
    </w:p>
    <w:p>
      <w:pPr>
        <w:pStyle w:val="BodyText"/>
        <w:spacing w:line="408" w:lineRule="auto"/>
        <w:ind w:right="1126" w:firstLine="420"/>
        <w:jc w:val="both"/>
      </w:pPr>
      <w:r>
        <w:rPr>
          <w:spacing w:val="-2"/>
        </w:rPr>
        <w:t>合并财务报表时抵销本公司与各子公司、各子公司相互之间发生的内部交易对合并资产负债表、合并</w:t>
      </w:r>
      <w:r>
        <w:rPr>
          <w:w w:val="100"/>
        </w:rPr>
        <w:t> </w:t>
      </w:r>
      <w:r>
        <w:rPr/>
        <w:t>利润表、合并现金流量表、合并所有者权益变动表的影响。</w:t>
      </w:r>
    </w:p>
    <w:p>
      <w:pPr>
        <w:pStyle w:val="BodyText"/>
        <w:spacing w:line="408" w:lineRule="auto"/>
        <w:ind w:right="1126" w:firstLine="420"/>
        <w:jc w:val="both"/>
      </w:pPr>
      <w:r>
        <w:rPr>
          <w:spacing w:val="2"/>
        </w:rPr>
        <w:t>子公司少数股东应占的权益和损益分别在合并资产负债表中所有者权益项目下和合并利润表中净利</w:t>
      </w:r>
      <w:r>
        <w:rPr>
          <w:w w:val="100"/>
        </w:rPr>
        <w:t> </w:t>
      </w:r>
      <w:r>
        <w:rPr>
          <w:spacing w:val="-2"/>
        </w:rPr>
        <w:t>润项目下单独列示。子公司少数股东分担的当期亏损超过了少数股东在该子公司期初所有者权益中所享有</w:t>
      </w:r>
      <w:r>
        <w:rPr>
          <w:spacing w:val="-43"/>
        </w:rPr>
        <w:t> </w:t>
      </w:r>
      <w:r>
        <w:rPr>
          <w:spacing w:val="-43"/>
        </w:rPr>
      </w:r>
      <w:r>
        <w:rPr/>
        <w:t>份额而形成的余额，冲减少数股东权益。</w:t>
      </w:r>
    </w:p>
    <w:p>
      <w:pPr>
        <w:pStyle w:val="BodyText"/>
        <w:spacing w:line="408" w:lineRule="auto"/>
        <w:ind w:right="1126" w:firstLine="420"/>
        <w:jc w:val="both"/>
      </w:pPr>
      <w:r>
        <w:rPr>
          <w:spacing w:val="-2"/>
        </w:rPr>
        <w:t>在报告期内，若因同一控制下企业合并增加子公司的，则调整合并资产负债表的期初数；将子公司合</w:t>
      </w:r>
      <w:r>
        <w:rPr>
          <w:w w:val="100"/>
        </w:rPr>
        <w:t> </w:t>
      </w:r>
      <w:r>
        <w:rPr>
          <w:spacing w:val="-2"/>
        </w:rPr>
        <w:t>并当期期初至报告期末的收入、费用、利润纳入合并利润表；将子公司合并当期期初至报告期末的现金流</w:t>
      </w:r>
      <w:r>
        <w:rPr>
          <w:spacing w:val="-44"/>
        </w:rPr>
        <w:t> </w:t>
      </w:r>
      <w:r>
        <w:rPr>
          <w:spacing w:val="-44"/>
        </w:rPr>
      </w:r>
      <w:r>
        <w:rPr>
          <w:spacing w:val="-2"/>
        </w:rPr>
        <w:t>量纳入合并现金流量表，同时对比较报表的相关项目进行调整，视同合并后的报告主体在以前期间一直存</w:t>
      </w:r>
      <w:r>
        <w:rPr>
          <w:spacing w:val="-43"/>
        </w:rPr>
        <w:t> </w:t>
      </w:r>
      <w:r>
        <w:rPr>
          <w:spacing w:val="-43"/>
        </w:rPr>
      </w:r>
      <w:r>
        <w:rPr/>
        <w:t>在。</w:t>
      </w:r>
    </w:p>
    <w:p>
      <w:pPr>
        <w:pStyle w:val="BodyText"/>
        <w:spacing w:line="408" w:lineRule="auto"/>
        <w:ind w:right="1126" w:firstLine="420"/>
        <w:jc w:val="both"/>
      </w:pPr>
      <w:r>
        <w:rPr>
          <w:spacing w:val="-2"/>
        </w:rPr>
        <w:t>在报告期内，若因非同一控制下企业合并增加子公司的，则不调整合并资产负债表期初数；将子公司</w:t>
      </w:r>
      <w:r>
        <w:rPr>
          <w:w w:val="100"/>
        </w:rPr>
        <w:t> </w:t>
      </w:r>
      <w:r>
        <w:rPr>
          <w:spacing w:val="-2"/>
        </w:rPr>
        <w:t>自购买日至报告期末的收入、费用、利润纳入合并利润表；该子公司自购买日至报告期末的现金流量纳入</w:t>
      </w:r>
      <w:r>
        <w:rPr>
          <w:spacing w:val="-43"/>
        </w:rPr>
        <w:t> </w:t>
      </w:r>
      <w:r>
        <w:rPr>
          <w:spacing w:val="-43"/>
        </w:rPr>
      </w:r>
      <w:r>
        <w:rPr>
          <w:spacing w:val="-2"/>
        </w:rPr>
        <w:t>合并现金流量表。通过多次交易分步实现非同一控制下企业合并时，对于购买日之前持有的被购买方的股</w:t>
      </w:r>
      <w:r>
        <w:rPr>
          <w:spacing w:val="-44"/>
        </w:rPr>
        <w:t> </w:t>
      </w:r>
      <w:r>
        <w:rPr>
          <w:spacing w:val="-44"/>
        </w:rPr>
      </w:r>
      <w:r>
        <w:rPr>
          <w:spacing w:val="-2"/>
        </w:rPr>
        <w:t>权，本公司按照该股权在购买日的公允价值进行重新计量，公允价值与其账面价值的差额计入当期投资收</w:t>
      </w:r>
      <w:r>
        <w:rPr>
          <w:spacing w:val="-44"/>
        </w:rPr>
        <w:t> </w:t>
      </w:r>
      <w:r>
        <w:rPr>
          <w:spacing w:val="-44"/>
        </w:rPr>
      </w:r>
      <w:r>
        <w:rPr>
          <w:spacing w:val="-2"/>
        </w:rPr>
        <w:t>益。购买日之前持有的被购买方的股权涉及其他综合收益的，与其相关的其他综合收益转为购买日所属当</w:t>
      </w:r>
      <w:r>
        <w:rPr>
          <w:spacing w:val="-43"/>
        </w:rPr>
        <w:t> </w:t>
      </w:r>
      <w:r>
        <w:rPr>
          <w:spacing w:val="-43"/>
        </w:rPr>
      </w:r>
      <w:r>
        <w:rPr/>
        <w:t>期投资收益。</w:t>
      </w:r>
    </w:p>
    <w:p>
      <w:pPr>
        <w:pStyle w:val="BodyText"/>
        <w:spacing w:line="408" w:lineRule="auto"/>
        <w:ind w:right="1126" w:firstLine="420"/>
        <w:jc w:val="both"/>
      </w:pPr>
      <w:r>
        <w:rPr>
          <w:spacing w:val="-2"/>
        </w:rPr>
        <w:t>在报告期内，本公司处置子公司，则该子公司期初至处置日的收入、费用、利润纳入合并利润表；该</w:t>
      </w:r>
      <w:r>
        <w:rPr>
          <w:w w:val="100"/>
        </w:rPr>
        <w:t> </w:t>
      </w:r>
      <w:r>
        <w:rPr>
          <w:spacing w:val="-2"/>
        </w:rPr>
        <w:t>子公司期初至处置日的现金流量纳入合并现金流量表。因处置部分股权投资或其他原因丧失了对原有子公</w:t>
      </w:r>
      <w:r>
        <w:rPr>
          <w:spacing w:val="-43"/>
        </w:rPr>
        <w:t> </w:t>
      </w:r>
      <w:r>
        <w:rPr>
          <w:spacing w:val="-43"/>
        </w:rPr>
      </w:r>
      <w:r>
        <w:rPr>
          <w:spacing w:val="-2"/>
        </w:rPr>
        <w:t>司控制权时，对于处置后的剩余股权投资，本公司按照其在丧失控制权日的公允价值进行重新计量。处置</w:t>
      </w:r>
      <w:r>
        <w:rPr>
          <w:spacing w:val="-43"/>
        </w:rPr>
        <w:t> </w:t>
      </w:r>
      <w:r>
        <w:rPr>
          <w:spacing w:val="-43"/>
        </w:rPr>
      </w:r>
      <w:r>
        <w:rPr>
          <w:spacing w:val="-2"/>
        </w:rPr>
        <w:t>股权取得的对价与剩余股权公允价值之和，减去按原持股比例计算应享有原有子公司自购买日开始持续计</w:t>
      </w:r>
      <w:r>
        <w:rPr>
          <w:spacing w:val="-43"/>
        </w:rPr>
        <w:t> </w:t>
      </w:r>
      <w:r>
        <w:rPr>
          <w:spacing w:val="-43"/>
        </w:rPr>
      </w:r>
      <w:r>
        <w:rPr>
          <w:spacing w:val="-2"/>
        </w:rPr>
        <w:t>算的净资产的份额之间的差额，计入丧失控制权当期的投资收益。与原有子公司股权投资相关的其他综合</w:t>
      </w:r>
      <w:r>
        <w:rPr>
          <w:spacing w:val="-42"/>
        </w:rPr>
        <w:t> </w:t>
      </w:r>
      <w:r>
        <w:rPr>
          <w:spacing w:val="-42"/>
        </w:rPr>
      </w:r>
      <w:r>
        <w:rPr/>
        <w:t>收益，在丧失控制权时转为当期投资收益。</w:t>
      </w:r>
    </w:p>
    <w:p>
      <w:pPr>
        <w:pStyle w:val="BodyText"/>
        <w:spacing w:line="408" w:lineRule="auto"/>
        <w:ind w:right="1126" w:firstLine="420"/>
        <w:jc w:val="both"/>
      </w:pPr>
      <w:r>
        <w:rPr>
          <w:spacing w:val="2"/>
        </w:rPr>
        <w:t>本公司因购买少数股权新取得的长期股权投资与按照新增持股比例计算应享有子公司的可辨认净资</w:t>
      </w:r>
      <w:r>
        <w:rPr>
          <w:w w:val="100"/>
        </w:rPr>
        <w:t> </w:t>
      </w:r>
      <w:r>
        <w:rPr>
          <w:spacing w:val="-2"/>
        </w:rPr>
        <w:t>产份额之间的差额，以及在不丧失控制权的情况下因部分处置对子公司的股权投资而取得的处置价款与处</w:t>
      </w:r>
      <w:r>
        <w:rPr>
          <w:spacing w:val="-43"/>
        </w:rPr>
        <w:t> </w:t>
      </w:r>
      <w:r>
        <w:rPr>
          <w:spacing w:val="-43"/>
        </w:rPr>
      </w:r>
      <w:r>
        <w:rPr>
          <w:spacing w:val="2"/>
        </w:rPr>
        <w:t>置长期股权投资相对应享有子公司净资产份额的差额，均调整合并资产负债表中的资本公积中的股本溢</w:t>
      </w:r>
      <w:r>
        <w:rPr>
          <w:spacing w:val="-30"/>
        </w:rPr>
        <w:t> </w:t>
      </w:r>
      <w:r>
        <w:rPr>
          <w:spacing w:val="-30"/>
        </w:rPr>
      </w:r>
      <w:r>
        <w:rPr/>
        <w:t>价，资本公积中的股本溢价不足冲减的，调整留存收益。</w:t>
      </w:r>
    </w:p>
    <w:p>
      <w:pPr>
        <w:pStyle w:val="BodyText"/>
        <w:spacing w:line="408" w:lineRule="auto"/>
        <w:ind w:right="1126" w:firstLine="420"/>
        <w:jc w:val="both"/>
      </w:pPr>
      <w:r>
        <w:rPr>
          <w:spacing w:val="-2"/>
        </w:rPr>
        <w:t>在合并财务报表中，子公司少数股东分担的当期亏损超过了少数股东在该子公司期初所有者权益中所</w:t>
      </w:r>
      <w:r>
        <w:rPr>
          <w:w w:val="100"/>
        </w:rPr>
        <w:t> </w:t>
      </w:r>
      <w:r>
        <w:rPr/>
        <w:t>享有的份额的，其余额仍冲减少数股东权益。</w:t>
      </w:r>
    </w:p>
    <w:p>
      <w:pPr>
        <w:spacing w:after="0" w:line="408"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bookmarkStart w:name="7、合营安排分类及共同经营会计处理方法" w:id="180"/>
      <w:bookmarkEnd w:id="180"/>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73" w:right="1133"/>
        <w:jc w:val="left"/>
      </w:pPr>
      <w:r>
        <w:rPr/>
        <w:t>合营安排分为共同经营和合营企业。</w:t>
      </w:r>
      <w:r>
        <w:rPr>
          <w:w w:val="100"/>
        </w:rPr>
        <w:t> </w:t>
      </w:r>
      <w:r>
        <w:rPr/>
        <w:t>当本公司是合营安排的合营方，享有该安排相关资产且承担该安排相关负债时，为共同经营。</w:t>
      </w:r>
      <w:r>
        <w:rPr>
          <w:w w:val="100"/>
        </w:rPr>
        <w:t> </w:t>
      </w:r>
      <w:r>
        <w:rPr>
          <w:spacing w:val="-2"/>
        </w:rPr>
        <w:t>本公司确认与共同经营中利益份额相关的下列项目，并按照相关企业会计准则的规定进行会计处理：</w:t>
      </w:r>
    </w:p>
    <w:p>
      <w:pPr>
        <w:pStyle w:val="BodyText"/>
        <w:spacing w:line="240" w:lineRule="auto"/>
        <w:ind w:left="573" w:right="1133"/>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177"/>
        <w:ind w:left="573" w:right="1133"/>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177"/>
        <w:ind w:left="573" w:right="1133"/>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177"/>
        <w:ind w:left="573" w:right="1133"/>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86" w:lineRule="auto" w:before="178"/>
        <w:ind w:left="573" w:right="1133"/>
        <w:jc w:val="left"/>
      </w:pPr>
      <w:r>
        <w:rPr>
          <w:spacing w:val="-2"/>
        </w:rPr>
        <w:t>（</w:t>
      </w:r>
      <w:r>
        <w:rPr>
          <w:rFonts w:ascii="Times New Roman" w:hAnsi="Times New Roman" w:cs="Times New Roman" w:eastAsia="Times New Roman" w:hint="default"/>
          <w:spacing w:val="-2"/>
        </w:rPr>
        <w:t>5</w:t>
      </w:r>
      <w:r>
        <w:rPr>
          <w:spacing w:val="-2"/>
        </w:rPr>
        <w:t>）确认单独所发生的费用，以及按本公司份额确认共同经营发生的费用。</w:t>
      </w:r>
      <w:r>
        <w:rPr>
          <w:spacing w:val="-42"/>
        </w:rPr>
        <w:t> </w:t>
      </w:r>
      <w:r>
        <w:rPr>
          <w:spacing w:val="-42"/>
        </w:rPr>
      </w:r>
      <w:r>
        <w:rPr/>
        <w:t>本公司对合营企业投资的会计政策见本附注</w:t>
      </w:r>
      <w:r>
        <w:rPr>
          <w:rFonts w:ascii="Times New Roman" w:hAnsi="Times New Roman" w:cs="Times New Roman" w:eastAsia="Times New Roman" w:hint="default"/>
        </w:rPr>
        <w:t>“</w:t>
      </w:r>
      <w:r>
        <w:rPr/>
        <w:t>三、（十四）长期股权投资</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19"/>
          <w:szCs w:val="19"/>
        </w:rPr>
      </w:pPr>
    </w:p>
    <w:p>
      <w:pPr>
        <w:pStyle w:val="Heading5"/>
        <w:spacing w:line="240" w:lineRule="auto"/>
        <w:ind w:right="1133"/>
        <w:jc w:val="left"/>
        <w:rPr>
          <w:b w:val="0"/>
          <w:bCs w:val="0"/>
        </w:rPr>
      </w:pPr>
      <w:bookmarkStart w:name="8、现金及现金等价物的确定标准" w:id="181"/>
      <w:bookmarkEnd w:id="181"/>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0" w:firstLine="413"/>
        <w:jc w:val="left"/>
      </w:pPr>
      <w:r>
        <w:rPr/>
        <w:t>本公司在编制现金流量表时，将同时具备期限短（从购买日起三个月内到期）、流动性强、易于转换</w:t>
      </w:r>
      <w:r>
        <w:rPr>
          <w:w w:val="100"/>
        </w:rPr>
        <w:t> </w:t>
      </w:r>
      <w:r>
        <w:rPr>
          <w:spacing w:val="-5"/>
        </w:rPr>
        <w:t>为已知金额现金、价值变动风险很小等四个条件的投资确定为现金等价物；权益性投资不作为现金等价物。</w:t>
      </w:r>
    </w:p>
    <w:p>
      <w:pPr>
        <w:spacing w:line="240" w:lineRule="auto" w:before="8"/>
        <w:rPr>
          <w:rFonts w:ascii="宋体" w:hAnsi="宋体" w:cs="宋体" w:eastAsia="宋体" w:hint="default"/>
          <w:sz w:val="20"/>
          <w:szCs w:val="20"/>
        </w:rPr>
      </w:pPr>
    </w:p>
    <w:p>
      <w:pPr>
        <w:pStyle w:val="Heading5"/>
        <w:spacing w:line="240" w:lineRule="auto"/>
        <w:ind w:right="1133"/>
        <w:jc w:val="left"/>
        <w:rPr>
          <w:b w:val="0"/>
          <w:bCs w:val="0"/>
        </w:rPr>
      </w:pPr>
      <w:bookmarkStart w:name="9、外币业务和外币报表折算" w:id="182"/>
      <w:bookmarkEnd w:id="182"/>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30"/>
          <w:szCs w:val="30"/>
        </w:rPr>
      </w:pPr>
    </w:p>
    <w:p>
      <w:pPr>
        <w:pStyle w:val="BodyText"/>
        <w:spacing w:line="386" w:lineRule="auto" w:before="0"/>
        <w:ind w:left="573" w:right="2114"/>
        <w:jc w:val="left"/>
      </w:pPr>
      <w:r>
        <w:rPr>
          <w:rFonts w:ascii="Times New Roman" w:hAnsi="Times New Roman" w:cs="Times New Roman" w:eastAsia="Times New Roman" w:hint="default"/>
        </w:rPr>
        <w:t>1</w:t>
      </w:r>
      <w:r>
        <w:rPr/>
        <w:t>、外币业务</w:t>
      </w:r>
      <w:r>
        <w:rPr>
          <w:w w:val="100"/>
        </w:rPr>
        <w:t> </w:t>
      </w:r>
      <w:r>
        <w:rPr>
          <w:spacing w:val="-2"/>
        </w:rPr>
        <w:t>外币业务采用交易发生日的即期汇率作为折算汇率将外币金额折合成人民币记账。</w:t>
      </w:r>
    </w:p>
    <w:p>
      <w:pPr>
        <w:pStyle w:val="BodyText"/>
        <w:spacing w:line="408" w:lineRule="auto" w:before="65"/>
        <w:ind w:right="1126" w:firstLine="420"/>
        <w:jc w:val="both"/>
      </w:pPr>
      <w:r>
        <w:rPr>
          <w:spacing w:val="-2"/>
        </w:rPr>
        <w:t>外币货币性项目余额按资产负债表日即期汇率折算，由此产生的汇兑差额，除属于与购建符合资本化</w:t>
      </w:r>
      <w:r>
        <w:rPr>
          <w:w w:val="100"/>
        </w:rPr>
        <w:t> </w:t>
      </w:r>
      <w:r>
        <w:rPr>
          <w:spacing w:val="-2"/>
        </w:rPr>
        <w:t>条件的资产相关的外币专门借款产生的汇兑差额按照借款费用资本化的原则处理外，均计入当期损益。以</w:t>
      </w:r>
      <w:r>
        <w:rPr>
          <w:spacing w:val="-44"/>
        </w:rPr>
        <w:t> </w:t>
      </w:r>
      <w:r>
        <w:rPr>
          <w:spacing w:val="-44"/>
        </w:rPr>
      </w:r>
      <w:r>
        <w:rPr>
          <w:spacing w:val="-2"/>
        </w:rPr>
        <w:t>历史成本计量的外币非货币性项目，仍采用交易发生日的即期汇率折算，不改变其记账本位币金额。以公</w:t>
      </w:r>
      <w:r>
        <w:rPr>
          <w:spacing w:val="-43"/>
        </w:rPr>
        <w:t> </w:t>
      </w:r>
      <w:r>
        <w:rPr>
          <w:spacing w:val="-43"/>
        </w:rPr>
      </w:r>
      <w:r>
        <w:rPr>
          <w:spacing w:val="-2"/>
        </w:rPr>
        <w:t>允价值计量的外币非货币性项目，采用公允价值确定日的即期汇率折算，由此产生的汇兑差额计入当期损</w:t>
      </w:r>
      <w:r>
        <w:rPr>
          <w:spacing w:val="-44"/>
        </w:rPr>
        <w:t> </w:t>
      </w:r>
      <w:r>
        <w:rPr>
          <w:spacing w:val="-44"/>
        </w:rPr>
      </w:r>
      <w:r>
        <w:rPr/>
        <w:t>益或资本公积。</w:t>
      </w:r>
    </w:p>
    <w:p>
      <w:pPr>
        <w:pStyle w:val="BodyText"/>
        <w:spacing w:line="386" w:lineRule="auto"/>
        <w:ind w:left="573" w:right="1133"/>
        <w:jc w:val="left"/>
      </w:pPr>
      <w:r>
        <w:rPr>
          <w:rFonts w:ascii="Times New Roman" w:hAnsi="Times New Roman" w:cs="Times New Roman" w:eastAsia="Times New Roman" w:hint="default"/>
        </w:rPr>
        <w:t>2</w:t>
      </w:r>
      <w:r>
        <w:rPr/>
        <w:t>、外币财务报表的折算</w:t>
      </w:r>
      <w:r>
        <w:rPr>
          <w:w w:val="100"/>
        </w:rPr>
        <w:t> </w:t>
      </w: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w:t>
      </w:r>
    </w:p>
    <w:p>
      <w:pPr>
        <w:pStyle w:val="BodyText"/>
        <w:spacing w:line="386" w:lineRule="auto" w:before="35"/>
        <w:ind w:right="1133"/>
        <w:jc w:val="left"/>
      </w:pPr>
      <w:r>
        <w:rPr/>
        <w:t>润</w:t>
      </w:r>
      <w:r>
        <w:rPr>
          <w:rFonts w:ascii="Times New Roman" w:hAnsi="Times New Roman" w:cs="Times New Roman" w:eastAsia="Times New Roman" w:hint="default"/>
        </w:rPr>
        <w:t>”</w:t>
      </w:r>
      <w:r>
        <w:rPr/>
        <w:t>项目外，其他项目采用发生时的即期汇率折算。利润表中的收入和费用项目，采用交易发生日的即期</w:t>
      </w:r>
      <w:r>
        <w:rPr>
          <w:spacing w:val="-18"/>
        </w:rPr>
        <w:t> </w:t>
      </w:r>
      <w:r>
        <w:rPr>
          <w:spacing w:val="-18"/>
        </w:rPr>
      </w:r>
      <w:r>
        <w:rPr/>
        <w:t>汇率折算。按照上述折算产生的外币财务报表折算差额，在资产负债表所有者权益项目下单独列示。</w:t>
      </w:r>
    </w:p>
    <w:p>
      <w:pPr>
        <w:pStyle w:val="BodyText"/>
        <w:spacing w:line="408" w:lineRule="auto" w:before="65"/>
        <w:ind w:right="1133" w:firstLine="420"/>
        <w:jc w:val="left"/>
      </w:pPr>
      <w:r>
        <w:rPr>
          <w:spacing w:val="-2"/>
        </w:rPr>
        <w:t>处置境外经营时，将与该境外经营相关的外币财务报表折算差额，自所有者权益项目转入处置当期损</w:t>
      </w:r>
      <w:r>
        <w:rPr>
          <w:w w:val="100"/>
        </w:rPr>
        <w:t> </w:t>
      </w:r>
      <w:r>
        <w:rPr/>
        <w:t>益。</w:t>
      </w:r>
    </w:p>
    <w:p>
      <w:pPr>
        <w:spacing w:after="0" w:line="408"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bookmarkStart w:name="10、金融工具" w:id="183"/>
      <w:bookmarkEnd w:id="183"/>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1133"/>
        <w:jc w:val="left"/>
      </w:pPr>
      <w:r>
        <w:rPr/>
        <w:t>金融工具是指形成一方的金融资产，并形成其他方的金融负债或权益工具的合同。</w:t>
      </w:r>
    </w:p>
    <w:p>
      <w:pPr>
        <w:spacing w:line="240" w:lineRule="auto" w:before="10"/>
        <w:rPr>
          <w:rFonts w:ascii="宋体" w:hAnsi="宋体" w:cs="宋体" w:eastAsia="宋体" w:hint="default"/>
          <w:sz w:val="14"/>
          <w:szCs w:val="14"/>
        </w:rPr>
      </w:pPr>
    </w:p>
    <w:p>
      <w:pPr>
        <w:pStyle w:val="BodyText"/>
        <w:spacing w:line="386" w:lineRule="auto" w:before="0"/>
        <w:ind w:left="573" w:right="6794"/>
        <w:jc w:val="left"/>
      </w:pPr>
      <w:r>
        <w:rPr>
          <w:rFonts w:ascii="Times New Roman" w:hAnsi="Times New Roman" w:cs="Times New Roman" w:eastAsia="Times New Roman" w:hint="default"/>
        </w:rPr>
        <w:t>1</w:t>
      </w:r>
      <w:r>
        <w:rPr/>
        <w:t>、金融工具的分类</w:t>
      </w:r>
      <w:r>
        <w:rPr>
          <w:w w:val="100"/>
        </w:rPr>
        <w:t> </w:t>
      </w:r>
      <w:r>
        <w:rPr>
          <w:spacing w:val="-1"/>
        </w:rPr>
        <w:t>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日起适用的会计政策</w:t>
      </w:r>
    </w:p>
    <w:p>
      <w:pPr>
        <w:pStyle w:val="BodyText"/>
        <w:spacing w:line="408" w:lineRule="auto" w:before="35"/>
        <w:ind w:right="1133" w:firstLine="420"/>
        <w:jc w:val="left"/>
      </w:pPr>
      <w:r>
        <w:rPr/>
        <w:t>根据本公司管理金融资产的业务模式和金融资产的合同现金流量特征，金融资产于初始确认时分类</w:t>
      </w:r>
      <w:r>
        <w:rPr>
          <w:w w:val="100"/>
        </w:rPr>
        <w:t> </w:t>
      </w:r>
      <w:r>
        <w:rPr>
          <w:spacing w:val="-2"/>
        </w:rPr>
        <w:t>为：以摊余成本计量的金融资产、以公允价值计量且其变动计入其他综合收益的金融资产（债务工具）和</w:t>
      </w:r>
      <w:r>
        <w:rPr>
          <w:spacing w:val="-47"/>
        </w:rPr>
        <w:t> </w:t>
      </w:r>
      <w:r>
        <w:rPr>
          <w:spacing w:val="-47"/>
        </w:rPr>
      </w:r>
      <w:r>
        <w:rPr/>
        <w:t>以公允价值计量且其变动计入当期损益的金融资产。</w:t>
      </w:r>
    </w:p>
    <w:p>
      <w:pPr>
        <w:pStyle w:val="BodyText"/>
        <w:spacing w:line="408" w:lineRule="auto"/>
        <w:ind w:right="1133" w:firstLine="420"/>
        <w:jc w:val="left"/>
      </w:pPr>
      <w:r>
        <w:rPr/>
        <w:t>业务模式是以收取合同现金流量为目标且合同现金流量仅为对本金和以未偿付本金金额为基础的利</w:t>
      </w:r>
      <w:r>
        <w:rPr>
          <w:w w:val="100"/>
        </w:rPr>
        <w:t> </w:t>
      </w:r>
      <w:r>
        <w:rPr>
          <w:spacing w:val="-2"/>
        </w:rPr>
        <w:t>息的支付的，分类为以摊余成本计量的金融资产；业务模式既以收取合同现金流量又以出售该金融资产为</w:t>
      </w:r>
      <w:r>
        <w:rPr>
          <w:spacing w:val="-43"/>
        </w:rPr>
        <w:t> </w:t>
      </w:r>
      <w:r>
        <w:rPr>
          <w:spacing w:val="-43"/>
        </w:rPr>
      </w:r>
      <w:r>
        <w:rPr>
          <w:spacing w:val="-2"/>
        </w:rPr>
        <w:t>目标且合同现金流量仅为对本金和以未偿付本金金额为基础的利息的支付的，分类为以公允价值计量且其</w:t>
      </w:r>
      <w:r>
        <w:rPr>
          <w:spacing w:val="-43"/>
        </w:rPr>
        <w:t> </w:t>
      </w:r>
      <w:r>
        <w:rPr>
          <w:spacing w:val="-43"/>
        </w:rPr>
      </w:r>
      <w:r>
        <w:rPr/>
        <w:t>变动计入其他综合收益的金融资产（债务工具）。</w:t>
      </w:r>
    </w:p>
    <w:p>
      <w:pPr>
        <w:pStyle w:val="BodyText"/>
        <w:spacing w:line="408" w:lineRule="auto"/>
        <w:ind w:right="1126" w:firstLine="420"/>
        <w:jc w:val="both"/>
      </w:pPr>
      <w:r>
        <w:rPr>
          <w:spacing w:val="-2"/>
        </w:rPr>
        <w:t>对于非交易性权益工具投资，本公司可在初始确认时将其不可撤销地指定为以公允价值计量且其变动</w:t>
      </w:r>
      <w:r>
        <w:rPr>
          <w:w w:val="100"/>
        </w:rPr>
        <w:t> </w:t>
      </w:r>
      <w:r>
        <w:rPr>
          <w:spacing w:val="-2"/>
        </w:rPr>
        <w:t>计入其他综合收益的金融资产。该指定在单项投资的基础上作出，且相关投资从发行者的角度符合权益工</w:t>
      </w:r>
      <w:r>
        <w:rPr>
          <w:spacing w:val="-42"/>
        </w:rPr>
        <w:t> </w:t>
      </w:r>
      <w:r>
        <w:rPr>
          <w:spacing w:val="-42"/>
        </w:rPr>
      </w:r>
      <w:r>
        <w:rPr/>
        <w:t>具的定义。</w:t>
      </w:r>
    </w:p>
    <w:p>
      <w:pPr>
        <w:pStyle w:val="BodyText"/>
        <w:spacing w:line="408" w:lineRule="auto"/>
        <w:ind w:right="1133" w:firstLine="420"/>
        <w:jc w:val="left"/>
      </w:pPr>
      <w:r>
        <w:rPr/>
        <w:t>除分类为以摊余成本计量的金融资产和以公允价值计量且其变动计入其他综合收益的金融资产之外</w:t>
      </w:r>
      <w:r>
        <w:rPr>
          <w:w w:val="100"/>
        </w:rPr>
        <w:t> </w:t>
      </w:r>
      <w:r>
        <w:rPr>
          <w:spacing w:val="-2"/>
        </w:rPr>
        <w:t>的金融资产，本公司将其分类为以公允价值计量且其变动计入当期损益的金融资产。在初始确认时，如果</w:t>
      </w:r>
      <w:r>
        <w:rPr>
          <w:spacing w:val="-42"/>
        </w:rPr>
        <w:t> </w:t>
      </w:r>
      <w:r>
        <w:rPr>
          <w:spacing w:val="-42"/>
        </w:rPr>
      </w:r>
      <w:r>
        <w:rPr>
          <w:spacing w:val="-2"/>
        </w:rPr>
        <w:t>能消除或减少会计错配，本公司可以将金融资产不可撤销地指定为以公允价值计量且其变动计入当期损益</w:t>
      </w:r>
      <w:r>
        <w:rPr>
          <w:spacing w:val="-43"/>
        </w:rPr>
        <w:t> </w:t>
      </w:r>
      <w:r>
        <w:rPr>
          <w:spacing w:val="-43"/>
        </w:rPr>
      </w:r>
      <w:r>
        <w:rPr/>
        <w:t>的金融资产。</w:t>
      </w:r>
    </w:p>
    <w:p>
      <w:pPr>
        <w:pStyle w:val="BodyText"/>
        <w:spacing w:line="408" w:lineRule="auto"/>
        <w:ind w:right="1126" w:firstLine="420"/>
        <w:jc w:val="both"/>
      </w:pPr>
      <w:r>
        <w:rPr>
          <w:spacing w:val="-2"/>
        </w:rPr>
        <w:t>本公司改变管理金融资产的业务模式时，将对所有受影响的相关金融资产在业务模式发生变更后的首</w:t>
      </w:r>
      <w:r>
        <w:rPr>
          <w:w w:val="100"/>
        </w:rPr>
        <w:t> </w:t>
      </w:r>
      <w:r>
        <w:rPr>
          <w:spacing w:val="-2"/>
        </w:rPr>
        <w:t>个报告期间的第一天进行重分类，且自重分类日起采用未来适用法进行相关会计处理，不对以前已经确认</w:t>
      </w:r>
      <w:r>
        <w:rPr>
          <w:spacing w:val="-43"/>
        </w:rPr>
        <w:t> </w:t>
      </w:r>
      <w:r>
        <w:rPr>
          <w:spacing w:val="-43"/>
        </w:rPr>
      </w:r>
      <w:r>
        <w:rPr/>
        <w:t>的利得、损失（包括减值损失或利得）或利息进行追溯调整。</w:t>
      </w:r>
    </w:p>
    <w:p>
      <w:pPr>
        <w:pStyle w:val="BodyText"/>
        <w:spacing w:line="408" w:lineRule="auto"/>
        <w:ind w:right="1133" w:firstLine="420"/>
        <w:jc w:val="left"/>
      </w:pPr>
      <w:r>
        <w:rPr>
          <w:spacing w:val="-2"/>
        </w:rPr>
        <w:t>金融负债于初始确认时分类为：以公允价值计量且其变动计入当期损益的金融负债和以摊余成本计量</w:t>
      </w:r>
      <w:r>
        <w:rPr>
          <w:w w:val="100"/>
        </w:rPr>
        <w:t> </w:t>
      </w:r>
      <w:r>
        <w:rPr/>
        <w:t>的金融负债。所有的金融负债不进行重分类。</w:t>
      </w:r>
    </w:p>
    <w:p>
      <w:pPr>
        <w:pStyle w:val="BodyText"/>
        <w:spacing w:line="408" w:lineRule="auto"/>
        <w:ind w:right="1133" w:firstLine="420"/>
        <w:jc w:val="left"/>
      </w:pPr>
      <w:r>
        <w:rPr>
          <w:spacing w:val="-2"/>
        </w:rPr>
        <w:t>符合以下条件之一的金融负债可在初始计量时指定为以公允价值计量且其变动计入当期损益的金融</w:t>
      </w:r>
      <w:r>
        <w:rPr>
          <w:w w:val="100"/>
        </w:rPr>
        <w:t> </w:t>
      </w:r>
      <w:r>
        <w:rPr/>
        <w:t>负债：</w:t>
      </w:r>
    </w:p>
    <w:p>
      <w:pPr>
        <w:pStyle w:val="BodyText"/>
        <w:spacing w:line="240" w:lineRule="auto"/>
        <w:ind w:left="573" w:right="1133"/>
        <w:jc w:val="left"/>
      </w:pPr>
      <w:r>
        <w:rPr>
          <w:rFonts w:ascii="Times New Roman" w:hAnsi="Times New Roman" w:cs="Times New Roman" w:eastAsia="Times New Roman" w:hint="default"/>
        </w:rPr>
        <w:t>1</w:t>
      </w:r>
      <w:r>
        <w:rPr/>
        <w:t>）该项指定能够消除或显著减少会计错配。</w:t>
      </w:r>
    </w:p>
    <w:p>
      <w:pPr>
        <w:pStyle w:val="BodyText"/>
        <w:spacing w:line="386" w:lineRule="auto" w:before="177"/>
        <w:ind w:right="1133" w:firstLine="420"/>
        <w:jc w:val="left"/>
      </w:pPr>
      <w:r>
        <w:rPr>
          <w:rFonts w:ascii="Times New Roman" w:hAnsi="Times New Roman" w:cs="Times New Roman" w:eastAsia="Times New Roman" w:hint="default"/>
          <w:spacing w:val="-2"/>
        </w:rPr>
        <w:t>2</w:t>
      </w:r>
      <w:r>
        <w:rPr>
          <w:spacing w:val="-2"/>
        </w:rPr>
        <w:t>）根据正式书面文件载明的企业风险管理或投资策略，以公允价值为基础对金融负债组合或金融资</w:t>
      </w:r>
      <w:r>
        <w:rPr>
          <w:w w:val="100"/>
        </w:rPr>
        <w:t> </w:t>
      </w:r>
      <w:r>
        <w:rPr/>
        <w:t>产和金融负债组合进行管理和业绩评价，并在企业内部以此为基础向关键管理人员报告。</w:t>
      </w:r>
    </w:p>
    <w:p>
      <w:pPr>
        <w:pStyle w:val="BodyText"/>
        <w:spacing w:line="240" w:lineRule="auto" w:before="65"/>
        <w:ind w:left="573" w:right="1133"/>
        <w:jc w:val="left"/>
      </w:pPr>
      <w:r>
        <w:rPr>
          <w:rFonts w:ascii="Times New Roman" w:hAnsi="Times New Roman" w:cs="Times New Roman" w:eastAsia="Times New Roman" w:hint="default"/>
        </w:rPr>
        <w:t>3</w:t>
      </w:r>
      <w:r>
        <w:rPr/>
        <w:t>）该金融负债包含需单独分拆的嵌入衍生工具。</w:t>
      </w:r>
    </w:p>
    <w:p>
      <w:pPr>
        <w:spacing w:after="0" w:line="240" w:lineRule="auto"/>
        <w:jc w:val="left"/>
        <w:sectPr>
          <w:footerReference w:type="default" r:id="rId16"/>
          <w:pgSz w:w="11910" w:h="16840"/>
          <w:pgMar w:footer="980" w:header="745" w:top="1060" w:bottom="1160" w:left="980" w:right="0"/>
          <w:pgNumType w:start="110"/>
        </w:sectPr>
      </w:pPr>
    </w:p>
    <w:p>
      <w:pPr>
        <w:spacing w:line="240" w:lineRule="auto" w:before="0"/>
        <w:rPr>
          <w:rFonts w:ascii="宋体" w:hAnsi="宋体" w:cs="宋体" w:eastAsia="宋体" w:hint="default"/>
          <w:sz w:val="20"/>
          <w:szCs w:val="20"/>
        </w:rPr>
      </w:pPr>
    </w:p>
    <w:p>
      <w:pPr>
        <w:pStyle w:val="BodyText"/>
        <w:spacing w:line="386" w:lineRule="auto" w:before="175"/>
        <w:ind w:left="573" w:right="1133"/>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日前适用的会计政策</w:t>
      </w:r>
      <w:r>
        <w:rPr>
          <w:w w:val="100"/>
        </w:rPr>
        <w:t> </w:t>
      </w:r>
      <w:r>
        <w:rPr>
          <w:spacing w:val="-2"/>
        </w:rPr>
        <w:t>金融资产和金融负债于初始确认时分类为：以公允价值计量且其变动计入当期损益的金融资产或金融</w:t>
      </w:r>
    </w:p>
    <w:p>
      <w:pPr>
        <w:pStyle w:val="BodyText"/>
        <w:spacing w:line="240" w:lineRule="auto" w:before="65"/>
        <w:ind w:right="1133"/>
        <w:jc w:val="left"/>
      </w:pPr>
      <w:r>
        <w:rPr/>
        <w:t>负债；持有至到期投资；应收款项；可供出售金融资产；其他金融负债等。</w:t>
      </w:r>
    </w:p>
    <w:p>
      <w:pPr>
        <w:spacing w:line="240" w:lineRule="auto" w:before="10"/>
        <w:rPr>
          <w:rFonts w:ascii="宋体" w:hAnsi="宋体" w:cs="宋体" w:eastAsia="宋体" w:hint="default"/>
          <w:sz w:val="14"/>
          <w:szCs w:val="14"/>
        </w:rPr>
      </w:pPr>
    </w:p>
    <w:p>
      <w:pPr>
        <w:pStyle w:val="BodyText"/>
        <w:spacing w:line="386" w:lineRule="auto" w:before="0"/>
        <w:ind w:left="573" w:right="6794"/>
        <w:jc w:val="left"/>
      </w:pPr>
      <w:r>
        <w:rPr>
          <w:rFonts w:ascii="Times New Roman" w:hAnsi="Times New Roman" w:cs="Times New Roman" w:eastAsia="Times New Roman" w:hint="default"/>
          <w:spacing w:val="-2"/>
        </w:rPr>
        <w:t>2</w:t>
      </w:r>
      <w:r>
        <w:rPr>
          <w:spacing w:val="-2"/>
        </w:rPr>
        <w:t>、金融工具的确认依据和计量方法</w:t>
      </w:r>
      <w:r>
        <w:rPr>
          <w:spacing w:val="-76"/>
        </w:rPr>
        <w:t> </w:t>
      </w:r>
      <w:r>
        <w:rPr>
          <w:spacing w:val="-76"/>
        </w:rPr>
      </w:r>
      <w:r>
        <w:rPr/>
        <w:t>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日起适用的会计政策</w:t>
      </w:r>
    </w:p>
    <w:p>
      <w:pPr>
        <w:pStyle w:val="BodyText"/>
        <w:spacing w:line="386" w:lineRule="auto" w:before="35"/>
        <w:ind w:left="573" w:right="1133"/>
        <w:jc w:val="left"/>
      </w:pPr>
      <w:r>
        <w:rPr/>
        <w:t>（</w:t>
      </w:r>
      <w:r>
        <w:rPr>
          <w:rFonts w:ascii="Times New Roman" w:hAnsi="Times New Roman" w:cs="Times New Roman" w:eastAsia="Times New Roman" w:hint="default"/>
        </w:rPr>
        <w:t>1</w:t>
      </w:r>
      <w:r>
        <w:rPr/>
        <w:t>）以摊余成本计量的金融资产</w:t>
      </w:r>
      <w:r>
        <w:rPr>
          <w:w w:val="100"/>
        </w:rPr>
        <w:t> </w:t>
      </w:r>
      <w:r>
        <w:rPr>
          <w:spacing w:val="-2"/>
        </w:rPr>
        <w:t>以摊余成本计量的金融资产包括应收票据、应收账款、其他应收款、长期应收款、债权投资等，按公</w:t>
      </w:r>
    </w:p>
    <w:p>
      <w:pPr>
        <w:pStyle w:val="BodyText"/>
        <w:spacing w:line="410" w:lineRule="auto" w:before="65"/>
        <w:ind w:right="1133"/>
        <w:jc w:val="left"/>
      </w:pPr>
      <w:r>
        <w:rPr>
          <w:spacing w:val="-2"/>
        </w:rPr>
        <w:t>允价值进行初始计量，相关交易费用计入初始确认金额；不包含重大融资成分的应收账款以及本公司决定</w:t>
      </w:r>
      <w:r>
        <w:rPr>
          <w:spacing w:val="-43"/>
        </w:rPr>
        <w:t> </w:t>
      </w:r>
      <w:r>
        <w:rPr>
          <w:spacing w:val="-43"/>
        </w:rPr>
      </w:r>
      <w:r>
        <w:rPr/>
        <w:t>不考虑不超过一年的融资成分的应收账款，以合同交易价格进行初始计量。</w:t>
      </w:r>
    </w:p>
    <w:p>
      <w:pPr>
        <w:pStyle w:val="BodyText"/>
        <w:spacing w:line="408" w:lineRule="auto" w:before="44"/>
        <w:ind w:left="573" w:right="1133"/>
        <w:jc w:val="left"/>
      </w:pPr>
      <w:r>
        <w:rPr/>
        <w:t>持有期间采用实际利率法计算的利息计入当期损益。</w:t>
      </w:r>
      <w:r>
        <w:rPr>
          <w:w w:val="100"/>
        </w:rPr>
        <w:t> </w:t>
      </w:r>
      <w:r>
        <w:rPr>
          <w:spacing w:val="-2"/>
        </w:rPr>
        <w:t>收回或处置时，将取得的价款与该金融资产账面价值之间的差额计入当期损益。</w:t>
      </w:r>
    </w:p>
    <w:p>
      <w:pPr>
        <w:pStyle w:val="BodyText"/>
        <w:spacing w:line="386" w:lineRule="auto"/>
        <w:ind w:left="573" w:right="1133"/>
        <w:jc w:val="left"/>
      </w:pPr>
      <w:r>
        <w:rPr/>
        <w:t>（</w:t>
      </w:r>
      <w:r>
        <w:rPr>
          <w:rFonts w:ascii="Times New Roman" w:hAnsi="Times New Roman" w:cs="Times New Roman" w:eastAsia="Times New Roman" w:hint="default"/>
        </w:rPr>
        <w:t>2</w:t>
      </w:r>
      <w:r>
        <w:rPr/>
        <w:t>）以公允价值计量且其变动计入其他综合收益的金融资产（债务工具）</w:t>
      </w:r>
      <w:r>
        <w:rPr>
          <w:w w:val="100"/>
        </w:rPr>
        <w:t> </w:t>
      </w:r>
      <w:r>
        <w:rPr>
          <w:spacing w:val="-2"/>
        </w:rPr>
        <w:t>以公允价值计量且其变动计入其他综合收益的金融资产（债务工具）包括应收款项融资、其他债权投</w:t>
      </w:r>
    </w:p>
    <w:p>
      <w:pPr>
        <w:pStyle w:val="BodyText"/>
        <w:spacing w:line="408" w:lineRule="auto" w:before="65"/>
        <w:ind w:right="0"/>
        <w:jc w:val="left"/>
      </w:pPr>
      <w:r>
        <w:rPr>
          <w:spacing w:val="-5"/>
        </w:rPr>
        <w:t>资等，按公允价值进行初始计量，相关交易费用计入初始确认金额。该金融资产按公允价值进行后续计量， </w:t>
      </w:r>
      <w:r>
        <w:rPr/>
        <w:t>公允价值变动除采用实际利率法计算的利息、减值损失或利得和汇兑损益之外，均计入其他综合收益。</w:t>
      </w:r>
    </w:p>
    <w:p>
      <w:pPr>
        <w:pStyle w:val="BodyText"/>
        <w:spacing w:line="240" w:lineRule="auto"/>
        <w:ind w:left="573" w:right="1133"/>
        <w:jc w:val="left"/>
      </w:pPr>
      <w:r>
        <w:rPr/>
        <w:t>终止确认时，之前计入其他综合收益的累计利得或损失从其他综合收益中转出，计入当期损益。</w:t>
      </w:r>
    </w:p>
    <w:p>
      <w:pPr>
        <w:spacing w:line="240" w:lineRule="auto" w:before="10"/>
        <w:rPr>
          <w:rFonts w:ascii="宋体" w:hAnsi="宋体" w:cs="宋体" w:eastAsia="宋体" w:hint="default"/>
          <w:sz w:val="14"/>
          <w:szCs w:val="14"/>
        </w:rPr>
      </w:pPr>
    </w:p>
    <w:p>
      <w:pPr>
        <w:pStyle w:val="BodyText"/>
        <w:spacing w:line="386" w:lineRule="auto" w:before="0"/>
        <w:ind w:left="573" w:right="1133"/>
        <w:jc w:val="left"/>
      </w:pPr>
      <w:r>
        <w:rPr/>
        <w:t>（</w:t>
      </w:r>
      <w:r>
        <w:rPr>
          <w:rFonts w:ascii="Times New Roman" w:hAnsi="Times New Roman" w:cs="Times New Roman" w:eastAsia="Times New Roman" w:hint="default"/>
        </w:rPr>
        <w:t>3</w:t>
      </w:r>
      <w:r>
        <w:rPr/>
        <w:t>）以公允价值计量且其变动计入其他综合收益的金融资产（权益工具）</w:t>
      </w:r>
      <w:r>
        <w:rPr>
          <w:w w:val="100"/>
        </w:rPr>
        <w:t> </w:t>
      </w:r>
      <w:r>
        <w:rPr>
          <w:spacing w:val="-2"/>
        </w:rPr>
        <w:t>以公允价值计量且其变动计入其他综合收益的金融资产（权益工具）包括其他权益工具投资等，按公</w:t>
      </w:r>
    </w:p>
    <w:p>
      <w:pPr>
        <w:pStyle w:val="BodyText"/>
        <w:spacing w:line="408" w:lineRule="auto" w:before="65"/>
        <w:ind w:right="1133"/>
        <w:jc w:val="left"/>
      </w:pPr>
      <w:r>
        <w:rPr>
          <w:spacing w:val="-2"/>
        </w:rPr>
        <w:t>允价值进行初始计量，相关交易费用计入初始确认金额。该金融资产按公允价值进行后续计量，公允价值</w:t>
      </w:r>
      <w:r>
        <w:rPr>
          <w:spacing w:val="-44"/>
        </w:rPr>
        <w:t> </w:t>
      </w:r>
      <w:r>
        <w:rPr>
          <w:spacing w:val="-44"/>
        </w:rPr>
      </w:r>
      <w:r>
        <w:rPr/>
        <w:t>变动计入其他综合收益。取得的股利计入当期损益。</w:t>
      </w:r>
    </w:p>
    <w:p>
      <w:pPr>
        <w:pStyle w:val="BodyText"/>
        <w:spacing w:line="240" w:lineRule="auto"/>
        <w:ind w:left="573" w:right="1133"/>
        <w:jc w:val="left"/>
      </w:pPr>
      <w:r>
        <w:rPr/>
        <w:t>终止确认时，之前计入其他综合收益的累计利得或损失从其他综合收益中转出，计入留存收益。</w:t>
      </w:r>
    </w:p>
    <w:p>
      <w:pPr>
        <w:spacing w:line="240" w:lineRule="auto" w:before="10"/>
        <w:rPr>
          <w:rFonts w:ascii="宋体" w:hAnsi="宋体" w:cs="宋体" w:eastAsia="宋体" w:hint="default"/>
          <w:sz w:val="14"/>
          <w:szCs w:val="14"/>
        </w:rPr>
      </w:pPr>
    </w:p>
    <w:p>
      <w:pPr>
        <w:pStyle w:val="BodyText"/>
        <w:spacing w:line="386" w:lineRule="auto" w:before="0"/>
        <w:ind w:left="573" w:right="1133"/>
        <w:jc w:val="left"/>
      </w:pPr>
      <w:r>
        <w:rPr/>
        <w:t>（</w:t>
      </w:r>
      <w:r>
        <w:rPr>
          <w:rFonts w:ascii="Times New Roman" w:hAnsi="Times New Roman" w:cs="Times New Roman" w:eastAsia="Times New Roman" w:hint="default"/>
        </w:rPr>
        <w:t>4</w:t>
      </w:r>
      <w:r>
        <w:rPr/>
        <w:t>）以公允价值计量且其变动计入当期损益的金融资产</w:t>
      </w:r>
      <w:r>
        <w:rPr>
          <w:w w:val="100"/>
        </w:rPr>
        <w:t> </w:t>
      </w:r>
      <w:r>
        <w:rPr>
          <w:spacing w:val="-2"/>
        </w:rPr>
        <w:t>以公允价值计量且其变动计入当期损益的金融资产包括交易性金融资产、衍生金融资产、其他非流动</w:t>
      </w:r>
    </w:p>
    <w:p>
      <w:pPr>
        <w:pStyle w:val="BodyText"/>
        <w:spacing w:line="408" w:lineRule="auto" w:before="65"/>
        <w:ind w:right="1133"/>
        <w:jc w:val="left"/>
      </w:pPr>
      <w:r>
        <w:rPr>
          <w:spacing w:val="-2"/>
        </w:rPr>
        <w:t>金融资产等，按公允价值进行初始计量，相关交易费用计入当期损益。该金融资产按公允价值进行后续计</w:t>
      </w:r>
      <w:r>
        <w:rPr>
          <w:spacing w:val="-43"/>
        </w:rPr>
        <w:t> </w:t>
      </w:r>
      <w:r>
        <w:rPr>
          <w:spacing w:val="-43"/>
        </w:rPr>
      </w:r>
      <w:r>
        <w:rPr/>
        <w:t>量，公允价值变动计入当期损益。</w:t>
      </w:r>
    </w:p>
    <w:p>
      <w:pPr>
        <w:pStyle w:val="BodyText"/>
        <w:spacing w:line="240" w:lineRule="auto"/>
        <w:ind w:left="573" w:right="0"/>
        <w:jc w:val="left"/>
      </w:pPr>
      <w:r>
        <w:rPr/>
        <w:t>终止确认时，其公允价值与初始入账金额之间的差额确认为投资收益，同时调整公允价值变动损益。</w:t>
      </w:r>
    </w:p>
    <w:p>
      <w:pPr>
        <w:spacing w:line="240" w:lineRule="auto" w:before="10"/>
        <w:rPr>
          <w:rFonts w:ascii="宋体" w:hAnsi="宋体" w:cs="宋体" w:eastAsia="宋体" w:hint="default"/>
          <w:sz w:val="14"/>
          <w:szCs w:val="14"/>
        </w:rPr>
      </w:pPr>
    </w:p>
    <w:p>
      <w:pPr>
        <w:pStyle w:val="BodyText"/>
        <w:spacing w:line="386" w:lineRule="auto" w:before="0"/>
        <w:ind w:left="573" w:right="1133"/>
        <w:jc w:val="left"/>
      </w:pPr>
      <w:r>
        <w:rPr/>
        <w:t>（</w:t>
      </w:r>
      <w:r>
        <w:rPr>
          <w:rFonts w:ascii="Times New Roman" w:hAnsi="Times New Roman" w:cs="Times New Roman" w:eastAsia="Times New Roman" w:hint="default"/>
        </w:rPr>
        <w:t>5</w:t>
      </w:r>
      <w:r>
        <w:rPr/>
        <w:t>）以公允价值计量且其变动计入当期损益的金融负债</w:t>
      </w:r>
      <w:r>
        <w:rPr>
          <w:w w:val="100"/>
        </w:rPr>
        <w:t> </w:t>
      </w:r>
      <w:r>
        <w:rPr>
          <w:spacing w:val="-2"/>
        </w:rPr>
        <w:t>以公允价值计量且其变动计入当期损益的金融负债包括交易性金融负债、衍生金融负债等，按公允价</w:t>
      </w:r>
    </w:p>
    <w:p>
      <w:pPr>
        <w:pStyle w:val="BodyText"/>
        <w:spacing w:line="408" w:lineRule="auto" w:before="65"/>
        <w:ind w:right="1133"/>
        <w:jc w:val="left"/>
      </w:pPr>
      <w:r>
        <w:rPr>
          <w:spacing w:val="-2"/>
        </w:rPr>
        <w:t>值进行初始计量，相关交易费用计入当期损益。该金融负债按公允价值进行后续计量，公允价值变动计入</w:t>
      </w:r>
      <w:r>
        <w:rPr>
          <w:spacing w:val="-45"/>
        </w:rPr>
        <w:t> </w:t>
      </w:r>
      <w:r>
        <w:rPr>
          <w:spacing w:val="-45"/>
        </w:rPr>
      </w:r>
      <w:r>
        <w:rPr/>
        <w:t>当期损益。</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left="573" w:right="0"/>
        <w:jc w:val="left"/>
      </w:pPr>
      <w:r>
        <w:rPr/>
        <w:t>终止确认时，其公允价值与初始入账金额之间的差额确认为投资收益，同时调整公允价值变动损益。</w:t>
      </w:r>
    </w:p>
    <w:p>
      <w:pPr>
        <w:spacing w:line="240" w:lineRule="auto" w:before="10"/>
        <w:rPr>
          <w:rFonts w:ascii="宋体" w:hAnsi="宋体" w:cs="宋体" w:eastAsia="宋体" w:hint="default"/>
          <w:sz w:val="14"/>
          <w:szCs w:val="14"/>
        </w:rPr>
      </w:pPr>
    </w:p>
    <w:p>
      <w:pPr>
        <w:pStyle w:val="BodyText"/>
        <w:spacing w:line="386" w:lineRule="auto" w:before="0"/>
        <w:ind w:left="573" w:right="0"/>
        <w:jc w:val="left"/>
      </w:pPr>
      <w:r>
        <w:rPr/>
        <w:t>（</w:t>
      </w:r>
      <w:r>
        <w:rPr>
          <w:rFonts w:ascii="Times New Roman" w:hAnsi="Times New Roman" w:cs="Times New Roman" w:eastAsia="Times New Roman" w:hint="default"/>
        </w:rPr>
        <w:t>6</w:t>
      </w:r>
      <w:r>
        <w:rPr/>
        <w:t>）以摊余成本计量的金融负债</w:t>
      </w:r>
      <w:r>
        <w:rPr>
          <w:w w:val="100"/>
        </w:rPr>
        <w:t> </w:t>
      </w:r>
      <w:r>
        <w:rPr>
          <w:spacing w:val="-5"/>
        </w:rPr>
        <w:t>以摊余成本计量的金融负债包括短期借款、应付票据、应付账款、其他应付款、长期借款、应付债券、</w:t>
      </w:r>
    </w:p>
    <w:p>
      <w:pPr>
        <w:pStyle w:val="BodyText"/>
        <w:spacing w:line="408" w:lineRule="auto" w:before="65"/>
        <w:ind w:left="573" w:right="2654" w:hanging="421"/>
        <w:jc w:val="left"/>
      </w:pPr>
      <w:r>
        <w:rPr>
          <w:spacing w:val="-2"/>
        </w:rPr>
        <w:t>长期应付款，按公允价值进行初始计量，相关交易费用计入初始确认金额。</w:t>
      </w:r>
      <w:r>
        <w:rPr>
          <w:spacing w:val="-42"/>
        </w:rPr>
        <w:t> </w:t>
      </w:r>
      <w:r>
        <w:rPr>
          <w:spacing w:val="-42"/>
        </w:rPr>
      </w:r>
      <w:r>
        <w:rPr/>
        <w:t>持有期间采用实际利率法计算的利息计入当期损益。</w:t>
      </w:r>
      <w:r>
        <w:rPr>
          <w:w w:val="100"/>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日前适用的会计政策</w:t>
      </w:r>
    </w:p>
    <w:p>
      <w:pPr>
        <w:pStyle w:val="BodyText"/>
        <w:spacing w:line="386" w:lineRule="auto" w:before="14"/>
        <w:ind w:left="573" w:right="1133"/>
        <w:jc w:val="left"/>
      </w:pPr>
      <w:r>
        <w:rPr/>
        <w:t>（</w:t>
      </w:r>
      <w:r>
        <w:rPr>
          <w:rFonts w:ascii="Times New Roman" w:hAnsi="Times New Roman" w:cs="Times New Roman" w:eastAsia="Times New Roman" w:hint="default"/>
        </w:rPr>
        <w:t>1</w:t>
      </w:r>
      <w:r>
        <w:rPr/>
        <w:t>）以公允价值计量且其变动计入当期损益的金融资产（金融负债）</w:t>
      </w:r>
      <w:r>
        <w:rPr>
          <w:w w:val="100"/>
        </w:rPr>
        <w:t> </w:t>
      </w:r>
      <w:r>
        <w:rPr>
          <w:spacing w:val="-2"/>
        </w:rPr>
        <w:t>取得时以公允价值（扣除已宣告但尚未发放的现金股利或已到付息期但尚未领取的债券利息）作为初</w:t>
      </w:r>
    </w:p>
    <w:p>
      <w:pPr>
        <w:pStyle w:val="BodyText"/>
        <w:spacing w:line="408" w:lineRule="auto" w:before="65"/>
        <w:ind w:left="573" w:right="1133" w:hanging="421"/>
        <w:jc w:val="left"/>
      </w:pPr>
      <w:r>
        <w:rPr/>
        <w:t>始确认金额，相关的交易费用计入当期损益。</w:t>
      </w:r>
      <w:r>
        <w:rPr>
          <w:w w:val="100"/>
        </w:rPr>
        <w:t> </w:t>
      </w:r>
      <w:r>
        <w:rPr/>
        <w:t>持有期间将取得的利息或现金股利确认为投资收益，期末将公允价值变动计入当期损益。</w:t>
      </w:r>
      <w:r>
        <w:rPr>
          <w:w w:val="100"/>
        </w:rPr>
        <w:t> </w:t>
      </w:r>
      <w:r>
        <w:rPr>
          <w:spacing w:val="-2"/>
        </w:rPr>
        <w:t>处置时，其公允价值与初始入账金额之间的差额确认为投资收益，同时调整公允价值变动损益。</w:t>
      </w:r>
    </w:p>
    <w:p>
      <w:pPr>
        <w:pStyle w:val="BodyText"/>
        <w:spacing w:line="398" w:lineRule="auto"/>
        <w:ind w:left="573" w:right="0"/>
        <w:jc w:val="left"/>
      </w:pPr>
      <w:r>
        <w:rPr/>
        <w:t>（</w:t>
      </w:r>
      <w:r>
        <w:rPr>
          <w:rFonts w:ascii="Times New Roman" w:hAnsi="Times New Roman" w:cs="Times New Roman" w:eastAsia="Times New Roman" w:hint="default"/>
        </w:rPr>
        <w:t>2</w:t>
      </w:r>
      <w:r>
        <w:rPr/>
        <w:t>）持有至到期投资</w:t>
      </w:r>
      <w:r>
        <w:rPr>
          <w:w w:val="100"/>
        </w:rPr>
        <w:t> </w:t>
      </w:r>
      <w:r>
        <w:rPr>
          <w:spacing w:val="-5"/>
        </w:rPr>
        <w:t>取得时按公允价值（扣除已到付息期但尚未领取的债券利息）和相关交易费用之和作为初始确认金额。</w:t>
      </w:r>
      <w:r>
        <w:rPr>
          <w:spacing w:val="-17"/>
        </w:rPr>
        <w:t> </w:t>
      </w:r>
      <w:r>
        <w:rPr>
          <w:spacing w:val="-17"/>
        </w:rPr>
      </w:r>
      <w:r>
        <w:rPr/>
        <w:t>持有期间按照摊余成本和实际利率计算确认利息收入，计入投资收益。实际利率在取得时确定，在该</w:t>
      </w:r>
    </w:p>
    <w:p>
      <w:pPr>
        <w:pStyle w:val="BodyText"/>
        <w:spacing w:line="408" w:lineRule="auto" w:before="54"/>
        <w:ind w:left="573" w:right="1133" w:hanging="421"/>
        <w:jc w:val="left"/>
      </w:pPr>
      <w:r>
        <w:rPr/>
        <w:t>预期存续期间或适用的更短期间内保持不变。</w:t>
      </w:r>
      <w:r>
        <w:rPr>
          <w:w w:val="100"/>
        </w:rPr>
        <w:t> </w:t>
      </w:r>
      <w:r>
        <w:rPr>
          <w:spacing w:val="-2"/>
        </w:rPr>
        <w:t>处置时，将所取得价款与该投资账面价值之间的差额计入投资收益。</w:t>
      </w:r>
    </w:p>
    <w:p>
      <w:pPr>
        <w:pStyle w:val="BodyText"/>
        <w:spacing w:line="386" w:lineRule="auto"/>
        <w:ind w:left="573" w:right="1133"/>
        <w:jc w:val="left"/>
      </w:pPr>
      <w:r>
        <w:rPr/>
        <w:t>（</w:t>
      </w:r>
      <w:r>
        <w:rPr>
          <w:rFonts w:ascii="Times New Roman" w:hAnsi="Times New Roman" w:cs="Times New Roman" w:eastAsia="Times New Roman" w:hint="default"/>
        </w:rPr>
        <w:t>3</w:t>
      </w:r>
      <w:r>
        <w:rPr/>
        <w:t>）应收款项</w:t>
      </w:r>
      <w:r>
        <w:rPr>
          <w:w w:val="100"/>
        </w:rPr>
        <w:t> </w:t>
      </w:r>
      <w:r>
        <w:rPr>
          <w:spacing w:val="-2"/>
        </w:rPr>
        <w:t>本公司对外销售商品或提供劳务形成的应收债权，以及本公司持有的其他企业的不包括在活跃市场上</w:t>
      </w:r>
    </w:p>
    <w:p>
      <w:pPr>
        <w:pStyle w:val="BodyText"/>
        <w:spacing w:line="408" w:lineRule="auto" w:before="65"/>
        <w:ind w:right="1133"/>
        <w:jc w:val="left"/>
      </w:pPr>
      <w:r>
        <w:rPr>
          <w:spacing w:val="-2"/>
        </w:rPr>
        <w:t>有报价的债务工具的债权，包括应收账款、其他应收款等，以向购货方应收的合同或协议价款作为初始确</w:t>
      </w:r>
      <w:r>
        <w:rPr>
          <w:spacing w:val="-43"/>
        </w:rPr>
        <w:t> </w:t>
      </w:r>
      <w:r>
        <w:rPr>
          <w:spacing w:val="-43"/>
        </w:rPr>
      </w:r>
      <w:r>
        <w:rPr/>
        <w:t>认金额；具有融资性质的，按其现值进行初始确认。</w:t>
      </w:r>
    </w:p>
    <w:p>
      <w:pPr>
        <w:pStyle w:val="BodyText"/>
        <w:spacing w:line="240" w:lineRule="auto"/>
        <w:ind w:left="573" w:right="1133"/>
        <w:jc w:val="left"/>
      </w:pPr>
      <w:r>
        <w:rPr/>
        <w:t>收回或处置时，将取得的价款与该应收款项账面价值之间的差额计入当期损益。</w:t>
      </w:r>
    </w:p>
    <w:p>
      <w:pPr>
        <w:spacing w:line="240" w:lineRule="auto" w:before="10"/>
        <w:rPr>
          <w:rFonts w:ascii="宋体" w:hAnsi="宋体" w:cs="宋体" w:eastAsia="宋体" w:hint="default"/>
          <w:sz w:val="14"/>
          <w:szCs w:val="14"/>
        </w:rPr>
      </w:pPr>
    </w:p>
    <w:p>
      <w:pPr>
        <w:pStyle w:val="BodyText"/>
        <w:spacing w:line="386" w:lineRule="auto" w:before="0"/>
        <w:ind w:left="573" w:right="1133"/>
        <w:jc w:val="left"/>
      </w:pPr>
      <w:r>
        <w:rPr/>
        <w:t>（</w:t>
      </w:r>
      <w:r>
        <w:rPr>
          <w:rFonts w:ascii="Times New Roman" w:hAnsi="Times New Roman" w:cs="Times New Roman" w:eastAsia="Times New Roman" w:hint="default"/>
        </w:rPr>
        <w:t>4</w:t>
      </w:r>
      <w:r>
        <w:rPr/>
        <w:t>）可供出售金融资产</w:t>
      </w:r>
      <w:r>
        <w:rPr>
          <w:w w:val="100"/>
        </w:rPr>
        <w:t> </w:t>
      </w:r>
      <w:r>
        <w:rPr>
          <w:spacing w:val="-2"/>
        </w:rPr>
        <w:t>取得时按公允价值（扣除已宣告但尚未发放的现金股利或已到付息期但尚未领取的债券利息）和相关</w:t>
      </w:r>
    </w:p>
    <w:p>
      <w:pPr>
        <w:pStyle w:val="BodyText"/>
        <w:spacing w:line="408" w:lineRule="auto" w:before="65"/>
        <w:ind w:left="573" w:right="1133" w:hanging="421"/>
        <w:jc w:val="left"/>
      </w:pPr>
      <w:r>
        <w:rPr/>
        <w:t>交易费用之和作为初始确认金额。</w:t>
      </w:r>
      <w:r>
        <w:rPr>
          <w:w w:val="100"/>
        </w:rPr>
        <w:t> </w:t>
      </w:r>
      <w:r>
        <w:rPr>
          <w:spacing w:val="-2"/>
        </w:rPr>
        <w:t>持有期间将取得的利息或现金股利确认为投资收益。期末以公允价值计量且将公允价值变动计入其他</w:t>
      </w:r>
    </w:p>
    <w:p>
      <w:pPr>
        <w:pStyle w:val="BodyText"/>
        <w:spacing w:line="408" w:lineRule="auto"/>
        <w:ind w:right="1133"/>
        <w:jc w:val="left"/>
      </w:pPr>
      <w:r>
        <w:rPr>
          <w:spacing w:val="-2"/>
        </w:rPr>
        <w:t>综合收益。但是，在活跃市场中没有报价且其公允价值不能可靠计量的权益工具投资，以及与该权益工具</w:t>
      </w:r>
      <w:r>
        <w:rPr>
          <w:spacing w:val="-44"/>
        </w:rPr>
        <w:t> </w:t>
      </w:r>
      <w:r>
        <w:rPr>
          <w:spacing w:val="-44"/>
        </w:rPr>
      </w:r>
      <w:r>
        <w:rPr/>
        <w:t>挂钩并须通过交付该权益工具结算的衍生金融资产，按照成本计量。</w:t>
      </w:r>
    </w:p>
    <w:p>
      <w:pPr>
        <w:pStyle w:val="BodyText"/>
        <w:spacing w:line="408" w:lineRule="auto"/>
        <w:ind w:right="1133" w:firstLine="420"/>
        <w:jc w:val="left"/>
      </w:pPr>
      <w:r>
        <w:rPr>
          <w:spacing w:val="-2"/>
        </w:rPr>
        <w:t>处置时，将取得的价款与该金融资产账面价值之间的差额，计入投资损益；同时，将原直接计入其他</w:t>
      </w:r>
      <w:r>
        <w:rPr>
          <w:w w:val="100"/>
        </w:rPr>
        <w:t> </w:t>
      </w:r>
      <w:r>
        <w:rPr/>
        <w:t>综合收益的公允价值变动累计额对应处置部分的金额转出，计入当期损益。</w:t>
      </w:r>
    </w:p>
    <w:p>
      <w:pPr>
        <w:pStyle w:val="BodyText"/>
        <w:spacing w:line="240" w:lineRule="auto"/>
        <w:ind w:left="573" w:right="1133"/>
        <w:jc w:val="left"/>
      </w:pPr>
      <w:r>
        <w:rPr/>
        <w:t>（</w:t>
      </w:r>
      <w:r>
        <w:rPr>
          <w:rFonts w:ascii="Times New Roman" w:hAnsi="Times New Roman" w:cs="Times New Roman" w:eastAsia="Times New Roman" w:hint="default"/>
        </w:rPr>
        <w:t>5</w:t>
      </w:r>
      <w:r>
        <w:rPr/>
        <w:t>）其他金融负债</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98" w:lineRule="auto" w:before="175"/>
        <w:ind w:left="573" w:right="1133"/>
        <w:jc w:val="left"/>
      </w:pPr>
      <w:r>
        <w:rPr/>
        <w:t>按其公允价值和相关交易费用之和作为初始确认金额。采用摊余成本进行后续计量。</w:t>
      </w:r>
      <w:r>
        <w:rPr>
          <w:w w:val="100"/>
        </w:rPr>
        <w:t> </w:t>
      </w:r>
      <w:r>
        <w:rPr>
          <w:rFonts w:ascii="Times New Roman" w:hAnsi="Times New Roman" w:cs="Times New Roman" w:eastAsia="Times New Roman" w:hint="default"/>
        </w:rPr>
        <w:t>3</w:t>
      </w:r>
      <w:r>
        <w:rPr/>
        <w:t>、金融资产转移的确认依据和计量方法</w:t>
      </w:r>
      <w:r>
        <w:rPr>
          <w:w w:val="100"/>
        </w:rPr>
        <w:t> </w:t>
      </w:r>
      <w:r>
        <w:rPr>
          <w:spacing w:val="-2"/>
        </w:rPr>
        <w:t>本公司发生金融资产转移时，如已将金融资产所有权上几乎所有的风险和报酬转移给转入方，则终止</w:t>
      </w:r>
    </w:p>
    <w:p>
      <w:pPr>
        <w:pStyle w:val="BodyText"/>
        <w:spacing w:line="408" w:lineRule="auto" w:before="54"/>
        <w:ind w:left="573" w:right="5114" w:hanging="421"/>
        <w:jc w:val="left"/>
      </w:pPr>
      <w:r>
        <w:rPr/>
        <w:t>确认该金融资产。</w:t>
      </w:r>
      <w:r>
        <w:rPr>
          <w:w w:val="100"/>
        </w:rPr>
        <w:t> </w:t>
      </w:r>
      <w:r>
        <w:rPr>
          <w:spacing w:val="-2"/>
        </w:rPr>
        <w:t>本公司金融资产满足下列条件之一的，予以终止确认：</w:t>
      </w:r>
    </w:p>
    <w:p>
      <w:pPr>
        <w:pStyle w:val="BodyText"/>
        <w:spacing w:line="240" w:lineRule="auto"/>
        <w:ind w:left="573" w:right="1133"/>
        <w:jc w:val="left"/>
      </w:pPr>
      <w:r>
        <w:rPr/>
        <w:t>（</w:t>
      </w:r>
      <w:r>
        <w:rPr>
          <w:rFonts w:ascii="Times New Roman" w:hAnsi="Times New Roman" w:cs="Times New Roman" w:eastAsia="Times New Roman" w:hint="default"/>
        </w:rPr>
        <w:t>1</w:t>
      </w:r>
      <w:r>
        <w:rPr/>
        <w:t>）收取该金融资产现金流量的合同权利终止；</w:t>
      </w:r>
    </w:p>
    <w:p>
      <w:pPr>
        <w:pStyle w:val="BodyText"/>
        <w:spacing w:line="240" w:lineRule="auto" w:before="177"/>
        <w:ind w:left="573" w:right="1133"/>
        <w:jc w:val="left"/>
      </w:pPr>
      <w:r>
        <w:rPr/>
        <w:t>（</w:t>
      </w:r>
      <w:r>
        <w:rPr>
          <w:rFonts w:ascii="Times New Roman" w:hAnsi="Times New Roman" w:cs="Times New Roman" w:eastAsia="Times New Roman" w:hint="default"/>
        </w:rPr>
        <w:t>2</w:t>
      </w:r>
      <w:r>
        <w:rPr/>
        <w:t>）该金融资产已转移，且本公司转移了金融资产所有权上几乎所有的风险和报酬；</w:t>
      </w:r>
    </w:p>
    <w:p>
      <w:pPr>
        <w:pStyle w:val="BodyText"/>
        <w:spacing w:line="386" w:lineRule="auto" w:before="177"/>
        <w:ind w:right="1133" w:firstLine="420"/>
        <w:jc w:val="left"/>
      </w:pPr>
      <w:r>
        <w:rPr/>
        <w:t>（</w:t>
      </w:r>
      <w:r>
        <w:rPr>
          <w:rFonts w:ascii="Times New Roman" w:hAnsi="Times New Roman" w:cs="Times New Roman" w:eastAsia="Times New Roman" w:hint="default"/>
        </w:rPr>
        <w:t>3</w:t>
      </w:r>
      <w:r>
        <w:rPr/>
        <w:t>）该金融资产已转移，虽然本公司既没有转移也没有保留金融资产所有权上几乎所有报酬的，但</w:t>
      </w:r>
      <w:r>
        <w:rPr>
          <w:w w:val="100"/>
        </w:rPr>
        <w:t> </w:t>
      </w:r>
      <w:r>
        <w:rPr/>
        <w:t>未保留对该金融资产的控制。</w:t>
      </w:r>
    </w:p>
    <w:p>
      <w:pPr>
        <w:pStyle w:val="BodyText"/>
        <w:spacing w:line="408" w:lineRule="auto" w:before="65"/>
        <w:ind w:right="1126" w:firstLine="420"/>
        <w:jc w:val="both"/>
      </w:pPr>
      <w:r>
        <w:rPr>
          <w:spacing w:val="-2"/>
        </w:rPr>
        <w:t>在判断金融资产转移是否满足上述金融资产终止确认条件时，采用实质重于形式的原则。公司将金融</w:t>
      </w:r>
      <w:r>
        <w:rPr>
          <w:w w:val="100"/>
        </w:rPr>
        <w:t> </w:t>
      </w:r>
      <w:r>
        <w:rPr>
          <w:spacing w:val="-2"/>
        </w:rPr>
        <w:t>资产转移区分为金融资产整体转移和部分转移。金融资产整体转移满足终止确认条件的，将下列两项金额</w:t>
      </w:r>
      <w:r>
        <w:rPr>
          <w:spacing w:val="-44"/>
        </w:rPr>
        <w:t> </w:t>
      </w:r>
      <w:r>
        <w:rPr>
          <w:spacing w:val="-44"/>
        </w:rPr>
      </w:r>
      <w:r>
        <w:rPr/>
        <w:t>的差额计入当期损益：</w:t>
      </w:r>
    </w:p>
    <w:p>
      <w:pPr>
        <w:pStyle w:val="BodyText"/>
        <w:spacing w:line="240" w:lineRule="auto"/>
        <w:ind w:left="573" w:right="1133"/>
        <w:jc w:val="left"/>
      </w:pPr>
      <w:r>
        <w:rPr/>
        <w:t>（</w:t>
      </w:r>
      <w:r>
        <w:rPr>
          <w:rFonts w:ascii="Times New Roman" w:hAnsi="Times New Roman" w:cs="Times New Roman" w:eastAsia="Times New Roman" w:hint="default"/>
        </w:rPr>
        <w:t>1</w:t>
      </w:r>
      <w:r>
        <w:rPr/>
        <w:t>）所转移金融资产在终止确认日的账面价值；</w:t>
      </w:r>
    </w:p>
    <w:p>
      <w:pPr>
        <w:pStyle w:val="BodyText"/>
        <w:spacing w:line="386" w:lineRule="auto" w:before="177"/>
        <w:ind w:right="1133" w:firstLine="42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w:t>
      </w:r>
      <w:r>
        <w:rPr>
          <w:w w:val="100"/>
        </w:rPr>
        <w:t> </w:t>
      </w:r>
      <w:r>
        <w:rPr/>
        <w:t>为分类为以公允价值计量且其变动计入其他综合收益的金融资产）之和。</w:t>
      </w:r>
    </w:p>
    <w:p>
      <w:pPr>
        <w:pStyle w:val="BodyText"/>
        <w:spacing w:line="408" w:lineRule="auto" w:before="65"/>
        <w:ind w:right="1133" w:firstLine="420"/>
        <w:jc w:val="left"/>
      </w:pPr>
      <w:r>
        <w:rPr>
          <w:spacing w:val="-2"/>
        </w:rPr>
        <w:t>金融资产部分转移满足终止确认条件的，将所转移金融资产整体的账面价值，在终止确认部分和未终</w:t>
      </w:r>
      <w:r>
        <w:rPr>
          <w:w w:val="100"/>
        </w:rPr>
        <w:t> </w:t>
      </w:r>
      <w:r>
        <w:rPr/>
        <w:t>止确认部分之间，按照各自的相对公允价值进行分摊，并将下列两项金额的差额计入当期损益：</w:t>
      </w:r>
    </w:p>
    <w:p>
      <w:pPr>
        <w:pStyle w:val="BodyText"/>
        <w:spacing w:line="240" w:lineRule="auto"/>
        <w:ind w:left="573" w:right="1133"/>
        <w:jc w:val="left"/>
      </w:pPr>
      <w:r>
        <w:rPr/>
        <w:t>（</w:t>
      </w:r>
      <w:r>
        <w:rPr>
          <w:rFonts w:ascii="Times New Roman" w:hAnsi="Times New Roman" w:cs="Times New Roman" w:eastAsia="Times New Roman" w:hint="default"/>
        </w:rPr>
        <w:t>1</w:t>
      </w:r>
      <w:r>
        <w:rPr/>
        <w:t>）终止确认部分在终止确认日的账面价值；</w:t>
      </w:r>
    </w:p>
    <w:p>
      <w:pPr>
        <w:pStyle w:val="BodyText"/>
        <w:spacing w:line="386" w:lineRule="auto" w:before="177"/>
        <w:ind w:right="1133" w:firstLine="42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w:t>
      </w:r>
      <w:r>
        <w:rPr>
          <w:w w:val="100"/>
        </w:rPr>
        <w:t> </w:t>
      </w:r>
      <w:r>
        <w:rPr/>
        <w:t>金额（涉及转移的金融资产为分类为以公允价值计量且其变动计入其他综合收益的金融资产）之和。</w:t>
      </w:r>
    </w:p>
    <w:p>
      <w:pPr>
        <w:pStyle w:val="BodyText"/>
        <w:spacing w:line="408" w:lineRule="auto" w:before="65"/>
        <w:ind w:right="1133" w:firstLine="420"/>
        <w:jc w:val="left"/>
      </w:pPr>
      <w:r>
        <w:rPr>
          <w:spacing w:val="-2"/>
        </w:rPr>
        <w:t>本公司指定为公允价值计量且其变动计入其他综合收益的非交易性权益工具投资。终止确认时，将之</w:t>
      </w:r>
      <w:r>
        <w:rPr>
          <w:w w:val="100"/>
        </w:rPr>
        <w:t> </w:t>
      </w:r>
      <w:r>
        <w:rPr/>
        <w:t>前计入其他综合收益的累计利得或损失从其他综合收益中转出，计入留存收益。</w:t>
      </w:r>
    </w:p>
    <w:p>
      <w:pPr>
        <w:pStyle w:val="BodyText"/>
        <w:spacing w:line="398" w:lineRule="auto"/>
        <w:ind w:left="573" w:right="1133"/>
        <w:jc w:val="left"/>
      </w:pPr>
      <w:r>
        <w:rPr/>
        <w:t>金融资产转移不满足终止确认条件的，继续确认该金融资产，所收到的对价确认为一项金融负债。</w:t>
      </w:r>
      <w:r>
        <w:rPr>
          <w:w w:val="100"/>
        </w:rPr>
        <w:t> </w:t>
      </w:r>
      <w:r>
        <w:rPr>
          <w:rFonts w:ascii="Times New Roman" w:hAnsi="Times New Roman" w:cs="Times New Roman" w:eastAsia="Times New Roman" w:hint="default"/>
        </w:rPr>
        <w:t>4</w:t>
      </w:r>
      <w:r>
        <w:rPr/>
        <w:t>、金融负债终止确认条件</w:t>
      </w:r>
      <w:r>
        <w:rPr>
          <w:w w:val="100"/>
        </w:rPr>
        <w:t> </w:t>
      </w:r>
      <w:r>
        <w:rPr>
          <w:spacing w:val="-2"/>
        </w:rPr>
        <w:t>金融负债的现时义务全部或部分已经解除的，则终止确认该金融负债或其一部分；本公司若与债权人</w:t>
      </w:r>
    </w:p>
    <w:p>
      <w:pPr>
        <w:pStyle w:val="BodyText"/>
        <w:spacing w:line="408" w:lineRule="auto" w:before="54"/>
        <w:ind w:right="1133"/>
        <w:jc w:val="left"/>
      </w:pPr>
      <w:r>
        <w:rPr>
          <w:spacing w:val="-2"/>
        </w:rPr>
        <w:t>签定协议，以承担新金融负债方式替换现存金融负债，且新金融负债与现存金融负债的合同条款实质上不</w:t>
      </w:r>
      <w:r>
        <w:rPr>
          <w:spacing w:val="-43"/>
        </w:rPr>
        <w:t> </w:t>
      </w:r>
      <w:r>
        <w:rPr>
          <w:spacing w:val="-43"/>
        </w:rPr>
      </w:r>
      <w:r>
        <w:rPr/>
        <w:t>同的，则终止确认现存金融负债，并同时确认新金融负债。</w:t>
      </w:r>
    </w:p>
    <w:p>
      <w:pPr>
        <w:pStyle w:val="BodyText"/>
        <w:spacing w:line="408" w:lineRule="auto"/>
        <w:ind w:right="1133" w:firstLine="420"/>
        <w:jc w:val="left"/>
      </w:pPr>
      <w:r>
        <w:rPr>
          <w:spacing w:val="-2"/>
        </w:rPr>
        <w:t>对现存金融负债全部或部分合同条款作出实质性修改的，则终止确认现存金融负债或其一部分，同时</w:t>
      </w:r>
      <w:r>
        <w:rPr>
          <w:w w:val="100"/>
        </w:rPr>
        <w:t> </w:t>
      </w:r>
      <w:r>
        <w:rPr/>
        <w:t>将修改条款后的金融负债确认为一项新金融负债。</w:t>
      </w:r>
    </w:p>
    <w:p>
      <w:pPr>
        <w:pStyle w:val="BodyText"/>
        <w:spacing w:line="240" w:lineRule="auto"/>
        <w:ind w:left="573" w:right="0"/>
        <w:jc w:val="left"/>
      </w:pPr>
      <w:r>
        <w:rPr/>
        <w:t>金融负债全部或部分终止确认时，终止确认的金融负债账面价值与支付对价（包括转出的非现金资产</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left="573" w:right="1133" w:hanging="421"/>
        <w:jc w:val="left"/>
      </w:pPr>
      <w:r>
        <w:rPr/>
        <w:t>或承担的新金融负债）之间的差额，计入当期损益。</w:t>
      </w:r>
      <w:r>
        <w:rPr>
          <w:w w:val="100"/>
        </w:rPr>
        <w:t> </w:t>
      </w:r>
      <w:r>
        <w:rPr>
          <w:spacing w:val="-2"/>
        </w:rPr>
        <w:t>本公司若回购部分金融负债的，在回购日按照继续确认部分与终止确认部分的相对公允价值，将该金</w:t>
      </w:r>
    </w:p>
    <w:p>
      <w:pPr>
        <w:pStyle w:val="BodyText"/>
        <w:spacing w:line="408" w:lineRule="auto"/>
        <w:ind w:right="1133"/>
        <w:jc w:val="left"/>
      </w:pPr>
      <w:r>
        <w:rPr>
          <w:spacing w:val="-2"/>
        </w:rPr>
        <w:t>融负债整体的账面价值进行分配。分配给终止确认部分的账面价值与支付的对价（包括转出的非现金资产</w:t>
      </w:r>
      <w:r>
        <w:rPr>
          <w:spacing w:val="-44"/>
        </w:rPr>
        <w:t> </w:t>
      </w:r>
      <w:r>
        <w:rPr>
          <w:spacing w:val="-44"/>
        </w:rPr>
      </w:r>
      <w:r>
        <w:rPr/>
        <w:t>或承担的新金融负债）之间的差额，计入当期损益。</w:t>
      </w:r>
    </w:p>
    <w:p>
      <w:pPr>
        <w:pStyle w:val="BodyText"/>
        <w:spacing w:line="386" w:lineRule="auto"/>
        <w:ind w:left="573" w:right="1133"/>
        <w:jc w:val="left"/>
      </w:pPr>
      <w:r>
        <w:rPr>
          <w:rFonts w:ascii="Times New Roman" w:hAnsi="Times New Roman" w:cs="Times New Roman" w:eastAsia="Times New Roman" w:hint="default"/>
        </w:rPr>
        <w:t>5</w:t>
      </w:r>
      <w:r>
        <w:rPr/>
        <w:t>、金融资产和金融负债的公允价值确定方法</w:t>
      </w:r>
      <w:r>
        <w:rPr>
          <w:w w:val="100"/>
        </w:rPr>
        <w:t> </w:t>
      </w:r>
      <w:r>
        <w:rPr>
          <w:spacing w:val="-2"/>
        </w:rPr>
        <w:t>公允价值是指市场参与者在计量日发生的有序交易中，出售一项资产所能收到或者转移一项负债所需</w:t>
      </w:r>
    </w:p>
    <w:p>
      <w:pPr>
        <w:pStyle w:val="BodyText"/>
        <w:spacing w:line="240" w:lineRule="auto" w:before="65"/>
        <w:ind w:right="1133"/>
        <w:jc w:val="left"/>
      </w:pPr>
      <w:r>
        <w:rPr/>
        <w:t>支付的价格。</w:t>
      </w:r>
    </w:p>
    <w:p>
      <w:pPr>
        <w:spacing w:line="240" w:lineRule="auto" w:before="10"/>
        <w:rPr>
          <w:rFonts w:ascii="宋体" w:hAnsi="宋体" w:cs="宋体" w:eastAsia="宋体" w:hint="default"/>
          <w:sz w:val="14"/>
          <w:szCs w:val="14"/>
        </w:rPr>
      </w:pPr>
    </w:p>
    <w:p>
      <w:pPr>
        <w:pStyle w:val="BodyText"/>
        <w:spacing w:line="408" w:lineRule="auto" w:before="0"/>
        <w:ind w:right="1105" w:firstLine="420"/>
        <w:jc w:val="both"/>
      </w:pPr>
      <w:r>
        <w:rPr>
          <w:spacing w:val="-2"/>
        </w:rPr>
        <w:t>本公司以公允价值计量相关资产或负债，假定出售资产或者转移负债的有序交易在相关资产或负债的</w:t>
      </w:r>
      <w:r>
        <w:rPr>
          <w:w w:val="100"/>
        </w:rPr>
        <w:t> </w:t>
      </w:r>
      <w:r>
        <w:rPr>
          <w:spacing w:val="-2"/>
        </w:rPr>
        <w:t>主要市场进行；不存在主要市场的，本公司假定该交易在相关资产或负债的最有利市场进行。主要市场，</w:t>
      </w:r>
      <w:r>
        <w:rPr>
          <w:spacing w:val="-21"/>
        </w:rPr>
        <w:t> </w:t>
      </w:r>
      <w:r>
        <w:rPr>
          <w:spacing w:val="-21"/>
        </w:rPr>
      </w:r>
      <w:r>
        <w:rPr>
          <w:spacing w:val="-2"/>
        </w:rPr>
        <w:t>是指相关资产或负债交易量最大和交易活跃程度最高的市场。最有利市场，是指在考虑交易费用和运输费</w:t>
      </w:r>
      <w:r>
        <w:rPr>
          <w:spacing w:val="-42"/>
        </w:rPr>
        <w:t> </w:t>
      </w:r>
      <w:r>
        <w:rPr>
          <w:spacing w:val="-42"/>
        </w:rPr>
      </w:r>
      <w:r>
        <w:rPr>
          <w:spacing w:val="-2"/>
        </w:rPr>
        <w:t>用后，能够以最高金额出售相关资产或者以最低金额转移相关负债的市场。本公司采用市场参与者在对该</w:t>
      </w:r>
      <w:r>
        <w:rPr>
          <w:spacing w:val="-42"/>
        </w:rPr>
        <w:t> </w:t>
      </w:r>
      <w:r>
        <w:rPr>
          <w:spacing w:val="-42"/>
        </w:rPr>
      </w:r>
      <w:r>
        <w:rPr>
          <w:spacing w:val="-2"/>
        </w:rPr>
        <w:t>资产或负债定价时为实现其经济利益最大化所使用的假设。存在活跃市场的金融资产或金融负债，本公司</w:t>
      </w:r>
      <w:r>
        <w:rPr>
          <w:spacing w:val="-44"/>
        </w:rPr>
        <w:t> </w:t>
      </w:r>
      <w:r>
        <w:rPr>
          <w:spacing w:val="-44"/>
        </w:rPr>
      </w:r>
      <w:r>
        <w:rPr>
          <w:spacing w:val="-2"/>
        </w:rPr>
        <w:t>采用活跃市场中的报价确定其公允价值。金融工具不存在活跃市场的，本公司采用估值技术确定其公允价</w:t>
      </w:r>
      <w:r>
        <w:rPr>
          <w:spacing w:val="-42"/>
        </w:rPr>
        <w:t> </w:t>
      </w:r>
      <w:r>
        <w:rPr>
          <w:spacing w:val="-42"/>
        </w:rPr>
      </w:r>
      <w:r>
        <w:rPr/>
        <w:t>值。</w:t>
      </w:r>
    </w:p>
    <w:p>
      <w:pPr>
        <w:pStyle w:val="BodyText"/>
        <w:spacing w:line="408" w:lineRule="auto"/>
        <w:ind w:right="1104" w:firstLine="420"/>
        <w:jc w:val="both"/>
      </w:pPr>
      <w:r>
        <w:rPr>
          <w:spacing w:val="-2"/>
        </w:rPr>
        <w:t>每个资产负债表日，本公司对在财务报表中确认的持续以公允价值计量的资产和负债进行重新评估，</w:t>
      </w:r>
      <w:r>
        <w:rPr>
          <w:w w:val="100"/>
        </w:rPr>
        <w:t> </w:t>
      </w:r>
      <w:r>
        <w:rPr/>
        <w:t>以确定是否在公允价值计量层次之间发生转换。</w:t>
      </w:r>
    </w:p>
    <w:p>
      <w:pPr>
        <w:pStyle w:val="BodyText"/>
        <w:spacing w:line="386" w:lineRule="auto"/>
        <w:ind w:left="573" w:right="6254"/>
        <w:jc w:val="left"/>
      </w:pPr>
      <w:r>
        <w:rPr>
          <w:rFonts w:ascii="Times New Roman" w:hAnsi="Times New Roman" w:cs="Times New Roman" w:eastAsia="Times New Roman" w:hint="default"/>
          <w:spacing w:val="-2"/>
        </w:rPr>
        <w:t>6</w:t>
      </w:r>
      <w:r>
        <w:rPr>
          <w:spacing w:val="-2"/>
        </w:rPr>
        <w:t>、金融资产（不含应收款项）减值测试方法</w:t>
      </w:r>
      <w:r>
        <w:rPr>
          <w:spacing w:val="-69"/>
        </w:rPr>
        <w:t> </w:t>
      </w:r>
      <w:r>
        <w:rPr>
          <w:spacing w:val="-69"/>
        </w:rPr>
      </w:r>
      <w:r>
        <w:rPr/>
        <w:t>自 </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 </w:t>
      </w:r>
      <w:r>
        <w:rPr/>
        <w:t>日起适用的会计政策</w:t>
      </w:r>
    </w:p>
    <w:p>
      <w:pPr>
        <w:pStyle w:val="BodyText"/>
        <w:spacing w:line="386" w:lineRule="auto" w:before="35"/>
        <w:ind w:left="573" w:right="1133"/>
        <w:jc w:val="left"/>
      </w:pPr>
      <w:r>
        <w:rPr/>
        <w:t>（</w:t>
      </w:r>
      <w:r>
        <w:rPr>
          <w:rFonts w:ascii="Times New Roman" w:hAnsi="Times New Roman" w:cs="Times New Roman" w:eastAsia="Times New Roman" w:hint="default"/>
        </w:rPr>
        <w:t>1</w:t>
      </w:r>
      <w:r>
        <w:rPr/>
        <w:t>）金融工具减值处理基础及其确定方法</w:t>
      </w:r>
      <w:r>
        <w:rPr>
          <w:w w:val="100"/>
        </w:rPr>
        <w:t> </w:t>
      </w:r>
      <w:r>
        <w:rPr>
          <w:spacing w:val="-2"/>
        </w:rPr>
        <w:t>本公司以预期信用损失为基础，对以摊余成本计量的金融资产、分类为以公允价值计量且其变动计入</w:t>
      </w:r>
    </w:p>
    <w:p>
      <w:pPr>
        <w:pStyle w:val="BodyText"/>
        <w:spacing w:line="408" w:lineRule="auto" w:before="65"/>
        <w:ind w:left="573" w:right="1112" w:hanging="421"/>
        <w:jc w:val="left"/>
      </w:pPr>
      <w:r>
        <w:rPr/>
        <w:t>其他综合收益的债权投资进行减值会计处理并确认损失准备。</w:t>
      </w:r>
      <w:r>
        <w:rPr>
          <w:w w:val="100"/>
        </w:rPr>
        <w:t> </w:t>
      </w:r>
      <w:r>
        <w:rPr/>
        <w:t>预期信用损失，是指以发生违约的风险为权重的金融工具信用损失的加权平均值。信用损失，</w:t>
      </w:r>
      <w:r>
        <w:rPr>
          <w:spacing w:val="86"/>
        </w:rPr>
        <w:t> </w:t>
      </w:r>
      <w:r>
        <w:rPr/>
        <w:t>是指</w:t>
      </w:r>
    </w:p>
    <w:p>
      <w:pPr>
        <w:pStyle w:val="BodyText"/>
        <w:spacing w:line="408" w:lineRule="auto"/>
        <w:ind w:right="1016"/>
        <w:jc w:val="left"/>
      </w:pPr>
      <w:r>
        <w:rPr/>
        <w:t>公司按照原实际利率折现的、根据合同应收的所有合同现金流量与预期收取的所有现金流量</w:t>
      </w:r>
      <w:r>
        <w:rPr>
          <w:spacing w:val="-27"/>
        </w:rPr>
        <w:t> </w:t>
      </w:r>
      <w:r>
        <w:rPr/>
        <w:t>之间的差额，</w:t>
      </w:r>
      <w:r>
        <w:rPr>
          <w:w w:val="100"/>
        </w:rPr>
        <w:t> </w:t>
      </w:r>
      <w:r>
        <w:rPr/>
        <w:t>即全部现金短缺的现值。其中，对于公司购买或源生的已发生信用减值的金融资产， 按照该金融资产经</w:t>
      </w:r>
      <w:r>
        <w:rPr>
          <w:spacing w:val="-24"/>
        </w:rPr>
        <w:t> </w:t>
      </w:r>
      <w:r>
        <w:rPr>
          <w:spacing w:val="-24"/>
        </w:rPr>
      </w:r>
      <w:r>
        <w:rPr/>
        <w:t>信用调整的实际利率折现。 对于购买或源生的已发生信用减值的金融资产，公司在资产负债表日仅将自</w:t>
      </w:r>
      <w:r>
        <w:rPr>
          <w:spacing w:val="-29"/>
        </w:rPr>
        <w:t> </w:t>
      </w:r>
      <w:r>
        <w:rPr>
          <w:spacing w:val="-29"/>
        </w:rPr>
      </w:r>
      <w:r>
        <w:rPr/>
        <w:t>初始确认后整个存续期内预期信用损失的累计变动确认为损失准备。对于不含重大融资成分或者公司不考</w:t>
      </w:r>
      <w:r>
        <w:rPr>
          <w:w w:val="100"/>
        </w:rPr>
        <w:t> </w:t>
      </w:r>
      <w:r>
        <w:rPr>
          <w:spacing w:val="-2"/>
        </w:rPr>
        <w:t>虑不超过一年的合同中的融资成分的应收账款，公司运用简化计量方法，按照相当于整个存续期内的预期</w:t>
      </w:r>
      <w:r>
        <w:rPr>
          <w:spacing w:val="-44"/>
        </w:rPr>
        <w:t> </w:t>
      </w:r>
      <w:r>
        <w:rPr>
          <w:spacing w:val="-44"/>
        </w:rPr>
      </w:r>
      <w:r>
        <w:rPr/>
        <w:t>信用损失金额计量损失准备。</w:t>
      </w:r>
    </w:p>
    <w:p>
      <w:pPr>
        <w:pStyle w:val="BodyText"/>
        <w:spacing w:line="408" w:lineRule="auto"/>
        <w:ind w:right="1126" w:firstLine="420"/>
        <w:jc w:val="both"/>
      </w:pPr>
      <w:r>
        <w:rPr>
          <w:spacing w:val="-2"/>
        </w:rPr>
        <w:t>除上述计量方法以外的金融资产，本公司在每个资产负债表日评估相关金融工具的信用风险自初始确</w:t>
      </w:r>
      <w:r>
        <w:rPr>
          <w:w w:val="100"/>
        </w:rPr>
        <w:t> </w:t>
      </w:r>
      <w:r>
        <w:rPr>
          <w:spacing w:val="-2"/>
        </w:rPr>
        <w:t>认后是否显著增加，将金融工具发生信用减值的过程分为三个阶段，对于不同阶段的金融工具减值进行不</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0"/>
        <w:jc w:val="both"/>
      </w:pPr>
      <w:r>
        <w:rPr/>
        <w:t>同的会计处理：</w:t>
      </w:r>
    </w:p>
    <w:p>
      <w:pPr>
        <w:spacing w:line="240" w:lineRule="auto" w:before="10"/>
        <w:rPr>
          <w:rFonts w:ascii="宋体" w:hAnsi="宋体" w:cs="宋体" w:eastAsia="宋体" w:hint="default"/>
          <w:sz w:val="14"/>
          <w:szCs w:val="14"/>
        </w:rPr>
      </w:pPr>
    </w:p>
    <w:p>
      <w:pPr>
        <w:pStyle w:val="BodyText"/>
        <w:spacing w:line="400" w:lineRule="auto" w:before="0"/>
        <w:ind w:right="1126" w:firstLine="420"/>
        <w:jc w:val="both"/>
      </w:pPr>
      <w:r>
        <w:rPr>
          <w:spacing w:val="-2"/>
        </w:rPr>
        <w:t>①第一阶段，金融工具的信用风险自初始确认后未显著增加的，本公司按照该金融工具未来</w:t>
      </w:r>
      <w:r>
        <w:rPr>
          <w:rFonts w:ascii="Times New Roman" w:hAnsi="Times New Roman" w:cs="Times New Roman" w:eastAsia="Times New Roman" w:hint="default"/>
          <w:spacing w:val="-2"/>
        </w:rPr>
        <w:t>12</w:t>
      </w:r>
      <w:r>
        <w:rPr>
          <w:spacing w:val="-2"/>
        </w:rPr>
        <w:t>个月的</w:t>
      </w:r>
      <w:r>
        <w:rPr>
          <w:w w:val="100"/>
        </w:rPr>
        <w:t> </w:t>
      </w:r>
      <w:r>
        <w:rPr>
          <w:spacing w:val="-2"/>
        </w:rPr>
        <w:t>预期信用损失计量损失准备，并按照其账面余额（即未扣除减值准备）和实际利率计算利息收入；于资产</w:t>
      </w:r>
      <w:r>
        <w:rPr>
          <w:spacing w:val="-47"/>
        </w:rPr>
        <w:t> </w:t>
      </w:r>
      <w:r>
        <w:rPr>
          <w:spacing w:val="-47"/>
        </w:rPr>
      </w:r>
      <w:r>
        <w:rPr>
          <w:spacing w:val="-2"/>
        </w:rPr>
        <w:t>负债表日，若公司判断金融工具只有较低信用风险，则公司直接做出该工具的信用风险自初始确认后未显</w:t>
      </w:r>
      <w:r>
        <w:rPr>
          <w:spacing w:val="-43"/>
        </w:rPr>
        <w:t> </w:t>
      </w:r>
      <w:r>
        <w:rPr>
          <w:spacing w:val="-43"/>
        </w:rPr>
      </w:r>
      <w:r>
        <w:rPr/>
        <w:t>著增加的假定。</w:t>
      </w:r>
    </w:p>
    <w:p>
      <w:pPr>
        <w:pStyle w:val="BodyText"/>
        <w:spacing w:line="408" w:lineRule="auto" w:before="52"/>
        <w:ind w:right="1126" w:firstLine="420"/>
        <w:jc w:val="both"/>
      </w:pPr>
      <w:r>
        <w:rPr>
          <w:spacing w:val="-2"/>
        </w:rPr>
        <w:t>②第二阶段，金融工具的信用风险自初始确认后已显著增加但未发生信用减值的，本公司按照该金融</w:t>
      </w:r>
      <w:r>
        <w:rPr>
          <w:w w:val="100"/>
        </w:rPr>
        <w:t> </w:t>
      </w:r>
      <w:r>
        <w:rPr/>
        <w:t>工具整个存续期的预期信用损失计量损失准备，并按照其账面余额和实际利率计算利息收入；</w:t>
      </w:r>
    </w:p>
    <w:p>
      <w:pPr>
        <w:pStyle w:val="BodyText"/>
        <w:spacing w:line="410" w:lineRule="auto"/>
        <w:ind w:right="1126" w:firstLine="420"/>
        <w:jc w:val="both"/>
      </w:pPr>
      <w:r>
        <w:rPr>
          <w:spacing w:val="-2"/>
        </w:rPr>
        <w:t>③第三阶段，初始确认后发生信用减值的，本公司按照该金融工具整个存续期的预期信用损失计量损</w:t>
      </w:r>
      <w:r>
        <w:rPr>
          <w:w w:val="100"/>
        </w:rPr>
        <w:t> </w:t>
      </w:r>
      <w:r>
        <w:rPr/>
        <w:t>失准备，并按照其摊余成本（账面余额减已计提减值准备）和实际利率计算利息收入。</w:t>
      </w:r>
    </w:p>
    <w:p>
      <w:pPr>
        <w:pStyle w:val="BodyText"/>
        <w:spacing w:line="408" w:lineRule="auto" w:before="44"/>
        <w:ind w:right="1126" w:firstLine="420"/>
        <w:jc w:val="both"/>
      </w:pPr>
      <w:r>
        <w:rPr>
          <w:spacing w:val="-2"/>
        </w:rPr>
        <w:t>公司以单项金融工具或金融工具组合为基础评估预期信用风险和计量预期信用损失。当以金融工具组</w:t>
      </w:r>
      <w:r>
        <w:rPr>
          <w:w w:val="100"/>
        </w:rPr>
        <w:t> </w:t>
      </w:r>
      <w:r>
        <w:rPr/>
        <w:t>合为基础时，公司以共同风险特征为依据，将金融工具划分为不同组合。</w:t>
      </w:r>
    </w:p>
    <w:p>
      <w:pPr>
        <w:pStyle w:val="BodyText"/>
        <w:spacing w:line="386" w:lineRule="auto"/>
        <w:ind w:left="573" w:right="1112"/>
        <w:jc w:val="left"/>
      </w:pPr>
      <w:r>
        <w:rPr/>
        <w:t>（</w:t>
      </w:r>
      <w:r>
        <w:rPr>
          <w:rFonts w:ascii="Times New Roman" w:hAnsi="Times New Roman" w:cs="Times New Roman" w:eastAsia="Times New Roman" w:hint="default"/>
        </w:rPr>
        <w:t>2</w:t>
      </w:r>
      <w:r>
        <w:rPr/>
        <w:t>）预期信用损失的会计处理</w:t>
      </w:r>
      <w:r>
        <w:rPr>
          <w:w w:val="100"/>
        </w:rPr>
        <w:t> </w:t>
      </w:r>
      <w:r>
        <w:rPr/>
        <w:t>公司在每个资产负债表日重新计量预期信用损失，由此形成的损失准备的增加或转回金额，</w:t>
      </w:r>
      <w:r>
        <w:rPr>
          <w:spacing w:val="86"/>
        </w:rPr>
        <w:t> </w:t>
      </w:r>
      <w:r>
        <w:rPr/>
        <w:t>作为减</w:t>
      </w:r>
    </w:p>
    <w:p>
      <w:pPr>
        <w:pStyle w:val="BodyText"/>
        <w:spacing w:line="408" w:lineRule="auto" w:before="65"/>
        <w:ind w:right="1131"/>
        <w:jc w:val="both"/>
      </w:pPr>
      <w:r>
        <w:rPr/>
        <w:t>值损失或利得计入当期损益。对于以摊余成本计量的金融资产，损失准备抵减该金融资产</w:t>
      </w:r>
      <w:r>
        <w:rPr>
          <w:spacing w:val="72"/>
        </w:rPr>
        <w:t> </w:t>
      </w:r>
      <w:r>
        <w:rPr/>
        <w:t>在资产负债表</w:t>
      </w:r>
      <w:r>
        <w:rPr>
          <w:spacing w:val="-96"/>
        </w:rPr>
        <w:t> </w:t>
      </w:r>
      <w:r>
        <w:rPr>
          <w:spacing w:val="-96"/>
        </w:rPr>
      </w:r>
      <w:r>
        <w:rPr/>
        <w:t>中列示的账面价值；对于以公允价值计量且其变动计入其他综合收益的债权投资，</w:t>
      </w:r>
      <w:r>
        <w:rPr>
          <w:spacing w:val="72"/>
        </w:rPr>
        <w:t> </w:t>
      </w:r>
      <w:r>
        <w:rPr/>
        <w:t>公司在其他综合收益</w:t>
      </w:r>
      <w:r>
        <w:rPr>
          <w:spacing w:val="-97"/>
        </w:rPr>
        <w:t> </w:t>
      </w:r>
      <w:r>
        <w:rPr>
          <w:spacing w:val="-97"/>
        </w:rPr>
      </w:r>
      <w:r>
        <w:rPr/>
        <w:t>中确认其损失准备，不抵减该金融资产的账面价值。</w:t>
      </w:r>
    </w:p>
    <w:p>
      <w:pPr>
        <w:pStyle w:val="BodyText"/>
        <w:spacing w:line="386" w:lineRule="auto"/>
        <w:ind w:left="573" w:right="1133"/>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日前适用的会计政策</w:t>
      </w:r>
      <w:r>
        <w:rPr>
          <w:w w:val="100"/>
        </w:rPr>
        <w:t> </w:t>
      </w:r>
      <w:r>
        <w:rPr>
          <w:spacing w:val="-2"/>
        </w:rPr>
        <w:t>除以公允价值计量且其变动计入当期损益的金融资产外，本公司于资产负债表日对金融资产的账面价</w:t>
      </w:r>
    </w:p>
    <w:p>
      <w:pPr>
        <w:pStyle w:val="BodyText"/>
        <w:spacing w:line="240" w:lineRule="auto" w:before="65"/>
        <w:ind w:right="0"/>
        <w:jc w:val="both"/>
      </w:pPr>
      <w:r>
        <w:rPr/>
        <w:t>值进行检查，如果有客观证据表明某项金融资产发生减值的，计提减值准备。</w:t>
      </w:r>
    </w:p>
    <w:p>
      <w:pPr>
        <w:spacing w:line="240" w:lineRule="auto" w:before="10"/>
        <w:rPr>
          <w:rFonts w:ascii="宋体" w:hAnsi="宋体" w:cs="宋体" w:eastAsia="宋体" w:hint="default"/>
          <w:sz w:val="14"/>
          <w:szCs w:val="14"/>
        </w:rPr>
      </w:pPr>
    </w:p>
    <w:p>
      <w:pPr>
        <w:pStyle w:val="BodyText"/>
        <w:spacing w:line="386" w:lineRule="auto" w:before="0"/>
        <w:ind w:left="573" w:right="1133"/>
        <w:jc w:val="left"/>
      </w:pPr>
      <w:r>
        <w:rPr/>
        <w:t>（</w:t>
      </w:r>
      <w:r>
        <w:rPr>
          <w:rFonts w:ascii="Times New Roman" w:hAnsi="Times New Roman" w:cs="Times New Roman" w:eastAsia="Times New Roman" w:hint="default"/>
        </w:rPr>
        <w:t>1</w:t>
      </w:r>
      <w:r>
        <w:rPr/>
        <w:t>）可供出售金融资产的减值准备：</w:t>
      </w:r>
      <w:r>
        <w:rPr>
          <w:w w:val="100"/>
        </w:rPr>
        <w:t> </w:t>
      </w:r>
      <w:r>
        <w:rPr>
          <w:spacing w:val="-2"/>
        </w:rPr>
        <w:t>期末如果可供出售金融资产的公允价值发生严重下降，或在综合考虑各种相关因素后，预期这种下降</w:t>
      </w:r>
    </w:p>
    <w:p>
      <w:pPr>
        <w:pStyle w:val="BodyText"/>
        <w:spacing w:line="408" w:lineRule="auto" w:before="65"/>
        <w:ind w:right="1126"/>
        <w:jc w:val="both"/>
      </w:pPr>
      <w:r>
        <w:rPr>
          <w:spacing w:val="-2"/>
        </w:rPr>
        <w:t>趋势属于非暂时性的，就认定其已发生减值，将原直接计入所有者权益的公允价值下降形成的累计损失一</w:t>
      </w:r>
      <w:r>
        <w:rPr>
          <w:spacing w:val="-43"/>
        </w:rPr>
        <w:t> </w:t>
      </w:r>
      <w:r>
        <w:rPr>
          <w:spacing w:val="-43"/>
        </w:rPr>
      </w:r>
      <w:r>
        <w:rPr/>
        <w:t>并转出，确认减值损失。</w:t>
      </w:r>
    </w:p>
    <w:p>
      <w:pPr>
        <w:pStyle w:val="BodyText"/>
        <w:spacing w:line="408" w:lineRule="auto"/>
        <w:ind w:right="1126" w:firstLine="420"/>
        <w:jc w:val="both"/>
      </w:pPr>
      <w:r>
        <w:rPr>
          <w:spacing w:val="-2"/>
        </w:rPr>
        <w:t>对于已确认减值损失的可供出售债务工具，在随后的会计期间公允价值已上升且客观上与确认原减值</w:t>
      </w:r>
      <w:r>
        <w:rPr>
          <w:w w:val="100"/>
        </w:rPr>
        <w:t> </w:t>
      </w:r>
      <w:r>
        <w:rPr/>
        <w:t>损失确认后发生的事项有关的，原确认的减值损失予以转回，计入当期损益。</w:t>
      </w:r>
    </w:p>
    <w:p>
      <w:pPr>
        <w:pStyle w:val="BodyText"/>
        <w:spacing w:line="391" w:lineRule="auto"/>
        <w:ind w:left="573" w:right="1133"/>
        <w:jc w:val="left"/>
      </w:pPr>
      <w:r>
        <w:rPr/>
        <w:t>可供出售权益工具投资发生的减值损失，不通过损益转回。</w:t>
      </w:r>
      <w:r>
        <w:rPr>
          <w:w w:val="100"/>
        </w:rPr>
        <w:t> </w:t>
      </w:r>
      <w:r>
        <w:rPr/>
        <w:t>本公司对可供出售权益工具投资的公允价值下跌</w:t>
      </w:r>
      <w:r>
        <w:rPr>
          <w:rFonts w:ascii="Times New Roman" w:hAnsi="Times New Roman" w:cs="Times New Roman" w:eastAsia="Times New Roman" w:hint="default"/>
        </w:rPr>
        <w:t>“</w:t>
      </w:r>
      <w:r>
        <w:rPr/>
        <w:t>严重</w:t>
      </w:r>
      <w:r>
        <w:rPr>
          <w:rFonts w:ascii="Times New Roman" w:hAnsi="Times New Roman" w:cs="Times New Roman" w:eastAsia="Times New Roman" w:hint="default"/>
        </w:rPr>
        <w:t>”</w:t>
      </w:r>
      <w:r>
        <w:rPr/>
        <w:t>的标准为：</w:t>
      </w:r>
      <w:r>
        <w:rPr>
          <w:w w:val="100"/>
        </w:rPr>
        <w:t> </w:t>
      </w:r>
      <w:r>
        <w:rPr>
          <w:spacing w:val="-2"/>
        </w:rPr>
        <w:t>本公司对可供出售权益工具投资的公允价值下跌</w:t>
      </w:r>
      <w:r>
        <w:rPr>
          <w:rFonts w:ascii="Times New Roman" w:hAnsi="Times New Roman" w:cs="Times New Roman" w:eastAsia="Times New Roman" w:hint="default"/>
          <w:spacing w:val="-2"/>
        </w:rPr>
        <w:t>“</w:t>
      </w:r>
      <w:r>
        <w:rPr>
          <w:spacing w:val="-2"/>
        </w:rPr>
        <w:t>严重</w:t>
      </w:r>
      <w:r>
        <w:rPr>
          <w:rFonts w:ascii="Times New Roman" w:hAnsi="Times New Roman" w:cs="Times New Roman" w:eastAsia="Times New Roman" w:hint="default"/>
          <w:spacing w:val="-2"/>
        </w:rPr>
        <w:t>”</w:t>
      </w:r>
      <w:r>
        <w:rPr>
          <w:spacing w:val="-2"/>
        </w:rPr>
        <w:t>的标准为公允价值下降幅度超过</w:t>
      </w:r>
      <w:r>
        <w:rPr>
          <w:rFonts w:ascii="Times New Roman" w:hAnsi="Times New Roman" w:cs="Times New Roman" w:eastAsia="Times New Roman" w:hint="default"/>
          <w:spacing w:val="-2"/>
        </w:rPr>
        <w:t>30%</w:t>
      </w:r>
      <w:r>
        <w:rPr>
          <w:spacing w:val="-2"/>
        </w:rPr>
        <w:t>的。</w:t>
      </w:r>
      <w:r>
        <w:rPr>
          <w:spacing w:val="-33"/>
        </w:rPr>
        <w:t> </w:t>
      </w:r>
      <w:r>
        <w:rPr/>
        <w:t>本公司对可供出售权益工具投资的公允价值下跌</w:t>
      </w:r>
      <w:r>
        <w:rPr>
          <w:rFonts w:ascii="Times New Roman" w:hAnsi="Times New Roman" w:cs="Times New Roman" w:eastAsia="Times New Roman" w:hint="default"/>
        </w:rPr>
        <w:t>“</w:t>
      </w:r>
      <w:r>
        <w:rPr/>
        <w:t>非暂时性</w:t>
      </w:r>
      <w:r>
        <w:rPr>
          <w:rFonts w:ascii="Times New Roman" w:hAnsi="Times New Roman" w:cs="Times New Roman" w:eastAsia="Times New Roman" w:hint="default"/>
        </w:rPr>
        <w:t>”</w:t>
      </w:r>
      <w:r>
        <w:rPr/>
        <w:t>的标准为：</w:t>
      </w:r>
      <w:r>
        <w:rPr>
          <w:w w:val="100"/>
        </w:rPr>
        <w:t> </w:t>
      </w:r>
      <w:r>
        <w:rPr/>
        <w:t>本公司对可供出售权益工具投资的公允价值下跌跌于其成本超过</w:t>
      </w:r>
      <w:r>
        <w:rPr>
          <w:rFonts w:ascii="Times New Roman" w:hAnsi="Times New Roman" w:cs="Times New Roman" w:eastAsia="Times New Roman" w:hint="default"/>
        </w:rPr>
        <w:t>6</w:t>
      </w:r>
      <w:r>
        <w:rPr/>
        <w:t>个月以上尚未回暖的。</w:t>
      </w:r>
    </w:p>
    <w:p>
      <w:pPr>
        <w:spacing w:after="0" w:line="391"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5"/>
        <w:ind w:left="573" w:right="1133"/>
        <w:jc w:val="left"/>
      </w:pPr>
      <w:r>
        <w:rPr/>
        <w:t>（</w:t>
      </w:r>
      <w:r>
        <w:rPr>
          <w:rFonts w:ascii="Times New Roman" w:hAnsi="Times New Roman" w:cs="Times New Roman" w:eastAsia="Times New Roman" w:hint="default"/>
        </w:rPr>
        <w:t>2</w:t>
      </w:r>
      <w:r>
        <w:rPr/>
        <w:t>）持有至到期投资的减值准备：</w:t>
      </w:r>
      <w:r>
        <w:rPr>
          <w:w w:val="100"/>
        </w:rPr>
        <w:t> </w:t>
      </w:r>
      <w:r>
        <w:rPr>
          <w:spacing w:val="-2"/>
        </w:rPr>
        <w:t>持有至到期投资减值损失的计量比照应收款项减值损失计量方法处理。</w:t>
      </w:r>
    </w:p>
    <w:p>
      <w:pPr>
        <w:spacing w:line="240" w:lineRule="auto" w:before="0"/>
        <w:rPr>
          <w:rFonts w:ascii="宋体" w:hAnsi="宋体" w:cs="宋体" w:eastAsia="宋体" w:hint="default"/>
          <w:sz w:val="22"/>
          <w:szCs w:val="22"/>
        </w:rPr>
      </w:pPr>
    </w:p>
    <w:p>
      <w:pPr>
        <w:pStyle w:val="Heading5"/>
        <w:spacing w:line="240" w:lineRule="auto"/>
        <w:ind w:right="1133"/>
        <w:jc w:val="left"/>
        <w:rPr>
          <w:b w:val="0"/>
          <w:bCs w:val="0"/>
        </w:rPr>
      </w:pPr>
      <w:bookmarkStart w:name="11、应收票据" w:id="184"/>
      <w:bookmarkEnd w:id="184"/>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33" w:firstLine="420"/>
        <w:jc w:val="left"/>
      </w:pPr>
      <w:r>
        <w:rPr/>
        <w:t>公司应收票据按照承兑人风险组合主要分为两类：银行承兑汇票和商业承兑汇票。银行承</w:t>
      </w:r>
      <w:r>
        <w:rPr>
          <w:w w:val="100"/>
        </w:rPr>
        <w:t> </w:t>
      </w:r>
      <w:r>
        <w:rPr>
          <w:spacing w:val="-2"/>
        </w:rPr>
        <w:t>兑汇票承兑银行信用评级较高，且信用风险极低，考虑历史违约率为零的情况下，对应收银行承兑汇票的</w:t>
      </w:r>
      <w:r>
        <w:rPr>
          <w:spacing w:val="-44"/>
        </w:rPr>
        <w:t> </w:t>
      </w:r>
      <w:r>
        <w:rPr>
          <w:spacing w:val="-44"/>
        </w:rPr>
      </w:r>
      <w:r>
        <w:rPr>
          <w:spacing w:val="-2"/>
        </w:rPr>
        <w:t>预信用损失率确定为零；商业承兑汇票在到期日前按照整个存续期内预期信用损失率计提损失准备，预期</w:t>
      </w:r>
      <w:r>
        <w:rPr>
          <w:spacing w:val="-42"/>
        </w:rPr>
        <w:t> </w:t>
      </w:r>
      <w:r>
        <w:rPr>
          <w:spacing w:val="-42"/>
        </w:rPr>
      </w:r>
      <w:r>
        <w:rPr>
          <w:spacing w:val="-2"/>
        </w:rPr>
        <w:t>信用损失率参照内销应收账款账龄组合中一年期的预期信用损失率确定。若应收票据到期不能兑付，则将</w:t>
      </w:r>
      <w:r>
        <w:rPr>
          <w:spacing w:val="-43"/>
        </w:rPr>
        <w:t> </w:t>
      </w:r>
      <w:r>
        <w:rPr>
          <w:spacing w:val="-43"/>
        </w:rPr>
      </w:r>
      <w:r>
        <w:rPr/>
        <w:t>其转入应收账款并单项计提损失准备。</w:t>
      </w:r>
    </w:p>
    <w:p>
      <w:pPr>
        <w:spacing w:line="240" w:lineRule="auto" w:before="8"/>
        <w:rPr>
          <w:rFonts w:ascii="宋体" w:hAnsi="宋体" w:cs="宋体" w:eastAsia="宋体" w:hint="default"/>
          <w:sz w:val="20"/>
          <w:szCs w:val="20"/>
        </w:rPr>
      </w:pPr>
    </w:p>
    <w:p>
      <w:pPr>
        <w:pStyle w:val="Heading5"/>
        <w:spacing w:line="240" w:lineRule="auto"/>
        <w:ind w:right="1133"/>
        <w:jc w:val="left"/>
        <w:rPr>
          <w:b w:val="0"/>
          <w:bCs w:val="0"/>
        </w:rPr>
      </w:pPr>
      <w:bookmarkStart w:name="12、应收账款" w:id="185"/>
      <w:bookmarkEnd w:id="185"/>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33" w:firstLine="420"/>
        <w:jc w:val="left"/>
      </w:pPr>
      <w:r>
        <w:rPr>
          <w:spacing w:val="-2"/>
        </w:rPr>
        <w:t>对于应收账款，无论是否包含重大融资成分，本公司始终按照相当于整个存续期内预期信用损失的金</w:t>
      </w:r>
      <w:r>
        <w:rPr>
          <w:w w:val="100"/>
        </w:rPr>
        <w:t> </w:t>
      </w:r>
      <w:r>
        <w:rPr/>
        <w:t>额计量其损失准备，由此形成的损失准备的增加或转回金额，作为减值损失或利得计入当期损益。</w:t>
      </w:r>
    </w:p>
    <w:p>
      <w:pPr>
        <w:pStyle w:val="BodyText"/>
        <w:spacing w:line="408" w:lineRule="auto"/>
        <w:ind w:right="1126" w:firstLine="420"/>
        <w:jc w:val="both"/>
      </w:pPr>
      <w:r>
        <w:rPr>
          <w:spacing w:val="-2"/>
        </w:rPr>
        <w:t>本公司将该应收账款：对于单项重大为主要风险特征的应收账款，进行单项评估计量预期信用风险并</w:t>
      </w:r>
      <w:r>
        <w:rPr>
          <w:w w:val="100"/>
        </w:rPr>
        <w:t> </w:t>
      </w:r>
      <w:r>
        <w:rPr>
          <w:spacing w:val="-2"/>
        </w:rPr>
        <w:t>作为减值损失或利得计入当期损益；对于按照账龄这一风险特征进行组合预期信用风险计量的组合，按照</w:t>
      </w:r>
      <w:r>
        <w:rPr>
          <w:spacing w:val="-42"/>
        </w:rPr>
        <w:t> </w:t>
      </w:r>
      <w:r>
        <w:rPr>
          <w:spacing w:val="-42"/>
        </w:rPr>
      </w:r>
      <w:r>
        <w:rPr/>
        <w:t>如下组合及账龄损失率进行计理：</w:t>
      </w:r>
    </w:p>
    <w:p>
      <w:pPr>
        <w:pStyle w:val="BodyText"/>
        <w:spacing w:line="260" w:lineRule="exact" w:before="0"/>
        <w:ind w:left="573" w:right="1133"/>
        <w:jc w:val="left"/>
      </w:pPr>
      <w:r>
        <w:rPr>
          <w:rFonts w:ascii="Times New Roman" w:hAnsi="Times New Roman" w:cs="Times New Roman" w:eastAsia="Times New Roman" w:hint="default"/>
        </w:rPr>
        <w:t>1</w:t>
      </w:r>
      <w:r>
        <w:rPr/>
        <w:t>）组合方式：</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273"/>
        <w:gridCol w:w="4321"/>
      </w:tblGrid>
      <w:tr>
        <w:trPr>
          <w:trHeight w:val="350" w:hRule="exact"/>
        </w:trPr>
        <w:tc>
          <w:tcPr>
            <w:tcW w:w="427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321"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组合依据</w:t>
            </w:r>
          </w:p>
        </w:tc>
      </w:tr>
      <w:tr>
        <w:trPr>
          <w:trHeight w:val="658" w:hRule="exact"/>
        </w:trPr>
        <w:tc>
          <w:tcPr>
            <w:tcW w:w="427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应收账款组合</w:t>
            </w:r>
            <w:r>
              <w:rPr>
                <w:rFonts w:ascii="Times New Roman" w:hAnsi="Times New Roman" w:cs="Times New Roman" w:eastAsia="Times New Roman" w:hint="default"/>
                <w:sz w:val="18"/>
                <w:szCs w:val="18"/>
              </w:rPr>
              <w:t>1</w:t>
            </w:r>
          </w:p>
        </w:tc>
        <w:tc>
          <w:tcPr>
            <w:tcW w:w="4321" w:type="dxa"/>
            <w:tcBorders>
              <w:top w:val="single" w:sz="8" w:space="0" w:color="000000"/>
              <w:left w:val="single" w:sz="6" w:space="0" w:color="000000"/>
              <w:bottom w:val="single" w:sz="8" w:space="0" w:color="000000"/>
              <w:right w:val="nil" w:sz="6" w:space="0" w:color="auto"/>
            </w:tcBorders>
          </w:tcPr>
          <w:p>
            <w:pPr>
              <w:pStyle w:val="TableParagraph"/>
              <w:spacing w:line="316" w:lineRule="auto" w:before="13"/>
              <w:ind w:left="1795" w:right="87" w:hanging="1712"/>
              <w:jc w:val="left"/>
              <w:rPr>
                <w:rFonts w:ascii="宋体" w:hAnsi="宋体" w:cs="宋体" w:eastAsia="宋体" w:hint="default"/>
                <w:sz w:val="18"/>
                <w:szCs w:val="18"/>
              </w:rPr>
            </w:pPr>
            <w:r>
              <w:rPr>
                <w:rFonts w:ascii="宋体" w:hAnsi="宋体" w:cs="宋体" w:eastAsia="宋体" w:hint="default"/>
                <w:sz w:val="18"/>
                <w:szCs w:val="18"/>
              </w:rPr>
              <w:t>对非本公司合并报表范围内应收账款以账龄作为信用 风险特征</w:t>
            </w:r>
          </w:p>
        </w:tc>
      </w:tr>
      <w:tr>
        <w:trPr>
          <w:trHeight w:val="660" w:hRule="exact"/>
        </w:trPr>
        <w:tc>
          <w:tcPr>
            <w:tcW w:w="427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应收账款组合</w:t>
            </w:r>
            <w:r>
              <w:rPr>
                <w:rFonts w:ascii="Times New Roman" w:hAnsi="Times New Roman" w:cs="Times New Roman" w:eastAsia="Times New Roman" w:hint="default"/>
                <w:sz w:val="18"/>
                <w:szCs w:val="18"/>
              </w:rPr>
              <w:t>2</w:t>
            </w:r>
          </w:p>
        </w:tc>
        <w:tc>
          <w:tcPr>
            <w:tcW w:w="4321" w:type="dxa"/>
            <w:tcBorders>
              <w:top w:val="single" w:sz="8" w:space="0" w:color="000000"/>
              <w:left w:val="single" w:sz="6" w:space="0" w:color="000000"/>
              <w:bottom w:val="single" w:sz="8" w:space="0" w:color="000000"/>
              <w:right w:val="nil" w:sz="6" w:space="0" w:color="auto"/>
            </w:tcBorders>
          </w:tcPr>
          <w:p>
            <w:pPr>
              <w:pStyle w:val="TableParagraph"/>
              <w:spacing w:line="316" w:lineRule="auto" w:before="15"/>
              <w:ind w:left="1524" w:right="87" w:hanging="1441"/>
              <w:jc w:val="left"/>
              <w:rPr>
                <w:rFonts w:ascii="宋体" w:hAnsi="宋体" w:cs="宋体" w:eastAsia="宋体" w:hint="default"/>
                <w:sz w:val="18"/>
                <w:szCs w:val="18"/>
              </w:rPr>
            </w:pPr>
            <w:r>
              <w:rPr>
                <w:rFonts w:ascii="宋体" w:hAnsi="宋体" w:cs="宋体" w:eastAsia="宋体" w:hint="default"/>
                <w:sz w:val="18"/>
                <w:szCs w:val="18"/>
              </w:rPr>
              <w:t>以纳入本公司合并报表范围内的公司之间的应收账款 为信用风险特征</w:t>
            </w:r>
          </w:p>
        </w:tc>
      </w:tr>
    </w:tbl>
    <w:p>
      <w:pPr>
        <w:spacing w:line="240" w:lineRule="auto" w:before="6"/>
        <w:rPr>
          <w:rFonts w:ascii="宋体" w:hAnsi="宋体" w:cs="宋体" w:eastAsia="宋体" w:hint="default"/>
          <w:sz w:val="5"/>
          <w:szCs w:val="5"/>
        </w:rPr>
      </w:pPr>
    </w:p>
    <w:p>
      <w:pPr>
        <w:pStyle w:val="BodyText"/>
        <w:spacing w:line="240" w:lineRule="auto" w:before="36"/>
        <w:ind w:left="573" w:right="1133"/>
        <w:jc w:val="left"/>
      </w:pPr>
      <w:r>
        <w:rPr>
          <w:rFonts w:ascii="Times New Roman" w:hAnsi="Times New Roman" w:cs="Times New Roman" w:eastAsia="Times New Roman" w:hint="default"/>
        </w:rPr>
        <w:t>2</w:t>
      </w:r>
      <w:r>
        <w:rPr/>
        <w:t>）组合方式按照账龄逾期损失率情况：</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273"/>
        <w:gridCol w:w="4321"/>
      </w:tblGrid>
      <w:tr>
        <w:trPr>
          <w:trHeight w:val="350" w:hRule="exact"/>
        </w:trPr>
        <w:tc>
          <w:tcPr>
            <w:tcW w:w="427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321"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20"/>
              <w:ind w:right="4"/>
              <w:jc w:val="center"/>
              <w:rPr>
                <w:rFonts w:ascii="宋体" w:hAnsi="宋体" w:cs="宋体" w:eastAsia="宋体" w:hint="default"/>
                <w:sz w:val="18"/>
                <w:szCs w:val="18"/>
              </w:rPr>
            </w:pPr>
            <w:r>
              <w:rPr>
                <w:rFonts w:ascii="宋体" w:hAnsi="宋体" w:cs="宋体" w:eastAsia="宋体" w:hint="default"/>
                <w:sz w:val="18"/>
                <w:szCs w:val="18"/>
              </w:rPr>
              <w:t>应收账款逾期信用损失率</w:t>
            </w:r>
          </w:p>
        </w:tc>
      </w:tr>
      <w:tr>
        <w:trPr>
          <w:trHeight w:val="346" w:hRule="exact"/>
        </w:trPr>
        <w:tc>
          <w:tcPr>
            <w:tcW w:w="427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432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6%</w:t>
            </w:r>
          </w:p>
        </w:tc>
      </w:tr>
      <w:tr>
        <w:trPr>
          <w:trHeight w:val="348" w:hRule="exact"/>
        </w:trPr>
        <w:tc>
          <w:tcPr>
            <w:tcW w:w="427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一至二年</w:t>
            </w:r>
          </w:p>
        </w:tc>
        <w:tc>
          <w:tcPr>
            <w:tcW w:w="432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8%</w:t>
            </w:r>
          </w:p>
        </w:tc>
      </w:tr>
      <w:tr>
        <w:trPr>
          <w:trHeight w:val="346" w:hRule="exact"/>
        </w:trPr>
        <w:tc>
          <w:tcPr>
            <w:tcW w:w="427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二至三年</w:t>
            </w:r>
          </w:p>
        </w:tc>
        <w:tc>
          <w:tcPr>
            <w:tcW w:w="432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10%</w:t>
            </w:r>
          </w:p>
        </w:tc>
      </w:tr>
      <w:tr>
        <w:trPr>
          <w:trHeight w:val="348" w:hRule="exact"/>
        </w:trPr>
        <w:tc>
          <w:tcPr>
            <w:tcW w:w="427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三至四年</w:t>
            </w:r>
          </w:p>
        </w:tc>
        <w:tc>
          <w:tcPr>
            <w:tcW w:w="432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20%</w:t>
            </w:r>
          </w:p>
        </w:tc>
      </w:tr>
      <w:tr>
        <w:trPr>
          <w:trHeight w:val="348" w:hRule="exact"/>
        </w:trPr>
        <w:tc>
          <w:tcPr>
            <w:tcW w:w="427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四至五年</w:t>
            </w:r>
          </w:p>
        </w:tc>
        <w:tc>
          <w:tcPr>
            <w:tcW w:w="432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30%</w:t>
            </w:r>
          </w:p>
        </w:tc>
      </w:tr>
      <w:tr>
        <w:trPr>
          <w:trHeight w:val="348" w:hRule="exact"/>
        </w:trPr>
        <w:tc>
          <w:tcPr>
            <w:tcW w:w="427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五年以上</w:t>
            </w:r>
          </w:p>
        </w:tc>
        <w:tc>
          <w:tcPr>
            <w:tcW w:w="432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13、应收款项融资" w:id="186"/>
      <w:bookmarkEnd w:id="186"/>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9"/>
          <w:szCs w:val="29"/>
        </w:rPr>
      </w:pPr>
    </w:p>
    <w:tbl>
      <w:tblPr>
        <w:tblW w:w="0" w:type="auto"/>
        <w:jc w:val="left"/>
        <w:tblInd w:w="145" w:type="dxa"/>
        <w:tblLayout w:type="fixed"/>
        <w:tblCellMar>
          <w:top w:w="0" w:type="dxa"/>
          <w:left w:w="0" w:type="dxa"/>
          <w:bottom w:w="0" w:type="dxa"/>
          <w:right w:w="0" w:type="dxa"/>
        </w:tblCellMar>
        <w:tblLook w:val="01E0"/>
      </w:tblPr>
      <w:tblGrid>
        <w:gridCol w:w="4273"/>
        <w:gridCol w:w="4321"/>
      </w:tblGrid>
      <w:tr>
        <w:trPr>
          <w:trHeight w:val="355" w:hRule="exact"/>
        </w:trPr>
        <w:tc>
          <w:tcPr>
            <w:tcW w:w="42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3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组合依据</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4273"/>
        <w:gridCol w:w="4321"/>
      </w:tblGrid>
      <w:tr>
        <w:trPr>
          <w:trHeight w:val="356" w:hRule="exact"/>
        </w:trPr>
        <w:tc>
          <w:tcPr>
            <w:tcW w:w="42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43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4"/>
              <w:jc w:val="center"/>
              <w:rPr>
                <w:rFonts w:ascii="宋体" w:hAnsi="宋体" w:cs="宋体" w:eastAsia="宋体" w:hint="default"/>
                <w:sz w:val="18"/>
                <w:szCs w:val="18"/>
              </w:rPr>
            </w:pPr>
            <w:r>
              <w:rPr>
                <w:rFonts w:ascii="宋体" w:hAnsi="宋体" w:cs="宋体" w:eastAsia="宋体" w:hint="default"/>
                <w:sz w:val="18"/>
                <w:szCs w:val="18"/>
              </w:rPr>
              <w:t>承兑人为信用风险较小的银行</w:t>
            </w:r>
          </w:p>
        </w:tc>
      </w:tr>
      <w:tr>
        <w:trPr>
          <w:trHeight w:val="353" w:hRule="exact"/>
        </w:trPr>
        <w:tc>
          <w:tcPr>
            <w:tcW w:w="42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43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以商业承兑汇票的账龄为信用风险特征</w:t>
            </w:r>
          </w:p>
        </w:tc>
      </w:tr>
    </w:tbl>
    <w:p>
      <w:pPr>
        <w:spacing w:line="240" w:lineRule="auto" w:before="6"/>
        <w:rPr>
          <w:rFonts w:ascii="宋体" w:hAnsi="宋体" w:cs="宋体" w:eastAsia="宋体" w:hint="default"/>
          <w:b/>
          <w:bCs/>
          <w:sz w:val="5"/>
          <w:szCs w:val="5"/>
        </w:rPr>
      </w:pPr>
    </w:p>
    <w:p>
      <w:pPr>
        <w:pStyle w:val="BodyText"/>
        <w:spacing w:line="240" w:lineRule="auto" w:before="36"/>
        <w:ind w:left="573" w:right="1133"/>
        <w:jc w:val="left"/>
      </w:pPr>
      <w:r>
        <w:rPr/>
        <w:t>对于信用风险较小的银行承兑汇票，本公司通常不计提损失准备。</w:t>
      </w:r>
    </w:p>
    <w:p>
      <w:pPr>
        <w:spacing w:line="240" w:lineRule="auto" w:before="10"/>
        <w:rPr>
          <w:rFonts w:ascii="宋体" w:hAnsi="宋体" w:cs="宋体" w:eastAsia="宋体" w:hint="default"/>
          <w:sz w:val="25"/>
          <w:szCs w:val="25"/>
        </w:rPr>
      </w:pPr>
    </w:p>
    <w:p>
      <w:pPr>
        <w:pStyle w:val="Heading5"/>
        <w:spacing w:line="240" w:lineRule="auto"/>
        <w:ind w:right="1133"/>
        <w:jc w:val="left"/>
        <w:rPr>
          <w:b w:val="0"/>
          <w:bCs w:val="0"/>
        </w:rPr>
      </w:pPr>
      <w:bookmarkStart w:name="14、其他应收款" w:id="187"/>
      <w:bookmarkEnd w:id="187"/>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其他应收款的预期信用损失的确定方法及会计处理方法</w:t>
      </w:r>
    </w:p>
    <w:p>
      <w:pPr>
        <w:spacing w:line="240" w:lineRule="auto" w:before="3"/>
        <w:rPr>
          <w:rFonts w:ascii="宋体" w:hAnsi="宋体" w:cs="宋体" w:eastAsia="宋体" w:hint="default"/>
          <w:sz w:val="13"/>
          <w:szCs w:val="13"/>
        </w:rPr>
      </w:pPr>
    </w:p>
    <w:p>
      <w:pPr>
        <w:pStyle w:val="BodyText"/>
        <w:spacing w:line="408" w:lineRule="auto" w:before="0"/>
        <w:ind w:left="573" w:right="1133"/>
        <w:jc w:val="left"/>
      </w:pPr>
      <w:r>
        <w:rPr/>
        <w:t>其他应收款</w:t>
      </w:r>
      <w:r>
        <w:rPr>
          <w:spacing w:val="-102"/>
        </w:rPr>
        <w:t> </w:t>
      </w:r>
      <w:r>
        <w:rPr>
          <w:spacing w:val="-102"/>
        </w:rPr>
      </w:r>
      <w:r>
        <w:rPr>
          <w:spacing w:val="-2"/>
        </w:rPr>
        <w:t>本公司其他应收款：当单项金融资产无法以合理成本评估预期信用损失的信息时，本公司依据信用风</w:t>
      </w:r>
    </w:p>
    <w:p>
      <w:pPr>
        <w:pStyle w:val="BodyText"/>
        <w:spacing w:line="410" w:lineRule="auto"/>
        <w:ind w:right="1133"/>
        <w:jc w:val="left"/>
      </w:pPr>
      <w:r>
        <w:rPr>
          <w:spacing w:val="-2"/>
        </w:rPr>
        <w:t>险特征对上述应收款项划分组合，在组合基础上计算预期信用损失，确定组合的依据以及账龄逾期损失率</w:t>
      </w:r>
      <w:r>
        <w:rPr>
          <w:spacing w:val="-44"/>
        </w:rPr>
        <w:t> </w:t>
      </w:r>
      <w:r>
        <w:rPr>
          <w:spacing w:val="-44"/>
        </w:rPr>
      </w:r>
      <w:r>
        <w:rPr/>
        <w:t>如下：</w:t>
      </w:r>
    </w:p>
    <w:p>
      <w:pPr>
        <w:pStyle w:val="BodyText"/>
        <w:spacing w:line="258" w:lineRule="exact" w:before="0"/>
        <w:ind w:left="573" w:right="1133"/>
        <w:jc w:val="left"/>
      </w:pPr>
      <w:r>
        <w:rPr>
          <w:rFonts w:ascii="Times New Roman" w:hAnsi="Times New Roman" w:cs="Times New Roman" w:eastAsia="Times New Roman" w:hint="default"/>
        </w:rPr>
        <w:t>1</w:t>
      </w:r>
      <w:r>
        <w:rPr/>
        <w:t>）组合方式：</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273"/>
        <w:gridCol w:w="4321"/>
      </w:tblGrid>
      <w:tr>
        <w:trPr>
          <w:trHeight w:val="355" w:hRule="exact"/>
        </w:trPr>
        <w:tc>
          <w:tcPr>
            <w:tcW w:w="42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3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1795" w:right="0"/>
              <w:jc w:val="left"/>
              <w:rPr>
                <w:rFonts w:ascii="宋体" w:hAnsi="宋体" w:cs="宋体" w:eastAsia="宋体" w:hint="default"/>
                <w:sz w:val="18"/>
                <w:szCs w:val="18"/>
              </w:rPr>
            </w:pPr>
            <w:r>
              <w:rPr>
                <w:rFonts w:ascii="宋体" w:hAnsi="宋体" w:cs="宋体" w:eastAsia="宋体" w:hint="default"/>
                <w:sz w:val="18"/>
                <w:szCs w:val="18"/>
              </w:rPr>
              <w:t>组合依据</w:t>
            </w:r>
          </w:p>
        </w:tc>
      </w:tr>
      <w:tr>
        <w:trPr>
          <w:trHeight w:val="350" w:hRule="exact"/>
        </w:trPr>
        <w:tc>
          <w:tcPr>
            <w:tcW w:w="42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其他应收款组合</w:t>
            </w:r>
            <w:r>
              <w:rPr>
                <w:rFonts w:ascii="Times New Roman" w:hAnsi="Times New Roman" w:cs="Times New Roman" w:eastAsia="Times New Roman" w:hint="default"/>
                <w:sz w:val="18"/>
                <w:szCs w:val="18"/>
              </w:rPr>
              <w:t>1</w:t>
            </w:r>
          </w:p>
        </w:tc>
        <w:tc>
          <w:tcPr>
            <w:tcW w:w="43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1795" w:right="0"/>
              <w:jc w:val="left"/>
              <w:rPr>
                <w:rFonts w:ascii="宋体" w:hAnsi="宋体" w:cs="宋体" w:eastAsia="宋体" w:hint="default"/>
                <w:sz w:val="18"/>
                <w:szCs w:val="18"/>
              </w:rPr>
            </w:pPr>
            <w:r>
              <w:rPr>
                <w:rFonts w:ascii="宋体" w:hAnsi="宋体" w:cs="宋体" w:eastAsia="宋体" w:hint="default"/>
                <w:sz w:val="18"/>
                <w:szCs w:val="18"/>
              </w:rPr>
              <w:t>应收利息</w:t>
            </w:r>
          </w:p>
        </w:tc>
      </w:tr>
      <w:tr>
        <w:trPr>
          <w:trHeight w:val="353" w:hRule="exact"/>
        </w:trPr>
        <w:tc>
          <w:tcPr>
            <w:tcW w:w="42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其他应收款组合</w:t>
            </w:r>
            <w:r>
              <w:rPr>
                <w:rFonts w:ascii="Times New Roman" w:hAnsi="Times New Roman" w:cs="Times New Roman" w:eastAsia="Times New Roman" w:hint="default"/>
                <w:sz w:val="18"/>
                <w:szCs w:val="18"/>
              </w:rPr>
              <w:t>2</w:t>
            </w:r>
          </w:p>
        </w:tc>
        <w:tc>
          <w:tcPr>
            <w:tcW w:w="43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1795" w:right="0"/>
              <w:jc w:val="left"/>
              <w:rPr>
                <w:rFonts w:ascii="宋体" w:hAnsi="宋体" w:cs="宋体" w:eastAsia="宋体" w:hint="default"/>
                <w:sz w:val="18"/>
                <w:szCs w:val="18"/>
              </w:rPr>
            </w:pPr>
            <w:r>
              <w:rPr>
                <w:rFonts w:ascii="宋体" w:hAnsi="宋体" w:cs="宋体" w:eastAsia="宋体" w:hint="default"/>
                <w:sz w:val="18"/>
                <w:szCs w:val="18"/>
              </w:rPr>
              <w:t>应收股利</w:t>
            </w:r>
          </w:p>
        </w:tc>
      </w:tr>
      <w:tr>
        <w:trPr>
          <w:trHeight w:val="665" w:hRule="exact"/>
        </w:trPr>
        <w:tc>
          <w:tcPr>
            <w:tcW w:w="42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其他应收款组合</w:t>
            </w:r>
            <w:r>
              <w:rPr>
                <w:rFonts w:ascii="Times New Roman" w:hAnsi="Times New Roman" w:cs="Times New Roman" w:eastAsia="Times New Roman" w:hint="default"/>
                <w:sz w:val="18"/>
                <w:szCs w:val="18"/>
              </w:rPr>
              <w:t>3</w:t>
            </w:r>
          </w:p>
        </w:tc>
        <w:tc>
          <w:tcPr>
            <w:tcW w:w="4321"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8"/>
              <w:ind w:left="1704" w:right="87" w:hanging="1621"/>
              <w:jc w:val="left"/>
              <w:rPr>
                <w:rFonts w:ascii="宋体" w:hAnsi="宋体" w:cs="宋体" w:eastAsia="宋体" w:hint="default"/>
                <w:sz w:val="18"/>
                <w:szCs w:val="18"/>
              </w:rPr>
            </w:pPr>
            <w:r>
              <w:rPr>
                <w:rFonts w:ascii="宋体" w:hAnsi="宋体" w:cs="宋体" w:eastAsia="宋体" w:hint="default"/>
                <w:sz w:val="18"/>
                <w:szCs w:val="18"/>
              </w:rPr>
              <w:t>对非本公司合并报表范围内其他应收款以账龄作为信 用风险特征</w:t>
            </w:r>
          </w:p>
        </w:tc>
      </w:tr>
      <w:tr>
        <w:trPr>
          <w:trHeight w:val="665" w:hRule="exact"/>
        </w:trPr>
        <w:tc>
          <w:tcPr>
            <w:tcW w:w="42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其他应收款组合</w:t>
            </w:r>
            <w:r>
              <w:rPr>
                <w:rFonts w:ascii="Times New Roman" w:hAnsi="Times New Roman" w:cs="Times New Roman" w:eastAsia="Times New Roman" w:hint="default"/>
                <w:sz w:val="18"/>
                <w:szCs w:val="18"/>
              </w:rPr>
              <w:t>4</w:t>
            </w:r>
          </w:p>
        </w:tc>
        <w:tc>
          <w:tcPr>
            <w:tcW w:w="4321"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8"/>
              <w:ind w:left="1435" w:right="87" w:hanging="1352"/>
              <w:jc w:val="left"/>
              <w:rPr>
                <w:rFonts w:ascii="宋体" w:hAnsi="宋体" w:cs="宋体" w:eastAsia="宋体" w:hint="default"/>
                <w:sz w:val="18"/>
                <w:szCs w:val="18"/>
              </w:rPr>
            </w:pPr>
            <w:r>
              <w:rPr>
                <w:rFonts w:ascii="宋体" w:hAnsi="宋体" w:cs="宋体" w:eastAsia="宋体" w:hint="default"/>
                <w:sz w:val="18"/>
                <w:szCs w:val="18"/>
              </w:rPr>
              <w:t>以纳入本公司合并报表范围内的公司之间的其他应收 款为信用风险特征</w:t>
            </w:r>
          </w:p>
        </w:tc>
      </w:tr>
    </w:tbl>
    <w:p>
      <w:pPr>
        <w:spacing w:line="240" w:lineRule="auto" w:before="6"/>
        <w:rPr>
          <w:rFonts w:ascii="宋体" w:hAnsi="宋体" w:cs="宋体" w:eastAsia="宋体" w:hint="default"/>
          <w:sz w:val="5"/>
          <w:szCs w:val="5"/>
        </w:rPr>
      </w:pPr>
    </w:p>
    <w:p>
      <w:pPr>
        <w:pStyle w:val="BodyText"/>
        <w:spacing w:line="240" w:lineRule="auto" w:before="36"/>
        <w:ind w:left="573" w:right="1133"/>
        <w:jc w:val="left"/>
      </w:pPr>
      <w:r>
        <w:rPr>
          <w:rFonts w:ascii="Times New Roman" w:hAnsi="Times New Roman" w:cs="Times New Roman" w:eastAsia="Times New Roman" w:hint="default"/>
        </w:rPr>
        <w:t>2</w:t>
      </w:r>
      <w:r>
        <w:rPr/>
        <w:t>）组合方式按照账龄逾期损失率情况：</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273"/>
        <w:gridCol w:w="4321"/>
      </w:tblGrid>
      <w:tr>
        <w:trPr>
          <w:trHeight w:val="348" w:hRule="exact"/>
        </w:trPr>
        <w:tc>
          <w:tcPr>
            <w:tcW w:w="427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321"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8"/>
              <w:ind w:right="4"/>
              <w:jc w:val="center"/>
              <w:rPr>
                <w:rFonts w:ascii="宋体" w:hAnsi="宋体" w:cs="宋体" w:eastAsia="宋体" w:hint="default"/>
                <w:sz w:val="18"/>
                <w:szCs w:val="18"/>
              </w:rPr>
            </w:pPr>
            <w:r>
              <w:rPr>
                <w:rFonts w:ascii="宋体" w:hAnsi="宋体" w:cs="宋体" w:eastAsia="宋体" w:hint="default"/>
                <w:sz w:val="18"/>
                <w:szCs w:val="18"/>
              </w:rPr>
              <w:t>应收账款逾期信用损失率</w:t>
            </w:r>
          </w:p>
        </w:tc>
      </w:tr>
      <w:tr>
        <w:trPr>
          <w:trHeight w:val="348" w:hRule="exact"/>
        </w:trPr>
        <w:tc>
          <w:tcPr>
            <w:tcW w:w="427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432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6%</w:t>
            </w:r>
          </w:p>
        </w:tc>
      </w:tr>
      <w:tr>
        <w:trPr>
          <w:trHeight w:val="346" w:hRule="exact"/>
        </w:trPr>
        <w:tc>
          <w:tcPr>
            <w:tcW w:w="427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一至二年</w:t>
            </w:r>
          </w:p>
        </w:tc>
        <w:tc>
          <w:tcPr>
            <w:tcW w:w="432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8%</w:t>
            </w:r>
          </w:p>
        </w:tc>
      </w:tr>
      <w:tr>
        <w:trPr>
          <w:trHeight w:val="348" w:hRule="exact"/>
        </w:trPr>
        <w:tc>
          <w:tcPr>
            <w:tcW w:w="427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二至三年</w:t>
            </w:r>
          </w:p>
        </w:tc>
        <w:tc>
          <w:tcPr>
            <w:tcW w:w="432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10%</w:t>
            </w:r>
          </w:p>
        </w:tc>
      </w:tr>
      <w:tr>
        <w:trPr>
          <w:trHeight w:val="348" w:hRule="exact"/>
        </w:trPr>
        <w:tc>
          <w:tcPr>
            <w:tcW w:w="427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三至四年</w:t>
            </w:r>
          </w:p>
        </w:tc>
        <w:tc>
          <w:tcPr>
            <w:tcW w:w="432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20%</w:t>
            </w:r>
          </w:p>
        </w:tc>
      </w:tr>
      <w:tr>
        <w:trPr>
          <w:trHeight w:val="346" w:hRule="exact"/>
        </w:trPr>
        <w:tc>
          <w:tcPr>
            <w:tcW w:w="427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四至五年</w:t>
            </w:r>
          </w:p>
        </w:tc>
        <w:tc>
          <w:tcPr>
            <w:tcW w:w="432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30%</w:t>
            </w:r>
          </w:p>
        </w:tc>
      </w:tr>
      <w:tr>
        <w:trPr>
          <w:trHeight w:val="348" w:hRule="exact"/>
        </w:trPr>
        <w:tc>
          <w:tcPr>
            <w:tcW w:w="427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五年以上</w:t>
            </w:r>
          </w:p>
        </w:tc>
        <w:tc>
          <w:tcPr>
            <w:tcW w:w="432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408" w:lineRule="auto" w:before="64"/>
        <w:ind w:left="573" w:right="1133"/>
        <w:jc w:val="left"/>
      </w:pPr>
      <w:r>
        <w:rPr/>
        <w:t>其余应收款项</w:t>
      </w:r>
      <w:r>
        <w:rPr>
          <w:w w:val="100"/>
        </w:rPr>
        <w:t> </w:t>
      </w:r>
      <w:r>
        <w:rPr>
          <w:spacing w:val="-2"/>
        </w:rPr>
        <w:t>对于除应收票据和应收账款、应收融资款项、其他应收款以外其余应收款项的减值损失计量比照本附</w:t>
      </w:r>
    </w:p>
    <w:p>
      <w:pPr>
        <w:pStyle w:val="BodyText"/>
        <w:spacing w:line="240" w:lineRule="auto"/>
        <w:ind w:right="1133"/>
        <w:jc w:val="left"/>
      </w:pPr>
      <w:r>
        <w:rPr/>
        <w:t>注</w:t>
      </w: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t>（</w:t>
      </w:r>
      <w:r>
        <w:rPr>
          <w:rFonts w:ascii="Times New Roman" w:hAnsi="Times New Roman" w:cs="Times New Roman" w:eastAsia="Times New Roman" w:hint="default"/>
        </w:rPr>
        <w:t>6</w:t>
      </w:r>
      <w:r>
        <w:rPr/>
        <w:t>）、金融工具</w:t>
      </w:r>
      <w:r>
        <w:rPr>
          <w:rFonts w:ascii="Times New Roman" w:hAnsi="Times New Roman" w:cs="Times New Roman" w:eastAsia="Times New Roman" w:hint="default"/>
        </w:rPr>
        <w:t>-</w:t>
      </w:r>
      <w:r>
        <w:rPr/>
        <w:t>金融资产的减值的测试方法及会计处理方法</w:t>
      </w:r>
      <w:r>
        <w:rPr>
          <w:rFonts w:ascii="Times New Roman" w:hAnsi="Times New Roman" w:cs="Times New Roman" w:eastAsia="Times New Roman" w:hint="default"/>
        </w:rPr>
        <w:t>”</w:t>
      </w:r>
      <w:r>
        <w:rPr/>
        <w:t>处理。</w:t>
      </w:r>
    </w:p>
    <w:p>
      <w:pPr>
        <w:pStyle w:val="BodyText"/>
        <w:spacing w:line="398" w:lineRule="auto" w:before="177"/>
        <w:ind w:left="566" w:right="6254"/>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日前适用的会计政策</w:t>
      </w:r>
      <w:r>
        <w:rPr>
          <w:w w:val="100"/>
        </w:rPr>
        <w:t> </w:t>
      </w:r>
      <w:r>
        <w:rPr/>
        <w:t>应收款项坏账准备</w:t>
      </w:r>
      <w:r>
        <w:rPr>
          <w:w w:val="100"/>
        </w:rPr>
        <w:t> </w:t>
      </w:r>
      <w:r>
        <w:rPr>
          <w:rFonts w:ascii="Times New Roman" w:hAnsi="Times New Roman" w:cs="Times New Roman" w:eastAsia="Times New Roman" w:hint="default"/>
          <w:spacing w:val="-2"/>
        </w:rPr>
        <w:t>1</w:t>
      </w:r>
      <w:r>
        <w:rPr>
          <w:spacing w:val="-2"/>
        </w:rPr>
        <w:t>、单项金额重大的应收款项坏账准备计提：</w:t>
      </w:r>
    </w:p>
    <w:p>
      <w:pPr>
        <w:pStyle w:val="BodyText"/>
        <w:spacing w:line="386" w:lineRule="auto" w:before="24"/>
        <w:ind w:left="573" w:right="1133"/>
        <w:jc w:val="left"/>
      </w:pPr>
      <w:r>
        <w:rPr/>
        <w:t>（</w:t>
      </w:r>
      <w:r>
        <w:rPr>
          <w:rFonts w:ascii="Times New Roman" w:hAnsi="Times New Roman" w:cs="Times New Roman" w:eastAsia="Times New Roman" w:hint="default"/>
        </w:rPr>
        <w:t>1</w:t>
      </w:r>
      <w:r>
        <w:rPr/>
        <w:t>）单项金额重大的判断依据或金额标准：</w:t>
      </w:r>
      <w:r>
        <w:rPr>
          <w:w w:val="100"/>
        </w:rPr>
        <w:t> </w:t>
      </w:r>
      <w:r>
        <w:rPr>
          <w:spacing w:val="-2"/>
        </w:rPr>
        <w:t>本公司单项金额重大的应收款项为期末余额在</w:t>
      </w:r>
      <w:r>
        <w:rPr>
          <w:rFonts w:ascii="Times New Roman" w:hAnsi="Times New Roman" w:cs="Times New Roman" w:eastAsia="Times New Roman" w:hint="default"/>
          <w:spacing w:val="-2"/>
        </w:rPr>
        <w:t>100</w:t>
      </w:r>
      <w:r>
        <w:rPr>
          <w:spacing w:val="-2"/>
        </w:rPr>
        <w:t>万元以上的应收款项</w:t>
      </w:r>
    </w:p>
    <w:p>
      <w:pPr>
        <w:spacing w:after="0" w:line="386"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5"/>
        <w:ind w:left="573" w:right="1133"/>
        <w:jc w:val="left"/>
      </w:pPr>
      <w:r>
        <w:rPr/>
        <w:t>（</w:t>
      </w:r>
      <w:r>
        <w:rPr>
          <w:rFonts w:ascii="Times New Roman" w:hAnsi="Times New Roman" w:cs="Times New Roman" w:eastAsia="Times New Roman" w:hint="default"/>
        </w:rPr>
        <w:t>2</w:t>
      </w:r>
      <w:r>
        <w:rPr/>
        <w:t>）单项金额重大应收款项坏账准备的计提方法：</w:t>
      </w:r>
      <w:r>
        <w:rPr>
          <w:w w:val="100"/>
        </w:rPr>
        <w:t> </w:t>
      </w:r>
      <w:r>
        <w:rPr>
          <w:spacing w:val="-2"/>
        </w:rPr>
        <w:t>本公司对单项金额重大的应收款项单独进行减值测试，如有客观证据表明其已发生减值，按预计未来</w:t>
      </w:r>
    </w:p>
    <w:p>
      <w:pPr>
        <w:pStyle w:val="BodyText"/>
        <w:spacing w:line="408" w:lineRule="auto" w:before="65"/>
        <w:ind w:right="1133"/>
        <w:jc w:val="left"/>
      </w:pPr>
      <w:r>
        <w:rPr>
          <w:spacing w:val="-2"/>
        </w:rPr>
        <w:t>现金流量现值低于其账面价值的差额计提坏账准备，计入当期损益。单独测试未发生减值的应收款项，将</w:t>
      </w:r>
      <w:r>
        <w:rPr>
          <w:spacing w:val="-44"/>
        </w:rPr>
        <w:t> </w:t>
      </w:r>
      <w:r>
        <w:rPr>
          <w:spacing w:val="-44"/>
        </w:rPr>
      </w:r>
      <w:r>
        <w:rPr/>
        <w:t>其归入相应组合计提坏账准备。</w:t>
      </w:r>
    </w:p>
    <w:p>
      <w:pPr>
        <w:pStyle w:val="BodyText"/>
        <w:spacing w:line="260" w:lineRule="exact" w:before="0"/>
        <w:ind w:left="657" w:right="1133"/>
        <w:jc w:val="left"/>
      </w:pPr>
      <w:r>
        <w:rPr>
          <w:rFonts w:ascii="Times New Roman" w:hAnsi="Times New Roman" w:cs="Times New Roman" w:eastAsia="Times New Roman" w:hint="default"/>
        </w:rPr>
        <w:t>2</w:t>
      </w:r>
      <w:r>
        <w:rPr/>
        <w:t>、按组合计提坏账准备的应收款项：</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672"/>
        <w:gridCol w:w="5915"/>
      </w:tblGrid>
      <w:tr>
        <w:trPr>
          <w:trHeight w:val="355" w:hRule="exact"/>
        </w:trPr>
        <w:tc>
          <w:tcPr>
            <w:tcW w:w="8587"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50" w:hRule="exact"/>
        </w:trPr>
        <w:tc>
          <w:tcPr>
            <w:tcW w:w="26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合并范围内关联方应收款项</w:t>
            </w:r>
          </w:p>
        </w:tc>
        <w:tc>
          <w:tcPr>
            <w:tcW w:w="59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1600" w:right="0"/>
              <w:jc w:val="left"/>
              <w:rPr>
                <w:rFonts w:ascii="宋体" w:hAnsi="宋体" w:cs="宋体" w:eastAsia="宋体" w:hint="default"/>
                <w:sz w:val="18"/>
                <w:szCs w:val="18"/>
              </w:rPr>
            </w:pPr>
            <w:r>
              <w:rPr>
                <w:rFonts w:ascii="宋体" w:hAnsi="宋体" w:cs="宋体" w:eastAsia="宋体" w:hint="default"/>
                <w:sz w:val="18"/>
                <w:szCs w:val="18"/>
              </w:rPr>
              <w:t>子公司全部视同合并范围内关联方</w:t>
            </w:r>
          </w:p>
        </w:tc>
      </w:tr>
      <w:tr>
        <w:trPr>
          <w:trHeight w:val="353" w:hRule="exact"/>
        </w:trPr>
        <w:tc>
          <w:tcPr>
            <w:tcW w:w="26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非合并范围内应收款项</w:t>
            </w:r>
          </w:p>
        </w:tc>
        <w:tc>
          <w:tcPr>
            <w:tcW w:w="59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880" w:right="0"/>
              <w:jc w:val="left"/>
              <w:rPr>
                <w:rFonts w:ascii="宋体" w:hAnsi="宋体" w:cs="宋体" w:eastAsia="宋体" w:hint="default"/>
                <w:sz w:val="18"/>
                <w:szCs w:val="18"/>
              </w:rPr>
            </w:pPr>
            <w:r>
              <w:rPr>
                <w:rFonts w:ascii="宋体" w:hAnsi="宋体" w:cs="宋体" w:eastAsia="宋体" w:hint="default"/>
                <w:sz w:val="18"/>
                <w:szCs w:val="18"/>
              </w:rPr>
              <w:t>除子公司以外的其他公司为合并范围之外的应收款项</w:t>
            </w:r>
          </w:p>
        </w:tc>
      </w:tr>
      <w:tr>
        <w:trPr>
          <w:trHeight w:val="353" w:hRule="exact"/>
        </w:trPr>
        <w:tc>
          <w:tcPr>
            <w:tcW w:w="8587" w:type="dxa"/>
            <w:gridSpan w:val="2"/>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1315" w:right="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按组合计提坏账准备的计提方法（账龄分析法、余额百分比法、其他方法）</w:t>
            </w:r>
          </w:p>
        </w:tc>
      </w:tr>
      <w:tr>
        <w:trPr>
          <w:trHeight w:val="351" w:hRule="exact"/>
        </w:trPr>
        <w:tc>
          <w:tcPr>
            <w:tcW w:w="26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合并范围内关联方应收款项</w:t>
            </w:r>
          </w:p>
        </w:tc>
        <w:tc>
          <w:tcPr>
            <w:tcW w:w="59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355" w:right="0"/>
              <w:jc w:val="center"/>
              <w:rPr>
                <w:rFonts w:ascii="宋体" w:hAnsi="宋体" w:cs="宋体" w:eastAsia="宋体" w:hint="default"/>
                <w:sz w:val="18"/>
                <w:szCs w:val="18"/>
              </w:rPr>
            </w:pPr>
            <w:r>
              <w:rPr>
                <w:rFonts w:ascii="宋体" w:hAnsi="宋体" w:cs="宋体" w:eastAsia="宋体" w:hint="default"/>
                <w:sz w:val="18"/>
                <w:szCs w:val="18"/>
              </w:rPr>
              <w:t>不计提坏账准备</w:t>
            </w:r>
          </w:p>
        </w:tc>
      </w:tr>
      <w:tr>
        <w:trPr>
          <w:trHeight w:val="353" w:hRule="exact"/>
        </w:trPr>
        <w:tc>
          <w:tcPr>
            <w:tcW w:w="26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非合并范围内应收款项</w:t>
            </w:r>
          </w:p>
        </w:tc>
        <w:tc>
          <w:tcPr>
            <w:tcW w:w="59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55" w:right="0"/>
              <w:jc w:val="center"/>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line="240" w:lineRule="auto" w:before="6"/>
        <w:rPr>
          <w:rFonts w:ascii="宋体" w:hAnsi="宋体" w:cs="宋体" w:eastAsia="宋体" w:hint="default"/>
          <w:sz w:val="5"/>
          <w:szCs w:val="5"/>
        </w:rPr>
      </w:pPr>
    </w:p>
    <w:p>
      <w:pPr>
        <w:pStyle w:val="BodyText"/>
        <w:spacing w:line="240" w:lineRule="auto" w:before="36"/>
        <w:ind w:left="573" w:right="1133"/>
        <w:jc w:val="left"/>
      </w:pPr>
      <w:r>
        <w:rPr/>
        <w:t>组合中，采用账龄分析法计提坏账准备的：</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672"/>
        <w:gridCol w:w="2703"/>
        <w:gridCol w:w="3212"/>
      </w:tblGrid>
      <w:tr>
        <w:trPr>
          <w:trHeight w:val="355" w:hRule="exact"/>
        </w:trPr>
        <w:tc>
          <w:tcPr>
            <w:tcW w:w="26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7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21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3"/>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353" w:hRule="exact"/>
        </w:trPr>
        <w:tc>
          <w:tcPr>
            <w:tcW w:w="26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6</w:t>
            </w:r>
          </w:p>
        </w:tc>
        <w:tc>
          <w:tcPr>
            <w:tcW w:w="32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center"/>
              <w:rPr>
                <w:rFonts w:ascii="Times New Roman" w:hAnsi="Times New Roman" w:cs="Times New Roman" w:eastAsia="Times New Roman" w:hint="default"/>
                <w:sz w:val="18"/>
                <w:szCs w:val="18"/>
              </w:rPr>
            </w:pPr>
            <w:r>
              <w:rPr>
                <w:rFonts w:ascii="Times New Roman"/>
                <w:sz w:val="18"/>
              </w:rPr>
              <w:t>6</w:t>
            </w:r>
          </w:p>
        </w:tc>
      </w:tr>
      <w:tr>
        <w:trPr>
          <w:trHeight w:val="350" w:hRule="exact"/>
        </w:trPr>
        <w:tc>
          <w:tcPr>
            <w:tcW w:w="26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8</w:t>
            </w:r>
          </w:p>
        </w:tc>
        <w:tc>
          <w:tcPr>
            <w:tcW w:w="32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center"/>
              <w:rPr>
                <w:rFonts w:ascii="Times New Roman" w:hAnsi="Times New Roman" w:cs="Times New Roman" w:eastAsia="Times New Roman" w:hint="default"/>
                <w:sz w:val="18"/>
                <w:szCs w:val="18"/>
              </w:rPr>
            </w:pPr>
            <w:r>
              <w:rPr>
                <w:rFonts w:ascii="Times New Roman"/>
                <w:sz w:val="18"/>
              </w:rPr>
              <w:t>8</w:t>
            </w:r>
          </w:p>
        </w:tc>
      </w:tr>
      <w:tr>
        <w:trPr>
          <w:trHeight w:val="353" w:hRule="exact"/>
        </w:trPr>
        <w:tc>
          <w:tcPr>
            <w:tcW w:w="26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center"/>
              <w:rPr>
                <w:rFonts w:ascii="Times New Roman" w:hAnsi="Times New Roman" w:cs="Times New Roman" w:eastAsia="Times New Roman" w:hint="default"/>
                <w:sz w:val="18"/>
                <w:szCs w:val="18"/>
              </w:rPr>
            </w:pPr>
            <w:r>
              <w:rPr>
                <w:rFonts w:ascii="Times New Roman"/>
                <w:sz w:val="18"/>
              </w:rPr>
              <w:t>10</w:t>
            </w:r>
          </w:p>
        </w:tc>
        <w:tc>
          <w:tcPr>
            <w:tcW w:w="32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10</w:t>
            </w:r>
          </w:p>
        </w:tc>
      </w:tr>
      <w:tr>
        <w:trPr>
          <w:trHeight w:val="353" w:hRule="exact"/>
        </w:trPr>
        <w:tc>
          <w:tcPr>
            <w:tcW w:w="26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2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sz w:val="18"/>
              </w:rPr>
              <w:t>20</w:t>
            </w:r>
          </w:p>
        </w:tc>
        <w:tc>
          <w:tcPr>
            <w:tcW w:w="32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w:t>
            </w:r>
          </w:p>
        </w:tc>
      </w:tr>
      <w:tr>
        <w:trPr>
          <w:trHeight w:val="350" w:hRule="exact"/>
        </w:trPr>
        <w:tc>
          <w:tcPr>
            <w:tcW w:w="26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sz w:val="18"/>
              </w:rPr>
              <w:t>30</w:t>
            </w:r>
          </w:p>
        </w:tc>
        <w:tc>
          <w:tcPr>
            <w:tcW w:w="32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30</w:t>
            </w:r>
          </w:p>
        </w:tc>
      </w:tr>
      <w:tr>
        <w:trPr>
          <w:trHeight w:val="353" w:hRule="exact"/>
        </w:trPr>
        <w:tc>
          <w:tcPr>
            <w:tcW w:w="26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center"/>
              <w:rPr>
                <w:rFonts w:ascii="Times New Roman" w:hAnsi="Times New Roman" w:cs="Times New Roman" w:eastAsia="Times New Roman" w:hint="default"/>
                <w:sz w:val="18"/>
                <w:szCs w:val="18"/>
              </w:rPr>
            </w:pPr>
            <w:r>
              <w:rPr>
                <w:rFonts w:ascii="Times New Roman"/>
                <w:sz w:val="18"/>
              </w:rPr>
              <w:t>50</w:t>
            </w:r>
          </w:p>
        </w:tc>
        <w:tc>
          <w:tcPr>
            <w:tcW w:w="32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50</w:t>
            </w:r>
          </w:p>
        </w:tc>
      </w:tr>
      <w:tr>
        <w:trPr>
          <w:trHeight w:val="977" w:hRule="exact"/>
        </w:trPr>
        <w:tc>
          <w:tcPr>
            <w:tcW w:w="26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计提坏账准备的说明</w:t>
            </w:r>
          </w:p>
        </w:tc>
        <w:tc>
          <w:tcPr>
            <w:tcW w:w="5914" w:type="dxa"/>
            <w:gridSpan w:val="2"/>
            <w:tcBorders>
              <w:top w:val="single" w:sz="12" w:space="0" w:color="000000"/>
              <w:left w:val="single" w:sz="6" w:space="0" w:color="000000"/>
              <w:bottom w:val="single" w:sz="12" w:space="0" w:color="000000"/>
              <w:right w:val="nil" w:sz="6" w:space="0" w:color="auto"/>
            </w:tcBorders>
          </w:tcPr>
          <w:p>
            <w:pPr>
              <w:pStyle w:val="TableParagraph"/>
              <w:spacing w:line="319" w:lineRule="auto" w:before="8"/>
              <w:ind w:left="4" w:right="8"/>
              <w:jc w:val="both"/>
              <w:rPr>
                <w:rFonts w:ascii="宋体" w:hAnsi="宋体" w:cs="宋体" w:eastAsia="宋体" w:hint="default"/>
                <w:sz w:val="18"/>
                <w:szCs w:val="18"/>
              </w:rPr>
            </w:pPr>
            <w:r>
              <w:rPr>
                <w:rFonts w:ascii="宋体" w:hAnsi="宋体" w:cs="宋体" w:eastAsia="宋体" w:hint="default"/>
                <w:spacing w:val="-2"/>
                <w:sz w:val="18"/>
                <w:szCs w:val="18"/>
              </w:rPr>
              <w:t>对于期末单项金额非重大、采用与经单独测试后未减值的非关联方的应收款</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项，按应收款项账龄余额的百分比分析计提坏账准备，期末与期初坏账准备</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余额之差计入资产减值损失。</w:t>
            </w:r>
          </w:p>
        </w:tc>
      </w:tr>
      <w:tr>
        <w:trPr>
          <w:trHeight w:val="1601" w:hRule="exact"/>
        </w:trPr>
        <w:tc>
          <w:tcPr>
            <w:tcW w:w="26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其他计提法说明</w:t>
            </w:r>
          </w:p>
        </w:tc>
        <w:tc>
          <w:tcPr>
            <w:tcW w:w="5914" w:type="dxa"/>
            <w:gridSpan w:val="2"/>
            <w:tcBorders>
              <w:top w:val="single" w:sz="12" w:space="0" w:color="000000"/>
              <w:left w:val="single" w:sz="6" w:space="0" w:color="000000"/>
              <w:bottom w:val="single" w:sz="12" w:space="0" w:color="000000"/>
              <w:right w:val="nil" w:sz="6" w:space="0" w:color="auto"/>
            </w:tcBorders>
          </w:tcPr>
          <w:p>
            <w:pPr>
              <w:pStyle w:val="TableParagraph"/>
              <w:spacing w:line="316" w:lineRule="auto" w:before="8"/>
              <w:ind w:left="4" w:right="-38"/>
              <w:jc w:val="both"/>
              <w:rPr>
                <w:rFonts w:ascii="宋体" w:hAnsi="宋体" w:cs="宋体" w:eastAsia="宋体" w:hint="default"/>
                <w:sz w:val="18"/>
                <w:szCs w:val="18"/>
              </w:rPr>
            </w:pPr>
            <w:r>
              <w:rPr>
                <w:rFonts w:ascii="宋体" w:hAnsi="宋体" w:cs="宋体" w:eastAsia="宋体" w:hint="default"/>
                <w:spacing w:val="-2"/>
                <w:sz w:val="18"/>
                <w:szCs w:val="18"/>
              </w:rPr>
              <w:t>期末对于合并报表范围内的公司及关联方的应收款项单独进行减值测试。如</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有客观证据表明其发生了减值的，根据其未来现金流量现值低于其账面价值</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的差额，确认减值损失，计提坏账准备。如无客观证据表明其发生减值的， </w:t>
            </w:r>
            <w:r>
              <w:rPr>
                <w:rFonts w:ascii="宋体" w:hAnsi="宋体" w:cs="宋体" w:eastAsia="宋体" w:hint="default"/>
                <w:spacing w:val="-2"/>
                <w:sz w:val="18"/>
                <w:szCs w:val="18"/>
              </w:rPr>
              <w:t>则对关联方的应收款项按账龄分析法计提坏账准备；对合并报表范围内的公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司不计提坏账准备。</w:t>
            </w:r>
          </w:p>
        </w:tc>
      </w:tr>
    </w:tbl>
    <w:p>
      <w:pPr>
        <w:spacing w:line="240" w:lineRule="auto" w:before="6"/>
        <w:rPr>
          <w:rFonts w:ascii="宋体" w:hAnsi="宋体" w:cs="宋体" w:eastAsia="宋体" w:hint="default"/>
          <w:sz w:val="5"/>
          <w:szCs w:val="5"/>
        </w:rPr>
      </w:pPr>
    </w:p>
    <w:p>
      <w:pPr>
        <w:pStyle w:val="BodyText"/>
        <w:spacing w:line="240" w:lineRule="auto" w:before="36"/>
        <w:ind w:left="573" w:right="1133"/>
        <w:jc w:val="left"/>
      </w:pPr>
      <w:r>
        <w:rPr>
          <w:rFonts w:ascii="Times New Roman" w:hAnsi="Times New Roman" w:cs="Times New Roman" w:eastAsia="Times New Roman" w:hint="default"/>
        </w:rPr>
        <w:t>3</w:t>
      </w:r>
      <w:r>
        <w:rPr/>
        <w:t>、单项金额不重大但单独计提坏账准备的应收款项：</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672"/>
        <w:gridCol w:w="5915"/>
      </w:tblGrid>
      <w:tr>
        <w:trPr>
          <w:trHeight w:val="353" w:hRule="exact"/>
        </w:trPr>
        <w:tc>
          <w:tcPr>
            <w:tcW w:w="26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591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得到有效证据表明应当单独计提坏账准备时</w:t>
            </w:r>
          </w:p>
        </w:tc>
      </w:tr>
      <w:tr>
        <w:trPr>
          <w:trHeight w:val="355" w:hRule="exact"/>
        </w:trPr>
        <w:tc>
          <w:tcPr>
            <w:tcW w:w="26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59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按照实际余额</w:t>
            </w:r>
            <w:r>
              <w:rPr>
                <w:rFonts w:ascii="Times New Roman" w:hAnsi="Times New Roman" w:cs="Times New Roman" w:eastAsia="Times New Roman" w:hint="default"/>
                <w:sz w:val="18"/>
                <w:szCs w:val="18"/>
              </w:rPr>
              <w:t>100%</w:t>
            </w:r>
            <w:r>
              <w:rPr>
                <w:rFonts w:ascii="宋体" w:hAnsi="宋体" w:cs="宋体" w:eastAsia="宋体" w:hint="default"/>
                <w:sz w:val="18"/>
                <w:szCs w:val="18"/>
              </w:rPr>
              <w:t>计提坏账准备</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15、存货" w:id="188"/>
      <w:bookmarkEnd w:id="188"/>
      <w:r>
        <w:rPr>
          <w:b w:val="0"/>
          <w:bCs w:val="0"/>
        </w:rPr>
      </w:r>
      <w:r>
        <w:rPr>
          <w:rFonts w:ascii="Times New Roman" w:hAnsi="Times New Roman" w:cs="Times New Roman" w:eastAsia="Times New Roman" w:hint="default"/>
        </w:rPr>
        <w:t>15</w:t>
      </w:r>
      <w:r>
        <w:rPr/>
        <w:t>、存货</w:t>
      </w:r>
      <w:r>
        <w:rPr>
          <w:b w:val="0"/>
          <w:bCs w:val="0"/>
        </w:rPr>
      </w:r>
    </w:p>
    <w:p>
      <w:pPr>
        <w:spacing w:line="240" w:lineRule="auto" w:before="6"/>
        <w:rPr>
          <w:rFonts w:ascii="宋体" w:hAnsi="宋体" w:cs="宋体" w:eastAsia="宋体" w:hint="default"/>
          <w:b/>
          <w:bCs/>
          <w:sz w:val="30"/>
          <w:szCs w:val="30"/>
        </w:rPr>
      </w:pPr>
    </w:p>
    <w:p>
      <w:pPr>
        <w:pStyle w:val="BodyText"/>
        <w:spacing w:line="398" w:lineRule="auto" w:before="0"/>
        <w:ind w:left="573" w:right="1133"/>
        <w:jc w:val="left"/>
      </w:pPr>
      <w:r>
        <w:rPr>
          <w:rFonts w:ascii="Times New Roman" w:hAnsi="Times New Roman" w:cs="Times New Roman" w:eastAsia="Times New Roman" w:hint="default"/>
        </w:rPr>
        <w:t>1</w:t>
      </w:r>
      <w:r>
        <w:rPr/>
        <w:t>、存货分类：</w:t>
      </w:r>
      <w:r>
        <w:rPr>
          <w:w w:val="100"/>
        </w:rPr>
        <w:t> </w:t>
      </w:r>
      <w:r>
        <w:rPr>
          <w:spacing w:val="-2"/>
        </w:rPr>
        <w:t>本公司存货分类为：库存商品、原材料、包装物、在产品、自制半成品、消耗性生物资产等。</w:t>
      </w:r>
      <w:r>
        <w:rPr>
          <w:spacing w:val="-28"/>
        </w:rPr>
        <w:t> </w:t>
      </w:r>
      <w:r>
        <w:rPr>
          <w:spacing w:val="-28"/>
        </w:rPr>
      </w:r>
      <w:r>
        <w:rPr>
          <w:rFonts w:ascii="Times New Roman" w:hAnsi="Times New Roman" w:cs="Times New Roman" w:eastAsia="Times New Roman" w:hint="default"/>
        </w:rPr>
        <w:t>2</w:t>
      </w:r>
      <w:r>
        <w:rPr/>
        <w:t>、存货发出的计价方法：</w:t>
      </w:r>
    </w:p>
    <w:p>
      <w:pPr>
        <w:pStyle w:val="BodyText"/>
        <w:spacing w:line="240" w:lineRule="auto" w:before="23"/>
        <w:ind w:left="573" w:right="1133"/>
        <w:jc w:val="left"/>
      </w:pPr>
      <w:r>
        <w:rPr/>
        <w:t>本公司存货发出时按照加权平均法计价。</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5"/>
        <w:ind w:left="573" w:right="1133"/>
        <w:jc w:val="left"/>
      </w:pPr>
      <w:r>
        <w:rPr>
          <w:rFonts w:ascii="Times New Roman" w:hAnsi="Times New Roman" w:cs="Times New Roman" w:eastAsia="Times New Roman" w:hint="default"/>
        </w:rPr>
        <w:t>3</w:t>
      </w:r>
      <w:r>
        <w:rPr/>
        <w:t>、不同类别存货可变现净值的确定依据</w:t>
      </w:r>
      <w:r>
        <w:rPr>
          <w:w w:val="100"/>
        </w:rPr>
        <w:t> </w:t>
      </w:r>
      <w:r>
        <w:rPr>
          <w:spacing w:val="-2"/>
        </w:rPr>
        <w:t>产成品、库存商品和用于出售的材料等直接用于出售的商品存货，在正常生产经营过程中，以该存货</w:t>
      </w:r>
    </w:p>
    <w:p>
      <w:pPr>
        <w:pStyle w:val="BodyText"/>
        <w:spacing w:line="408" w:lineRule="auto" w:before="65"/>
        <w:ind w:right="1126"/>
        <w:jc w:val="both"/>
      </w:pPr>
      <w:r>
        <w:rPr>
          <w:spacing w:val="-2"/>
        </w:rPr>
        <w:t>的估计售价减去估计的销售费用和相关税费后的金额，确定其可变现净值；需要经过加工的材料存货，在</w:t>
      </w:r>
      <w:r>
        <w:rPr>
          <w:spacing w:val="-43"/>
        </w:rPr>
        <w:t> </w:t>
      </w:r>
      <w:r>
        <w:rPr>
          <w:spacing w:val="-43"/>
        </w:rPr>
      </w:r>
      <w:r>
        <w:rPr>
          <w:spacing w:val="-2"/>
        </w:rPr>
        <w:t>正常生产经营过程中，以所生产的产成品的估计售价减去至完工时估计将要发生的成本、估计的销售费用</w:t>
      </w:r>
      <w:r>
        <w:rPr>
          <w:spacing w:val="-44"/>
        </w:rPr>
        <w:t> </w:t>
      </w:r>
      <w:r>
        <w:rPr>
          <w:spacing w:val="-44"/>
        </w:rPr>
      </w:r>
      <w:r>
        <w:rPr>
          <w:spacing w:val="-2"/>
        </w:rPr>
        <w:t>和相关税费后的金额，确定其可变现净值；为执行销售合同或者劳务合同而持有的存货，其可变现净值以</w:t>
      </w:r>
      <w:r>
        <w:rPr>
          <w:spacing w:val="-44"/>
        </w:rPr>
        <w:t> </w:t>
      </w:r>
      <w:r>
        <w:rPr>
          <w:spacing w:val="-44"/>
        </w:rPr>
      </w:r>
      <w:r>
        <w:rPr>
          <w:spacing w:val="-2"/>
        </w:rPr>
        <w:t>合同价格为基础计算，若持有存货的数量多于销售合同订购数量的，超出部分的存货的可变现净值以一般</w:t>
      </w:r>
      <w:r>
        <w:rPr>
          <w:spacing w:val="-43"/>
        </w:rPr>
        <w:t> </w:t>
      </w:r>
      <w:r>
        <w:rPr>
          <w:spacing w:val="-43"/>
        </w:rPr>
      </w:r>
      <w:r>
        <w:rPr/>
        <w:t>销售价格为基础计算。</w:t>
      </w:r>
    </w:p>
    <w:p>
      <w:pPr>
        <w:pStyle w:val="BodyText"/>
        <w:spacing w:line="408" w:lineRule="auto"/>
        <w:ind w:right="1126" w:firstLine="420"/>
        <w:jc w:val="both"/>
      </w:pPr>
      <w:r>
        <w:rPr>
          <w:spacing w:val="-2"/>
        </w:rPr>
        <w:t>期末按照单个存货项目计提存货跌价准备；但对于数量繁多、单价较低的存货，按照存货类别计提存</w:t>
      </w:r>
      <w:r>
        <w:rPr>
          <w:w w:val="100"/>
        </w:rPr>
        <w:t> </w:t>
      </w:r>
      <w:r>
        <w:rPr>
          <w:spacing w:val="-2"/>
        </w:rPr>
        <w:t>货跌价准备；与在同一地区生产和销售的产品系列相关、具有相同或类似最终用途或目的，且难以与其他</w:t>
      </w:r>
      <w:r>
        <w:rPr>
          <w:spacing w:val="-44"/>
        </w:rPr>
        <w:t> </w:t>
      </w:r>
      <w:r>
        <w:rPr>
          <w:spacing w:val="-44"/>
        </w:rPr>
      </w:r>
      <w:r>
        <w:rPr/>
        <w:t>项目分开计量的存货，则合并计提存货跌价准备。</w:t>
      </w:r>
    </w:p>
    <w:p>
      <w:pPr>
        <w:pStyle w:val="BodyText"/>
        <w:spacing w:line="408" w:lineRule="auto"/>
        <w:ind w:right="1126" w:firstLine="420"/>
        <w:jc w:val="both"/>
      </w:pPr>
      <w:r>
        <w:rPr>
          <w:spacing w:val="-2"/>
        </w:rPr>
        <w:t>除有明确证据表明资产负债表日市场价格异常外，存货项目的可变现净值以资产负债表日市场价格为</w:t>
      </w:r>
      <w:r>
        <w:rPr>
          <w:w w:val="100"/>
        </w:rPr>
        <w:t> </w:t>
      </w:r>
      <w:r>
        <w:rPr/>
        <w:t>基础确定。</w:t>
      </w:r>
    </w:p>
    <w:p>
      <w:pPr>
        <w:pStyle w:val="BodyText"/>
        <w:spacing w:line="240" w:lineRule="auto"/>
        <w:ind w:left="573" w:right="1133"/>
        <w:jc w:val="left"/>
      </w:pPr>
      <w:r>
        <w:rPr/>
        <w:t>本期期末存货项目的可变现净值以资产负债表日市场价格为基础确定。</w:t>
      </w:r>
    </w:p>
    <w:p>
      <w:pPr>
        <w:spacing w:line="240" w:lineRule="auto" w:before="10"/>
        <w:rPr>
          <w:rFonts w:ascii="宋体" w:hAnsi="宋体" w:cs="宋体" w:eastAsia="宋体" w:hint="default"/>
          <w:sz w:val="14"/>
          <w:szCs w:val="14"/>
        </w:rPr>
      </w:pPr>
    </w:p>
    <w:p>
      <w:pPr>
        <w:pStyle w:val="BodyText"/>
        <w:spacing w:line="398" w:lineRule="auto" w:before="0"/>
        <w:ind w:left="566" w:right="6794" w:firstLine="7"/>
        <w:jc w:val="left"/>
      </w:pPr>
      <w:r>
        <w:rPr>
          <w:rFonts w:ascii="Times New Roman" w:hAnsi="Times New Roman" w:cs="Times New Roman" w:eastAsia="Times New Roman" w:hint="default"/>
        </w:rPr>
        <w:t>4</w:t>
      </w:r>
      <w:r>
        <w:rPr/>
        <w:t>、存货的盘存制度</w:t>
      </w:r>
      <w:r>
        <w:rPr>
          <w:w w:val="100"/>
        </w:rPr>
        <w:t> </w:t>
      </w:r>
      <w:r>
        <w:rPr/>
        <w:t>本公司存货采取永续盘存制。</w:t>
      </w:r>
      <w:r>
        <w:rPr>
          <w:w w:val="100"/>
        </w:rPr>
        <w:t> </w:t>
      </w:r>
      <w:r>
        <w:rPr>
          <w:rFonts w:ascii="Times New Roman" w:hAnsi="Times New Roman" w:cs="Times New Roman" w:eastAsia="Times New Roman" w:hint="default"/>
          <w:spacing w:val="-2"/>
        </w:rPr>
        <w:t>5</w:t>
      </w:r>
      <w:r>
        <w:rPr>
          <w:spacing w:val="-2"/>
        </w:rPr>
        <w:t>、低值易耗品和包装物的转销方法</w:t>
      </w:r>
    </w:p>
    <w:p>
      <w:pPr>
        <w:pStyle w:val="BodyText"/>
        <w:spacing w:line="240" w:lineRule="auto" w:before="24"/>
        <w:ind w:left="566" w:right="1133"/>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177"/>
        <w:ind w:left="566" w:right="1133"/>
        <w:jc w:val="left"/>
      </w:pPr>
      <w:r>
        <w:rPr/>
        <w:t>（</w:t>
      </w:r>
      <w:r>
        <w:rPr>
          <w:rFonts w:ascii="Times New Roman" w:hAnsi="Times New Roman" w:cs="Times New Roman" w:eastAsia="Times New Roman" w:hint="default"/>
        </w:rPr>
        <w:t>2</w:t>
      </w:r>
      <w:r>
        <w:rPr/>
        <w:t>）包装物采用一次转销法</w:t>
      </w:r>
    </w:p>
    <w:p>
      <w:pPr>
        <w:spacing w:line="240" w:lineRule="auto" w:before="8"/>
        <w:rPr>
          <w:rFonts w:ascii="宋体" w:hAnsi="宋体" w:cs="宋体" w:eastAsia="宋体" w:hint="default"/>
          <w:sz w:val="30"/>
          <w:szCs w:val="30"/>
        </w:rPr>
      </w:pPr>
    </w:p>
    <w:p>
      <w:pPr>
        <w:pStyle w:val="Heading5"/>
        <w:spacing w:line="240" w:lineRule="auto"/>
        <w:ind w:right="0"/>
        <w:jc w:val="both"/>
        <w:rPr>
          <w:b w:val="0"/>
          <w:bCs w:val="0"/>
        </w:rPr>
      </w:pPr>
      <w:bookmarkStart w:name="16、合同资产" w:id="189"/>
      <w:bookmarkEnd w:id="189"/>
      <w:r>
        <w:rPr>
          <w:b w:val="0"/>
          <w:bCs w:val="0"/>
        </w:rPr>
      </w:r>
      <w:r>
        <w:rPr>
          <w:rFonts w:ascii="Times New Roman" w:hAnsi="Times New Roman" w:cs="Times New Roman" w:eastAsia="Times New Roman" w:hint="default"/>
        </w:rPr>
        <w:t>16</w:t>
      </w:r>
      <w:r>
        <w:rPr/>
        <w:t>、合同资产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both"/>
        <w:rPr>
          <w:b w:val="0"/>
          <w:bCs w:val="0"/>
        </w:rPr>
      </w:pPr>
      <w:bookmarkStart w:name="17、合同成本" w:id="190"/>
      <w:bookmarkEnd w:id="190"/>
      <w:r>
        <w:rPr>
          <w:b w:val="0"/>
          <w:bCs w:val="0"/>
        </w:rPr>
      </w:r>
      <w:r>
        <w:rPr>
          <w:rFonts w:ascii="Times New Roman" w:hAnsi="Times New Roman" w:cs="Times New Roman" w:eastAsia="Times New Roman" w:hint="default"/>
        </w:rPr>
        <w:t>17</w:t>
      </w:r>
      <w:r>
        <w:rPr/>
        <w:t>、合同成本</w:t>
      </w:r>
      <w:r>
        <w:rPr>
          <w:b w:val="0"/>
          <w:bCs w:val="0"/>
        </w:rPr>
      </w:r>
    </w:p>
    <w:p>
      <w:pPr>
        <w:spacing w:line="692" w:lineRule="exact" w:before="15"/>
        <w:ind w:left="566" w:right="2654" w:hanging="414"/>
        <w:jc w:val="left"/>
        <w:rPr>
          <w:rFonts w:ascii="宋体" w:hAnsi="宋体" w:cs="宋体" w:eastAsia="宋体" w:hint="default"/>
          <w:sz w:val="21"/>
          <w:szCs w:val="21"/>
        </w:rPr>
      </w:pPr>
      <w:bookmarkStart w:name="18、持有待售资产" w:id="191"/>
      <w:bookmarkEnd w:id="191"/>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、持有待售资产</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本公司将同时满足下列条件的非流动资产或处置组确认为持有待售类别：</w:t>
      </w:r>
    </w:p>
    <w:p>
      <w:pPr>
        <w:pStyle w:val="BodyText"/>
        <w:spacing w:line="240" w:lineRule="auto" w:before="85"/>
        <w:ind w:left="566" w:right="1133"/>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86" w:lineRule="auto" w:before="177"/>
        <w:ind w:right="1134" w:firstLine="413"/>
        <w:jc w:val="both"/>
      </w:pPr>
      <w:r>
        <w:rPr/>
        <w:t>（</w:t>
      </w:r>
      <w:r>
        <w:rPr>
          <w:rFonts w:ascii="Times New Roman" w:hAnsi="Times New Roman" w:cs="Times New Roman" w:eastAsia="Times New Roman" w:hint="default"/>
        </w:rPr>
        <w:t>2</w:t>
      </w:r>
      <w:r>
        <w:rPr/>
        <w:t>）出售极可能发生，即本公司已经就一项出售计划作出决议且获得确定的购买承诺，预计出售将</w:t>
      </w:r>
      <w:r>
        <w:rPr>
          <w:w w:val="100"/>
        </w:rPr>
        <w:t> </w:t>
      </w:r>
      <w:r>
        <w:rPr/>
        <w:t>在一年内完成。有关规定要求本公司相关权力机构或者监管部门批准后方可出售的，已经获得批准。</w:t>
      </w:r>
    </w:p>
    <w:p>
      <w:pPr>
        <w:pStyle w:val="BodyText"/>
        <w:spacing w:line="408" w:lineRule="auto" w:before="65"/>
        <w:ind w:right="1126" w:firstLine="413"/>
        <w:jc w:val="both"/>
      </w:pPr>
      <w:r>
        <w:rPr>
          <w:spacing w:val="-2"/>
        </w:rPr>
        <w:t>初始计量或在资产负债表日重新计量持有待售的非流动资产或处置组时，其账面价值高于公允价值减</w:t>
      </w:r>
      <w:r>
        <w:rPr>
          <w:w w:val="100"/>
        </w:rPr>
        <w:t> </w:t>
      </w:r>
      <w:r>
        <w:rPr>
          <w:spacing w:val="-2"/>
        </w:rPr>
        <w:t>去出售费用后的净额的，应当将账面价值减记至公允价值减去出售费用后的净额，减记的金额确认为资产</w:t>
      </w:r>
      <w:r>
        <w:rPr>
          <w:spacing w:val="-42"/>
        </w:rPr>
        <w:t> </w:t>
      </w:r>
      <w:r>
        <w:rPr>
          <w:spacing w:val="-42"/>
        </w:rPr>
      </w:r>
      <w:r>
        <w:rPr/>
        <w:t>减值损失，计入当期损益，同时计提持有待售资产减值准备。</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93" w:lineRule="auto" w:before="175"/>
        <w:ind w:right="1128" w:firstLine="413"/>
        <w:jc w:val="both"/>
      </w:pPr>
      <w:r>
        <w:rPr>
          <w:spacing w:val="-2"/>
        </w:rPr>
        <w:t>终止经营，是指满足下列条件之一的、能够单独区分的组成部分，且该组成部分已经处置或划分为持</w:t>
      </w:r>
      <w:r>
        <w:rPr>
          <w:w w:val="100"/>
        </w:rPr>
        <w:t> </w:t>
      </w:r>
      <w:r>
        <w:rPr>
          <w:spacing w:val="-2"/>
        </w:rPr>
        <w:t>有待售类别：</w:t>
      </w:r>
      <w:r>
        <w:rPr>
          <w:rFonts w:ascii="Times New Roman" w:hAnsi="Times New Roman" w:cs="Times New Roman" w:eastAsia="Times New Roman" w:hint="default"/>
          <w:spacing w:val="-2"/>
        </w:rPr>
        <w:t>1</w:t>
      </w:r>
      <w:r>
        <w:rPr>
          <w:spacing w:val="-2"/>
        </w:rPr>
        <w:t>、该组成部分代表一项独立的主要业务或一个单独的主要经营地区；</w:t>
      </w:r>
      <w:r>
        <w:rPr>
          <w:rFonts w:ascii="Times New Roman" w:hAnsi="Times New Roman" w:cs="Times New Roman" w:eastAsia="Times New Roman" w:hint="default"/>
          <w:spacing w:val="-2"/>
        </w:rPr>
        <w:t>2</w:t>
      </w:r>
      <w:r>
        <w:rPr>
          <w:spacing w:val="-2"/>
        </w:rPr>
        <w:t>、该组成部分是拟对</w:t>
      </w:r>
      <w:r>
        <w:rPr>
          <w:spacing w:val="-44"/>
        </w:rPr>
        <w:t> </w:t>
      </w:r>
      <w:r>
        <w:rPr>
          <w:spacing w:val="-44"/>
        </w:rPr>
      </w:r>
      <w:r>
        <w:rPr/>
        <w:t>一项独立的主要业务或一个单独的主要经营地区进行处置的一项相关联计划的一部分；</w:t>
      </w:r>
      <w:r>
        <w:rPr>
          <w:rFonts w:ascii="Times New Roman" w:hAnsi="Times New Roman" w:cs="Times New Roman" w:eastAsia="Times New Roman" w:hint="default"/>
        </w:rPr>
        <w:t>3</w:t>
      </w:r>
      <w:r>
        <w:rPr/>
        <w:t>、该组成部分是</w:t>
      </w:r>
      <w:r>
        <w:rPr>
          <w:spacing w:val="-20"/>
        </w:rPr>
        <w:t> </w:t>
      </w:r>
      <w:r>
        <w:rPr>
          <w:spacing w:val="-20"/>
        </w:rPr>
      </w:r>
      <w:r>
        <w:rPr/>
        <w:t>专为转售而取得的子公司。</w:t>
      </w:r>
    </w:p>
    <w:p>
      <w:pPr>
        <w:spacing w:line="240" w:lineRule="auto" w:before="7"/>
        <w:rPr>
          <w:rFonts w:ascii="宋体" w:hAnsi="宋体" w:cs="宋体" w:eastAsia="宋体" w:hint="default"/>
          <w:sz w:val="21"/>
          <w:szCs w:val="21"/>
        </w:rPr>
      </w:pPr>
    </w:p>
    <w:p>
      <w:pPr>
        <w:pStyle w:val="Heading5"/>
        <w:spacing w:line="240" w:lineRule="auto"/>
        <w:ind w:right="0"/>
        <w:jc w:val="both"/>
        <w:rPr>
          <w:b w:val="0"/>
          <w:bCs w:val="0"/>
        </w:rPr>
      </w:pPr>
      <w:bookmarkStart w:name="19、债权投资" w:id="192"/>
      <w:bookmarkEnd w:id="192"/>
      <w:r>
        <w:rPr>
          <w:b w:val="0"/>
          <w:bCs w:val="0"/>
        </w:rPr>
      </w:r>
      <w:r>
        <w:rPr>
          <w:rFonts w:ascii="Times New Roman" w:hAnsi="Times New Roman" w:cs="Times New Roman" w:eastAsia="Times New Roman" w:hint="default"/>
        </w:rPr>
        <w:t>19</w:t>
      </w:r>
      <w:r>
        <w:rPr/>
        <w:t>、债权投资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bookmarkStart w:name="20、其他债权投资" w:id="193"/>
      <w:bookmarkEnd w:id="193"/>
      <w:r>
        <w:rPr>
          <w:b w:val="0"/>
          <w:bCs w:val="0"/>
        </w:rPr>
      </w:r>
      <w:r>
        <w:rPr>
          <w:rFonts w:ascii="Times New Roman" w:hAnsi="Times New Roman" w:cs="Times New Roman" w:eastAsia="Times New Roman" w:hint="default"/>
        </w:rPr>
        <w:t>20</w:t>
      </w:r>
      <w:r>
        <w:rPr/>
        <w:t>、其他债权投资</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both"/>
        <w:rPr>
          <w:b w:val="0"/>
          <w:bCs w:val="0"/>
        </w:rPr>
      </w:pPr>
      <w:bookmarkStart w:name="21、长期应收款" w:id="194"/>
      <w:bookmarkEnd w:id="194"/>
      <w:r>
        <w:rPr>
          <w:b w:val="0"/>
          <w:bCs w:val="0"/>
        </w:rPr>
      </w:r>
      <w:r>
        <w:rPr>
          <w:rFonts w:ascii="Times New Roman" w:hAnsi="Times New Roman" w:cs="Times New Roman" w:eastAsia="Times New Roman" w:hint="default"/>
        </w:rPr>
        <w:t>21</w:t>
      </w:r>
      <w:r>
        <w:rPr/>
        <w:t>、长期应收款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bookmarkStart w:name="22、长期股权投资" w:id="195"/>
      <w:bookmarkEnd w:id="195"/>
      <w:r>
        <w:rPr>
          <w:b w:val="0"/>
          <w:bCs w:val="0"/>
        </w:rPr>
      </w:r>
      <w:r>
        <w:rPr>
          <w:rFonts w:ascii="Times New Roman" w:hAnsi="Times New Roman" w:cs="Times New Roman" w:eastAsia="Times New Roman" w:hint="default"/>
        </w:rPr>
        <w:t>22</w:t>
      </w:r>
      <w:r>
        <w:rPr/>
        <w:t>、长期股权投资</w:t>
      </w:r>
      <w:r>
        <w:rPr>
          <w:b w:val="0"/>
          <w:bCs w:val="0"/>
        </w:rPr>
      </w:r>
    </w:p>
    <w:p>
      <w:pPr>
        <w:spacing w:line="240" w:lineRule="auto" w:before="6"/>
        <w:rPr>
          <w:rFonts w:ascii="宋体" w:hAnsi="宋体" w:cs="宋体" w:eastAsia="宋体" w:hint="default"/>
          <w:b/>
          <w:bCs/>
          <w:sz w:val="30"/>
          <w:szCs w:val="30"/>
        </w:rPr>
      </w:pPr>
    </w:p>
    <w:p>
      <w:pPr>
        <w:pStyle w:val="BodyText"/>
        <w:spacing w:line="386" w:lineRule="auto" w:before="0"/>
        <w:ind w:left="573" w:right="1133"/>
        <w:jc w:val="left"/>
      </w:pPr>
      <w:r>
        <w:rPr>
          <w:rFonts w:ascii="Times New Roman" w:hAnsi="Times New Roman" w:cs="Times New Roman" w:eastAsia="Times New Roman" w:hint="default"/>
        </w:rPr>
        <w:t>1</w:t>
      </w:r>
      <w:r>
        <w:rPr/>
        <w:t>、共同控制、重大影响的判断标准</w:t>
      </w:r>
      <w:r>
        <w:rPr>
          <w:w w:val="100"/>
        </w:rPr>
        <w:t> </w:t>
      </w:r>
      <w:r>
        <w:rPr>
          <w:spacing w:val="-2"/>
        </w:rPr>
        <w:t>共同控制，是指按照相关约定对某项安排所共有的控制，并且该安排的相关活动必须经过分享控制权</w:t>
      </w:r>
    </w:p>
    <w:p>
      <w:pPr>
        <w:pStyle w:val="BodyText"/>
        <w:spacing w:line="408" w:lineRule="auto" w:before="65"/>
        <w:ind w:right="1133"/>
        <w:jc w:val="left"/>
      </w:pPr>
      <w:r>
        <w:rPr>
          <w:spacing w:val="-2"/>
        </w:rPr>
        <w:t>的参与方一致同意后才能决策。本公司与其他合营方一同对被投资单位实施共同控制且对被投资单位净资</w:t>
      </w:r>
      <w:r>
        <w:rPr>
          <w:spacing w:val="-43"/>
        </w:rPr>
        <w:t> </w:t>
      </w:r>
      <w:r>
        <w:rPr>
          <w:spacing w:val="-43"/>
        </w:rPr>
      </w:r>
      <w:r>
        <w:rPr/>
        <w:t>产享有权利的，被投资单位为本公司的合营企业。</w:t>
      </w:r>
    </w:p>
    <w:p>
      <w:pPr>
        <w:pStyle w:val="BodyText"/>
        <w:spacing w:line="408" w:lineRule="auto"/>
        <w:ind w:right="1126" w:firstLine="420"/>
        <w:jc w:val="both"/>
      </w:pPr>
      <w:r>
        <w:rPr>
          <w:spacing w:val="-2"/>
        </w:rPr>
        <w:t>重大影响，是指对一个企业的财务和经营决策有参与决策的权力，但并不能够控制或者与其他方一起</w:t>
      </w:r>
      <w:r>
        <w:rPr>
          <w:w w:val="100"/>
        </w:rPr>
        <w:t> </w:t>
      </w:r>
      <w:r>
        <w:rPr/>
        <w:t>共同控制这些政策的制定。本公司能够对被投资单位施加重大影响的，被投资单位为本公司联营企业。</w:t>
      </w:r>
    </w:p>
    <w:p>
      <w:pPr>
        <w:pStyle w:val="BodyText"/>
        <w:spacing w:line="240" w:lineRule="auto"/>
        <w:ind w:left="573" w:right="1133"/>
        <w:jc w:val="left"/>
      </w:pPr>
      <w:r>
        <w:rPr>
          <w:rFonts w:ascii="Times New Roman" w:hAnsi="Times New Roman" w:cs="Times New Roman" w:eastAsia="Times New Roman" w:hint="default"/>
        </w:rPr>
        <w:t>2</w:t>
      </w:r>
      <w:r>
        <w:rPr/>
        <w:t>、初始投资成本的确定</w:t>
      </w:r>
    </w:p>
    <w:p>
      <w:pPr>
        <w:pStyle w:val="BodyText"/>
        <w:spacing w:line="386" w:lineRule="auto" w:before="177"/>
        <w:ind w:left="573" w:right="1133"/>
        <w:jc w:val="left"/>
      </w:pPr>
      <w:r>
        <w:rPr/>
        <w:t>（</w:t>
      </w:r>
      <w:r>
        <w:rPr>
          <w:rFonts w:ascii="Times New Roman" w:hAnsi="Times New Roman" w:cs="Times New Roman" w:eastAsia="Times New Roman" w:hint="default"/>
        </w:rPr>
        <w:t>1</w:t>
      </w:r>
      <w:r>
        <w:rPr/>
        <w:t>）企业合并形成的长期股权投资</w:t>
      </w:r>
      <w:r>
        <w:rPr>
          <w:w w:val="100"/>
        </w:rPr>
        <w:t> </w:t>
      </w:r>
      <w:r>
        <w:rPr>
          <w:spacing w:val="-2"/>
        </w:rPr>
        <w:t>同一控制下的企业合并：公司以支付现金、转让非现金资产或承担债务方式以及以发行权益性证券作</w:t>
      </w:r>
    </w:p>
    <w:p>
      <w:pPr>
        <w:pStyle w:val="BodyText"/>
        <w:spacing w:line="408" w:lineRule="auto" w:before="65"/>
        <w:ind w:right="1126"/>
        <w:jc w:val="both"/>
      </w:pPr>
      <w:r>
        <w:rPr>
          <w:spacing w:val="-2"/>
        </w:rPr>
        <w:t>为合并对价的，在合并日按照取得被合并方所有者权益在最终控制方合并财务报表中的账面价值的份额作</w:t>
      </w:r>
      <w:r>
        <w:rPr>
          <w:spacing w:val="-43"/>
        </w:rPr>
        <w:t> </w:t>
      </w:r>
      <w:r>
        <w:rPr>
          <w:spacing w:val="-43"/>
        </w:rPr>
      </w:r>
      <w:r>
        <w:rPr>
          <w:spacing w:val="-2"/>
        </w:rPr>
        <w:t>为长期股权投资的初始投资成本。因追加投资等原因能够对同一控制下的被投资单位实施控制的，在合并</w:t>
      </w:r>
      <w:r>
        <w:rPr>
          <w:spacing w:val="-44"/>
        </w:rPr>
        <w:t> </w:t>
      </w:r>
      <w:r>
        <w:rPr>
          <w:spacing w:val="-44"/>
        </w:rPr>
      </w:r>
      <w:r>
        <w:rPr>
          <w:spacing w:val="-2"/>
        </w:rPr>
        <w:t>日根据合并后应享有被合并方净资产在最终控制方合并财务报表中的账面价值的份额，确定长期股权投资</w:t>
      </w:r>
      <w:r>
        <w:rPr>
          <w:spacing w:val="-43"/>
        </w:rPr>
        <w:t> </w:t>
      </w:r>
      <w:r>
        <w:rPr>
          <w:spacing w:val="-43"/>
        </w:rPr>
      </w:r>
      <w:r>
        <w:rPr>
          <w:spacing w:val="-2"/>
        </w:rPr>
        <w:t>的初始投资成本。合并日长期股权投资的初始投资成本，与达到合并前的长期股权投资账面价值加上合并</w:t>
      </w:r>
      <w:r>
        <w:rPr>
          <w:spacing w:val="-43"/>
        </w:rPr>
        <w:t> </w:t>
      </w:r>
      <w:r>
        <w:rPr>
          <w:spacing w:val="-43"/>
        </w:rPr>
      </w:r>
      <w:r>
        <w:rPr>
          <w:spacing w:val="-2"/>
        </w:rPr>
        <w:t>日进一步取得股份新支付对价的账面价值之和的差额，调整股本溢价，股本溢价不足冲减的，冲减留存收</w:t>
      </w:r>
      <w:r>
        <w:rPr>
          <w:spacing w:val="-44"/>
        </w:rPr>
        <w:t> </w:t>
      </w:r>
      <w:r>
        <w:rPr>
          <w:spacing w:val="-44"/>
        </w:rPr>
      </w:r>
      <w:r>
        <w:rPr/>
        <w:t>益。</w:t>
      </w:r>
    </w:p>
    <w:p>
      <w:pPr>
        <w:pStyle w:val="BodyText"/>
        <w:spacing w:line="408" w:lineRule="auto"/>
        <w:ind w:right="1126" w:firstLine="420"/>
        <w:jc w:val="both"/>
      </w:pPr>
      <w:r>
        <w:rPr>
          <w:spacing w:val="-2"/>
        </w:rPr>
        <w:t>非同一控制下的企业合并：公司按照购买日确定的合并成本作为长期股权投资的初始投资成本。因追</w:t>
      </w:r>
      <w:r>
        <w:rPr>
          <w:w w:val="100"/>
        </w:rPr>
        <w:t> </w:t>
      </w:r>
      <w:r>
        <w:rPr>
          <w:spacing w:val="-2"/>
        </w:rPr>
        <w:t>加投资等原因能够对非同一控制下的被投资单位实施控制的，按照原持有的股权投资账面价值加上新增投</w:t>
      </w:r>
      <w:r>
        <w:rPr>
          <w:spacing w:val="-43"/>
        </w:rPr>
        <w:t> </w:t>
      </w:r>
      <w:r>
        <w:rPr>
          <w:spacing w:val="-43"/>
        </w:rPr>
      </w:r>
      <w:r>
        <w:rPr/>
        <w:t>资成本之和，作为改按成本法核算的初始投资成本。</w:t>
      </w:r>
    </w:p>
    <w:p>
      <w:pPr>
        <w:pStyle w:val="BodyText"/>
        <w:spacing w:line="386" w:lineRule="auto"/>
        <w:ind w:left="573" w:right="1133"/>
        <w:jc w:val="left"/>
      </w:pPr>
      <w:r>
        <w:rPr/>
        <w:t>（</w:t>
      </w:r>
      <w:r>
        <w:rPr>
          <w:rFonts w:ascii="Times New Roman" w:hAnsi="Times New Roman" w:cs="Times New Roman" w:eastAsia="Times New Roman" w:hint="default"/>
        </w:rPr>
        <w:t>2</w:t>
      </w:r>
      <w:r>
        <w:rPr/>
        <w:t>）其他方式取得的长期股权投资</w:t>
      </w:r>
      <w:r>
        <w:rPr>
          <w:w w:val="100"/>
        </w:rPr>
        <w:t> </w:t>
      </w:r>
      <w:r>
        <w:rPr>
          <w:spacing w:val="-2"/>
        </w:rPr>
        <w:t>以支付现金方式取得的长期股权投资，按照实际支付的购买价款作为初始投资成本。</w:t>
      </w:r>
    </w:p>
    <w:p>
      <w:pPr>
        <w:spacing w:after="0" w:line="386" w:lineRule="auto"/>
        <w:jc w:val="left"/>
        <w:sectPr>
          <w:footerReference w:type="default" r:id="rId17"/>
          <w:pgSz w:w="11910" w:h="16840"/>
          <w:pgMar w:footer="980" w:header="745" w:top="1060" w:bottom="1160" w:left="980" w:right="0"/>
          <w:pgNumType w:start="120"/>
        </w:sectPr>
      </w:pPr>
    </w:p>
    <w:p>
      <w:pPr>
        <w:spacing w:line="240" w:lineRule="auto" w:before="0"/>
        <w:rPr>
          <w:rFonts w:ascii="宋体" w:hAnsi="宋体" w:cs="宋体" w:eastAsia="宋体" w:hint="default"/>
          <w:sz w:val="20"/>
          <w:szCs w:val="20"/>
        </w:rPr>
      </w:pPr>
    </w:p>
    <w:p>
      <w:pPr>
        <w:pStyle w:val="BodyText"/>
        <w:spacing w:line="408" w:lineRule="auto" w:before="175"/>
        <w:ind w:left="573" w:right="1133"/>
        <w:jc w:val="left"/>
      </w:pPr>
      <w:r>
        <w:rPr/>
        <w:t>以发行权益性证券取得的长期股权投资，按照发行权益性证券的公允价值作为初始投资成本。</w:t>
      </w:r>
      <w:r>
        <w:rPr>
          <w:w w:val="100"/>
        </w:rPr>
        <w:t> </w:t>
      </w:r>
      <w:r>
        <w:rPr>
          <w:spacing w:val="-2"/>
        </w:rPr>
        <w:t>在非货币性资产交换具备商业实质和换入资产或换出资产的公允价值能够可靠计量的前提下，非货币</w:t>
      </w:r>
    </w:p>
    <w:p>
      <w:pPr>
        <w:pStyle w:val="BodyText"/>
        <w:spacing w:line="408" w:lineRule="auto"/>
        <w:ind w:right="1126"/>
        <w:jc w:val="both"/>
      </w:pPr>
      <w:r>
        <w:rPr>
          <w:spacing w:val="-2"/>
        </w:rPr>
        <w:t>性资产交换换入的长期股权投资以换出资产的公允价值和应支付的相关税费确定其初始投资成本，除非有</w:t>
      </w:r>
      <w:r>
        <w:rPr>
          <w:spacing w:val="-43"/>
        </w:rPr>
        <w:t> </w:t>
      </w:r>
      <w:r>
        <w:rPr>
          <w:spacing w:val="-43"/>
        </w:rPr>
      </w:r>
      <w:r>
        <w:rPr>
          <w:spacing w:val="-2"/>
        </w:rPr>
        <w:t>确凿证据表明换入资产的公允价值更加可靠；不满足上述前提的非货币性资产交换，以换出资产的账面价</w:t>
      </w:r>
      <w:r>
        <w:rPr>
          <w:spacing w:val="-43"/>
        </w:rPr>
        <w:t> </w:t>
      </w:r>
      <w:r>
        <w:rPr>
          <w:spacing w:val="-43"/>
        </w:rPr>
      </w:r>
      <w:r>
        <w:rPr/>
        <w:t>值和应支付的相关税费作为换入长期股权投资的初始投资成本。</w:t>
      </w:r>
    </w:p>
    <w:p>
      <w:pPr>
        <w:pStyle w:val="BodyText"/>
        <w:spacing w:line="240" w:lineRule="auto"/>
        <w:ind w:left="573" w:right="1133"/>
        <w:jc w:val="left"/>
      </w:pPr>
      <w:r>
        <w:rPr/>
        <w:t>通过债务重组取得的长期股权投资，其初始投资成本按照公允价值为基础确定。</w:t>
      </w:r>
    </w:p>
    <w:p>
      <w:pPr>
        <w:spacing w:line="240" w:lineRule="auto" w:before="10"/>
        <w:rPr>
          <w:rFonts w:ascii="宋体" w:hAnsi="宋体" w:cs="宋体" w:eastAsia="宋体" w:hint="default"/>
          <w:sz w:val="14"/>
          <w:szCs w:val="14"/>
        </w:rPr>
      </w:pPr>
    </w:p>
    <w:p>
      <w:pPr>
        <w:pStyle w:val="BodyText"/>
        <w:spacing w:line="240" w:lineRule="auto" w:before="0"/>
        <w:ind w:left="573" w:right="1133"/>
        <w:jc w:val="left"/>
      </w:pPr>
      <w:r>
        <w:rPr>
          <w:rFonts w:ascii="Times New Roman" w:hAnsi="Times New Roman" w:cs="Times New Roman" w:eastAsia="Times New Roman" w:hint="default"/>
        </w:rPr>
        <w:t>3</w:t>
      </w:r>
      <w:r>
        <w:rPr/>
        <w:t>、后续计量及损益确认方法</w:t>
      </w:r>
    </w:p>
    <w:p>
      <w:pPr>
        <w:pStyle w:val="BodyText"/>
        <w:spacing w:line="386" w:lineRule="auto" w:before="177"/>
        <w:ind w:left="573" w:right="1133"/>
        <w:jc w:val="left"/>
      </w:pPr>
      <w:r>
        <w:rPr/>
        <w:t>（</w:t>
      </w:r>
      <w:r>
        <w:rPr>
          <w:rFonts w:ascii="Times New Roman" w:hAnsi="Times New Roman" w:cs="Times New Roman" w:eastAsia="Times New Roman" w:hint="default"/>
        </w:rPr>
        <w:t>1</w:t>
      </w:r>
      <w:r>
        <w:rPr/>
        <w:t>）成本法核算的长期股权投资</w:t>
      </w:r>
      <w:r>
        <w:rPr>
          <w:w w:val="100"/>
        </w:rPr>
        <w:t> </w:t>
      </w:r>
      <w:r>
        <w:rPr>
          <w:spacing w:val="-2"/>
        </w:rPr>
        <w:t>本公司对子公司的长期股权投资，采用成本法核算。除取得投资时实际支付的价款或对价中包含的已</w:t>
      </w:r>
    </w:p>
    <w:p>
      <w:pPr>
        <w:pStyle w:val="BodyText"/>
        <w:spacing w:line="408" w:lineRule="auto" w:before="65"/>
        <w:ind w:right="1126"/>
        <w:jc w:val="both"/>
      </w:pPr>
      <w:r>
        <w:rPr>
          <w:spacing w:val="-2"/>
        </w:rPr>
        <w:t>宣告但尚未发放的现金股利或利润外，公司按照享有被投资单位宣告发放的现金股利或利润确认当期投资</w:t>
      </w:r>
      <w:r>
        <w:rPr>
          <w:spacing w:val="-43"/>
        </w:rPr>
        <w:t> </w:t>
      </w:r>
      <w:r>
        <w:rPr>
          <w:spacing w:val="-43"/>
        </w:rPr>
      </w:r>
      <w:r>
        <w:rPr/>
        <w:t>收益。</w:t>
      </w:r>
    </w:p>
    <w:p>
      <w:pPr>
        <w:pStyle w:val="BodyText"/>
        <w:spacing w:line="386" w:lineRule="auto"/>
        <w:ind w:left="573" w:right="1133"/>
        <w:jc w:val="left"/>
      </w:pPr>
      <w:r>
        <w:rPr/>
        <w:t>（</w:t>
      </w:r>
      <w:r>
        <w:rPr>
          <w:rFonts w:ascii="Times New Roman" w:hAnsi="Times New Roman" w:cs="Times New Roman" w:eastAsia="Times New Roman" w:hint="default"/>
        </w:rPr>
        <w:t>2</w:t>
      </w:r>
      <w:r>
        <w:rPr/>
        <w:t>）权益法核算的长期股权投资</w:t>
      </w:r>
      <w:r>
        <w:rPr>
          <w:w w:val="100"/>
        </w:rPr>
        <w:t> </w:t>
      </w:r>
      <w:r>
        <w:rPr>
          <w:spacing w:val="-2"/>
        </w:rPr>
        <w:t>对联营企业和合营企业的长期股权投资，采用权益法核算。初始投资成本大于投资时应享有被投资单</w:t>
      </w:r>
    </w:p>
    <w:p>
      <w:pPr>
        <w:pStyle w:val="BodyText"/>
        <w:spacing w:line="408" w:lineRule="auto" w:before="65"/>
        <w:ind w:right="1126"/>
        <w:jc w:val="both"/>
      </w:pPr>
      <w:r>
        <w:rPr>
          <w:spacing w:val="-2"/>
        </w:rPr>
        <w:t>位可辨认净资产公允价值份额的差额，不调整长期股权投资的初始投资成本；初始投资成本小于投资时应</w:t>
      </w:r>
      <w:r>
        <w:rPr>
          <w:spacing w:val="-44"/>
        </w:rPr>
        <w:t> </w:t>
      </w:r>
      <w:r>
        <w:rPr>
          <w:spacing w:val="-44"/>
        </w:rPr>
      </w:r>
      <w:r>
        <w:rPr/>
        <w:t>享有被投资单位可辨认净资产公允价值份额的差额，计入当期损益。</w:t>
      </w:r>
    </w:p>
    <w:p>
      <w:pPr>
        <w:pStyle w:val="BodyText"/>
        <w:spacing w:line="408" w:lineRule="auto"/>
        <w:ind w:right="1126" w:firstLine="420"/>
        <w:jc w:val="both"/>
      </w:pPr>
      <w:r>
        <w:rPr>
          <w:spacing w:val="-2"/>
        </w:rPr>
        <w:t>本公司按照应享有或应分担的被投资单位实现的净损益和其他综合收益的份额，分别确认投资收益和</w:t>
      </w:r>
      <w:r>
        <w:rPr>
          <w:w w:val="100"/>
        </w:rPr>
        <w:t> </w:t>
      </w:r>
      <w:r>
        <w:rPr>
          <w:spacing w:val="-2"/>
        </w:rPr>
        <w:t>其他综合收益，同时调整长期股权投资的账面价值；按照被投资单位宣告分派的利润或现金股利计算应享</w:t>
      </w:r>
      <w:r>
        <w:rPr>
          <w:spacing w:val="-43"/>
        </w:rPr>
        <w:t> </w:t>
      </w:r>
      <w:r>
        <w:rPr>
          <w:spacing w:val="-43"/>
        </w:rPr>
      </w:r>
      <w:r>
        <w:rPr>
          <w:spacing w:val="-2"/>
        </w:rPr>
        <w:t>有的部分，相应减少长期股权投资的账面价值；对于被投资单位除净损益、其他综合收益和利润分配以外</w:t>
      </w:r>
      <w:r>
        <w:rPr>
          <w:spacing w:val="-44"/>
        </w:rPr>
        <w:t> </w:t>
      </w:r>
      <w:r>
        <w:rPr>
          <w:spacing w:val="-44"/>
        </w:rPr>
      </w:r>
      <w:r>
        <w:rPr/>
        <w:t>所有者权益的其他变动，调整长期股权投资的账面价值并计入所有者权益。</w:t>
      </w:r>
    </w:p>
    <w:p>
      <w:pPr>
        <w:pStyle w:val="BodyText"/>
        <w:spacing w:line="408" w:lineRule="auto"/>
        <w:ind w:right="1126" w:firstLine="420"/>
        <w:jc w:val="both"/>
      </w:pPr>
      <w:r>
        <w:rPr>
          <w:spacing w:val="2"/>
        </w:rPr>
        <w:t>在确认应享有被投资单位净损益的份额时，以取得投资时被投资单位可辨认净资产的公允价值为基</w:t>
      </w:r>
      <w:r>
        <w:rPr>
          <w:w w:val="100"/>
        </w:rPr>
        <w:t> </w:t>
      </w:r>
      <w:r>
        <w:rPr>
          <w:spacing w:val="-2"/>
        </w:rPr>
        <w:t>础，并按照公司的会计政策及会计期间，对被投资单位的净利润进行调整后确认。在持有投资期间，被投</w:t>
      </w:r>
      <w:r>
        <w:rPr>
          <w:spacing w:val="-47"/>
        </w:rPr>
        <w:t> </w:t>
      </w:r>
      <w:r>
        <w:rPr>
          <w:spacing w:val="-47"/>
        </w:rPr>
      </w:r>
      <w:r>
        <w:rPr>
          <w:spacing w:val="-2"/>
        </w:rPr>
        <w:t>资单位编制合并财务报表的，以合并财务报表中的净利润、其他综合收益和其他所有者权益变动中归属于</w:t>
      </w:r>
      <w:r>
        <w:rPr>
          <w:spacing w:val="-44"/>
        </w:rPr>
        <w:t> </w:t>
      </w:r>
      <w:r>
        <w:rPr>
          <w:spacing w:val="-44"/>
        </w:rPr>
      </w:r>
      <w:r>
        <w:rPr/>
        <w:t>被投资单位的金额为基础进行核算。</w:t>
      </w:r>
    </w:p>
    <w:p>
      <w:pPr>
        <w:pStyle w:val="BodyText"/>
        <w:spacing w:line="403" w:lineRule="auto"/>
        <w:ind w:right="1126" w:firstLine="420"/>
        <w:jc w:val="both"/>
      </w:pPr>
      <w:r>
        <w:rPr>
          <w:spacing w:val="-2"/>
        </w:rPr>
        <w:t>本公司与联营企业、合营企业之间发生的未实现内部交易损益按照应享有的比例计算归属于公司的部</w:t>
      </w:r>
      <w:r>
        <w:rPr>
          <w:w w:val="100"/>
        </w:rPr>
        <w:t> </w:t>
      </w:r>
      <w:r>
        <w:rPr>
          <w:spacing w:val="-2"/>
        </w:rPr>
        <w:t>分，予以抵销，在此基础上确认投资收益。与被投资单位发生的未实现内部交易损失，属于资产减值损失</w:t>
      </w:r>
      <w:r>
        <w:rPr>
          <w:spacing w:val="-47"/>
        </w:rPr>
        <w:t> </w:t>
      </w:r>
      <w:r>
        <w:rPr>
          <w:spacing w:val="-47"/>
        </w:rPr>
      </w:r>
      <w:r>
        <w:rPr>
          <w:spacing w:val="-2"/>
        </w:rPr>
        <w:t>的，全额确认。公司与联营企业、合营企业之间发生投出或出售资产的交易，该资产构成业务的，按照本</w:t>
      </w:r>
      <w:r>
        <w:rPr>
          <w:spacing w:val="-43"/>
        </w:rPr>
        <w:t> </w:t>
      </w:r>
      <w:r>
        <w:rPr>
          <w:spacing w:val="-43"/>
        </w:rPr>
      </w:r>
      <w:r>
        <w:rPr>
          <w:spacing w:val="-4"/>
        </w:rPr>
        <w:t>附注</w:t>
      </w:r>
      <w:r>
        <w:rPr>
          <w:rFonts w:ascii="Times New Roman" w:hAnsi="Times New Roman" w:cs="Times New Roman" w:eastAsia="Times New Roman" w:hint="default"/>
          <w:spacing w:val="-4"/>
        </w:rPr>
        <w:t>“</w:t>
      </w:r>
      <w:r>
        <w:rPr>
          <w:spacing w:val="-4"/>
        </w:rPr>
        <w:t>三、（五）同一控制下和非同一控制下企业合并的会计处理方法</w:t>
      </w:r>
      <w:r>
        <w:rPr>
          <w:rFonts w:ascii="Times New Roman" w:hAnsi="Times New Roman" w:cs="Times New Roman" w:eastAsia="Times New Roman" w:hint="default"/>
          <w:spacing w:val="-4"/>
        </w:rPr>
        <w:t>”</w:t>
      </w:r>
      <w:r>
        <w:rPr>
          <w:spacing w:val="-4"/>
        </w:rPr>
        <w:t>和</w:t>
      </w:r>
      <w:r>
        <w:rPr>
          <w:rFonts w:ascii="Times New Roman" w:hAnsi="Times New Roman" w:cs="Times New Roman" w:eastAsia="Times New Roman" w:hint="default"/>
          <w:spacing w:val="-4"/>
        </w:rPr>
        <w:t>“</w:t>
      </w:r>
      <w:r>
        <w:rPr>
          <w:spacing w:val="-4"/>
        </w:rPr>
        <w:t>三、（六）合并财务报表的编制</w:t>
      </w:r>
      <w:r>
        <w:rPr>
          <w:spacing w:val="-19"/>
        </w:rPr>
        <w:t> </w:t>
      </w:r>
      <w:r>
        <w:rPr>
          <w:spacing w:val="-19"/>
        </w:rPr>
      </w:r>
      <w:r>
        <w:rPr/>
        <w:t>方法</w:t>
      </w:r>
      <w:r>
        <w:rPr>
          <w:rFonts w:ascii="Times New Roman" w:hAnsi="Times New Roman" w:cs="Times New Roman" w:eastAsia="Times New Roman" w:hint="default"/>
        </w:rPr>
        <w:t>”</w:t>
      </w:r>
      <w:r>
        <w:rPr/>
        <w:t>中披露的相关政策进行会计处理。</w:t>
      </w:r>
    </w:p>
    <w:p>
      <w:pPr>
        <w:pStyle w:val="BodyText"/>
        <w:spacing w:line="408" w:lineRule="auto" w:before="19"/>
        <w:ind w:right="1126" w:firstLine="420"/>
        <w:jc w:val="both"/>
      </w:pPr>
      <w:r>
        <w:rPr>
          <w:spacing w:val="-2"/>
        </w:rPr>
        <w:t>在公司确认应分担被投资单位发生的亏损时，按照以下顺序进行处理：首先，冲减长期股权投资的账</w:t>
      </w:r>
      <w:r>
        <w:rPr>
          <w:w w:val="100"/>
        </w:rPr>
        <w:t> </w:t>
      </w:r>
      <w:r>
        <w:rPr>
          <w:spacing w:val="-2"/>
        </w:rPr>
        <w:t>面价值。其次，长期股权投资的账面价值不足以冲减的，以其他实质上构成对被投资单位净投资的长期权</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33"/>
        <w:jc w:val="left"/>
      </w:pPr>
      <w:r>
        <w:rPr>
          <w:spacing w:val="-2"/>
        </w:rPr>
        <w:t>益账面价值为限继续确认投资损失，冲减长期应收项目等的账面价值。最后，经过上述处理，按照投资合</w:t>
      </w:r>
      <w:r>
        <w:rPr>
          <w:spacing w:val="-47"/>
        </w:rPr>
        <w:t> </w:t>
      </w:r>
      <w:r>
        <w:rPr>
          <w:spacing w:val="-47"/>
        </w:rPr>
      </w:r>
      <w:r>
        <w:rPr/>
        <w:t>同或协议约定企业仍承担额外义务的，按预计承担的义务确认预计负债，计入当期投资损失。</w:t>
      </w:r>
    </w:p>
    <w:p>
      <w:pPr>
        <w:pStyle w:val="BodyText"/>
        <w:spacing w:line="386" w:lineRule="auto"/>
        <w:ind w:left="573" w:right="2114"/>
        <w:jc w:val="left"/>
      </w:pPr>
      <w:r>
        <w:rPr/>
        <w:t>（</w:t>
      </w:r>
      <w:r>
        <w:rPr>
          <w:rFonts w:ascii="Times New Roman" w:hAnsi="Times New Roman" w:cs="Times New Roman" w:eastAsia="Times New Roman" w:hint="default"/>
        </w:rPr>
        <w:t>3</w:t>
      </w:r>
      <w:r>
        <w:rPr/>
        <w:t>）长期股权投资的处置</w:t>
      </w:r>
      <w:r>
        <w:rPr>
          <w:w w:val="100"/>
        </w:rPr>
        <w:t> </w:t>
      </w:r>
      <w:r>
        <w:rPr>
          <w:spacing w:val="-2"/>
        </w:rPr>
        <w:t>处置长期股权投资，其账面价值与实际取得价款的差额，计入当期损益。</w:t>
      </w:r>
    </w:p>
    <w:p>
      <w:pPr>
        <w:pStyle w:val="BodyText"/>
        <w:spacing w:line="408" w:lineRule="auto" w:before="65"/>
        <w:ind w:right="1126" w:firstLine="420"/>
        <w:jc w:val="both"/>
      </w:pPr>
      <w:r>
        <w:rPr>
          <w:spacing w:val="-2"/>
        </w:rPr>
        <w:t>采用权益法核算的长期股权投资，在处置该项投资时，采用与被投资单位直接处置相关资产或负债相</w:t>
      </w:r>
      <w:r>
        <w:rPr>
          <w:w w:val="100"/>
        </w:rPr>
        <w:t> </w:t>
      </w:r>
      <w:r>
        <w:rPr>
          <w:spacing w:val="-2"/>
        </w:rPr>
        <w:t>同的基础，按相应比例对原计入其他综合收益的部分进行会计处理。因被投资单位除净损益、其他综合收</w:t>
      </w:r>
      <w:r>
        <w:rPr>
          <w:spacing w:val="-44"/>
        </w:rPr>
        <w:t> </w:t>
      </w:r>
      <w:r>
        <w:rPr>
          <w:spacing w:val="-44"/>
        </w:rPr>
      </w:r>
      <w:r>
        <w:rPr>
          <w:spacing w:val="-2"/>
        </w:rPr>
        <w:t>益和利润分配以外的其他所有者权益变动而确认的所有者权益，按比例结转入当期损益，由于被投资方重</w:t>
      </w:r>
      <w:r>
        <w:rPr>
          <w:spacing w:val="-44"/>
        </w:rPr>
        <w:t> </w:t>
      </w:r>
      <w:r>
        <w:rPr>
          <w:spacing w:val="-44"/>
        </w:rPr>
      </w:r>
      <w:r>
        <w:rPr/>
        <w:t>新计量设定受益计划净负债或净资产变动而产生的其他综合收益除外。</w:t>
      </w:r>
    </w:p>
    <w:p>
      <w:pPr>
        <w:pStyle w:val="BodyText"/>
        <w:spacing w:line="408" w:lineRule="auto"/>
        <w:ind w:right="1126" w:firstLine="420"/>
        <w:jc w:val="both"/>
      </w:pPr>
      <w:r>
        <w:rPr>
          <w:spacing w:val="-2"/>
        </w:rPr>
        <w:t>因处置部分股权投资等原因丧失了对被投资单位的共同控制或重大影响的，处置后的剩余股权改按金</w:t>
      </w:r>
      <w:r>
        <w:rPr>
          <w:w w:val="100"/>
        </w:rPr>
        <w:t> </w:t>
      </w:r>
      <w:r>
        <w:rPr>
          <w:spacing w:val="-2"/>
        </w:rPr>
        <w:t>融工具确认和计量准则核算，其在丧失共同控制或重大影响之日的公允价值与账面价值之间的差额计入当</w:t>
      </w:r>
      <w:r>
        <w:rPr>
          <w:spacing w:val="-43"/>
        </w:rPr>
        <w:t> </w:t>
      </w:r>
      <w:r>
        <w:rPr>
          <w:spacing w:val="-43"/>
        </w:rPr>
      </w:r>
      <w:r>
        <w:rPr>
          <w:spacing w:val="-2"/>
        </w:rPr>
        <w:t>期损益。原股权投资因采用权益法核算而确认的其他综合收益，在终止采用权益法核算时采用与被投资单</w:t>
      </w:r>
      <w:r>
        <w:rPr>
          <w:spacing w:val="-44"/>
        </w:rPr>
        <w:t> </w:t>
      </w:r>
      <w:r>
        <w:rPr>
          <w:spacing w:val="-44"/>
        </w:rPr>
      </w:r>
      <w:r>
        <w:rPr>
          <w:spacing w:val="-2"/>
        </w:rPr>
        <w:t>位直接处置相关资产或负债相同的基础进行会计处理。因被投资方除净损益、其他综合收益和利润分配以</w:t>
      </w:r>
      <w:r>
        <w:rPr>
          <w:spacing w:val="-44"/>
        </w:rPr>
        <w:t> </w:t>
      </w:r>
      <w:r>
        <w:rPr>
          <w:spacing w:val="-44"/>
        </w:rPr>
      </w:r>
      <w:r>
        <w:rPr/>
        <w:t>外的其他所有者权益变动而确认的所有者权益，在终止采用权益法核算时全部转入当期损益。</w:t>
      </w:r>
    </w:p>
    <w:p>
      <w:pPr>
        <w:pStyle w:val="BodyText"/>
        <w:spacing w:line="408" w:lineRule="auto"/>
        <w:ind w:right="1126" w:firstLine="420"/>
        <w:jc w:val="both"/>
      </w:pPr>
      <w:r>
        <w:rPr>
          <w:spacing w:val="-2"/>
        </w:rPr>
        <w:t>因处置部分股权投资等原因丧失了对被投资单位控制权的，在编制个别财务报表时，处置后的剩余股</w:t>
      </w:r>
      <w:r>
        <w:rPr>
          <w:w w:val="100"/>
        </w:rPr>
        <w:t> </w:t>
      </w:r>
      <w:r>
        <w:rPr>
          <w:spacing w:val="-2"/>
        </w:rPr>
        <w:t>权能够对被投资单位实施共同控制或重大影响的，改按权益法核算，并对该剩余股权视同自取得时即采用</w:t>
      </w:r>
      <w:r>
        <w:rPr>
          <w:spacing w:val="-43"/>
        </w:rPr>
        <w:t> </w:t>
      </w:r>
      <w:r>
        <w:rPr>
          <w:spacing w:val="-43"/>
        </w:rPr>
      </w:r>
      <w:r>
        <w:rPr>
          <w:spacing w:val="-2"/>
        </w:rPr>
        <w:t>权益法核算进行调整；处置后的剩余股权不能对被投资单位实施共同控制或施加重大影响的，改按金融工</w:t>
      </w:r>
      <w:r>
        <w:rPr>
          <w:spacing w:val="-44"/>
        </w:rPr>
        <w:t> </w:t>
      </w:r>
      <w:r>
        <w:rPr>
          <w:spacing w:val="-44"/>
        </w:rPr>
      </w:r>
      <w:r>
        <w:rPr>
          <w:spacing w:val="-2"/>
        </w:rPr>
        <w:t>具确认和计量准则的有关规定进行会计处理，其在丧失控制之日的公允价值与账面价值间的差额计入当期</w:t>
      </w:r>
      <w:r>
        <w:rPr>
          <w:spacing w:val="-43"/>
        </w:rPr>
        <w:t> </w:t>
      </w:r>
      <w:r>
        <w:rPr>
          <w:spacing w:val="-43"/>
        </w:rPr>
      </w:r>
      <w:r>
        <w:rPr/>
        <w:t>损益。</w:t>
      </w:r>
    </w:p>
    <w:p>
      <w:pPr>
        <w:pStyle w:val="BodyText"/>
        <w:spacing w:line="408" w:lineRule="auto"/>
        <w:ind w:right="1126" w:firstLine="420"/>
        <w:jc w:val="both"/>
      </w:pPr>
      <w:r>
        <w:rPr>
          <w:spacing w:val="-2"/>
        </w:rPr>
        <w:t>处置的股权是因追加投资等原因通过企业合并取得的，在编制个别财务报表时，处置后的剩余股权采</w:t>
      </w:r>
      <w:r>
        <w:rPr>
          <w:w w:val="100"/>
        </w:rPr>
        <w:t> </w:t>
      </w:r>
      <w:r>
        <w:rPr>
          <w:spacing w:val="-2"/>
        </w:rPr>
        <w:t>用成本法或权益法核算的，购买日之前持有的股权投资因采用权益法核算而确认的其他综合收益和其他所</w:t>
      </w:r>
      <w:r>
        <w:rPr>
          <w:spacing w:val="-43"/>
        </w:rPr>
        <w:t> </w:t>
      </w:r>
      <w:r>
        <w:rPr>
          <w:spacing w:val="-43"/>
        </w:rPr>
      </w:r>
      <w:r>
        <w:rPr>
          <w:spacing w:val="-2"/>
        </w:rPr>
        <w:t>有者权益按比例结转；处置后的剩余股权改按金融工具确认和计量准则进行会计处理的，其他综合收益和</w:t>
      </w:r>
      <w:r>
        <w:rPr>
          <w:spacing w:val="-44"/>
        </w:rPr>
        <w:t> </w:t>
      </w:r>
      <w:r>
        <w:rPr>
          <w:spacing w:val="-44"/>
        </w:rPr>
      </w:r>
      <w:r>
        <w:rPr/>
        <w:t>其他所有者权益全部结转。</w:t>
      </w:r>
    </w:p>
    <w:p>
      <w:pPr>
        <w:spacing w:line="240" w:lineRule="auto" w:before="8"/>
        <w:rPr>
          <w:rFonts w:ascii="宋体" w:hAnsi="宋体" w:cs="宋体" w:eastAsia="宋体" w:hint="default"/>
          <w:sz w:val="20"/>
          <w:szCs w:val="20"/>
        </w:rPr>
      </w:pPr>
    </w:p>
    <w:p>
      <w:pPr>
        <w:pStyle w:val="Heading5"/>
        <w:spacing w:line="240" w:lineRule="auto"/>
        <w:ind w:right="1133"/>
        <w:jc w:val="left"/>
        <w:rPr>
          <w:b w:val="0"/>
          <w:bCs w:val="0"/>
        </w:rPr>
      </w:pPr>
      <w:bookmarkStart w:name="23、投资性房地产" w:id="196"/>
      <w:bookmarkEnd w:id="196"/>
      <w:r>
        <w:rPr>
          <w:b w:val="0"/>
          <w:bCs w:val="0"/>
        </w:rPr>
      </w:r>
      <w:r>
        <w:rPr>
          <w:rFonts w:ascii="Times New Roman" w:hAnsi="Times New Roman" w:cs="Times New Roman" w:eastAsia="Times New Roman" w:hint="default"/>
        </w:rPr>
        <w:t>23</w:t>
      </w:r>
      <w:r>
        <w:rPr/>
        <w:t>、投资性房地产</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895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408" w:lineRule="auto" w:before="81"/>
        <w:ind w:right="1104" w:firstLine="420"/>
        <w:jc w:val="both"/>
      </w:pPr>
      <w:r>
        <w:rPr>
          <w:spacing w:val="-2"/>
        </w:rPr>
        <w:t>投资性房地产是指为赚取租金或资本增值，或两者兼有而持有的房地产，包括已出租的土地使用权、</w:t>
      </w:r>
      <w:r>
        <w:rPr>
          <w:w w:val="100"/>
        </w:rPr>
        <w:t> </w:t>
      </w:r>
      <w:r>
        <w:rPr>
          <w:spacing w:val="-2"/>
        </w:rPr>
        <w:t>持有并准备增值后转让的土地使用权、已出租的建筑物（含自行建造或开发活动完成后用于出租的建筑物</w:t>
      </w:r>
      <w:r>
        <w:rPr>
          <w:spacing w:val="-44"/>
        </w:rPr>
        <w:t> </w:t>
      </w:r>
      <w:r>
        <w:rPr>
          <w:spacing w:val="-44"/>
        </w:rPr>
      </w:r>
      <w:r>
        <w:rPr/>
        <w:t>以及正在建造或开发过程中将来用于出租的建筑物）。</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firstLine="420"/>
        <w:jc w:val="both"/>
      </w:pPr>
      <w:r>
        <w:rPr>
          <w:spacing w:val="-2"/>
        </w:rPr>
        <w:t>本公司投资性房地产按照成本进行初始计量。外购投资性房地产的成本，包括购买价款、相关税费和</w:t>
      </w:r>
      <w:r>
        <w:rPr>
          <w:w w:val="100"/>
        </w:rPr>
        <w:t> </w:t>
      </w:r>
      <w:r>
        <w:rPr>
          <w:spacing w:val="-2"/>
        </w:rPr>
        <w:t>可直接归属于该资产的其他支出。自行建造投资性房地产的成本，由建造该项资产达到预定可使用状态前</w:t>
      </w:r>
      <w:r>
        <w:rPr>
          <w:spacing w:val="-43"/>
        </w:rPr>
        <w:t> </w:t>
      </w:r>
      <w:r>
        <w:rPr>
          <w:spacing w:val="-43"/>
        </w:rPr>
      </w:r>
      <w:r>
        <w:rPr/>
        <w:t>所发生的必要支出构成。</w:t>
      </w:r>
    </w:p>
    <w:p>
      <w:pPr>
        <w:pStyle w:val="BodyText"/>
        <w:spacing w:line="408" w:lineRule="auto"/>
        <w:ind w:right="1126" w:firstLine="420"/>
        <w:jc w:val="both"/>
      </w:pPr>
      <w:r>
        <w:rPr>
          <w:spacing w:val="2"/>
        </w:rPr>
        <w:t>本公司在资产负债表日采用成本模式对投资性房地产进行后续计量，按照固定资产和无形资产的规</w:t>
      </w:r>
      <w:r>
        <w:rPr>
          <w:w w:val="100"/>
        </w:rPr>
        <w:t> </w:t>
      </w:r>
      <w:r>
        <w:rPr>
          <w:spacing w:val="-2"/>
        </w:rPr>
        <w:t>定，对投资性房地产进行计量、计提折旧或摊销。存在减值迹象的，估计其可收回金额。投资性房地产的</w:t>
      </w:r>
      <w:r>
        <w:rPr>
          <w:spacing w:val="-43"/>
        </w:rPr>
        <w:t> </w:t>
      </w:r>
      <w:r>
        <w:rPr>
          <w:spacing w:val="-43"/>
        </w:rPr>
      </w:r>
      <w:r>
        <w:rPr>
          <w:spacing w:val="-2"/>
        </w:rPr>
        <w:t>可收回金额低于其账面价值的，将投资性房地产的账面价值减记至可收回金额，减记的金额确认为资产减</w:t>
      </w:r>
      <w:r>
        <w:rPr>
          <w:spacing w:val="-42"/>
        </w:rPr>
        <w:t> </w:t>
      </w:r>
      <w:r>
        <w:rPr>
          <w:spacing w:val="-42"/>
        </w:rPr>
      </w:r>
      <w:r>
        <w:rPr>
          <w:spacing w:val="-2"/>
        </w:rPr>
        <w:t>值损失，计入当期损益，同时计提相应的投资性房地产减值准备。投资性房地产减值损失确认后，减值投</w:t>
      </w:r>
      <w:r>
        <w:rPr>
          <w:spacing w:val="-47"/>
        </w:rPr>
        <w:t> </w:t>
      </w:r>
      <w:r>
        <w:rPr>
          <w:spacing w:val="-47"/>
        </w:rPr>
      </w:r>
      <w:r>
        <w:rPr>
          <w:spacing w:val="-2"/>
        </w:rPr>
        <w:t>资性房地产的折旧或者摊销费用在未来期间作相应调整，以使该投资性房地产在剩余使用寿命内，系统地</w:t>
      </w:r>
      <w:r>
        <w:rPr>
          <w:spacing w:val="-43"/>
        </w:rPr>
        <w:t> </w:t>
      </w:r>
      <w:r>
        <w:rPr>
          <w:spacing w:val="-43"/>
        </w:rPr>
      </w:r>
      <w:r>
        <w:rPr/>
        <w:t>分摊调整后的投资性房地产账面价值（扣除预计净残值）。</w:t>
      </w:r>
    </w:p>
    <w:p>
      <w:pPr>
        <w:spacing w:line="240" w:lineRule="auto" w:before="8"/>
        <w:rPr>
          <w:rFonts w:ascii="宋体" w:hAnsi="宋体" w:cs="宋体" w:eastAsia="宋体" w:hint="default"/>
          <w:sz w:val="20"/>
          <w:szCs w:val="20"/>
        </w:rPr>
      </w:pPr>
    </w:p>
    <w:p>
      <w:pPr>
        <w:pStyle w:val="Heading5"/>
        <w:spacing w:line="240" w:lineRule="auto"/>
        <w:ind w:right="0"/>
        <w:jc w:val="both"/>
        <w:rPr>
          <w:b w:val="0"/>
          <w:bCs w:val="0"/>
        </w:rPr>
      </w:pPr>
      <w:bookmarkStart w:name="24、固定资产" w:id="197"/>
      <w:bookmarkEnd w:id="197"/>
      <w:r>
        <w:rPr>
          <w:b w:val="0"/>
          <w:bCs w:val="0"/>
        </w:rPr>
      </w:r>
      <w:r>
        <w:rPr>
          <w:rFonts w:ascii="Times New Roman" w:hAnsi="Times New Roman" w:cs="Times New Roman" w:eastAsia="Times New Roman" w:hint="default"/>
        </w:rPr>
        <w:t>24</w:t>
      </w:r>
      <w:r>
        <w:rPr/>
        <w:t>、固定资产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bookmarkStart w:name="（1）确认条件" w:id="198"/>
      <w:bookmarkEnd w:id="198"/>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32"/>
          <w:szCs w:val="32"/>
        </w:rPr>
      </w:pPr>
    </w:p>
    <w:p>
      <w:pPr>
        <w:spacing w:line="463" w:lineRule="auto" w:before="0"/>
        <w:ind w:left="152" w:right="113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、固定资产确认条件固定资产指为生产商品、提供劳务、出租或经营管理而持有，并且使用寿命超过一个会计年度的有形 </w:t>
      </w:r>
      <w:r>
        <w:rPr>
          <w:rFonts w:ascii="宋体" w:hAnsi="宋体" w:cs="宋体" w:eastAsia="宋体" w:hint="default"/>
          <w:spacing w:val="-5"/>
          <w:sz w:val="18"/>
          <w:szCs w:val="18"/>
        </w:rPr>
        <w:t>资产。固定资产在同时满足下列条件时予以确认：（</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）与该固定资产有关的经济利益很可能流入本公司；（</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）该固定资产的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成本能够可靠地计量。</w:t>
      </w:r>
      <w:r>
        <w:rPr>
          <w:rFonts w:ascii="Times New Roman" w:hAnsi="Times New Roman" w:cs="Times New Roman" w:eastAsia="Times New Roman" w:hint="default"/>
          <w:sz w:val="18"/>
          <w:szCs w:val="18"/>
        </w:rPr>
        <w:t>2</w:t>
      </w:r>
      <w:r>
        <w:rPr>
          <w:rFonts w:ascii="宋体" w:hAnsi="宋体" w:cs="宋体" w:eastAsia="宋体" w:hint="default"/>
          <w:sz w:val="18"/>
          <w:szCs w:val="18"/>
        </w:rPr>
        <w:t>、各类固定资产的折旧方法固定资产折旧采用年限平均法分类计提，根据固定资产类别、预计使用 </w:t>
      </w:r>
      <w:r>
        <w:rPr>
          <w:rFonts w:ascii="宋体" w:hAnsi="宋体" w:cs="宋体" w:eastAsia="宋体" w:hint="default"/>
          <w:spacing w:val="-2"/>
          <w:sz w:val="18"/>
          <w:szCs w:val="18"/>
        </w:rPr>
        <w:t>年限和预计净残值率确定固定资产折旧率，如固定资产各组成部分的使用寿命不同或者以不同方式为企业提供经济利益，则</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选择不同折旧率或折旧方法，分别计提折旧。融资租赁方式租入的固定资产，能合理确定租赁期届满时将会取得租赁资产所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有权的，在租赁资产尚可使用年限内计提折旧；无法合理确定租赁期届满时能够取得租赁资产所有权的，在租赁期与租赁资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产尚可使用年限两者中较短的期间内计提折旧。</w:t>
      </w:r>
    </w:p>
    <w:p>
      <w:pPr>
        <w:spacing w:line="240" w:lineRule="auto" w:before="3"/>
        <w:rPr>
          <w:rFonts w:ascii="宋体" w:hAnsi="宋体" w:cs="宋体" w:eastAsia="宋体" w:hint="default"/>
          <w:sz w:val="20"/>
          <w:szCs w:val="20"/>
        </w:rPr>
      </w:pPr>
    </w:p>
    <w:p>
      <w:pPr>
        <w:pStyle w:val="Heading5"/>
        <w:spacing w:line="240" w:lineRule="auto"/>
        <w:ind w:right="0"/>
        <w:jc w:val="both"/>
        <w:rPr>
          <w:b w:val="0"/>
          <w:bCs w:val="0"/>
        </w:rPr>
      </w:pPr>
      <w:bookmarkStart w:name="（2）折旧方法" w:id="199"/>
      <w:bookmarkEnd w:id="199"/>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3.80%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9.50%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bookmarkStart w:name="（3）融资租入固定资产的认定依据、计价和折旧方法" w:id="200"/>
      <w:bookmarkEnd w:id="200"/>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5"/>
        <w:rPr>
          <w:rFonts w:ascii="宋体" w:hAnsi="宋体" w:cs="宋体" w:eastAsia="宋体" w:hint="default"/>
          <w:b/>
          <w:bCs/>
          <w:sz w:val="32"/>
          <w:szCs w:val="32"/>
        </w:rPr>
      </w:pPr>
    </w:p>
    <w:p>
      <w:pPr>
        <w:spacing w:line="451" w:lineRule="auto"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本公司与租赁方所签订的租赁协议条款中规定了下列条件之一的</w:t>
      </w:r>
      <w:r>
        <w:rPr>
          <w:rFonts w:ascii="宋体" w:hAnsi="宋体" w:cs="宋体" w:eastAsia="宋体" w:hint="default"/>
          <w:spacing w:val="-27"/>
          <w:sz w:val="18"/>
          <w:szCs w:val="18"/>
        </w:rPr>
        <w:t>，</w:t>
      </w:r>
      <w:r>
        <w:rPr>
          <w:rFonts w:ascii="宋体" w:hAnsi="宋体" w:cs="宋体" w:eastAsia="宋体" w:hint="default"/>
          <w:sz w:val="18"/>
          <w:szCs w:val="18"/>
        </w:rPr>
        <w:t>确认为融资租入资产</w:t>
      </w:r>
      <w:r>
        <w:rPr>
          <w:rFonts w:ascii="宋体" w:hAnsi="宋体" w:cs="宋体" w:eastAsia="宋体" w:hint="default"/>
          <w:spacing w:val="-118"/>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27"/>
          <w:sz w:val="18"/>
          <w:szCs w:val="18"/>
        </w:rPr>
        <w:t>）</w:t>
      </w:r>
      <w:r>
        <w:rPr>
          <w:rFonts w:ascii="宋体" w:hAnsi="宋体" w:cs="宋体" w:eastAsia="宋体" w:hint="default"/>
          <w:sz w:val="18"/>
          <w:szCs w:val="18"/>
        </w:rPr>
        <w:t>租赁期满后租赁资产的所</w:t>
      </w:r>
      <w:r>
        <w:rPr>
          <w:rFonts w:ascii="宋体" w:hAnsi="宋体" w:cs="宋体" w:eastAsia="宋体" w:hint="default"/>
          <w:spacing w:val="-3"/>
          <w:sz w:val="18"/>
          <w:szCs w:val="18"/>
        </w:rPr>
        <w:t>有</w:t>
      </w:r>
      <w:r>
        <w:rPr>
          <w:rFonts w:ascii="宋体" w:hAnsi="宋体" w:cs="宋体" w:eastAsia="宋体" w:hint="default"/>
          <w:sz w:val="18"/>
          <w:szCs w:val="18"/>
        </w:rPr>
        <w:t>权</w:t>
      </w:r>
      <w:r>
        <w:rPr>
          <w:rFonts w:ascii="宋体" w:hAnsi="宋体" w:cs="宋体" w:eastAsia="宋体" w:hint="default"/>
          <w:sz w:val="18"/>
          <w:szCs w:val="18"/>
        </w:rPr>
        <w:t> 归属于本公司</w:t>
      </w:r>
      <w:r>
        <w:rPr>
          <w:rFonts w:ascii="宋体" w:hAnsi="宋体" w:cs="宋体" w:eastAsia="宋体" w:hint="default"/>
          <w:spacing w:val="-108"/>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7"/>
          <w:sz w:val="18"/>
          <w:szCs w:val="18"/>
        </w:rPr>
        <w:t>）</w:t>
      </w:r>
      <w:r>
        <w:rPr>
          <w:rFonts w:ascii="宋体" w:hAnsi="宋体" w:cs="宋体" w:eastAsia="宋体" w:hint="default"/>
          <w:sz w:val="18"/>
          <w:szCs w:val="18"/>
        </w:rPr>
        <w:t>公司具有购买资产的选择权</w:t>
      </w:r>
      <w:r>
        <w:rPr>
          <w:rFonts w:ascii="宋体" w:hAnsi="宋体" w:cs="宋体" w:eastAsia="宋体" w:hint="default"/>
          <w:spacing w:val="-17"/>
          <w:sz w:val="18"/>
          <w:szCs w:val="18"/>
        </w:rPr>
        <w:t>，</w:t>
      </w:r>
      <w:r>
        <w:rPr>
          <w:rFonts w:ascii="宋体" w:hAnsi="宋体" w:cs="宋体" w:eastAsia="宋体" w:hint="default"/>
          <w:sz w:val="18"/>
          <w:szCs w:val="18"/>
        </w:rPr>
        <w:t>购买价款远低于行使选择权时该资产的公允价值</w:t>
      </w:r>
      <w:r>
        <w:rPr>
          <w:rFonts w:ascii="宋体" w:hAnsi="宋体" w:cs="宋体" w:eastAsia="宋体" w:hint="default"/>
          <w:spacing w:val="-108"/>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17"/>
          <w:sz w:val="18"/>
          <w:szCs w:val="18"/>
        </w:rPr>
        <w:t>）</w:t>
      </w:r>
      <w:r>
        <w:rPr>
          <w:rFonts w:ascii="宋体" w:hAnsi="宋体" w:cs="宋体" w:eastAsia="宋体" w:hint="default"/>
          <w:sz w:val="18"/>
          <w:szCs w:val="18"/>
        </w:rPr>
        <w:t>租赁期占所租赁资</w:t>
      </w:r>
    </w:p>
    <w:p>
      <w:pPr>
        <w:spacing w:after="0" w:line="451"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line="463" w:lineRule="auto" w:before="0"/>
        <w:ind w:left="152" w:right="1044" w:firstLine="0"/>
        <w:jc w:val="left"/>
        <w:rPr>
          <w:rFonts w:ascii="宋体" w:hAnsi="宋体" w:cs="宋体" w:eastAsia="宋体" w:hint="default"/>
          <w:sz w:val="18"/>
          <w:szCs w:val="18"/>
        </w:rPr>
      </w:pPr>
      <w:r>
        <w:rPr>
          <w:rFonts w:ascii="宋体" w:hAnsi="宋体" w:cs="宋体" w:eastAsia="宋体" w:hint="default"/>
          <w:spacing w:val="-5"/>
          <w:sz w:val="18"/>
          <w:szCs w:val="18"/>
        </w:rPr>
        <w:t>产使用寿命的大部分；（</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）租赁开始日的最低租赁付款额现值，与该资产的公允价值不存在较大的差异。公司在承租开始日，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将租赁资产公允价值与最低租赁付款额现值两者中较低者作为租入资产的入账价值，将最低租赁付款额作为长期应付款的入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账价值，其差额作为未确认的融资费。</w:t>
      </w:r>
    </w:p>
    <w:p>
      <w:pPr>
        <w:spacing w:line="240" w:lineRule="auto" w:before="3"/>
        <w:rPr>
          <w:rFonts w:ascii="宋体" w:hAnsi="宋体" w:cs="宋体" w:eastAsia="宋体" w:hint="default"/>
          <w:sz w:val="20"/>
          <w:szCs w:val="20"/>
        </w:rPr>
      </w:pPr>
    </w:p>
    <w:p>
      <w:pPr>
        <w:pStyle w:val="Heading5"/>
        <w:spacing w:line="240" w:lineRule="auto"/>
        <w:ind w:right="1133"/>
        <w:jc w:val="left"/>
        <w:rPr>
          <w:b w:val="0"/>
          <w:bCs w:val="0"/>
        </w:rPr>
      </w:pPr>
      <w:bookmarkStart w:name="25、在建工程" w:id="201"/>
      <w:bookmarkEnd w:id="201"/>
      <w:r>
        <w:rPr>
          <w:b w:val="0"/>
          <w:bCs w:val="0"/>
        </w:rPr>
      </w:r>
      <w:r>
        <w:rPr>
          <w:rFonts w:ascii="Times New Roman" w:hAnsi="Times New Roman" w:cs="Times New Roman" w:eastAsia="Times New Roman" w:hint="default"/>
        </w:rPr>
        <w:t>25</w:t>
      </w:r>
      <w:r>
        <w:rPr/>
        <w:t>、在建工程</w:t>
      </w:r>
      <w:r>
        <w:rPr>
          <w:b w:val="0"/>
          <w:bCs w:val="0"/>
        </w:rPr>
      </w:r>
    </w:p>
    <w:p>
      <w:pPr>
        <w:spacing w:line="240" w:lineRule="auto" w:before="8"/>
        <w:rPr>
          <w:rFonts w:ascii="宋体" w:hAnsi="宋体" w:cs="宋体" w:eastAsia="宋体" w:hint="default"/>
          <w:b/>
          <w:bCs/>
          <w:sz w:val="30"/>
          <w:szCs w:val="30"/>
        </w:rPr>
      </w:pPr>
    </w:p>
    <w:p>
      <w:pPr>
        <w:pStyle w:val="BodyText"/>
        <w:spacing w:line="398" w:lineRule="auto" w:before="0"/>
        <w:ind w:left="573" w:right="5114"/>
        <w:jc w:val="left"/>
      </w:pPr>
      <w:r>
        <w:rPr>
          <w:rFonts w:ascii="Times New Roman" w:hAnsi="Times New Roman" w:cs="Times New Roman" w:eastAsia="Times New Roman" w:hint="default"/>
        </w:rPr>
        <w:t>1</w:t>
      </w:r>
      <w:r>
        <w:rPr/>
        <w:t>、在建工程的类别</w:t>
      </w:r>
      <w:r>
        <w:rPr>
          <w:w w:val="100"/>
        </w:rPr>
        <w:t> </w:t>
      </w:r>
      <w:r>
        <w:rPr/>
        <w:t>本公司在建工程以立项项目分类核算。</w:t>
      </w:r>
      <w:r>
        <w:rPr>
          <w:w w:val="100"/>
        </w:rPr>
        <w:t> </w:t>
      </w:r>
      <w:r>
        <w:rPr>
          <w:rFonts w:ascii="Times New Roman" w:hAnsi="Times New Roman" w:cs="Times New Roman" w:eastAsia="Times New Roman" w:hint="default"/>
          <w:spacing w:val="-2"/>
        </w:rPr>
        <w:t>2</w:t>
      </w:r>
      <w:r>
        <w:rPr>
          <w:spacing w:val="-2"/>
        </w:rPr>
        <w:t>、在建工程结转为固定资产的标准和时点</w:t>
      </w:r>
    </w:p>
    <w:p>
      <w:pPr>
        <w:pStyle w:val="BodyText"/>
        <w:spacing w:line="408" w:lineRule="auto" w:before="24"/>
        <w:ind w:right="0" w:firstLine="420"/>
        <w:jc w:val="left"/>
      </w:pPr>
      <w:r>
        <w:rPr/>
        <w:t>在建工程项目按建造该项资产达到预定可使用状态前所发生的必要支出，作为固定资产的入账价值。</w:t>
      </w:r>
      <w:r>
        <w:rPr>
          <w:w w:val="100"/>
        </w:rPr>
        <w:t> </w:t>
      </w:r>
      <w:r>
        <w:rPr>
          <w:spacing w:val="-5"/>
        </w:rPr>
        <w:t>所建造的固定资产在工程已达到预定可使用状态，但尚未办理竣工决算的，自达到预定可使用状态之日起，</w:t>
      </w:r>
      <w:r>
        <w:rPr>
          <w:spacing w:val="-3"/>
        </w:rPr>
        <w:t> </w:t>
      </w:r>
      <w:r>
        <w:rPr>
          <w:spacing w:val="-3"/>
        </w:rPr>
      </w:r>
      <w:r>
        <w:rPr>
          <w:spacing w:val="-2"/>
        </w:rPr>
        <w:t>根据工程预算、造价或者工程实际成本等，按估计的价值转入固定资产，并按本公司固定资产折旧政策计</w:t>
      </w:r>
      <w:r>
        <w:rPr>
          <w:spacing w:val="-45"/>
        </w:rPr>
        <w:t> </w:t>
      </w:r>
      <w:r>
        <w:rPr>
          <w:spacing w:val="-45"/>
        </w:rPr>
      </w:r>
      <w:r>
        <w:rPr>
          <w:spacing w:val="-5"/>
        </w:rPr>
        <w:t>提固定资产的折旧，待办理竣工决算后，再按实际成本调整原来的暂估价值，但不调整原已计提的折旧额。</w:t>
      </w:r>
    </w:p>
    <w:p>
      <w:pPr>
        <w:spacing w:line="240" w:lineRule="auto" w:before="8"/>
        <w:rPr>
          <w:rFonts w:ascii="宋体" w:hAnsi="宋体" w:cs="宋体" w:eastAsia="宋体" w:hint="default"/>
          <w:sz w:val="20"/>
          <w:szCs w:val="20"/>
        </w:rPr>
      </w:pPr>
    </w:p>
    <w:p>
      <w:pPr>
        <w:pStyle w:val="Heading5"/>
        <w:spacing w:line="240" w:lineRule="auto"/>
        <w:ind w:right="1133"/>
        <w:jc w:val="left"/>
        <w:rPr>
          <w:b w:val="0"/>
          <w:bCs w:val="0"/>
        </w:rPr>
      </w:pPr>
      <w:bookmarkStart w:name="26、借款费用" w:id="202"/>
      <w:bookmarkEnd w:id="202"/>
      <w:r>
        <w:rPr>
          <w:b w:val="0"/>
          <w:bCs w:val="0"/>
        </w:rPr>
      </w:r>
      <w:r>
        <w:rPr>
          <w:rFonts w:ascii="Times New Roman" w:hAnsi="Times New Roman" w:cs="Times New Roman" w:eastAsia="Times New Roman" w:hint="default"/>
        </w:rPr>
        <w:t>26</w:t>
      </w:r>
      <w:r>
        <w:rPr/>
        <w:t>、借款费用</w:t>
      </w:r>
      <w:r>
        <w:rPr>
          <w:b w:val="0"/>
          <w:bCs w:val="0"/>
        </w:rPr>
      </w:r>
    </w:p>
    <w:p>
      <w:pPr>
        <w:spacing w:line="240" w:lineRule="auto" w:before="6"/>
        <w:rPr>
          <w:rFonts w:ascii="宋体" w:hAnsi="宋体" w:cs="宋体" w:eastAsia="宋体" w:hint="default"/>
          <w:b/>
          <w:bCs/>
          <w:sz w:val="30"/>
          <w:szCs w:val="30"/>
        </w:rPr>
      </w:pPr>
    </w:p>
    <w:p>
      <w:pPr>
        <w:pStyle w:val="BodyText"/>
        <w:spacing w:line="398" w:lineRule="auto" w:before="0"/>
        <w:ind w:left="573" w:right="1133"/>
        <w:jc w:val="left"/>
      </w:pPr>
      <w:r>
        <w:rPr>
          <w:rFonts w:ascii="Times New Roman" w:hAnsi="Times New Roman" w:cs="Times New Roman" w:eastAsia="Times New Roman" w:hint="default"/>
        </w:rPr>
        <w:t>1</w:t>
      </w:r>
      <w:r>
        <w:rPr/>
        <w:t>、借款费用资本化的确认原则</w:t>
      </w:r>
      <w:r>
        <w:rPr>
          <w:w w:val="100"/>
        </w:rPr>
        <w:t> </w:t>
      </w:r>
      <w:r>
        <w:rPr/>
        <w:t>借款费用，包括借款利息、折价或者溢价的摊销、辅助费用以及因外币借款而发生的汇兑差额等。</w:t>
      </w:r>
      <w:r>
        <w:rPr>
          <w:w w:val="100"/>
        </w:rPr>
        <w:t> </w:t>
      </w:r>
      <w:r>
        <w:rPr>
          <w:spacing w:val="-2"/>
        </w:rPr>
        <w:t>本公司发生的借款费用，可直接归属于符合资本化条件的资产的购建或者生产的，予以资本化，计入</w:t>
      </w:r>
    </w:p>
    <w:p>
      <w:pPr>
        <w:pStyle w:val="BodyText"/>
        <w:spacing w:line="408" w:lineRule="auto" w:before="54"/>
        <w:ind w:left="573" w:right="1133" w:hanging="421"/>
        <w:jc w:val="left"/>
      </w:pPr>
      <w:r>
        <w:rPr/>
        <w:t>相关资产成本；其他借款费用，在发生时根据其发生额确认为费用，计入当期损益。</w:t>
      </w:r>
      <w:r>
        <w:rPr>
          <w:w w:val="100"/>
        </w:rPr>
        <w:t> </w:t>
      </w:r>
      <w:r>
        <w:rPr>
          <w:spacing w:val="-2"/>
        </w:rPr>
        <w:t>符合资本化条件的资产，是指需要经过相当长时间的购建或者生产活动才能达到预定可使用或者可销</w:t>
      </w:r>
    </w:p>
    <w:p>
      <w:pPr>
        <w:pStyle w:val="BodyText"/>
        <w:spacing w:line="408" w:lineRule="auto"/>
        <w:ind w:left="573" w:right="2654" w:hanging="421"/>
        <w:jc w:val="left"/>
      </w:pPr>
      <w:r>
        <w:rPr>
          <w:spacing w:val="-2"/>
        </w:rPr>
        <w:t>售状态的固定资产、投资性房地产和存货等资产。</w:t>
      </w:r>
      <w:r>
        <w:rPr>
          <w:spacing w:val="-62"/>
        </w:rPr>
        <w:t> </w:t>
      </w:r>
      <w:r>
        <w:rPr>
          <w:spacing w:val="-62"/>
        </w:rPr>
      </w:r>
      <w:r>
        <w:rPr/>
        <w:t>借款费用同时满足下列条件时开始资本化：</w:t>
      </w:r>
    </w:p>
    <w:p>
      <w:pPr>
        <w:pStyle w:val="BodyText"/>
        <w:spacing w:line="386" w:lineRule="auto"/>
        <w:ind w:right="1133" w:firstLine="42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w:t>
      </w:r>
      <w:r>
        <w:rPr>
          <w:w w:val="100"/>
        </w:rPr>
        <w:t> </w:t>
      </w:r>
      <w:r>
        <w:rPr/>
        <w:t>非现金资产或者承担带息债务形式发生的支出；</w:t>
      </w:r>
    </w:p>
    <w:p>
      <w:pPr>
        <w:pStyle w:val="BodyText"/>
        <w:spacing w:line="240" w:lineRule="auto" w:before="65"/>
        <w:ind w:left="573" w:right="1133"/>
        <w:jc w:val="left"/>
      </w:pPr>
      <w:r>
        <w:rPr/>
        <w:t>（</w:t>
      </w:r>
      <w:r>
        <w:rPr>
          <w:rFonts w:ascii="Times New Roman" w:hAnsi="Times New Roman" w:cs="Times New Roman" w:eastAsia="Times New Roman" w:hint="default"/>
        </w:rPr>
        <w:t>2</w:t>
      </w:r>
      <w:r>
        <w:rPr/>
        <w:t>）借款费用已经发生；</w:t>
      </w:r>
    </w:p>
    <w:p>
      <w:pPr>
        <w:pStyle w:val="BodyText"/>
        <w:spacing w:line="386" w:lineRule="auto" w:before="178"/>
        <w:ind w:left="573" w:right="1133"/>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r>
        <w:rPr>
          <w:w w:val="100"/>
        </w:rPr>
        <w:t> </w:t>
      </w:r>
      <w:r>
        <w:rPr>
          <w:rFonts w:ascii="Times New Roman" w:hAnsi="Times New Roman" w:cs="Times New Roman" w:eastAsia="Times New Roman" w:hint="default"/>
        </w:rPr>
        <w:t>2</w:t>
      </w:r>
      <w:r>
        <w:rPr/>
        <w:t>、借款费用资本化期间</w:t>
      </w:r>
      <w:r>
        <w:rPr>
          <w:w w:val="100"/>
        </w:rPr>
        <w:t> </w:t>
      </w:r>
      <w:r>
        <w:rPr>
          <w:spacing w:val="-2"/>
        </w:rPr>
        <w:t>资本化期间，指从借款费用开始资本化时点到停止资本化时点的期间，借款费用暂停资本化的期间不</w:t>
      </w:r>
    </w:p>
    <w:p>
      <w:pPr>
        <w:pStyle w:val="BodyText"/>
        <w:spacing w:line="240" w:lineRule="auto" w:before="65"/>
        <w:ind w:right="1133"/>
        <w:jc w:val="left"/>
      </w:pPr>
      <w:r>
        <w:rPr/>
        <w:t>包括在内。</w:t>
      </w:r>
    </w:p>
    <w:p>
      <w:pPr>
        <w:spacing w:line="240" w:lineRule="auto" w:before="10"/>
        <w:rPr>
          <w:rFonts w:ascii="宋体" w:hAnsi="宋体" w:cs="宋体" w:eastAsia="宋体" w:hint="default"/>
          <w:sz w:val="14"/>
          <w:szCs w:val="14"/>
        </w:rPr>
      </w:pPr>
    </w:p>
    <w:p>
      <w:pPr>
        <w:pStyle w:val="BodyText"/>
        <w:spacing w:line="408" w:lineRule="auto" w:before="0"/>
        <w:ind w:left="573" w:right="1133"/>
        <w:jc w:val="left"/>
      </w:pPr>
      <w:r>
        <w:rPr/>
        <w:t>当购建或者生产符合资本化条件的资产达到预定可使用或者可销售状态时，借款费用停止资本化。</w:t>
      </w:r>
      <w:r>
        <w:rPr>
          <w:w w:val="100"/>
        </w:rPr>
        <w:t> </w:t>
      </w:r>
      <w:r>
        <w:rPr>
          <w:spacing w:val="-2"/>
        </w:rPr>
        <w:t>当购建或者生产符合资本化条件的资产中部分项目分别完工且可单独使用时，该部分资产借款费用停</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0"/>
        <w:jc w:val="both"/>
      </w:pPr>
      <w:r>
        <w:rPr/>
        <w:t>止资本化。</w:t>
      </w:r>
    </w:p>
    <w:p>
      <w:pPr>
        <w:spacing w:line="240" w:lineRule="auto" w:before="10"/>
        <w:rPr>
          <w:rFonts w:ascii="宋体" w:hAnsi="宋体" w:cs="宋体" w:eastAsia="宋体" w:hint="default"/>
          <w:sz w:val="14"/>
          <w:szCs w:val="14"/>
        </w:rPr>
      </w:pPr>
    </w:p>
    <w:p>
      <w:pPr>
        <w:pStyle w:val="BodyText"/>
        <w:spacing w:line="408" w:lineRule="auto" w:before="0"/>
        <w:ind w:right="1126" w:firstLine="420"/>
        <w:jc w:val="both"/>
      </w:pPr>
      <w:r>
        <w:rPr>
          <w:spacing w:val="-2"/>
        </w:rPr>
        <w:t>购建或者生产的资产的各部分分别完工，但必须等到整体完工后才可使用或可对外销售的，在该资产</w:t>
      </w:r>
      <w:r>
        <w:rPr>
          <w:w w:val="100"/>
        </w:rPr>
        <w:t> </w:t>
      </w:r>
      <w:r>
        <w:rPr/>
        <w:t>整体完工时停止借款费用资本化。</w:t>
      </w:r>
    </w:p>
    <w:p>
      <w:pPr>
        <w:pStyle w:val="BodyText"/>
        <w:spacing w:line="386" w:lineRule="auto"/>
        <w:ind w:left="573" w:right="1133"/>
        <w:jc w:val="left"/>
      </w:pPr>
      <w:r>
        <w:rPr>
          <w:rFonts w:ascii="Times New Roman" w:hAnsi="Times New Roman" w:cs="Times New Roman" w:eastAsia="Times New Roman" w:hint="default"/>
        </w:rPr>
        <w:t>3</w:t>
      </w:r>
      <w:r>
        <w:rPr/>
        <w:t>、暂停资本化期间</w:t>
      </w:r>
      <w:r>
        <w:rPr>
          <w:w w:val="100"/>
        </w:rPr>
        <w:t> </w:t>
      </w: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w:t>
      </w:r>
    </w:p>
    <w:p>
      <w:pPr>
        <w:pStyle w:val="BodyText"/>
        <w:spacing w:line="408" w:lineRule="auto" w:before="35"/>
        <w:ind w:right="1126"/>
        <w:jc w:val="both"/>
      </w:pPr>
      <w:r>
        <w:rPr>
          <w:spacing w:val="-2"/>
        </w:rPr>
        <w:t>款费用暂停资本化；该项中断如是所购建或生产的符合资本化条件的资产达到预定可使用状态或者可销售</w:t>
      </w:r>
      <w:r>
        <w:rPr>
          <w:spacing w:val="-43"/>
        </w:rPr>
        <w:t> </w:t>
      </w:r>
      <w:r>
        <w:rPr>
          <w:spacing w:val="-43"/>
        </w:rPr>
      </w:r>
      <w:r>
        <w:rPr>
          <w:spacing w:val="-2"/>
        </w:rPr>
        <w:t>状态必要的程序，则借款费用继续资本化。在中断期间发生的借款费用确认为当期损益，直至资产的购建</w:t>
      </w:r>
      <w:r>
        <w:rPr>
          <w:spacing w:val="-44"/>
        </w:rPr>
        <w:t> </w:t>
      </w:r>
      <w:r>
        <w:rPr>
          <w:spacing w:val="-44"/>
        </w:rPr>
      </w:r>
      <w:r>
        <w:rPr/>
        <w:t>或者生产活动重新开始后借款费用继续资本化。</w:t>
      </w:r>
    </w:p>
    <w:p>
      <w:pPr>
        <w:pStyle w:val="BodyText"/>
        <w:spacing w:line="386" w:lineRule="auto"/>
        <w:ind w:left="573" w:right="1133"/>
        <w:jc w:val="left"/>
      </w:pPr>
      <w:r>
        <w:rPr>
          <w:rFonts w:ascii="Times New Roman" w:hAnsi="Times New Roman" w:cs="Times New Roman" w:eastAsia="Times New Roman" w:hint="default"/>
        </w:rPr>
        <w:t>4</w:t>
      </w:r>
      <w:r>
        <w:rPr/>
        <w:t>、借款费用资本化率、资本化金额的计算方法</w:t>
      </w:r>
      <w:r>
        <w:rPr>
          <w:w w:val="100"/>
        </w:rPr>
        <w:t> </w:t>
      </w:r>
      <w:r>
        <w:rPr>
          <w:spacing w:val="2"/>
        </w:rPr>
        <w:t>对于为购建或者生产符合资本化条件的资产而借入的专门借款，以专门借款当期实际发生的借款费</w:t>
      </w:r>
    </w:p>
    <w:p>
      <w:pPr>
        <w:pStyle w:val="BodyText"/>
        <w:spacing w:line="408" w:lineRule="auto" w:before="65"/>
        <w:ind w:right="1126"/>
        <w:jc w:val="both"/>
      </w:pPr>
      <w:r>
        <w:rPr>
          <w:spacing w:val="-2"/>
        </w:rPr>
        <w:t>用，减去尚未动用的借款资金存入银行取得的利息收入或进行暂时性投资取得的投资收益后的金额，来确</w:t>
      </w:r>
      <w:r>
        <w:rPr>
          <w:spacing w:val="-43"/>
        </w:rPr>
        <w:t> </w:t>
      </w:r>
      <w:r>
        <w:rPr>
          <w:spacing w:val="-43"/>
        </w:rPr>
      </w:r>
      <w:r>
        <w:rPr/>
        <w:t>定借款费用的资本化金额。</w:t>
      </w:r>
    </w:p>
    <w:p>
      <w:pPr>
        <w:pStyle w:val="BodyText"/>
        <w:spacing w:line="408" w:lineRule="auto"/>
        <w:ind w:right="1104" w:firstLine="420"/>
        <w:jc w:val="both"/>
      </w:pPr>
      <w:r>
        <w:rPr>
          <w:spacing w:val="-2"/>
        </w:rPr>
        <w:t>对于为购建或者生产符合资本化条件的资产而占用的一般借款，根据累计资产支出超过专门借款部分</w:t>
      </w:r>
      <w:r>
        <w:rPr>
          <w:w w:val="100"/>
        </w:rPr>
        <w:t> </w:t>
      </w:r>
      <w:r>
        <w:rPr>
          <w:spacing w:val="-2"/>
        </w:rPr>
        <w:t>的资产支出加权平均数乘以所占用一般借款的资本化率，计算确定一般借款应予资本化的借款费用金额。</w:t>
      </w:r>
      <w:r>
        <w:rPr>
          <w:spacing w:val="-21"/>
        </w:rPr>
        <w:t> </w:t>
      </w:r>
      <w:r>
        <w:rPr>
          <w:spacing w:val="-21"/>
        </w:rPr>
      </w:r>
      <w:r>
        <w:rPr/>
        <w:t>资本化率根据一般借款加权平均利率计算确定。</w:t>
      </w:r>
    </w:p>
    <w:p>
      <w:pPr>
        <w:spacing w:line="240" w:lineRule="auto" w:before="8"/>
        <w:rPr>
          <w:rFonts w:ascii="宋体" w:hAnsi="宋体" w:cs="宋体" w:eastAsia="宋体" w:hint="default"/>
          <w:sz w:val="20"/>
          <w:szCs w:val="20"/>
        </w:rPr>
      </w:pPr>
    </w:p>
    <w:p>
      <w:pPr>
        <w:pStyle w:val="Heading5"/>
        <w:spacing w:line="240" w:lineRule="auto"/>
        <w:ind w:right="0"/>
        <w:jc w:val="both"/>
        <w:rPr>
          <w:b w:val="0"/>
          <w:bCs w:val="0"/>
        </w:rPr>
      </w:pPr>
      <w:bookmarkStart w:name="27、生物资产" w:id="203"/>
      <w:bookmarkEnd w:id="203"/>
      <w:r>
        <w:rPr>
          <w:b w:val="0"/>
          <w:bCs w:val="0"/>
        </w:rPr>
      </w:r>
      <w:r>
        <w:rPr>
          <w:rFonts w:ascii="Times New Roman" w:hAnsi="Times New Roman" w:cs="Times New Roman" w:eastAsia="Times New Roman" w:hint="default"/>
        </w:rPr>
        <w:t>27</w:t>
      </w:r>
      <w:r>
        <w:rPr/>
        <w:t>、生物资产</w:t>
      </w:r>
      <w:r>
        <w:rPr>
          <w:b w:val="0"/>
          <w:bCs w:val="0"/>
        </w:rPr>
      </w:r>
    </w:p>
    <w:p>
      <w:pPr>
        <w:spacing w:line="240" w:lineRule="auto" w:before="6"/>
        <w:rPr>
          <w:rFonts w:ascii="宋体" w:hAnsi="宋体" w:cs="宋体" w:eastAsia="宋体" w:hint="default"/>
          <w:b/>
          <w:bCs/>
          <w:sz w:val="30"/>
          <w:szCs w:val="30"/>
        </w:rPr>
      </w:pPr>
    </w:p>
    <w:p>
      <w:pPr>
        <w:pStyle w:val="BodyText"/>
        <w:spacing w:line="386" w:lineRule="auto" w:before="0"/>
        <w:ind w:left="573" w:right="1133"/>
        <w:jc w:val="left"/>
      </w:pPr>
      <w:r>
        <w:rPr>
          <w:rFonts w:ascii="Times New Roman" w:hAnsi="Times New Roman" w:cs="Times New Roman" w:eastAsia="Times New Roman" w:hint="default"/>
        </w:rPr>
        <w:t>1</w:t>
      </w:r>
      <w:r>
        <w:rPr/>
        <w:t>、成本计量方法</w:t>
      </w:r>
      <w:r>
        <w:rPr>
          <w:w w:val="100"/>
        </w:rPr>
        <w:t> </w:t>
      </w:r>
      <w:r>
        <w:rPr>
          <w:spacing w:val="-2"/>
        </w:rPr>
        <w:t>生物资产按照成本进行初始计量。外购生物资产的成本，包括购买价款、相关税费、运输费、保险费</w:t>
      </w:r>
    </w:p>
    <w:p>
      <w:pPr>
        <w:pStyle w:val="BodyText"/>
        <w:spacing w:line="408" w:lineRule="auto" w:before="65"/>
        <w:ind w:right="1105"/>
        <w:jc w:val="both"/>
      </w:pPr>
      <w:r>
        <w:rPr>
          <w:spacing w:val="-2"/>
        </w:rPr>
        <w:t>以及可直接归属于购买该资产的其他支出；自行繁殖或养殖的消耗性生物资产（育肥畜）的成本包括出售</w:t>
      </w:r>
      <w:r>
        <w:rPr>
          <w:spacing w:val="-44"/>
        </w:rPr>
        <w:t> </w:t>
      </w:r>
      <w:r>
        <w:rPr>
          <w:spacing w:val="-44"/>
        </w:rPr>
      </w:r>
      <w:r>
        <w:rPr>
          <w:spacing w:val="-2"/>
        </w:rPr>
        <w:t>前发生的饲料费、人工费和应分摊的间接费用等必要支出；自行繁殖的生产性生物资产（产畜）的成本，</w:t>
      </w:r>
      <w:r>
        <w:rPr>
          <w:spacing w:val="-21"/>
        </w:rPr>
        <w:t> </w:t>
      </w:r>
      <w:r>
        <w:rPr>
          <w:spacing w:val="-21"/>
        </w:rPr>
      </w:r>
      <w:r>
        <w:rPr>
          <w:spacing w:val="-2"/>
        </w:rPr>
        <w:t>包括达到预定生产经营目的（成龄）前发生的饲料费、人工费和应分摊的间接费用等必要支出（达到预定</w:t>
      </w:r>
      <w:r>
        <w:rPr>
          <w:spacing w:val="-47"/>
        </w:rPr>
        <w:t> </w:t>
      </w:r>
      <w:r>
        <w:rPr>
          <w:spacing w:val="-47"/>
        </w:rPr>
      </w:r>
      <w:r>
        <w:rPr>
          <w:spacing w:val="-2"/>
        </w:rPr>
        <w:t>生产经营目的，是指生产性生物资产进入正常生产期，可以多年连续稳定产出产品、提供劳务或出租）；</w:t>
      </w:r>
      <w:r>
        <w:rPr>
          <w:spacing w:val="-21"/>
        </w:rPr>
        <w:t> </w:t>
      </w:r>
      <w:r>
        <w:rPr>
          <w:spacing w:val="-21"/>
        </w:rPr>
      </w:r>
      <w:r>
        <w:rPr>
          <w:spacing w:val="-2"/>
        </w:rPr>
        <w:t>计入生物资产成本的借款费用，按照借款费用的相关规定处理；投资者投入生物资产的成本，按照投资合</w:t>
      </w:r>
      <w:r>
        <w:rPr>
          <w:spacing w:val="-44"/>
        </w:rPr>
        <w:t> </w:t>
      </w:r>
      <w:r>
        <w:rPr>
          <w:spacing w:val="-44"/>
        </w:rPr>
      </w:r>
      <w:r>
        <w:rPr>
          <w:spacing w:val="-2"/>
        </w:rPr>
        <w:t>同或协议约定的价值确定，但合同或协议约定价值不公允的除外；生物资产在达到预定生产经营目的后发</w:t>
      </w:r>
      <w:r>
        <w:rPr>
          <w:spacing w:val="-43"/>
        </w:rPr>
        <w:t> </w:t>
      </w:r>
      <w:r>
        <w:rPr>
          <w:spacing w:val="-43"/>
        </w:rPr>
      </w:r>
      <w:r>
        <w:rPr/>
        <w:t>生的管护、饲养费用等后续支出，计入当期损益。</w:t>
      </w:r>
    </w:p>
    <w:p>
      <w:pPr>
        <w:pStyle w:val="BodyText"/>
        <w:spacing w:line="386" w:lineRule="auto"/>
        <w:ind w:left="573" w:right="1133"/>
        <w:jc w:val="left"/>
      </w:pPr>
      <w:r>
        <w:rPr>
          <w:rFonts w:ascii="Times New Roman" w:hAnsi="Times New Roman" w:cs="Times New Roman" w:eastAsia="Times New Roman" w:hint="default"/>
        </w:rPr>
        <w:t>2</w:t>
      </w:r>
      <w:r>
        <w:rPr/>
        <w:t>、折旧确认方法</w:t>
      </w:r>
      <w:r>
        <w:rPr>
          <w:w w:val="100"/>
        </w:rPr>
        <w:t> </w:t>
      </w:r>
      <w:r>
        <w:rPr>
          <w:spacing w:val="-2"/>
        </w:rPr>
        <w:t>对达到预定生产经营目的的生产性生物资产，按期计提折旧，并根据用途分别计入相关资产的成本或</w:t>
      </w:r>
    </w:p>
    <w:p>
      <w:pPr>
        <w:pStyle w:val="BodyText"/>
        <w:spacing w:line="408" w:lineRule="auto" w:before="65"/>
        <w:ind w:right="1131"/>
        <w:jc w:val="both"/>
      </w:pPr>
      <w:r>
        <w:rPr>
          <w:spacing w:val="-2"/>
        </w:rPr>
        <w:t>当期损益。本集团生产性生物资产为五味子，采用年限平均法计提折旧，预计净残值为零，预计使用寿命</w:t>
      </w:r>
      <w:r>
        <w:rPr>
          <w:spacing w:val="-50"/>
        </w:rPr>
        <w:t> </w:t>
      </w:r>
      <w:r>
        <w:rPr>
          <w:spacing w:val="-50"/>
        </w:rPr>
      </w:r>
      <w:r>
        <w:rPr/>
        <w:t>为</w:t>
      </w:r>
      <w:r>
        <w:rPr>
          <w:rFonts w:ascii="Times New Roman" w:hAnsi="Times New Roman" w:cs="Times New Roman" w:eastAsia="Times New Roman" w:hint="default"/>
        </w:rPr>
        <w:t>10</w:t>
      </w:r>
      <w:r>
        <w:rPr/>
        <w:t>年。</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firstLine="420"/>
        <w:jc w:val="both"/>
      </w:pPr>
      <w:r>
        <w:rPr>
          <w:spacing w:val="-2"/>
        </w:rPr>
        <w:t>在年度终了对产畜的使用寿命、预计净残值和折旧方法进行复核，如发生改变，则作为会计估计变更</w:t>
      </w:r>
      <w:r>
        <w:rPr>
          <w:w w:val="100"/>
        </w:rPr>
        <w:t> </w:t>
      </w:r>
      <w:r>
        <w:rPr/>
        <w:t>处理。</w:t>
      </w:r>
    </w:p>
    <w:p>
      <w:pPr>
        <w:pStyle w:val="BodyText"/>
        <w:spacing w:line="386" w:lineRule="auto"/>
        <w:ind w:left="573" w:right="1133"/>
        <w:jc w:val="left"/>
      </w:pPr>
      <w:r>
        <w:rPr>
          <w:rFonts w:ascii="Times New Roman" w:hAnsi="Times New Roman" w:cs="Times New Roman" w:eastAsia="Times New Roman" w:hint="default"/>
        </w:rPr>
        <w:t>3</w:t>
      </w:r>
      <w:r>
        <w:rPr/>
        <w:t>、减值处理</w:t>
      </w:r>
      <w:r>
        <w:rPr>
          <w:w w:val="100"/>
        </w:rPr>
        <w:t> </w:t>
      </w:r>
      <w:r>
        <w:rPr>
          <w:spacing w:val="-2"/>
        </w:rPr>
        <w:t>每年年度终了对消耗性生物资产和生产性生物资产进行检查，有确凿证据表明由于遭受自然灾害、病</w:t>
      </w:r>
    </w:p>
    <w:p>
      <w:pPr>
        <w:pStyle w:val="BodyText"/>
        <w:spacing w:line="408" w:lineRule="auto" w:before="65"/>
        <w:ind w:left="0" w:right="1107"/>
        <w:jc w:val="right"/>
      </w:pPr>
      <w:r>
        <w:rPr>
          <w:spacing w:val="-2"/>
        </w:rPr>
        <w:t>虫害、动物疫病侵袭或市场需求变化等原因，使消耗性生物资产的可变现净值或生产性生物资产的可收回</w:t>
      </w:r>
      <w:r>
        <w:rPr>
          <w:spacing w:val="-82"/>
        </w:rPr>
        <w:t> </w:t>
      </w:r>
      <w:r>
        <w:rPr>
          <w:spacing w:val="-82"/>
        </w:rPr>
      </w:r>
      <w:r>
        <w:rPr>
          <w:spacing w:val="-2"/>
        </w:rPr>
        <w:t>金额低于其账面价值的，按照可变现净值或可收回金额低于账面价值的差额，计提生物资产跌价准备或减</w:t>
      </w:r>
      <w:r>
        <w:rPr>
          <w:spacing w:val="-84"/>
        </w:rPr>
        <w:t> </w:t>
      </w:r>
      <w:r>
        <w:rPr>
          <w:spacing w:val="-84"/>
        </w:rPr>
      </w:r>
      <w:r>
        <w:rPr>
          <w:spacing w:val="-2"/>
        </w:rPr>
        <w:t>值准备，并计入当期损益。当消耗性生物资产减值的影响因素已经消失的，减记金额予以恢复，并在原已</w:t>
      </w:r>
      <w:r>
        <w:rPr>
          <w:spacing w:val="-98"/>
        </w:rPr>
        <w:t> </w:t>
      </w:r>
      <w:r>
        <w:rPr>
          <w:spacing w:val="-98"/>
        </w:rPr>
      </w:r>
      <w:r>
        <w:rPr>
          <w:spacing w:val="-2"/>
        </w:rPr>
        <w:t>计提的跌价准备金额内转回，转回的金额计入当期损益。生产性生物资产减值准备一经计提，不再转回。</w:t>
      </w:r>
      <w:r>
        <w:rPr>
          <w:spacing w:val="-46"/>
        </w:rPr>
        <w:t> </w:t>
      </w:r>
      <w:r>
        <w:rPr>
          <w:spacing w:val="-46"/>
        </w:rPr>
      </w:r>
      <w:r>
        <w:rPr>
          <w:spacing w:val="-3"/>
        </w:rPr>
        <w:t>对于消耗性生物资产，在出售时，按照其账面价值结转成本，结转成本的方法为加权平均法；生物资</w:t>
      </w:r>
      <w:r>
        <w:rPr>
          <w:w w:val="100"/>
        </w:rPr>
        <w:t> </w:t>
      </w:r>
      <w:r>
        <w:rPr>
          <w:spacing w:val="-2"/>
        </w:rPr>
        <w:t>产改变用途后的成本，按照改变用途时的账面价值确定；生物资产出售、盘亏或死亡、毁损时，将处置收</w:t>
      </w:r>
    </w:p>
    <w:p>
      <w:pPr>
        <w:pStyle w:val="BodyText"/>
        <w:spacing w:line="240" w:lineRule="auto"/>
        <w:ind w:right="1133"/>
        <w:jc w:val="left"/>
      </w:pPr>
      <w:r>
        <w:rPr/>
        <w:t>入扣除其账面价值和相关税费后的余额计入当期损益。</w:t>
      </w:r>
    </w:p>
    <w:p>
      <w:pPr>
        <w:spacing w:line="240" w:lineRule="auto" w:before="0"/>
        <w:rPr>
          <w:rFonts w:ascii="宋体" w:hAnsi="宋体" w:cs="宋体" w:eastAsia="宋体" w:hint="default"/>
          <w:sz w:val="20"/>
          <w:szCs w:val="20"/>
        </w:rPr>
      </w:pPr>
    </w:p>
    <w:p>
      <w:pPr>
        <w:pStyle w:val="Heading5"/>
        <w:spacing w:line="240" w:lineRule="auto" w:before="154"/>
        <w:ind w:right="1133"/>
        <w:jc w:val="left"/>
        <w:rPr>
          <w:b w:val="0"/>
          <w:bCs w:val="0"/>
        </w:rPr>
      </w:pPr>
      <w:bookmarkStart w:name="28、油气资产" w:id="204"/>
      <w:bookmarkEnd w:id="204"/>
      <w:r>
        <w:rPr>
          <w:b w:val="0"/>
          <w:bCs w:val="0"/>
        </w:rPr>
      </w:r>
      <w:r>
        <w:rPr>
          <w:rFonts w:ascii="Times New Roman" w:hAnsi="Times New Roman" w:cs="Times New Roman" w:eastAsia="Times New Roman" w:hint="default"/>
        </w:rPr>
        <w:t>28</w:t>
      </w:r>
      <w:r>
        <w:rPr/>
        <w:t>、油气资产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bookmarkStart w:name="29、使用权资产" w:id="205"/>
      <w:bookmarkEnd w:id="205"/>
      <w:r>
        <w:rPr>
          <w:b w:val="0"/>
          <w:bCs w:val="0"/>
        </w:rPr>
      </w:r>
      <w:r>
        <w:rPr>
          <w:rFonts w:ascii="Times New Roman" w:hAnsi="Times New Roman" w:cs="Times New Roman" w:eastAsia="Times New Roman" w:hint="default"/>
        </w:rPr>
        <w:t>29</w:t>
      </w:r>
      <w:r>
        <w:rPr/>
        <w:t>、使用权资产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bookmarkStart w:name="30、无形资产" w:id="206"/>
      <w:bookmarkEnd w:id="206"/>
      <w:r>
        <w:rPr>
          <w:b w:val="0"/>
          <w:bCs w:val="0"/>
        </w:rPr>
      </w:r>
      <w:r>
        <w:rPr>
          <w:rFonts w:ascii="Times New Roman" w:hAnsi="Times New Roman" w:cs="Times New Roman" w:eastAsia="Times New Roman" w:hint="default"/>
        </w:rPr>
        <w:t>30</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bookmarkStart w:name="（1）计价方法、使用寿命、减值测试" w:id="207"/>
      <w:bookmarkEnd w:id="207"/>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573" w:right="1133"/>
        <w:jc w:val="left"/>
      </w:pPr>
      <w:r>
        <w:rPr>
          <w:rFonts w:ascii="Times New Roman" w:hAnsi="Times New Roman" w:cs="Times New Roman" w:eastAsia="Times New Roman" w:hint="default"/>
        </w:rPr>
        <w:t>1</w:t>
      </w:r>
      <w:r>
        <w:rPr/>
        <w:t>、无形资产的计价方法</w:t>
      </w:r>
    </w:p>
    <w:p>
      <w:pPr>
        <w:pStyle w:val="BodyText"/>
        <w:spacing w:line="386" w:lineRule="auto" w:before="177"/>
        <w:ind w:left="573" w:right="1133"/>
        <w:jc w:val="left"/>
      </w:pPr>
      <w:r>
        <w:rPr/>
        <w:t>（</w:t>
      </w:r>
      <w:r>
        <w:rPr>
          <w:rFonts w:ascii="Times New Roman" w:hAnsi="Times New Roman" w:cs="Times New Roman" w:eastAsia="Times New Roman" w:hint="default"/>
        </w:rPr>
        <w:t>1</w:t>
      </w:r>
      <w:r>
        <w:rPr/>
        <w:t>）公司取得无形资产时按成本进行初始计量；</w:t>
      </w:r>
      <w:r>
        <w:rPr>
          <w:w w:val="100"/>
        </w:rPr>
        <w:t> </w:t>
      </w:r>
      <w:r>
        <w:rPr>
          <w:spacing w:val="-2"/>
        </w:rPr>
        <w:t>外购无形资产的成本，包括购买价款、相关税费以及直接归属于使该项资产达到预定用途所发生的其</w:t>
      </w:r>
    </w:p>
    <w:p>
      <w:pPr>
        <w:pStyle w:val="BodyText"/>
        <w:spacing w:line="408" w:lineRule="auto" w:before="65"/>
        <w:ind w:right="1133"/>
        <w:jc w:val="left"/>
      </w:pPr>
      <w:r>
        <w:rPr>
          <w:spacing w:val="-2"/>
        </w:rPr>
        <w:t>他支出。购买无形资产的价款超过正常信用条件延期支付，实质上具有融资性质的，无形资产的成本以购</w:t>
      </w:r>
      <w:r>
        <w:rPr>
          <w:spacing w:val="-42"/>
        </w:rPr>
        <w:t> </w:t>
      </w:r>
      <w:r>
        <w:rPr>
          <w:spacing w:val="-42"/>
        </w:rPr>
      </w:r>
      <w:r>
        <w:rPr/>
        <w:t>买价款的现值为基础确定。</w:t>
      </w:r>
    </w:p>
    <w:p>
      <w:pPr>
        <w:pStyle w:val="BodyText"/>
        <w:spacing w:line="408" w:lineRule="auto"/>
        <w:ind w:right="1126" w:firstLine="420"/>
        <w:jc w:val="both"/>
      </w:pPr>
      <w:r>
        <w:rPr>
          <w:spacing w:val="-2"/>
        </w:rPr>
        <w:t>债务重组取得债务人用以抵债的无形资产，以该无形资产的公允价值为基础确定其入账价值，并将重</w:t>
      </w:r>
      <w:r>
        <w:rPr>
          <w:w w:val="100"/>
        </w:rPr>
        <w:t> </w:t>
      </w:r>
      <w:r>
        <w:rPr/>
        <w:t>组债务的账面价值与该用以抵债的无形资产公允价值之间的差额，计入当期损益。</w:t>
      </w:r>
    </w:p>
    <w:p>
      <w:pPr>
        <w:pStyle w:val="BodyText"/>
        <w:spacing w:line="408" w:lineRule="auto"/>
        <w:ind w:right="1126" w:firstLine="420"/>
        <w:jc w:val="both"/>
      </w:pPr>
      <w:r>
        <w:rPr>
          <w:spacing w:val="-2"/>
        </w:rPr>
        <w:t>在非货币性资产交换具备商业实质且换入资产或换出资产的公允价值能够可靠计量的前提下，非货币</w:t>
      </w:r>
      <w:r>
        <w:rPr>
          <w:w w:val="100"/>
        </w:rPr>
        <w:t> </w:t>
      </w:r>
      <w:r>
        <w:rPr>
          <w:spacing w:val="-2"/>
        </w:rPr>
        <w:t>性资产交换换入的无形资产以换出资产的公允价值为基础确定其入账价值，除非有确凿证据表明换入资产</w:t>
      </w:r>
      <w:r>
        <w:rPr>
          <w:spacing w:val="-43"/>
        </w:rPr>
        <w:t> </w:t>
      </w:r>
      <w:r>
        <w:rPr>
          <w:spacing w:val="-43"/>
        </w:rPr>
      </w:r>
      <w:r>
        <w:rPr>
          <w:spacing w:val="-2"/>
        </w:rPr>
        <w:t>的公允价值更加可靠；不满足上述前提的非货币性资产交换，以换出资产的账面价值和应支付的相关税费</w:t>
      </w:r>
      <w:r>
        <w:rPr>
          <w:spacing w:val="-43"/>
        </w:rPr>
        <w:t> </w:t>
      </w:r>
      <w:r>
        <w:rPr>
          <w:spacing w:val="-43"/>
        </w:rPr>
      </w:r>
      <w:r>
        <w:rPr/>
        <w:t>作为换入无形资产的成本，不确认损益。</w:t>
      </w:r>
    </w:p>
    <w:p>
      <w:pPr>
        <w:pStyle w:val="BodyText"/>
        <w:spacing w:line="386" w:lineRule="auto"/>
        <w:ind w:left="573" w:right="6474"/>
        <w:jc w:val="left"/>
      </w:pPr>
      <w:r>
        <w:rPr/>
        <w:t>（</w:t>
      </w:r>
      <w:r>
        <w:rPr>
          <w:rFonts w:ascii="Times New Roman" w:hAnsi="Times New Roman" w:cs="Times New Roman" w:eastAsia="Times New Roman" w:hint="default"/>
        </w:rPr>
        <w:t>2</w:t>
      </w:r>
      <w:r>
        <w:rPr/>
        <w:t>）后续计量</w:t>
      </w:r>
      <w:r>
        <w:rPr>
          <w:w w:val="100"/>
        </w:rPr>
        <w:t> </w:t>
      </w:r>
      <w:r>
        <w:rPr>
          <w:spacing w:val="-2"/>
        </w:rPr>
        <w:t>在取得无形资产时分析判断其使用寿命。</w:t>
      </w:r>
    </w:p>
    <w:p>
      <w:pPr>
        <w:spacing w:after="0" w:line="386"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33" w:firstLine="420"/>
        <w:jc w:val="left"/>
      </w:pPr>
      <w:r>
        <w:rPr>
          <w:spacing w:val="-2"/>
        </w:rPr>
        <w:t>对于使用寿命有限的无形资产，在为企业带来经济利益的期限内按直线法摊销；无法预见无形资产为</w:t>
      </w:r>
      <w:r>
        <w:rPr>
          <w:w w:val="100"/>
        </w:rPr>
        <w:t> </w:t>
      </w:r>
      <w:r>
        <w:rPr/>
        <w:t>企业带来经济利益期限的，视为使用寿命不确定的无形资产，不予摊销。</w:t>
      </w:r>
    </w:p>
    <w:p>
      <w:pPr>
        <w:pStyle w:val="BodyText"/>
        <w:spacing w:line="240" w:lineRule="auto"/>
        <w:ind w:left="573" w:right="1133"/>
        <w:jc w:val="left"/>
      </w:pPr>
      <w:r>
        <w:rPr>
          <w:rFonts w:ascii="Times New Roman" w:hAnsi="Times New Roman" w:cs="Times New Roman" w:eastAsia="Times New Roman" w:hint="default"/>
        </w:rPr>
        <w:t>2</w:t>
      </w:r>
      <w:r>
        <w:rPr/>
        <w:t>、使用寿命有限的无形资产的使用寿命估计情况：</w:t>
      </w:r>
    </w:p>
    <w:p>
      <w:pPr>
        <w:spacing w:line="240" w:lineRule="auto" w:before="8"/>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215"/>
        <w:gridCol w:w="1536"/>
        <w:gridCol w:w="3999"/>
      </w:tblGrid>
      <w:tr>
        <w:trPr>
          <w:trHeight w:val="355" w:hRule="exact"/>
        </w:trPr>
        <w:tc>
          <w:tcPr>
            <w:tcW w:w="32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5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99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依</w:t>
            </w:r>
            <w:r>
              <w:rPr>
                <w:rFonts w:ascii="宋体" w:hAnsi="宋体" w:cs="宋体" w:eastAsia="宋体" w:hint="default"/>
                <w:spacing w:val="54"/>
                <w:sz w:val="18"/>
                <w:szCs w:val="18"/>
              </w:rPr>
              <w:t> </w:t>
            </w:r>
            <w:r>
              <w:rPr>
                <w:rFonts w:ascii="宋体" w:hAnsi="宋体" w:cs="宋体" w:eastAsia="宋体" w:hint="default"/>
                <w:sz w:val="18"/>
                <w:szCs w:val="18"/>
              </w:rPr>
              <w:t>据</w:t>
            </w:r>
          </w:p>
        </w:tc>
      </w:tr>
      <w:tr>
        <w:trPr>
          <w:trHeight w:val="350" w:hRule="exact"/>
        </w:trPr>
        <w:tc>
          <w:tcPr>
            <w:tcW w:w="32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45-50</w:t>
            </w:r>
            <w:r>
              <w:rPr>
                <w:rFonts w:ascii="宋体" w:hAnsi="宋体" w:cs="宋体" w:eastAsia="宋体" w:hint="default"/>
                <w:sz w:val="18"/>
                <w:szCs w:val="18"/>
              </w:rPr>
              <w:t>年</w:t>
            </w:r>
          </w:p>
        </w:tc>
        <w:tc>
          <w:tcPr>
            <w:tcW w:w="399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按土地使用权证约定日期</w:t>
            </w:r>
          </w:p>
        </w:tc>
      </w:tr>
      <w:tr>
        <w:trPr>
          <w:trHeight w:val="353" w:hRule="exact"/>
        </w:trPr>
        <w:tc>
          <w:tcPr>
            <w:tcW w:w="32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林地使用权</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p>
        </w:tc>
        <w:tc>
          <w:tcPr>
            <w:tcW w:w="399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按林地使用权证约定日期</w:t>
            </w:r>
          </w:p>
        </w:tc>
      </w:tr>
      <w:tr>
        <w:trPr>
          <w:trHeight w:val="353" w:hRule="exact"/>
        </w:trPr>
        <w:tc>
          <w:tcPr>
            <w:tcW w:w="32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399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按非专利技术证书使用年限约定日期</w:t>
            </w:r>
          </w:p>
        </w:tc>
      </w:tr>
      <w:tr>
        <w:trPr>
          <w:trHeight w:val="353" w:hRule="exact"/>
        </w:trPr>
        <w:tc>
          <w:tcPr>
            <w:tcW w:w="32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99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按照预计使用年限</w:t>
            </w:r>
          </w:p>
        </w:tc>
      </w:tr>
    </w:tbl>
    <w:p>
      <w:pPr>
        <w:pStyle w:val="BodyText"/>
        <w:spacing w:line="400" w:lineRule="auto" w:before="64"/>
        <w:ind w:left="573" w:right="1133"/>
        <w:jc w:val="left"/>
      </w:pPr>
      <w:r>
        <w:rPr>
          <w:spacing w:val="-2"/>
        </w:rPr>
        <w:t>每年终了，对使用寿命有限的无形资产的使用寿命及摊销方法进行复核。</w:t>
      </w:r>
      <w:r>
        <w:rPr>
          <w:spacing w:val="-45"/>
        </w:rPr>
        <w:t> </w:t>
      </w:r>
      <w:r>
        <w:rPr>
          <w:spacing w:val="-45"/>
        </w:rPr>
      </w:r>
      <w:r>
        <w:rPr>
          <w:spacing w:val="-2"/>
        </w:rPr>
        <w:t>经复核，本年期末无形资产的使用寿命及摊销方法与以前估计未有不同。</w:t>
      </w:r>
      <w:r>
        <w:rPr>
          <w:spacing w:val="-45"/>
        </w:rPr>
        <w:t> </w:t>
      </w:r>
      <w:r>
        <w:rPr>
          <w:spacing w:val="-45"/>
        </w:rPr>
      </w:r>
      <w:r>
        <w:rPr>
          <w:rFonts w:ascii="Times New Roman" w:hAnsi="Times New Roman" w:cs="Times New Roman" w:eastAsia="Times New Roman" w:hint="default"/>
        </w:rPr>
        <w:t>3</w:t>
      </w:r>
      <w:r>
        <w:rPr/>
        <w:t>、使用寿命不确定的无形资产的判断依据：</w:t>
      </w:r>
      <w:r>
        <w:rPr>
          <w:w w:val="100"/>
        </w:rPr>
        <w:t> </w:t>
      </w:r>
      <w:r>
        <w:rPr/>
        <w:t>截至资产负债表日</w:t>
      </w:r>
      <w:r>
        <w:rPr>
          <w:rFonts w:ascii="Times New Roman" w:hAnsi="Times New Roman" w:cs="Times New Roman" w:eastAsia="Times New Roman" w:hint="default"/>
        </w:rPr>
        <w:t>,</w:t>
      </w:r>
      <w:r>
        <w:rPr/>
        <w:t>本公司没有使用寿命不确定的无形资产。</w:t>
      </w:r>
    </w:p>
    <w:p>
      <w:pPr>
        <w:spacing w:line="240" w:lineRule="auto" w:before="9"/>
        <w:rPr>
          <w:rFonts w:ascii="宋体" w:hAnsi="宋体" w:cs="宋体" w:eastAsia="宋体" w:hint="default"/>
          <w:sz w:val="18"/>
          <w:szCs w:val="18"/>
        </w:rPr>
      </w:pPr>
    </w:p>
    <w:p>
      <w:pPr>
        <w:pStyle w:val="Heading5"/>
        <w:spacing w:line="240" w:lineRule="auto"/>
        <w:ind w:right="1133"/>
        <w:jc w:val="left"/>
        <w:rPr>
          <w:b w:val="0"/>
          <w:bCs w:val="0"/>
        </w:rPr>
      </w:pPr>
      <w:bookmarkStart w:name="（2）内部研究开发支出会计政策" w:id="208"/>
      <w:bookmarkEnd w:id="208"/>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6"/>
        <w:rPr>
          <w:rFonts w:ascii="宋体" w:hAnsi="宋体" w:cs="宋体" w:eastAsia="宋体" w:hint="default"/>
          <w:b/>
          <w:bCs/>
          <w:sz w:val="30"/>
          <w:szCs w:val="30"/>
        </w:rPr>
      </w:pPr>
    </w:p>
    <w:p>
      <w:pPr>
        <w:pStyle w:val="BodyText"/>
        <w:spacing w:line="400" w:lineRule="auto" w:before="0"/>
        <w:ind w:left="573" w:right="1133"/>
        <w:jc w:val="left"/>
      </w:pPr>
      <w:r>
        <w:rPr>
          <w:rFonts w:ascii="Times New Roman" w:hAnsi="Times New Roman" w:cs="Times New Roman" w:eastAsia="Times New Roman" w:hint="default"/>
        </w:rPr>
        <w:t>1</w:t>
      </w:r>
      <w:r>
        <w:rPr/>
        <w:t>、划分为本公司研究开发项目研究阶段和开发阶段的具体标准</w:t>
      </w:r>
      <w:r>
        <w:rPr>
          <w:w w:val="100"/>
        </w:rPr>
        <w:t> </w:t>
      </w:r>
      <w:r>
        <w:rPr/>
        <w:t>公司内部研究开发项目的支出分为研究阶段支出和开发阶段支出。</w:t>
      </w:r>
      <w:r>
        <w:rPr>
          <w:w w:val="100"/>
        </w:rPr>
        <w:t> </w:t>
      </w:r>
      <w:r>
        <w:rPr/>
        <w:t>研究阶段：为获取并理解新的科学或技术知识等而进行的独创性的有计划调查、研究活动的阶段。</w:t>
      </w:r>
      <w:r>
        <w:rPr>
          <w:w w:val="100"/>
        </w:rPr>
        <w:t> </w:t>
      </w:r>
      <w:r>
        <w:rPr>
          <w:spacing w:val="-2"/>
        </w:rPr>
        <w:t>开发阶段：在进行商业性生产或使用前，将研究成果或其他知识应用于某项计划或设计，以生产出新</w:t>
      </w:r>
    </w:p>
    <w:p>
      <w:pPr>
        <w:pStyle w:val="BodyText"/>
        <w:spacing w:line="408" w:lineRule="auto" w:before="52"/>
        <w:ind w:left="573" w:right="1133" w:hanging="421"/>
        <w:jc w:val="left"/>
      </w:pPr>
      <w:r>
        <w:rPr/>
        <w:t>的或具有实质性改进的材料、装置、产品等活动的阶段。</w:t>
      </w:r>
      <w:r>
        <w:rPr>
          <w:w w:val="100"/>
        </w:rPr>
        <w:t> </w:t>
      </w:r>
      <w:r>
        <w:rPr>
          <w:spacing w:val="2"/>
        </w:rPr>
        <w:t>本公司内部研究开发项目开发阶段系指公司多肽药品技术获取国家药品监督管理局核发临床批件后</w:t>
      </w:r>
    </w:p>
    <w:p>
      <w:pPr>
        <w:pStyle w:val="BodyText"/>
        <w:spacing w:line="240" w:lineRule="auto"/>
        <w:ind w:right="1133"/>
        <w:jc w:val="left"/>
      </w:pPr>
      <w:r>
        <w:rPr/>
        <w:t>开始进行临床实验、获取生产批件前的阶段。</w:t>
      </w:r>
    </w:p>
    <w:p>
      <w:pPr>
        <w:spacing w:line="240" w:lineRule="auto" w:before="10"/>
        <w:rPr>
          <w:rFonts w:ascii="宋体" w:hAnsi="宋体" w:cs="宋体" w:eastAsia="宋体" w:hint="default"/>
          <w:sz w:val="14"/>
          <w:szCs w:val="14"/>
        </w:rPr>
      </w:pPr>
    </w:p>
    <w:p>
      <w:pPr>
        <w:pStyle w:val="BodyText"/>
        <w:spacing w:line="240" w:lineRule="auto" w:before="0"/>
        <w:ind w:left="573" w:right="1133"/>
        <w:jc w:val="left"/>
      </w:pPr>
      <w:r>
        <w:rPr>
          <w:rFonts w:ascii="Times New Roman" w:hAnsi="Times New Roman" w:cs="Times New Roman" w:eastAsia="Times New Roman" w:hint="default"/>
        </w:rPr>
        <w:t>2</w:t>
      </w:r>
      <w:r>
        <w:rPr/>
        <w:t>、开发阶段支出符合资本化的具体标准</w:t>
      </w:r>
    </w:p>
    <w:p>
      <w:pPr>
        <w:pStyle w:val="BodyText"/>
        <w:spacing w:line="240" w:lineRule="auto" w:before="177"/>
        <w:ind w:left="573" w:right="1133"/>
        <w:jc w:val="left"/>
      </w:pPr>
      <w:r>
        <w:rPr/>
        <w:t>（</w:t>
      </w:r>
      <w:r>
        <w:rPr>
          <w:rFonts w:ascii="Times New Roman" w:hAnsi="Times New Roman" w:cs="Times New Roman" w:eastAsia="Times New Roman" w:hint="default"/>
        </w:rPr>
        <w:t>1</w:t>
      </w:r>
      <w:r>
        <w:rPr/>
        <w:t>）内部研究开发项目开发阶段的支出，同时满足下列条件时确认为无形资产：</w:t>
      </w:r>
    </w:p>
    <w:p>
      <w:pPr>
        <w:pStyle w:val="BodyText"/>
        <w:spacing w:line="240" w:lineRule="auto" w:before="177"/>
        <w:ind w:left="573" w:right="1133"/>
        <w:jc w:val="left"/>
      </w:pPr>
      <w:r>
        <w:rPr/>
        <w:t>①、完成该无形资产以使其能够使用或出售在技术上具有可行性；</w:t>
      </w:r>
    </w:p>
    <w:p>
      <w:pPr>
        <w:spacing w:line="240" w:lineRule="auto" w:before="10"/>
        <w:rPr>
          <w:rFonts w:ascii="宋体" w:hAnsi="宋体" w:cs="宋体" w:eastAsia="宋体" w:hint="default"/>
          <w:sz w:val="14"/>
          <w:szCs w:val="14"/>
        </w:rPr>
      </w:pPr>
    </w:p>
    <w:p>
      <w:pPr>
        <w:pStyle w:val="BodyText"/>
        <w:spacing w:line="240" w:lineRule="auto" w:before="0"/>
        <w:ind w:left="573" w:right="1133"/>
        <w:jc w:val="left"/>
      </w:pPr>
      <w:r>
        <w:rPr/>
        <w:t>②、具有完成该无形资产并使用或出售的意图；</w:t>
      </w:r>
    </w:p>
    <w:p>
      <w:pPr>
        <w:spacing w:line="240" w:lineRule="auto" w:before="11"/>
        <w:rPr>
          <w:rFonts w:ascii="宋体" w:hAnsi="宋体" w:cs="宋体" w:eastAsia="宋体" w:hint="default"/>
          <w:sz w:val="14"/>
          <w:szCs w:val="14"/>
        </w:rPr>
      </w:pPr>
    </w:p>
    <w:p>
      <w:pPr>
        <w:pStyle w:val="BodyText"/>
        <w:spacing w:line="408" w:lineRule="auto" w:before="0"/>
        <w:ind w:right="1133" w:firstLine="420"/>
        <w:jc w:val="left"/>
      </w:pPr>
      <w:r>
        <w:rPr>
          <w:spacing w:val="-2"/>
        </w:rPr>
        <w:t>③、无形资产产生经济利益的方式，包括能够证明运用该无形资产生产的产品存在市场或无形资产自</w:t>
      </w:r>
      <w:r>
        <w:rPr>
          <w:w w:val="100"/>
        </w:rPr>
        <w:t> </w:t>
      </w:r>
      <w:r>
        <w:rPr/>
        <w:t>身存在市场，无形资产将在内部使用的，能够证明其有用性；</w:t>
      </w:r>
    </w:p>
    <w:p>
      <w:pPr>
        <w:pStyle w:val="BodyText"/>
        <w:spacing w:line="408" w:lineRule="auto"/>
        <w:ind w:right="1133" w:firstLine="420"/>
        <w:jc w:val="left"/>
      </w:pPr>
      <w:r>
        <w:rPr>
          <w:spacing w:val="-2"/>
        </w:rPr>
        <w:t>④、有足够的技术、财务资源和其他资源支持，以完成该无形资产的开发，并有能力使用或出售该无</w:t>
      </w:r>
      <w:r>
        <w:rPr>
          <w:w w:val="100"/>
        </w:rPr>
        <w:t> </w:t>
      </w:r>
      <w:r>
        <w:rPr/>
        <w:t>形资产；</w:t>
      </w:r>
    </w:p>
    <w:p>
      <w:pPr>
        <w:pStyle w:val="BodyText"/>
        <w:spacing w:line="408" w:lineRule="auto"/>
        <w:ind w:left="573" w:right="1133"/>
        <w:jc w:val="left"/>
      </w:pPr>
      <w:r>
        <w:rPr/>
        <w:t>⑤、归属于该无形资产开发阶段的支出能够可靠地计量。</w:t>
      </w:r>
      <w:r>
        <w:rPr>
          <w:w w:val="100"/>
        </w:rPr>
        <w:t> </w:t>
      </w:r>
      <w:r>
        <w:rPr>
          <w:spacing w:val="-3"/>
        </w:rPr>
        <w:t>开发阶段的支出，若不满足上列条件的，于发生时计入当期损益。研究阶段的支出，在发生时计入当</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0"/>
        <w:jc w:val="both"/>
      </w:pPr>
      <w:r>
        <w:rPr/>
        <w:t>期损益。</w:t>
      </w:r>
    </w:p>
    <w:p>
      <w:pPr>
        <w:spacing w:line="240" w:lineRule="auto" w:before="10"/>
        <w:rPr>
          <w:rFonts w:ascii="宋体" w:hAnsi="宋体" w:cs="宋体" w:eastAsia="宋体" w:hint="default"/>
          <w:sz w:val="14"/>
          <w:szCs w:val="14"/>
        </w:rPr>
      </w:pPr>
    </w:p>
    <w:p>
      <w:pPr>
        <w:pStyle w:val="BodyText"/>
        <w:spacing w:line="240" w:lineRule="auto" w:before="0"/>
        <w:ind w:left="573" w:right="1133"/>
        <w:jc w:val="left"/>
      </w:pPr>
      <w:r>
        <w:rPr/>
        <w:t>（</w:t>
      </w:r>
      <w:r>
        <w:rPr>
          <w:rFonts w:ascii="Times New Roman" w:hAnsi="Times New Roman" w:cs="Times New Roman" w:eastAsia="Times New Roman" w:hint="default"/>
        </w:rPr>
        <w:t>2</w:t>
      </w:r>
      <w:r>
        <w:rPr/>
        <w:t>）外购或委托外部研究开发项目开发阶段的支出，满足下列条件时确认为无形资产：</w:t>
      </w:r>
    </w:p>
    <w:p>
      <w:pPr>
        <w:pStyle w:val="BodyText"/>
        <w:spacing w:line="408" w:lineRule="auto" w:before="177"/>
        <w:ind w:right="1126" w:firstLine="420"/>
        <w:jc w:val="both"/>
      </w:pPr>
      <w:r>
        <w:rPr>
          <w:spacing w:val="-2"/>
        </w:rPr>
        <w:t>①、外购的已获得临床批件的生产技术或配方，其购买价款及后续临床试验费用确认为开发支出，取</w:t>
      </w:r>
      <w:r>
        <w:rPr>
          <w:w w:val="100"/>
        </w:rPr>
        <w:t> </w:t>
      </w:r>
      <w:r>
        <w:rPr/>
        <w:t>得生产批件后结转为无形资产。</w:t>
      </w:r>
    </w:p>
    <w:p>
      <w:pPr>
        <w:pStyle w:val="BodyText"/>
        <w:spacing w:line="408" w:lineRule="auto"/>
        <w:ind w:right="1126" w:firstLine="420"/>
        <w:jc w:val="both"/>
      </w:pPr>
      <w:r>
        <w:rPr>
          <w:spacing w:val="-2"/>
        </w:rPr>
        <w:t>②、委托外部机构研发的多肽类生产技术或配方，自研发开始至取得临床批件期间发生的支出计入当</w:t>
      </w:r>
      <w:r>
        <w:rPr>
          <w:w w:val="100"/>
        </w:rPr>
        <w:t> </w:t>
      </w:r>
      <w:r>
        <w:rPr/>
        <w:t>期损益；获得临床批件后发生的临床试验费用确认为开发支出，取得生产批件后结转为无形资产。</w:t>
      </w:r>
    </w:p>
    <w:p>
      <w:pPr>
        <w:pStyle w:val="BodyText"/>
        <w:spacing w:line="408" w:lineRule="auto"/>
        <w:ind w:right="1126" w:firstLine="420"/>
        <w:jc w:val="both"/>
      </w:pPr>
      <w:r>
        <w:rPr>
          <w:spacing w:val="-2"/>
        </w:rPr>
        <w:t>③、委托外部机构研发的非多肽类生产技术或配方，自研发开始至获取生产批件期间发生的支出全部</w:t>
      </w:r>
      <w:r>
        <w:rPr>
          <w:w w:val="100"/>
        </w:rPr>
        <w:t> </w:t>
      </w:r>
      <w:r>
        <w:rPr/>
        <w:t>计入当期损益。</w:t>
      </w:r>
    </w:p>
    <w:p>
      <w:pPr>
        <w:spacing w:line="240" w:lineRule="auto" w:before="8"/>
        <w:rPr>
          <w:rFonts w:ascii="宋体" w:hAnsi="宋体" w:cs="宋体" w:eastAsia="宋体" w:hint="default"/>
          <w:sz w:val="20"/>
          <w:szCs w:val="20"/>
        </w:rPr>
      </w:pPr>
    </w:p>
    <w:p>
      <w:pPr>
        <w:pStyle w:val="Heading5"/>
        <w:spacing w:line="240" w:lineRule="auto"/>
        <w:ind w:right="0"/>
        <w:jc w:val="both"/>
        <w:rPr>
          <w:b w:val="0"/>
          <w:bCs w:val="0"/>
        </w:rPr>
      </w:pPr>
      <w:bookmarkStart w:name="31、长期资产减值" w:id="209"/>
      <w:bookmarkEnd w:id="209"/>
      <w:r>
        <w:rPr>
          <w:b w:val="0"/>
          <w:bCs w:val="0"/>
        </w:rPr>
      </w:r>
      <w:r>
        <w:rPr>
          <w:rFonts w:ascii="Times New Roman" w:hAnsi="Times New Roman" w:cs="Times New Roman" w:eastAsia="Times New Roman" w:hint="default"/>
        </w:rPr>
        <w:t>31</w:t>
      </w:r>
      <w:r>
        <w:rPr/>
        <w:t>、长期资产减值</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04" w:firstLine="420"/>
        <w:jc w:val="both"/>
      </w:pPr>
      <w:r>
        <w:rPr>
          <w:spacing w:val="-2"/>
        </w:rPr>
        <w:t>长期股权投资、采用成本模式计量的投资性房地产、固定资产、在建工程、无形资产等长期资产，于</w:t>
      </w:r>
      <w:r>
        <w:rPr>
          <w:w w:val="100"/>
        </w:rPr>
        <w:t> </w:t>
      </w:r>
      <w:r>
        <w:rPr>
          <w:spacing w:val="-2"/>
        </w:rPr>
        <w:t>资产负债表日存在减值迹象的，进行减值测试。减值测试结果表明资产的可收回金额低于其账面价值的，</w:t>
      </w:r>
      <w:r>
        <w:rPr>
          <w:spacing w:val="-21"/>
        </w:rPr>
        <w:t> </w:t>
      </w:r>
      <w:r>
        <w:rPr>
          <w:spacing w:val="-21"/>
        </w:rPr>
      </w:r>
      <w:r>
        <w:rPr>
          <w:spacing w:val="-2"/>
        </w:rPr>
        <w:t>按其差额计提减值准备并计入减值损失。可收回金额为资产的公允价值减去处置费用后的净额与资产预计</w:t>
      </w:r>
      <w:r>
        <w:rPr>
          <w:spacing w:val="-43"/>
        </w:rPr>
        <w:t> </w:t>
      </w:r>
      <w:r>
        <w:rPr>
          <w:spacing w:val="-43"/>
        </w:rPr>
      </w:r>
      <w:r>
        <w:rPr>
          <w:spacing w:val="-2"/>
        </w:rPr>
        <w:t>未来现金流量的现值两者之间的较高者。资产减值准备按单项资产为基础计算并确认，如果难以对单项资</w:t>
      </w:r>
      <w:r>
        <w:rPr>
          <w:spacing w:val="-42"/>
        </w:rPr>
        <w:t> </w:t>
      </w:r>
      <w:r>
        <w:rPr>
          <w:spacing w:val="-42"/>
        </w:rPr>
      </w:r>
      <w:r>
        <w:rPr>
          <w:spacing w:val="-2"/>
        </w:rPr>
        <w:t>产的可收回金额进行估计的，以该资产所属的资产组确定资产组的可收回金额。资产组是能够独立产生现</w:t>
      </w:r>
      <w:r>
        <w:rPr>
          <w:spacing w:val="-44"/>
        </w:rPr>
        <w:t> </w:t>
      </w:r>
      <w:r>
        <w:rPr>
          <w:spacing w:val="-44"/>
        </w:rPr>
      </w:r>
      <w:r>
        <w:rPr/>
        <w:t>金流入的最小资产组合。</w:t>
      </w:r>
    </w:p>
    <w:p>
      <w:pPr>
        <w:pStyle w:val="BodyText"/>
        <w:spacing w:line="405" w:lineRule="auto"/>
        <w:ind w:left="573" w:right="1133"/>
        <w:jc w:val="left"/>
      </w:pPr>
      <w:r>
        <w:rPr/>
        <w:t>商誉至少在每年年度终了进行减值测试。</w:t>
      </w:r>
      <w:r>
        <w:rPr>
          <w:w w:val="100"/>
        </w:rPr>
        <w:t> </w:t>
      </w:r>
      <w:r>
        <w:rPr>
          <w:spacing w:val="-2"/>
        </w:rPr>
        <w:t>本公司进行商誉减值测试，对于因企业合并形成的商誉的账面价值，自购买日起按照合理的方法分摊</w:t>
      </w:r>
    </w:p>
    <w:p>
      <w:pPr>
        <w:pStyle w:val="BodyText"/>
        <w:spacing w:line="408" w:lineRule="auto" w:before="48"/>
        <w:ind w:right="1126"/>
        <w:jc w:val="both"/>
      </w:pPr>
      <w:r>
        <w:rPr>
          <w:spacing w:val="-2"/>
        </w:rPr>
        <w:t>至相关的资产组；难以分摊至相关的资产组的，将其分摊至相关的资产组组合。在将商誉的账面价值分摊</w:t>
      </w:r>
      <w:r>
        <w:rPr>
          <w:spacing w:val="-44"/>
        </w:rPr>
        <w:t> </w:t>
      </w:r>
      <w:r>
        <w:rPr>
          <w:spacing w:val="-44"/>
        </w:rPr>
      </w:r>
      <w:r>
        <w:rPr>
          <w:spacing w:val="-2"/>
        </w:rPr>
        <w:t>至相关的资产组或者资产组组合时，按照各资产组或者资产组组合的公允价值占相关资产组或者资产组组</w:t>
      </w:r>
      <w:r>
        <w:rPr>
          <w:spacing w:val="-43"/>
        </w:rPr>
        <w:t> </w:t>
      </w:r>
      <w:r>
        <w:rPr>
          <w:spacing w:val="-43"/>
        </w:rPr>
      </w:r>
      <w:r>
        <w:rPr>
          <w:spacing w:val="-2"/>
        </w:rPr>
        <w:t>合公允价值总额的比例进行分摊。公允价值难以可靠计量的，按照各资产组或者资产组组合的账面价值占</w:t>
      </w:r>
      <w:r>
        <w:rPr>
          <w:spacing w:val="-43"/>
        </w:rPr>
        <w:t> </w:t>
      </w:r>
      <w:r>
        <w:rPr>
          <w:spacing w:val="-43"/>
        </w:rPr>
      </w:r>
      <w:r>
        <w:rPr/>
        <w:t>相关资产组或者资产组组合账面价值总额的比例进行分摊。</w:t>
      </w:r>
    </w:p>
    <w:p>
      <w:pPr>
        <w:pStyle w:val="BodyText"/>
        <w:spacing w:line="408" w:lineRule="auto"/>
        <w:ind w:right="1126" w:firstLine="420"/>
        <w:jc w:val="both"/>
      </w:pPr>
      <w:r>
        <w:rPr>
          <w:spacing w:val="-2"/>
        </w:rPr>
        <w:t>在对包含商誉的相关资产组或者资产组组合进行减值测试时，如与商誉相关的资产组或者资产组组合</w:t>
      </w:r>
      <w:r>
        <w:rPr>
          <w:w w:val="100"/>
        </w:rPr>
        <w:t> </w:t>
      </w:r>
      <w:r>
        <w:rPr>
          <w:spacing w:val="-2"/>
        </w:rPr>
        <w:t>存在减值迹象的，先对不包含商誉的资产组或者资产组组合进行减值测试，计算可收回金额，并与相关账</w:t>
      </w:r>
      <w:r>
        <w:rPr>
          <w:spacing w:val="-44"/>
        </w:rPr>
        <w:t> </w:t>
      </w:r>
      <w:r>
        <w:rPr>
          <w:spacing w:val="-44"/>
        </w:rPr>
      </w:r>
      <w:r>
        <w:rPr>
          <w:spacing w:val="-2"/>
        </w:rPr>
        <w:t>面价值相比较，确认相应的减值损失。再对包含商誉的资产组或者资产组组合进行减值测试，比较这些相</w:t>
      </w:r>
      <w:r>
        <w:rPr>
          <w:spacing w:val="-44"/>
        </w:rPr>
        <w:t> </w:t>
      </w:r>
      <w:r>
        <w:rPr>
          <w:spacing w:val="-44"/>
        </w:rPr>
      </w:r>
      <w:r>
        <w:rPr>
          <w:spacing w:val="-2"/>
        </w:rPr>
        <w:t>关资产组或者资产组组合的账面价值（包括所分摊的商誉的账面价值部分）与其可收回金额，如相关资产</w:t>
      </w:r>
      <w:r>
        <w:rPr>
          <w:spacing w:val="-43"/>
        </w:rPr>
        <w:t> </w:t>
      </w:r>
      <w:r>
        <w:rPr>
          <w:spacing w:val="-43"/>
        </w:rPr>
      </w:r>
      <w:r>
        <w:rPr/>
        <w:t>组或者资产组组合的可收回金额低于其账面价值的，确认商誉的减值损失。</w:t>
      </w:r>
      <w:r>
        <w:rPr>
          <w:spacing w:val="85"/>
        </w:rPr>
        <w:t> </w:t>
      </w:r>
      <w:r>
        <w:rPr/>
        <w:t>上述资产减值损失一经确</w:t>
      </w:r>
      <w:r>
        <w:rPr>
          <w:w w:val="100"/>
        </w:rPr>
        <w:t> </w:t>
      </w:r>
      <w:r>
        <w:rPr/>
        <w:t>认，在以后会计期间不予转回。</w:t>
      </w:r>
    </w:p>
    <w:p>
      <w:pPr>
        <w:spacing w:after="0" w:line="408"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bookmarkStart w:name="32、长期待摊费用" w:id="210"/>
      <w:bookmarkEnd w:id="210"/>
      <w:r>
        <w:rPr>
          <w:b w:val="0"/>
          <w:bCs w:val="0"/>
        </w:rPr>
      </w:r>
      <w:r>
        <w:rPr>
          <w:rFonts w:ascii="Times New Roman" w:hAnsi="Times New Roman" w:cs="Times New Roman" w:eastAsia="Times New Roman" w:hint="default"/>
        </w:rPr>
        <w:t>32</w:t>
      </w:r>
      <w:r>
        <w:rPr/>
        <w:t>、长期待摊费用</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66" w:right="1133"/>
        <w:jc w:val="left"/>
      </w:pPr>
      <w:r>
        <w:rPr/>
        <w:t>长期待摊费用是指本公司已经发生但应由本期和以后各期负担的期限在一年以上的各项费用。</w:t>
      </w:r>
    </w:p>
    <w:p>
      <w:pPr>
        <w:spacing w:line="240" w:lineRule="auto" w:before="10"/>
        <w:rPr>
          <w:rFonts w:ascii="宋体" w:hAnsi="宋体" w:cs="宋体" w:eastAsia="宋体" w:hint="default"/>
          <w:sz w:val="14"/>
          <w:szCs w:val="14"/>
        </w:rPr>
      </w:pPr>
    </w:p>
    <w:p>
      <w:pPr>
        <w:pStyle w:val="BodyText"/>
        <w:spacing w:line="398" w:lineRule="auto" w:before="0"/>
        <w:ind w:left="566" w:right="6794" w:firstLine="7"/>
        <w:jc w:val="left"/>
      </w:pPr>
      <w:r>
        <w:rPr>
          <w:rFonts w:ascii="Times New Roman" w:hAnsi="Times New Roman" w:cs="Times New Roman" w:eastAsia="Times New Roman" w:hint="default"/>
        </w:rPr>
        <w:t>1</w:t>
      </w:r>
      <w:r>
        <w:rPr/>
        <w:t>、摊销方法</w:t>
      </w:r>
      <w:r>
        <w:rPr>
          <w:w w:val="100"/>
        </w:rPr>
        <w:t> </w:t>
      </w:r>
      <w:r>
        <w:rPr>
          <w:spacing w:val="-2"/>
        </w:rPr>
        <w:t>长期待摊费用在受益期内平均摊销。</w:t>
      </w:r>
      <w:r>
        <w:rPr>
          <w:spacing w:val="-72"/>
        </w:rPr>
        <w:t> </w:t>
      </w:r>
      <w:r>
        <w:rPr>
          <w:spacing w:val="-72"/>
        </w:rPr>
      </w:r>
      <w:r>
        <w:rPr>
          <w:rFonts w:ascii="Times New Roman" w:hAnsi="Times New Roman" w:cs="Times New Roman" w:eastAsia="Times New Roman" w:hint="default"/>
        </w:rPr>
        <w:t>2</w:t>
      </w:r>
      <w:r>
        <w:rPr/>
        <w:t>、摊销年限</w:t>
      </w:r>
    </w:p>
    <w:p>
      <w:pPr>
        <w:pStyle w:val="BodyText"/>
        <w:spacing w:line="408" w:lineRule="auto" w:before="24"/>
        <w:ind w:left="566" w:right="1133"/>
        <w:jc w:val="left"/>
      </w:pPr>
      <w:r>
        <w:rPr/>
        <w:t>预付经营租入固定资产的租金，按租赁合同规定的期限平均摊销。</w:t>
      </w:r>
      <w:r>
        <w:rPr>
          <w:w w:val="100"/>
        </w:rPr>
        <w:t> </w:t>
      </w:r>
      <w:r>
        <w:rPr>
          <w:spacing w:val="-2"/>
        </w:rPr>
        <w:t>经营租赁方式租入的固定资产改良支出，按剩余租赁期与租赁资产尚可使用年限两者中较短的期限平</w:t>
      </w:r>
    </w:p>
    <w:p>
      <w:pPr>
        <w:pStyle w:val="BodyText"/>
        <w:spacing w:line="240" w:lineRule="auto"/>
        <w:ind w:right="1133"/>
        <w:jc w:val="left"/>
      </w:pPr>
      <w:r>
        <w:rPr/>
        <w:t>均摊销。</w:t>
      </w:r>
    </w:p>
    <w:p>
      <w:pPr>
        <w:spacing w:line="240" w:lineRule="auto" w:before="11"/>
        <w:rPr>
          <w:rFonts w:ascii="宋体" w:hAnsi="宋体" w:cs="宋体" w:eastAsia="宋体" w:hint="default"/>
          <w:sz w:val="14"/>
          <w:szCs w:val="14"/>
        </w:rPr>
      </w:pPr>
    </w:p>
    <w:p>
      <w:pPr>
        <w:pStyle w:val="BodyText"/>
        <w:spacing w:line="408" w:lineRule="auto" w:before="0"/>
        <w:ind w:right="1133" w:firstLine="420"/>
        <w:jc w:val="left"/>
      </w:pPr>
      <w:r>
        <w:rPr>
          <w:spacing w:val="-2"/>
        </w:rPr>
        <w:t>融资租赁方式租入的固定资产，其符合资本化条件的装修费用，在两次装修间隔期间、剩余租赁期和</w:t>
      </w:r>
      <w:r>
        <w:rPr>
          <w:w w:val="100"/>
        </w:rPr>
        <w:t> </w:t>
      </w:r>
      <w:r>
        <w:rPr/>
        <w:t>固定资产尚可使用年限三者中较短的期限平均摊销。</w:t>
      </w:r>
    </w:p>
    <w:p>
      <w:pPr>
        <w:spacing w:line="240" w:lineRule="auto" w:before="8"/>
        <w:rPr>
          <w:rFonts w:ascii="宋体" w:hAnsi="宋体" w:cs="宋体" w:eastAsia="宋体" w:hint="default"/>
          <w:sz w:val="20"/>
          <w:szCs w:val="20"/>
        </w:rPr>
      </w:pPr>
    </w:p>
    <w:p>
      <w:pPr>
        <w:pStyle w:val="Heading5"/>
        <w:spacing w:line="240" w:lineRule="auto"/>
        <w:ind w:right="1133"/>
        <w:jc w:val="left"/>
        <w:rPr>
          <w:b w:val="0"/>
          <w:bCs w:val="0"/>
        </w:rPr>
      </w:pPr>
      <w:bookmarkStart w:name="33、合同负债" w:id="211"/>
      <w:bookmarkEnd w:id="211"/>
      <w:r>
        <w:rPr>
          <w:b w:val="0"/>
          <w:bCs w:val="0"/>
        </w:rPr>
      </w:r>
      <w:r>
        <w:rPr>
          <w:rFonts w:ascii="Times New Roman" w:hAnsi="Times New Roman" w:cs="Times New Roman" w:eastAsia="Times New Roman" w:hint="default"/>
        </w:rPr>
        <w:t>33</w:t>
      </w:r>
      <w:r>
        <w:rPr/>
        <w:t>、合同负债</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bookmarkStart w:name="34、职工薪酬" w:id="212"/>
      <w:bookmarkEnd w:id="212"/>
      <w:r>
        <w:rPr>
          <w:b w:val="0"/>
          <w:bCs w:val="0"/>
        </w:rPr>
      </w:r>
      <w:r>
        <w:rPr>
          <w:rFonts w:ascii="Times New Roman" w:hAnsi="Times New Roman" w:cs="Times New Roman" w:eastAsia="Times New Roman" w:hint="default"/>
        </w:rPr>
        <w:t>34</w:t>
      </w:r>
      <w:r>
        <w:rPr/>
        <w:t>、职工薪酬</w:t>
      </w:r>
      <w:r>
        <w:rPr>
          <w:b w:val="0"/>
          <w:bCs w:val="0"/>
        </w:rPr>
      </w:r>
    </w:p>
    <w:p>
      <w:pPr>
        <w:spacing w:line="688" w:lineRule="exact" w:before="18"/>
        <w:ind w:left="489" w:right="1133" w:hanging="337"/>
        <w:jc w:val="left"/>
        <w:rPr>
          <w:rFonts w:ascii="宋体" w:hAnsi="宋体" w:cs="宋体" w:eastAsia="宋体" w:hint="default"/>
          <w:sz w:val="21"/>
          <w:szCs w:val="21"/>
        </w:rPr>
      </w:pPr>
      <w:bookmarkStart w:name="（1）短期薪酬的会计处理方法" w:id="213"/>
      <w:bookmarkEnd w:id="2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本公司在职工为本公司提供服务的会计期间，将实际发生的短期薪酬确认为负债，并计入当期损益或</w:t>
      </w:r>
    </w:p>
    <w:p>
      <w:pPr>
        <w:pStyle w:val="BodyText"/>
        <w:spacing w:line="408" w:lineRule="auto" w:before="85"/>
        <w:ind w:left="566" w:right="1133" w:hanging="414"/>
        <w:jc w:val="left"/>
      </w:pPr>
      <w:r>
        <w:rPr/>
        <w:t>相关资产成本。</w:t>
      </w:r>
      <w:r>
        <w:rPr>
          <w:spacing w:val="-103"/>
        </w:rPr>
        <w:t> </w:t>
      </w:r>
      <w:r>
        <w:rPr>
          <w:spacing w:val="-103"/>
        </w:rPr>
      </w:r>
      <w:r>
        <w:rPr>
          <w:spacing w:val="-2"/>
        </w:rPr>
        <w:t>本公司为职工缴纳的社会保险费和住房公积金，以及按规定提取的工会经费和职工教育经费，在职工</w:t>
      </w:r>
    </w:p>
    <w:p>
      <w:pPr>
        <w:pStyle w:val="BodyText"/>
        <w:spacing w:line="408" w:lineRule="auto"/>
        <w:ind w:left="566" w:right="1133" w:hanging="414"/>
        <w:jc w:val="left"/>
      </w:pPr>
      <w:r>
        <w:rPr>
          <w:spacing w:val="-2"/>
        </w:rPr>
        <w:t>为本公司提供服务的会计期间，根据规定的计提基础和计提比例计算确定相应的职工薪酬金额。</w:t>
      </w:r>
      <w:r>
        <w:rPr>
          <w:spacing w:val="-25"/>
        </w:rPr>
        <w:t> </w:t>
      </w:r>
      <w:r>
        <w:rPr>
          <w:spacing w:val="-25"/>
        </w:rPr>
      </w:r>
      <w:r>
        <w:rPr/>
        <w:t>职工福利费为非货币性福利的，如能够可靠计量的，按照公允价值计量。</w:t>
      </w:r>
    </w:p>
    <w:p>
      <w:pPr>
        <w:spacing w:line="240" w:lineRule="auto" w:before="8"/>
        <w:rPr>
          <w:rFonts w:ascii="宋体" w:hAnsi="宋体" w:cs="宋体" w:eastAsia="宋体" w:hint="default"/>
          <w:sz w:val="20"/>
          <w:szCs w:val="20"/>
        </w:rPr>
      </w:pPr>
    </w:p>
    <w:p>
      <w:pPr>
        <w:pStyle w:val="Heading5"/>
        <w:spacing w:line="240" w:lineRule="auto"/>
        <w:ind w:right="1133"/>
        <w:jc w:val="left"/>
        <w:rPr>
          <w:b w:val="0"/>
          <w:bCs w:val="0"/>
        </w:rPr>
      </w:pPr>
      <w:bookmarkStart w:name="（2）离职后福利的会计处理方法" w:id="214"/>
      <w:bookmarkEnd w:id="214"/>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33" w:firstLine="336"/>
        <w:jc w:val="left"/>
      </w:pPr>
      <w:r>
        <w:rPr/>
        <w:t>本公司按当地政府的相关规定为职工缴纳基本养老保险和失业保险，在职工为本公司提供服务的会计</w:t>
      </w:r>
      <w:r>
        <w:rPr>
          <w:w w:val="100"/>
        </w:rPr>
        <w:t> </w:t>
      </w:r>
      <w:r>
        <w:rPr>
          <w:spacing w:val="-2"/>
        </w:rPr>
        <w:t>期间，按以当地规定的缴纳基数和比例计算应缴纳金额，确认为负债，并计入当期损益或相关资产成本。</w:t>
      </w:r>
    </w:p>
    <w:p>
      <w:pPr>
        <w:spacing w:line="240" w:lineRule="auto" w:before="8"/>
        <w:rPr>
          <w:rFonts w:ascii="宋体" w:hAnsi="宋体" w:cs="宋体" w:eastAsia="宋体" w:hint="default"/>
          <w:sz w:val="20"/>
          <w:szCs w:val="20"/>
        </w:rPr>
      </w:pPr>
    </w:p>
    <w:p>
      <w:pPr>
        <w:pStyle w:val="Heading5"/>
        <w:spacing w:line="240" w:lineRule="auto"/>
        <w:ind w:right="1133"/>
        <w:jc w:val="left"/>
        <w:rPr>
          <w:b w:val="0"/>
          <w:bCs w:val="0"/>
        </w:rPr>
      </w:pPr>
      <w:bookmarkStart w:name="（3）辞退福利的会计处理方法" w:id="215"/>
      <w:bookmarkEnd w:id="215"/>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33" w:firstLine="336"/>
        <w:jc w:val="left"/>
      </w:pPr>
      <w:r>
        <w:rPr/>
        <w:t>本公司在不能单方面撤回因解除劳动关系计划或裁减建议所提供的辞退福利时，或确认与涉及支付辞</w:t>
      </w:r>
      <w:r>
        <w:rPr>
          <w:w w:val="100"/>
        </w:rPr>
        <w:t> </w:t>
      </w:r>
      <w:r>
        <w:rPr>
          <w:spacing w:val="-2"/>
        </w:rPr>
        <w:t>退福利的重组相关的成本或费用时（两者孰早），确认辞退福利产生的职工薪酬负债，并计入当期损益。</w:t>
      </w:r>
    </w:p>
    <w:p>
      <w:pPr>
        <w:spacing w:after="0" w:line="408"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506" w:lineRule="auto" w:before="36"/>
        <w:ind w:right="6794"/>
        <w:jc w:val="left"/>
        <w:rPr>
          <w:rFonts w:ascii="宋体" w:hAnsi="宋体" w:cs="宋体" w:eastAsia="宋体" w:hint="default"/>
          <w:b w:val="0"/>
          <w:bCs w:val="0"/>
        </w:rPr>
      </w:pPr>
      <w:bookmarkStart w:name="（4）其他长期职工福利的会计处理方法" w:id="216"/>
      <w:bookmarkEnd w:id="216"/>
      <w:r>
        <w:rPr>
          <w:b w:val="0"/>
          <w:bCs w:val="0"/>
        </w:rPr>
      </w:r>
      <w:r>
        <w:rPr>
          <w:spacing w:val="-1"/>
        </w:rPr>
        <w:t>（</w:t>
      </w:r>
      <w:r>
        <w:rPr>
          <w:rFonts w:ascii="Times New Roman" w:hAnsi="Times New Roman" w:cs="Times New Roman" w:eastAsia="Times New Roman" w:hint="default"/>
          <w:spacing w:val="-1"/>
        </w:rPr>
        <w:t>4</w:t>
      </w:r>
      <w:r>
        <w:rPr>
          <w:spacing w:val="-1"/>
        </w:rPr>
        <w:t>）其他长期职工福利的会计处理方法</w:t>
      </w:r>
      <w:r>
        <w:rPr>
          <w:spacing w:val="-88"/>
        </w:rPr>
        <w:t> </w:t>
      </w:r>
      <w:r>
        <w:rPr>
          <w:spacing w:val="-88"/>
        </w:rPr>
      </w:r>
      <w:r>
        <w:rPr>
          <w:rFonts w:ascii="宋体" w:hAnsi="宋体" w:cs="宋体" w:eastAsia="宋体" w:hint="default"/>
          <w:b w:val="0"/>
          <w:bCs w:val="0"/>
        </w:rPr>
        <w:t>暂无</w:t>
      </w:r>
    </w:p>
    <w:p>
      <w:pPr>
        <w:pStyle w:val="Heading5"/>
        <w:spacing w:line="240" w:lineRule="auto" w:before="104"/>
        <w:ind w:right="1133"/>
        <w:jc w:val="left"/>
        <w:rPr>
          <w:b w:val="0"/>
          <w:bCs w:val="0"/>
        </w:rPr>
      </w:pPr>
      <w:bookmarkStart w:name="35、租赁负债" w:id="217"/>
      <w:bookmarkEnd w:id="217"/>
      <w:r>
        <w:rPr>
          <w:b w:val="0"/>
          <w:bCs w:val="0"/>
        </w:rPr>
      </w:r>
      <w:r>
        <w:rPr>
          <w:rFonts w:ascii="Times New Roman" w:hAnsi="Times New Roman" w:cs="Times New Roman" w:eastAsia="Times New Roman" w:hint="default"/>
        </w:rPr>
        <w:t>35</w:t>
      </w:r>
      <w:r>
        <w:rPr/>
        <w:t>、租赁负债</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bookmarkStart w:name="36、预计负债" w:id="218"/>
      <w:bookmarkEnd w:id="218"/>
      <w:r>
        <w:rPr>
          <w:b w:val="0"/>
          <w:bCs w:val="0"/>
        </w:rPr>
      </w:r>
      <w:r>
        <w:rPr>
          <w:rFonts w:ascii="Times New Roman" w:hAnsi="Times New Roman" w:cs="Times New Roman" w:eastAsia="Times New Roman" w:hint="default"/>
        </w:rPr>
        <w:t>36</w:t>
      </w:r>
      <w:r>
        <w:rPr/>
        <w:t>、预计负债</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33" w:firstLine="413"/>
        <w:jc w:val="left"/>
      </w:pPr>
      <w:r>
        <w:rPr>
          <w:spacing w:val="-2"/>
        </w:rPr>
        <w:t>本公司涉及诉讼、债务担保、亏损合同、重组事项时，如该等事项很可能需要未来以交付资产或提供</w:t>
      </w:r>
      <w:r>
        <w:rPr>
          <w:w w:val="100"/>
        </w:rPr>
        <w:t> </w:t>
      </w:r>
      <w:r>
        <w:rPr/>
        <w:t>劳务、其金额能够可靠计量的，确认为预计负债。</w:t>
      </w:r>
    </w:p>
    <w:p>
      <w:pPr>
        <w:pStyle w:val="BodyText"/>
        <w:spacing w:line="386" w:lineRule="auto"/>
        <w:ind w:left="566" w:right="1133" w:firstLine="7"/>
        <w:jc w:val="left"/>
      </w:pPr>
      <w:r>
        <w:rPr>
          <w:rFonts w:ascii="Times New Roman" w:hAnsi="Times New Roman" w:cs="Times New Roman" w:eastAsia="Times New Roman" w:hint="default"/>
        </w:rPr>
        <w:t>1</w:t>
      </w:r>
      <w:r>
        <w:rPr/>
        <w:t>、预计负债的确认标准</w:t>
      </w:r>
      <w:r>
        <w:rPr>
          <w:w w:val="100"/>
        </w:rPr>
        <w:t> </w:t>
      </w:r>
      <w:r>
        <w:rPr>
          <w:spacing w:val="-2"/>
        </w:rPr>
        <w:t>与诉讼、债务担保、亏损合同、重组事项等或有事项相关的义务同时满足下列条件时，本公司确认为</w:t>
      </w:r>
    </w:p>
    <w:p>
      <w:pPr>
        <w:pStyle w:val="BodyText"/>
        <w:spacing w:line="240" w:lineRule="auto" w:before="65"/>
        <w:ind w:right="1133"/>
        <w:jc w:val="left"/>
      </w:pPr>
      <w:r>
        <w:rPr/>
        <w:t>预计负债：</w:t>
      </w:r>
    </w:p>
    <w:p>
      <w:pPr>
        <w:spacing w:line="240" w:lineRule="auto" w:before="10"/>
        <w:rPr>
          <w:rFonts w:ascii="宋体" w:hAnsi="宋体" w:cs="宋体" w:eastAsia="宋体" w:hint="default"/>
          <w:sz w:val="14"/>
          <w:szCs w:val="14"/>
        </w:rPr>
      </w:pPr>
    </w:p>
    <w:p>
      <w:pPr>
        <w:pStyle w:val="BodyText"/>
        <w:spacing w:line="240" w:lineRule="auto" w:before="0"/>
        <w:ind w:left="566" w:right="1133"/>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177"/>
        <w:ind w:left="566" w:right="1133"/>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177"/>
        <w:ind w:left="566" w:right="1133"/>
        <w:jc w:val="left"/>
      </w:pPr>
      <w:r>
        <w:rPr/>
        <w:t>（</w:t>
      </w:r>
      <w:r>
        <w:rPr>
          <w:rFonts w:ascii="Times New Roman" w:hAnsi="Times New Roman" w:cs="Times New Roman" w:eastAsia="Times New Roman" w:hint="default"/>
        </w:rPr>
        <w:t>3</w:t>
      </w:r>
      <w:r>
        <w:rPr/>
        <w:t>）该义务的金额能够可靠地计量。</w:t>
      </w:r>
    </w:p>
    <w:p>
      <w:pPr>
        <w:pStyle w:val="BodyText"/>
        <w:spacing w:line="398" w:lineRule="auto" w:before="177"/>
        <w:ind w:left="566" w:right="1133" w:firstLine="7"/>
        <w:jc w:val="left"/>
      </w:pPr>
      <w:r>
        <w:rPr>
          <w:rFonts w:ascii="Times New Roman" w:hAnsi="Times New Roman" w:cs="Times New Roman" w:eastAsia="Times New Roman" w:hint="default"/>
        </w:rPr>
        <w:t>2</w:t>
      </w:r>
      <w:r>
        <w:rPr/>
        <w:t>、预计负债的计量方法</w:t>
      </w:r>
      <w:r>
        <w:rPr>
          <w:w w:val="100"/>
        </w:rPr>
        <w:t> </w:t>
      </w:r>
      <w:r>
        <w:rPr/>
        <w:t>本公司预计负债按履行相关现时义务所需的支出的最佳估计数进行初始计量。</w:t>
      </w:r>
      <w:r>
        <w:rPr>
          <w:w w:val="100"/>
        </w:rPr>
        <w:t> </w:t>
      </w:r>
      <w:r>
        <w:rPr>
          <w:spacing w:val="-2"/>
        </w:rPr>
        <w:t>本公司在确定最佳估计数时，综合考虑与或有事项有关的风险、不确定性和货币时间价值等因素。对</w:t>
      </w:r>
    </w:p>
    <w:p>
      <w:pPr>
        <w:pStyle w:val="BodyText"/>
        <w:spacing w:line="408" w:lineRule="auto" w:before="55"/>
        <w:ind w:left="566" w:right="1133" w:hanging="414"/>
        <w:jc w:val="left"/>
      </w:pPr>
      <w:r>
        <w:rPr/>
        <w:t>于货币时间价值影响重大的，通过对相关未来现金流出进行折现后确定最佳估计数。</w:t>
      </w:r>
      <w:r>
        <w:rPr>
          <w:w w:val="100"/>
        </w:rPr>
        <w:t> </w:t>
      </w:r>
      <w:r>
        <w:rPr/>
        <w:t>最佳估计数分别以下情况处理：</w:t>
      </w:r>
      <w:r>
        <w:rPr>
          <w:w w:val="100"/>
        </w:rPr>
        <w:t> </w:t>
      </w:r>
      <w:r>
        <w:rPr>
          <w:spacing w:val="-2"/>
        </w:rPr>
        <w:t>所需支出存在一个连续范围（或区间），且该范围内各种结果发生的可能性相同的，则最佳估计数按</w:t>
      </w:r>
    </w:p>
    <w:p>
      <w:pPr>
        <w:pStyle w:val="BodyText"/>
        <w:spacing w:line="408" w:lineRule="auto"/>
        <w:ind w:left="566" w:right="1133" w:hanging="414"/>
        <w:jc w:val="left"/>
      </w:pPr>
      <w:r>
        <w:rPr/>
        <w:t>照该范围的中间值即上下限金额的平均数确定。</w:t>
      </w:r>
      <w:r>
        <w:rPr>
          <w:w w:val="100"/>
        </w:rPr>
        <w:t> </w:t>
      </w:r>
      <w:r>
        <w:rPr>
          <w:spacing w:val="-2"/>
        </w:rPr>
        <w:t>所需支出不存在一个连续范围（或区间），或虽然存在一个连续范围但该范围内各种结果发生的可能</w:t>
      </w:r>
    </w:p>
    <w:p>
      <w:pPr>
        <w:pStyle w:val="BodyText"/>
        <w:spacing w:line="408" w:lineRule="auto"/>
        <w:ind w:right="1133"/>
        <w:jc w:val="left"/>
      </w:pPr>
      <w:r>
        <w:rPr>
          <w:spacing w:val="-2"/>
        </w:rPr>
        <w:t>性不相同的，如或有事项涉及单个项目的，则最佳估计数按照最可能发生金额确定；如或有事项涉及多个</w:t>
      </w:r>
      <w:r>
        <w:rPr>
          <w:spacing w:val="-43"/>
        </w:rPr>
        <w:t> </w:t>
      </w:r>
      <w:r>
        <w:rPr>
          <w:spacing w:val="-43"/>
        </w:rPr>
      </w:r>
      <w:r>
        <w:rPr/>
        <w:t>项目的，则最佳估计数按各种可能结果及相关概率计算确定。</w:t>
      </w:r>
    </w:p>
    <w:p>
      <w:pPr>
        <w:pStyle w:val="BodyText"/>
        <w:spacing w:line="408" w:lineRule="auto"/>
        <w:ind w:right="1133" w:firstLine="413"/>
        <w:jc w:val="left"/>
      </w:pPr>
      <w:r>
        <w:rPr>
          <w:spacing w:val="-2"/>
        </w:rPr>
        <w:t>本公司清偿预计负债所需支出全部或部分预期由第三方补偿的，补偿金额在基本确定能够收到时，作</w:t>
      </w:r>
      <w:r>
        <w:rPr>
          <w:w w:val="100"/>
        </w:rPr>
        <w:t> </w:t>
      </w:r>
      <w:r>
        <w:rPr/>
        <w:t>为资产单独确认，确认的补偿金额不超过预计负债的账面价值。</w:t>
      </w:r>
    </w:p>
    <w:p>
      <w:pPr>
        <w:spacing w:after="0" w:line="408"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bookmarkStart w:name="37、股份支付" w:id="219"/>
      <w:bookmarkEnd w:id="219"/>
      <w:r>
        <w:rPr>
          <w:b w:val="0"/>
          <w:bCs w:val="0"/>
        </w:rPr>
      </w:r>
      <w:r>
        <w:rPr>
          <w:rFonts w:ascii="Times New Roman" w:hAnsi="Times New Roman" w:cs="Times New Roman" w:eastAsia="Times New Roman" w:hint="default"/>
        </w:rPr>
        <w:t>37</w:t>
      </w:r>
      <w:r>
        <w:rPr/>
        <w:t>、股份支付</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bookmarkStart w:name="38、优先股、永续债等其他金融工具" w:id="220"/>
      <w:bookmarkEnd w:id="220"/>
      <w:r>
        <w:rPr>
          <w:b w:val="0"/>
          <w:bCs w:val="0"/>
        </w:rPr>
      </w:r>
      <w:r>
        <w:rPr>
          <w:rFonts w:ascii="Times New Roman" w:hAnsi="Times New Roman" w:cs="Times New Roman" w:eastAsia="Times New Roman" w:hint="default"/>
        </w:rPr>
        <w:t>38</w:t>
      </w:r>
      <w:r>
        <w:rPr/>
        <w:t>、优先股、永续债等其他金融工具</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bookmarkStart w:name="39、收入" w:id="221"/>
      <w:bookmarkEnd w:id="221"/>
      <w:r>
        <w:rPr>
          <w:b w:val="0"/>
          <w:bCs w:val="0"/>
        </w:rPr>
      </w:r>
      <w:r>
        <w:rPr>
          <w:rFonts w:ascii="Times New Roman" w:hAnsi="Times New Roman" w:cs="Times New Roman" w:eastAsia="Times New Roman" w:hint="default"/>
        </w:rPr>
        <w:t>39</w:t>
      </w:r>
      <w:r>
        <w:rPr/>
        <w:t>、收入</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40" w:lineRule="auto" w:before="115"/>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收入确认和计量所采用的会计政策</w:t>
      </w:r>
    </w:p>
    <w:p>
      <w:pPr>
        <w:spacing w:before="41"/>
        <w:ind w:left="152" w:right="1133" w:firstLine="0"/>
        <w:jc w:val="left"/>
        <w:rPr>
          <w:rFonts w:ascii="宋体" w:hAnsi="宋体" w:cs="宋体" w:eastAsia="宋体" w:hint="default"/>
          <w:sz w:val="18"/>
          <w:szCs w:val="18"/>
        </w:rPr>
      </w:pPr>
      <w:r>
        <w:rPr>
          <w:rFonts w:ascii="宋体" w:hAnsi="宋体" w:cs="宋体" w:eastAsia="宋体" w:hint="default"/>
          <w:sz w:val="18"/>
          <w:szCs w:val="18"/>
        </w:rPr>
        <w:t>同类业务采用不同经营模式导致收入确认会计政策存在差异的情况</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bookmarkStart w:name="40、政府补助" w:id="222"/>
      <w:bookmarkEnd w:id="222"/>
      <w:r>
        <w:rPr>
          <w:b w:val="0"/>
          <w:bCs w:val="0"/>
        </w:rPr>
      </w:r>
      <w:r>
        <w:rPr>
          <w:rFonts w:ascii="Times New Roman" w:hAnsi="Times New Roman" w:cs="Times New Roman" w:eastAsia="Times New Roman" w:hint="default"/>
        </w:rPr>
        <w:t>40</w:t>
      </w:r>
      <w:r>
        <w:rPr/>
        <w:t>、政府补助</w:t>
      </w:r>
      <w:r>
        <w:rPr>
          <w:b w:val="0"/>
          <w:bCs w:val="0"/>
        </w:rPr>
      </w:r>
    </w:p>
    <w:p>
      <w:pPr>
        <w:spacing w:line="240" w:lineRule="auto" w:before="9"/>
        <w:rPr>
          <w:rFonts w:ascii="宋体" w:hAnsi="宋体" w:cs="宋体" w:eastAsia="宋体" w:hint="default"/>
          <w:b/>
          <w:bCs/>
          <w:sz w:val="30"/>
          <w:szCs w:val="30"/>
        </w:rPr>
      </w:pPr>
    </w:p>
    <w:p>
      <w:pPr>
        <w:pStyle w:val="BodyText"/>
        <w:spacing w:line="386" w:lineRule="auto" w:before="0"/>
        <w:ind w:left="573" w:right="1133"/>
        <w:jc w:val="left"/>
      </w:pPr>
      <w:r>
        <w:rPr>
          <w:rFonts w:ascii="Times New Roman" w:hAnsi="Times New Roman" w:cs="Times New Roman" w:eastAsia="Times New Roman" w:hint="default"/>
        </w:rPr>
        <w:t>1</w:t>
      </w:r>
      <w:r>
        <w:rPr/>
        <w:t>、类型</w:t>
      </w:r>
      <w:r>
        <w:rPr>
          <w:w w:val="100"/>
        </w:rPr>
        <w:t> </w:t>
      </w:r>
      <w:r>
        <w:rPr>
          <w:spacing w:val="-2"/>
        </w:rPr>
        <w:t>政府补助，是本公司从政府无偿取得的货币性资产与非货币性资产。分为与资产相关的政府补助和与</w:t>
      </w:r>
    </w:p>
    <w:p>
      <w:pPr>
        <w:pStyle w:val="BodyText"/>
        <w:spacing w:line="408" w:lineRule="auto" w:before="65"/>
        <w:ind w:left="573" w:right="1133" w:hanging="421"/>
        <w:jc w:val="left"/>
      </w:pPr>
      <w:r>
        <w:rPr/>
        <w:t>收益相关的政府补助。</w:t>
      </w:r>
      <w:r>
        <w:rPr>
          <w:w w:val="100"/>
        </w:rPr>
        <w:t> </w:t>
      </w:r>
      <w:r>
        <w:rPr>
          <w:spacing w:val="-2"/>
        </w:rPr>
        <w:t>与资产相关的政府补助，是指本公司取得的、用于购建或以其他方式形成长期资产的政府补助，与收</w:t>
      </w:r>
    </w:p>
    <w:p>
      <w:pPr>
        <w:pStyle w:val="BodyText"/>
        <w:spacing w:line="408" w:lineRule="auto"/>
        <w:ind w:left="573" w:right="1133" w:hanging="421"/>
        <w:jc w:val="left"/>
      </w:pPr>
      <w:r>
        <w:rPr/>
        <w:t>益相关的政府补助，是指除与资产相关的政府补助之外的政府补助。</w:t>
      </w:r>
      <w:r>
        <w:rPr>
          <w:w w:val="100"/>
        </w:rPr>
        <w:t> </w:t>
      </w:r>
      <w:r>
        <w:rPr>
          <w:spacing w:val="-2"/>
        </w:rPr>
        <w:t>本公司将政府补助划分为与资产相关的具体标准为：申请政府补助的项目最终形成一项或多项长期资</w:t>
      </w:r>
    </w:p>
    <w:p>
      <w:pPr>
        <w:pStyle w:val="BodyText"/>
        <w:spacing w:line="408" w:lineRule="auto"/>
        <w:ind w:left="573" w:right="1133" w:hanging="421"/>
        <w:jc w:val="left"/>
      </w:pPr>
      <w:r>
        <w:rPr/>
        <w:t>产，且该长期资产可以为本公司带来预期的经济利益。</w:t>
      </w:r>
      <w:r>
        <w:rPr>
          <w:w w:val="100"/>
        </w:rPr>
        <w:t> </w:t>
      </w:r>
      <w:r>
        <w:rPr>
          <w:spacing w:val="2"/>
        </w:rPr>
        <w:t>本公司将政府补助划分为与收益相关的具体标准为：申请政府补助的项目与本公司主营业务紧密相</w:t>
      </w:r>
    </w:p>
    <w:p>
      <w:pPr>
        <w:pStyle w:val="BodyText"/>
        <w:spacing w:line="240" w:lineRule="auto"/>
        <w:ind w:right="1133"/>
        <w:jc w:val="left"/>
      </w:pPr>
      <w:r>
        <w:rPr/>
        <w:t>关，本公司的相关投入最终将计入相应会计期间的费用。</w:t>
      </w:r>
    </w:p>
    <w:p>
      <w:pPr>
        <w:spacing w:line="240" w:lineRule="auto" w:before="10"/>
        <w:rPr>
          <w:rFonts w:ascii="宋体" w:hAnsi="宋体" w:cs="宋体" w:eastAsia="宋体" w:hint="default"/>
          <w:sz w:val="14"/>
          <w:szCs w:val="14"/>
        </w:rPr>
      </w:pPr>
    </w:p>
    <w:p>
      <w:pPr>
        <w:pStyle w:val="BodyText"/>
        <w:spacing w:line="386" w:lineRule="auto" w:before="0"/>
        <w:ind w:left="573" w:right="1133"/>
        <w:jc w:val="left"/>
      </w:pPr>
      <w:r>
        <w:rPr>
          <w:rFonts w:ascii="Times New Roman" w:hAnsi="Times New Roman" w:cs="Times New Roman" w:eastAsia="Times New Roman" w:hint="default"/>
        </w:rPr>
        <w:t>2</w:t>
      </w:r>
      <w:r>
        <w:rPr/>
        <w:t>、会计处理</w:t>
      </w:r>
      <w:r>
        <w:rPr>
          <w:w w:val="100"/>
        </w:rPr>
        <w:t> </w:t>
      </w:r>
      <w:r>
        <w:rPr>
          <w:spacing w:val="-2"/>
        </w:rPr>
        <w:t>与资产相关的政府补助，冲减相关资产账面价值或确认为递延收益。确认为递延收益的，在相关资产</w:t>
      </w:r>
    </w:p>
    <w:p>
      <w:pPr>
        <w:pStyle w:val="BodyText"/>
        <w:spacing w:line="408" w:lineRule="auto" w:before="65"/>
        <w:ind w:right="1133"/>
        <w:jc w:val="left"/>
      </w:pPr>
      <w:r>
        <w:rPr>
          <w:spacing w:val="-2"/>
        </w:rPr>
        <w:t>使用寿命内按照合理、系统的方法分期计入当期损益（与本公司日常活动相关的，计入其他收益；与本公</w:t>
      </w:r>
      <w:r>
        <w:rPr>
          <w:spacing w:val="-47"/>
        </w:rPr>
        <w:t> </w:t>
      </w:r>
      <w:r>
        <w:rPr>
          <w:spacing w:val="-47"/>
        </w:rPr>
      </w:r>
      <w:r>
        <w:rPr/>
        <w:t>司日常活动无关的，计入营业外收入）；</w:t>
      </w:r>
    </w:p>
    <w:p>
      <w:pPr>
        <w:pStyle w:val="BodyText"/>
        <w:spacing w:line="408" w:lineRule="auto"/>
        <w:ind w:right="1126" w:firstLine="420"/>
        <w:jc w:val="both"/>
      </w:pPr>
      <w:r>
        <w:rPr>
          <w:spacing w:val="-2"/>
        </w:rPr>
        <w:t>与收益相关的政府补助，用于补偿本公司以后期间的相关成本费用或损失的，确认为递延收益，并在</w:t>
      </w:r>
      <w:r>
        <w:rPr>
          <w:w w:val="100"/>
        </w:rPr>
        <w:t> </w:t>
      </w:r>
      <w:r>
        <w:rPr>
          <w:spacing w:val="-2"/>
        </w:rPr>
        <w:t>确认相关成本费用或损失的期间，计入当期损益（与本公司日常活动相关的，计入其他收益；与本公司日</w:t>
      </w:r>
      <w:r>
        <w:rPr>
          <w:spacing w:val="-44"/>
        </w:rPr>
        <w:t> </w:t>
      </w:r>
      <w:r>
        <w:rPr>
          <w:spacing w:val="-44"/>
        </w:rPr>
      </w:r>
      <w:r>
        <w:rPr>
          <w:spacing w:val="-2"/>
        </w:rPr>
        <w:t>常活动无关的，计入营业外收入）或冲减相关成本费用或损失；用于补偿本公司已发生的相关成本费用或</w:t>
      </w:r>
      <w:r>
        <w:rPr>
          <w:spacing w:val="-45"/>
        </w:rPr>
        <w:t> </w:t>
      </w:r>
      <w:r>
        <w:rPr>
          <w:spacing w:val="-45"/>
        </w:rPr>
      </w:r>
      <w:r>
        <w:rPr>
          <w:spacing w:val="-2"/>
        </w:rPr>
        <w:t>损失的，直接计入当期损益（与本公司日常活动相关的，计入其他收益；与本公司日常活动无关的，计入</w:t>
      </w:r>
      <w:r>
        <w:rPr>
          <w:spacing w:val="-43"/>
        </w:rPr>
        <w:t> </w:t>
      </w:r>
      <w:r>
        <w:rPr>
          <w:spacing w:val="-43"/>
        </w:rPr>
      </w:r>
      <w:r>
        <w:rPr/>
        <w:t>营业外收入）或冲减相关成本费用或损失。</w:t>
      </w:r>
    </w:p>
    <w:p>
      <w:pPr>
        <w:pStyle w:val="BodyText"/>
        <w:spacing w:line="240" w:lineRule="auto"/>
        <w:ind w:left="573" w:right="1133"/>
        <w:jc w:val="left"/>
      </w:pPr>
      <w:r>
        <w:rPr/>
        <w:t>本公司取得的政策性优惠贷款贴息，区分以下两种情况，分别进行会计处理：</w:t>
      </w:r>
    </w:p>
    <w:p>
      <w:pPr>
        <w:spacing w:line="240" w:lineRule="auto" w:before="10"/>
        <w:rPr>
          <w:rFonts w:ascii="宋体" w:hAnsi="宋体" w:cs="宋体" w:eastAsia="宋体" w:hint="default"/>
          <w:sz w:val="14"/>
          <w:szCs w:val="14"/>
        </w:rPr>
      </w:pPr>
    </w:p>
    <w:p>
      <w:pPr>
        <w:pStyle w:val="BodyText"/>
        <w:spacing w:line="386" w:lineRule="auto" w:before="0"/>
        <w:ind w:right="1136" w:firstLine="420"/>
        <w:jc w:val="both"/>
      </w:pPr>
      <w:r>
        <w:rPr/>
        <w:t>（</w:t>
      </w:r>
      <w:r>
        <w:rPr>
          <w:rFonts w:ascii="Times New Roman" w:hAnsi="Times New Roman" w:cs="Times New Roman" w:eastAsia="Times New Roman" w:hint="default"/>
        </w:rPr>
        <w:t>1</w:t>
      </w:r>
      <w:r>
        <w:rPr/>
        <w:t>）财政将贴息资金拨付给贷款银行，由贷款银行以政策性优惠利率向本公司提供贷款的，本公司</w:t>
      </w:r>
      <w:r>
        <w:rPr>
          <w:w w:val="100"/>
        </w:rPr>
        <w:t> </w:t>
      </w:r>
      <w:r>
        <w:rPr/>
        <w:t>以实际收到的借款金额作为借款的入账价值，按照借款本金和该政策性优惠利率计算相关借款费用。</w:t>
      </w:r>
    </w:p>
    <w:p>
      <w:pPr>
        <w:spacing w:after="0" w:line="386"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1133"/>
        <w:jc w:val="left"/>
      </w:pPr>
      <w:r>
        <w:rPr/>
        <w:t>（</w:t>
      </w:r>
      <w:r>
        <w:rPr>
          <w:rFonts w:ascii="Times New Roman" w:hAnsi="Times New Roman" w:cs="Times New Roman" w:eastAsia="Times New Roman" w:hint="default"/>
        </w:rPr>
        <w:t>2</w:t>
      </w:r>
      <w:r>
        <w:rPr/>
        <w:t>）财政将贴息资金直接拨付给本公司的，本公司将对应的贴息冲减相关借款费用。</w:t>
      </w:r>
    </w:p>
    <w:p>
      <w:pPr>
        <w:spacing w:line="670" w:lineRule="atLeast" w:before="21"/>
        <w:ind w:left="573" w:right="1133" w:hanging="421"/>
        <w:jc w:val="left"/>
        <w:rPr>
          <w:rFonts w:ascii="宋体" w:hAnsi="宋体" w:cs="宋体" w:eastAsia="宋体" w:hint="default"/>
          <w:sz w:val="21"/>
          <w:szCs w:val="21"/>
        </w:rPr>
      </w:pPr>
      <w:bookmarkStart w:name="41、递延所得税资产/递延所得税负债" w:id="223"/>
      <w:bookmarkEnd w:id="223"/>
      <w:r>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pacing w:val="-2"/>
          <w:sz w:val="21"/>
          <w:szCs w:val="21"/>
        </w:rPr>
        <w:t>对于可抵扣暂时性差异确认递延所得税资产，以未来期间很可能取得的用来抵扣可抵扣暂时性差异的</w:t>
      </w:r>
    </w:p>
    <w:p>
      <w:pPr>
        <w:spacing w:line="240" w:lineRule="auto" w:before="10"/>
        <w:rPr>
          <w:rFonts w:ascii="宋体" w:hAnsi="宋体" w:cs="宋体" w:eastAsia="宋体" w:hint="default"/>
          <w:sz w:val="14"/>
          <w:szCs w:val="14"/>
        </w:rPr>
      </w:pPr>
    </w:p>
    <w:p>
      <w:pPr>
        <w:pStyle w:val="BodyText"/>
        <w:spacing w:line="408" w:lineRule="auto" w:before="0"/>
        <w:ind w:right="1126"/>
        <w:jc w:val="both"/>
      </w:pPr>
      <w:r>
        <w:rPr>
          <w:spacing w:val="-2"/>
        </w:rPr>
        <w:t>应纳税所得额为限。对于能够结转以后年度的可抵扣亏损和税款抵减，以很可能获得用来抵扣可抵扣亏损</w:t>
      </w:r>
      <w:r>
        <w:rPr>
          <w:spacing w:val="-42"/>
        </w:rPr>
        <w:t> </w:t>
      </w:r>
      <w:r>
        <w:rPr>
          <w:spacing w:val="-42"/>
        </w:rPr>
      </w:r>
      <w:r>
        <w:rPr/>
        <w:t>和税款抵减的未来应纳税所得额为限，确认相应的递延所得税资产。</w:t>
      </w:r>
    </w:p>
    <w:p>
      <w:pPr>
        <w:pStyle w:val="BodyText"/>
        <w:spacing w:line="408" w:lineRule="auto"/>
        <w:ind w:left="573" w:right="1133"/>
        <w:jc w:val="left"/>
      </w:pPr>
      <w:r>
        <w:rPr/>
        <w:t>对于应纳税暂时性差异，除特殊情况外，确认递延所得税负债。</w:t>
      </w:r>
      <w:r>
        <w:rPr>
          <w:w w:val="100"/>
        </w:rPr>
        <w:t> </w:t>
      </w:r>
      <w:r>
        <w:rPr>
          <w:spacing w:val="-2"/>
        </w:rPr>
        <w:t>不确认递延所得税资产或递延所得税负债的特殊情况包括：商誉的初始确认；除企业合并以外的发生</w:t>
      </w:r>
    </w:p>
    <w:p>
      <w:pPr>
        <w:pStyle w:val="BodyText"/>
        <w:spacing w:line="408" w:lineRule="auto"/>
        <w:ind w:left="573" w:right="1133" w:hanging="421"/>
        <w:jc w:val="left"/>
      </w:pPr>
      <w:r>
        <w:rPr/>
        <w:t>时既不影响会计利润也不影响应纳税所得额（或可抵扣亏损）的其他交易或事项。</w:t>
      </w:r>
      <w:r>
        <w:rPr>
          <w:w w:val="100"/>
        </w:rPr>
        <w:t> </w:t>
      </w:r>
      <w:r>
        <w:rPr>
          <w:spacing w:val="-2"/>
        </w:rPr>
        <w:t>当拥有以净额结算的法定权利，且意图以净额结算或取得资产、清偿负债同时进行时，当期所得税资</w:t>
      </w:r>
    </w:p>
    <w:p>
      <w:pPr>
        <w:pStyle w:val="BodyText"/>
        <w:spacing w:line="408" w:lineRule="auto"/>
        <w:ind w:left="573" w:right="1133" w:hanging="421"/>
        <w:jc w:val="left"/>
      </w:pPr>
      <w:r>
        <w:rPr/>
        <w:t>产及当期所得税负债以抵销后的净额列报。</w:t>
      </w:r>
      <w:r>
        <w:rPr>
          <w:w w:val="100"/>
        </w:rPr>
        <w:t> </w:t>
      </w:r>
      <w:r>
        <w:rPr>
          <w:spacing w:val="-2"/>
        </w:rPr>
        <w:t>当拥有以净额结算当期所得税资产及当期所得税负债的法定权利，且递延所得税资产及递延所得税负</w:t>
      </w:r>
    </w:p>
    <w:p>
      <w:pPr>
        <w:pStyle w:val="BodyText"/>
        <w:spacing w:line="408" w:lineRule="auto"/>
        <w:ind w:right="1126"/>
        <w:jc w:val="both"/>
      </w:pPr>
      <w:r>
        <w:rPr>
          <w:spacing w:val="-2"/>
        </w:rPr>
        <w:t>债是与同一税收征管部门对同一纳税主体征收的所得税相关或者是对不同的纳税主体相关，但在未来每一</w:t>
      </w:r>
      <w:r>
        <w:rPr>
          <w:spacing w:val="-43"/>
        </w:rPr>
        <w:t> </w:t>
      </w:r>
      <w:r>
        <w:rPr>
          <w:spacing w:val="-43"/>
        </w:rPr>
      </w:r>
      <w:r>
        <w:rPr>
          <w:spacing w:val="-2"/>
        </w:rPr>
        <w:t>具有重要性的递延所得税资产及负债转回的期间内，涉及的纳税主体意图以净额结算当期所得税资产和负</w:t>
      </w:r>
      <w:r>
        <w:rPr>
          <w:spacing w:val="-43"/>
        </w:rPr>
        <w:t> </w:t>
      </w:r>
      <w:r>
        <w:rPr>
          <w:spacing w:val="-43"/>
        </w:rPr>
      </w:r>
      <w:r>
        <w:rPr/>
        <w:t>债或是同时取得资产、清偿负债时，递延所得税资产及递延所得税负债以抵销后的净额列报。</w:t>
      </w:r>
    </w:p>
    <w:p>
      <w:pPr>
        <w:spacing w:line="240" w:lineRule="auto" w:before="8"/>
        <w:rPr>
          <w:rFonts w:ascii="宋体" w:hAnsi="宋体" w:cs="宋体" w:eastAsia="宋体" w:hint="default"/>
          <w:sz w:val="20"/>
          <w:szCs w:val="20"/>
        </w:rPr>
      </w:pPr>
    </w:p>
    <w:p>
      <w:pPr>
        <w:pStyle w:val="Heading5"/>
        <w:spacing w:line="240" w:lineRule="auto"/>
        <w:ind w:right="1133"/>
        <w:jc w:val="left"/>
        <w:rPr>
          <w:b w:val="0"/>
          <w:bCs w:val="0"/>
        </w:rPr>
      </w:pPr>
      <w:bookmarkStart w:name="42、租赁" w:id="224"/>
      <w:bookmarkEnd w:id="224"/>
      <w:r>
        <w:rPr>
          <w:b w:val="0"/>
          <w:bCs w:val="0"/>
        </w:rPr>
      </w:r>
      <w:r>
        <w:rPr>
          <w:rFonts w:ascii="Times New Roman" w:hAnsi="Times New Roman" w:cs="Times New Roman" w:eastAsia="Times New Roman" w:hint="default"/>
        </w:rPr>
        <w:t>42</w:t>
      </w:r>
      <w:r>
        <w:rPr/>
        <w:t>、租赁</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bookmarkStart w:name="（1）经营租赁的会计处理方法" w:id="225"/>
      <w:bookmarkEnd w:id="225"/>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8"/>
        <w:rPr>
          <w:rFonts w:ascii="宋体" w:hAnsi="宋体" w:cs="宋体" w:eastAsia="宋体" w:hint="default"/>
          <w:b/>
          <w:bCs/>
          <w:sz w:val="30"/>
          <w:szCs w:val="30"/>
        </w:rPr>
      </w:pPr>
    </w:p>
    <w:p>
      <w:pPr>
        <w:pStyle w:val="BodyText"/>
        <w:spacing w:line="386" w:lineRule="auto" w:before="0"/>
        <w:ind w:right="1133" w:firstLine="420"/>
        <w:jc w:val="both"/>
      </w:pPr>
      <w:r>
        <w:rPr>
          <w:rFonts w:ascii="Times New Roman" w:hAnsi="Times New Roman" w:cs="Times New Roman" w:eastAsia="Times New Roman" w:hint="default"/>
        </w:rPr>
        <w:t>1</w:t>
      </w:r>
      <w:r>
        <w:rPr/>
        <w:t>、本公司租入资产所支付的租赁费，在不扣除免租期的整个租赁期内，按直线法进行分摊，计入当</w:t>
      </w:r>
      <w:r>
        <w:rPr>
          <w:w w:val="100"/>
        </w:rPr>
        <w:t> </w:t>
      </w:r>
      <w:r>
        <w:rPr/>
        <w:t>期费用。本公司支付的与租赁交易相关的初始直接费用，计入当期费用。</w:t>
      </w:r>
    </w:p>
    <w:p>
      <w:pPr>
        <w:pStyle w:val="BodyText"/>
        <w:spacing w:line="408" w:lineRule="auto" w:before="65"/>
        <w:ind w:right="1104" w:firstLine="420"/>
        <w:jc w:val="both"/>
      </w:pPr>
      <w:r>
        <w:rPr>
          <w:spacing w:val="-2"/>
        </w:rPr>
        <w:t>资产出租方承担了应由本公司承担的与租赁相关的费用时，本公司将该部分费用从租金总额中扣除，</w:t>
      </w:r>
      <w:r>
        <w:rPr>
          <w:w w:val="100"/>
        </w:rPr>
        <w:t> </w:t>
      </w:r>
      <w:r>
        <w:rPr/>
        <w:t>按扣除后的租金费用在租赁期内分摊，计入当期费用。</w:t>
      </w:r>
    </w:p>
    <w:p>
      <w:pPr>
        <w:pStyle w:val="BodyText"/>
        <w:spacing w:line="398" w:lineRule="auto"/>
        <w:ind w:right="1129" w:firstLine="420"/>
        <w:jc w:val="both"/>
      </w:pPr>
      <w:r>
        <w:rPr>
          <w:rFonts w:ascii="Times New Roman" w:hAnsi="Times New Roman" w:cs="Times New Roman" w:eastAsia="Times New Roman" w:hint="default"/>
        </w:rPr>
        <w:t>2</w:t>
      </w:r>
      <w:r>
        <w:rPr/>
        <w:t>、本公司出租资产所收取的租赁费，在不扣除免租期的整个租赁期内，按直线法进行分摊，确认为</w:t>
      </w:r>
      <w:r>
        <w:rPr>
          <w:w w:val="100"/>
        </w:rPr>
        <w:t> </w:t>
      </w:r>
      <w:r>
        <w:rPr>
          <w:spacing w:val="-2"/>
        </w:rPr>
        <w:t>租赁相关收入。本公司支付的与租赁交易相关的初始直接费用，计入当期费用；如金额较大的，则予以资</w:t>
      </w:r>
      <w:r>
        <w:rPr>
          <w:spacing w:val="-47"/>
        </w:rPr>
        <w:t> </w:t>
      </w:r>
      <w:r>
        <w:rPr>
          <w:spacing w:val="-47"/>
        </w:rPr>
      </w:r>
      <w:r>
        <w:rPr/>
        <w:t>本化，在整个租赁期间内按照与租赁相关收入确认相同的基础分期计入当期收益。</w:t>
      </w:r>
    </w:p>
    <w:p>
      <w:pPr>
        <w:pStyle w:val="BodyText"/>
        <w:spacing w:line="408" w:lineRule="auto" w:before="54"/>
        <w:ind w:right="1105" w:firstLine="420"/>
        <w:jc w:val="both"/>
      </w:pPr>
      <w:r>
        <w:rPr>
          <w:spacing w:val="-2"/>
        </w:rPr>
        <w:t>本公司承担了应由承租方承担的与租赁相关的费用时，本公司将该部分费用从租金收入总额中扣除，</w:t>
      </w:r>
      <w:r>
        <w:rPr>
          <w:w w:val="100"/>
        </w:rPr>
        <w:t> </w:t>
      </w:r>
      <w:r>
        <w:rPr/>
        <w:t>按扣除后的租金费用在租赁期内分配。</w:t>
      </w:r>
    </w:p>
    <w:p>
      <w:pPr>
        <w:spacing w:after="0" w:line="408"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bookmarkStart w:name="（2）融资租赁的会计处理方法" w:id="226"/>
      <w:bookmarkEnd w:id="226"/>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bookmarkStart w:name="43、其他重要的会计政策和会计估计" w:id="227"/>
      <w:bookmarkEnd w:id="227"/>
      <w:r>
        <w:rPr>
          <w:b w:val="0"/>
          <w:bCs w:val="0"/>
        </w:rPr>
      </w:r>
      <w:r>
        <w:rPr>
          <w:rFonts w:ascii="Times New Roman" w:hAnsi="Times New Roman" w:cs="Times New Roman" w:eastAsia="Times New Roman" w:hint="default"/>
        </w:rPr>
        <w:t>43</w:t>
      </w:r>
      <w:r>
        <w:rPr/>
        <w:t>、其他重要的会计政策和会计估计</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bookmarkStart w:name="44、重要会计政策和会计估计变更" w:id="228"/>
      <w:bookmarkEnd w:id="228"/>
      <w:r>
        <w:rPr>
          <w:b w:val="0"/>
          <w:bCs w:val="0"/>
        </w:rPr>
      </w:r>
      <w:r>
        <w:rPr>
          <w:rFonts w:ascii="Times New Roman" w:hAnsi="Times New Roman" w:cs="Times New Roman" w:eastAsia="Times New Roman" w:hint="default"/>
        </w:rPr>
        <w:t>44</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bookmarkStart w:name="（1）重要会计政策变更" w:id="229"/>
      <w:bookmarkEnd w:id="229"/>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2"/>
        <w:gridCol w:w="3188"/>
        <w:gridCol w:w="3179"/>
      </w:tblGrid>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Heading5"/>
        <w:spacing w:line="240" w:lineRule="auto" w:before="64"/>
        <w:ind w:left="573" w:right="1133"/>
        <w:jc w:val="left"/>
        <w:rPr>
          <w:b w:val="0"/>
          <w:bCs w:val="0"/>
        </w:rPr>
      </w:pPr>
      <w:r>
        <w:rPr>
          <w:rFonts w:ascii="Times New Roman" w:hAnsi="Times New Roman" w:cs="Times New Roman" w:eastAsia="Times New Roman" w:hint="default"/>
        </w:rPr>
        <w:t>1</w:t>
      </w:r>
      <w:r>
        <w:rPr/>
        <w:t>、会计政策变更：</w:t>
      </w:r>
      <w:r>
        <w:rPr>
          <w:b w:val="0"/>
          <w:bCs w:val="0"/>
        </w:rPr>
      </w:r>
    </w:p>
    <w:p>
      <w:pPr>
        <w:pStyle w:val="BodyText"/>
        <w:spacing w:line="240" w:lineRule="auto" w:before="178"/>
        <w:ind w:left="573" w:right="0"/>
        <w:jc w:val="left"/>
      </w:pPr>
      <w:r>
        <w:rPr>
          <w:w w:val="100"/>
        </w:rPr>
        <w:t>（</w:t>
      </w:r>
      <w:r>
        <w:rPr>
          <w:rFonts w:ascii="Times New Roman" w:hAnsi="Times New Roman" w:cs="Times New Roman" w:eastAsia="Times New Roman" w:hint="default"/>
          <w:w w:val="100"/>
        </w:rPr>
        <w:t>1</w:t>
      </w:r>
      <w:r>
        <w:rPr>
          <w:spacing w:val="-51"/>
          <w:w w:val="100"/>
        </w:rPr>
        <w:t>）</w:t>
      </w:r>
      <w:r>
        <w:rPr>
          <w:w w:val="100"/>
        </w:rPr>
        <w:t>财</w:t>
      </w:r>
      <w:r>
        <w:rPr>
          <w:spacing w:val="-3"/>
          <w:w w:val="100"/>
        </w:rPr>
        <w:t>政</w:t>
      </w:r>
      <w:r>
        <w:rPr>
          <w:w w:val="100"/>
        </w:rPr>
        <w:t>部</w:t>
      </w:r>
      <w:r>
        <w:rPr>
          <w:spacing w:val="-1"/>
          <w:w w:val="100"/>
        </w:rPr>
        <w:t>于</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w:t>
      </w:r>
      <w:r>
        <w:rPr>
          <w:rFonts w:ascii="Times New Roman" w:hAnsi="Times New Roman" w:cs="Times New Roman" w:eastAsia="Times New Roman" w:hint="default"/>
          <w:spacing w:val="-3"/>
          <w:w w:val="100"/>
        </w:rPr>
        <w:t>7</w:t>
      </w:r>
      <w:r>
        <w:rPr>
          <w:w w:val="100"/>
        </w:rPr>
        <w:t>年</w:t>
      </w:r>
      <w:r>
        <w:rPr>
          <w:rFonts w:ascii="Times New Roman" w:hAnsi="Times New Roman" w:cs="Times New Roman" w:eastAsia="Times New Roman" w:hint="default"/>
          <w:w w:val="100"/>
        </w:rPr>
        <w:t>3</w:t>
      </w:r>
      <w:r>
        <w:rPr>
          <w:spacing w:val="-3"/>
          <w:w w:val="100"/>
        </w:rPr>
        <w:t>月</w:t>
      </w:r>
      <w:r>
        <w:rPr>
          <w:w w:val="100"/>
        </w:rPr>
        <w:t>起陆</w:t>
      </w:r>
      <w:r>
        <w:rPr>
          <w:spacing w:val="-3"/>
          <w:w w:val="100"/>
        </w:rPr>
        <w:t>续</w:t>
      </w:r>
      <w:r>
        <w:rPr>
          <w:w w:val="100"/>
        </w:rPr>
        <w:t>修</w:t>
      </w:r>
      <w:r>
        <w:rPr>
          <w:spacing w:val="-3"/>
          <w:w w:val="100"/>
        </w:rPr>
        <w:t>订</w:t>
      </w:r>
      <w:r>
        <w:rPr>
          <w:w w:val="100"/>
        </w:rPr>
        <w:t>并</w:t>
      </w:r>
      <w:r>
        <w:rPr>
          <w:spacing w:val="-3"/>
          <w:w w:val="100"/>
        </w:rPr>
        <w:t>颁</w:t>
      </w:r>
      <w:r>
        <w:rPr>
          <w:w w:val="100"/>
        </w:rPr>
        <w:t>布</w:t>
      </w:r>
      <w:r>
        <w:rPr>
          <w:spacing w:val="-51"/>
          <w:w w:val="100"/>
        </w:rPr>
        <w:t>了</w:t>
      </w:r>
      <w:r>
        <w:rPr>
          <w:w w:val="100"/>
        </w:rPr>
        <w:t>《</w:t>
      </w:r>
      <w:r>
        <w:rPr>
          <w:spacing w:val="-3"/>
          <w:w w:val="100"/>
        </w:rPr>
        <w:t>企</w:t>
      </w:r>
      <w:r>
        <w:rPr>
          <w:w w:val="100"/>
        </w:rPr>
        <w:t>业会</w:t>
      </w:r>
      <w:r>
        <w:rPr>
          <w:spacing w:val="-3"/>
          <w:w w:val="100"/>
        </w:rPr>
        <w:t>计</w:t>
      </w:r>
      <w:r>
        <w:rPr>
          <w:w w:val="100"/>
        </w:rPr>
        <w:t>准</w:t>
      </w:r>
      <w:r>
        <w:rPr>
          <w:spacing w:val="-3"/>
          <w:w w:val="100"/>
        </w:rPr>
        <w:t>则</w:t>
      </w:r>
      <w:r>
        <w:rPr>
          <w:w w:val="100"/>
        </w:rPr>
        <w:t>第</w:t>
      </w:r>
      <w:r>
        <w:rPr>
          <w:spacing w:val="-21"/>
        </w:rPr>
        <w:t> </w:t>
      </w:r>
      <w:r>
        <w:rPr>
          <w:rFonts w:ascii="Times New Roman" w:hAnsi="Times New Roman" w:cs="Times New Roman" w:eastAsia="Times New Roman" w:hint="default"/>
          <w:w w:val="100"/>
        </w:rPr>
        <w:t>22</w:t>
      </w:r>
      <w:r>
        <w:rPr>
          <w:rFonts w:ascii="Times New Roman" w:hAnsi="Times New Roman" w:cs="Times New Roman" w:eastAsia="Times New Roman" w:hint="default"/>
        </w:rPr>
        <w:t> </w:t>
      </w:r>
      <w:r>
        <w:rPr>
          <w:rFonts w:ascii="Times New Roman" w:hAnsi="Times New Roman" w:cs="Times New Roman" w:eastAsia="Times New Roman" w:hint="default"/>
          <w:spacing w:val="-24"/>
        </w:rPr>
        <w:t> </w:t>
      </w:r>
      <w:r>
        <w:rPr>
          <w:w w:val="100"/>
        </w:rPr>
        <w:t>号</w:t>
      </w:r>
      <w:r>
        <w:rPr>
          <w:rFonts w:ascii="Times New Roman" w:hAnsi="Times New Roman" w:cs="Times New Roman" w:eastAsia="Times New Roman" w:hint="default"/>
          <w:spacing w:val="-3"/>
          <w:w w:val="100"/>
        </w:rPr>
        <w:t>——</w:t>
      </w:r>
      <w:r>
        <w:rPr>
          <w:w w:val="100"/>
        </w:rPr>
        <w:t>金融</w:t>
      </w:r>
      <w:r>
        <w:rPr>
          <w:spacing w:val="-3"/>
          <w:w w:val="100"/>
        </w:rPr>
        <w:t>工</w:t>
      </w:r>
      <w:r>
        <w:rPr>
          <w:w w:val="100"/>
        </w:rPr>
        <w:t>具</w:t>
      </w:r>
      <w:r>
        <w:rPr>
          <w:spacing w:val="-3"/>
          <w:w w:val="100"/>
        </w:rPr>
        <w:t>确</w:t>
      </w:r>
      <w:r>
        <w:rPr>
          <w:w w:val="100"/>
        </w:rPr>
        <w:t>认</w:t>
      </w:r>
      <w:r>
        <w:rPr>
          <w:spacing w:val="-3"/>
          <w:w w:val="100"/>
        </w:rPr>
        <w:t>和</w:t>
      </w:r>
      <w:r>
        <w:rPr>
          <w:w w:val="100"/>
        </w:rPr>
        <w:t>计</w:t>
      </w:r>
      <w:r>
        <w:rPr>
          <w:spacing w:val="-3"/>
          <w:w w:val="100"/>
        </w:rPr>
        <w:t>量</w:t>
      </w:r>
      <w:r>
        <w:rPr>
          <w:spacing w:val="-97"/>
          <w:w w:val="100"/>
        </w:rPr>
        <w:t>》</w:t>
      </w:r>
      <w:r>
        <w:rPr>
          <w:spacing w:val="-3"/>
          <w:w w:val="100"/>
        </w:rPr>
        <w:t>（</w:t>
      </w:r>
      <w:r>
        <w:rPr>
          <w:w w:val="100"/>
        </w:rPr>
        <w:t>财</w:t>
      </w:r>
    </w:p>
    <w:p>
      <w:pPr>
        <w:pStyle w:val="BodyText"/>
        <w:spacing w:line="386" w:lineRule="auto" w:before="177"/>
        <w:ind w:right="1024"/>
        <w:jc w:val="left"/>
      </w:pPr>
      <w:r>
        <w:rPr/>
        <w:t>会</w:t>
      </w:r>
      <w:r>
        <w:rPr>
          <w:rFonts w:ascii="Times New Roman" w:hAnsi="Times New Roman" w:cs="Times New Roman" w:eastAsia="Times New Roman" w:hint="default"/>
        </w:rPr>
        <w:t>[2017]7 </w:t>
      </w:r>
      <w:r>
        <w:rPr/>
        <w:t>号）、《企业会计准则第 </w:t>
      </w:r>
      <w:r>
        <w:rPr>
          <w:rFonts w:ascii="Times New Roman" w:hAnsi="Times New Roman" w:cs="Times New Roman" w:eastAsia="Times New Roman" w:hint="default"/>
        </w:rPr>
        <w:t>23 </w:t>
      </w:r>
      <w:r>
        <w:rPr/>
        <w:t>号</w:t>
      </w:r>
      <w:r>
        <w:rPr>
          <w:rFonts w:ascii="Times New Roman" w:hAnsi="Times New Roman" w:cs="Times New Roman" w:eastAsia="Times New Roman" w:hint="default"/>
        </w:rPr>
        <w:t>——</w:t>
      </w:r>
      <w:r>
        <w:rPr/>
        <w:t>金融资产转移》（财会</w:t>
      </w:r>
      <w:r>
        <w:rPr>
          <w:rFonts w:ascii="Times New Roman" w:hAnsi="Times New Roman" w:cs="Times New Roman" w:eastAsia="Times New Roman" w:hint="default"/>
        </w:rPr>
        <w:t>[2017]8</w:t>
      </w:r>
      <w:r>
        <w:rPr/>
        <w:t>号）、《企业会计准则第</w:t>
      </w:r>
      <w:r>
        <w:rPr>
          <w:spacing w:val="1"/>
        </w:rPr>
        <w:t> </w:t>
      </w:r>
      <w:r>
        <w:rPr>
          <w:rFonts w:ascii="Times New Roman" w:hAnsi="Times New Roman" w:cs="Times New Roman" w:eastAsia="Times New Roman" w:hint="default"/>
        </w:rPr>
        <w:t>24</w:t>
      </w:r>
      <w:r>
        <w:rPr>
          <w:rFonts w:ascii="Times New Roman" w:hAnsi="Times New Roman" w:cs="Times New Roman" w:eastAsia="Times New Roman" w:hint="default"/>
          <w:w w:val="100"/>
        </w:rPr>
        <w:t> </w:t>
      </w:r>
      <w:r>
        <w:rPr>
          <w:spacing w:val="-5"/>
        </w:rPr>
        <w:t>号</w:t>
      </w:r>
      <w:r>
        <w:rPr>
          <w:rFonts w:ascii="Times New Roman" w:hAnsi="Times New Roman" w:cs="Times New Roman" w:eastAsia="Times New Roman" w:hint="default"/>
          <w:spacing w:val="-5"/>
        </w:rPr>
        <w:t>——</w:t>
      </w:r>
      <w:r>
        <w:rPr>
          <w:spacing w:val="-5"/>
        </w:rPr>
        <w:t>套期会计》（财会</w:t>
      </w:r>
      <w:r>
        <w:rPr>
          <w:rFonts w:ascii="Times New Roman" w:hAnsi="Times New Roman" w:cs="Times New Roman" w:eastAsia="Times New Roman" w:hint="default"/>
          <w:spacing w:val="-5"/>
        </w:rPr>
        <w:t>[2017]9 </w:t>
      </w:r>
      <w:r>
        <w:rPr>
          <w:spacing w:val="-9"/>
        </w:rPr>
        <w:t>号）、《企业会计准则第 </w:t>
      </w:r>
      <w:r>
        <w:rPr>
          <w:rFonts w:ascii="Times New Roman" w:hAnsi="Times New Roman" w:cs="Times New Roman" w:eastAsia="Times New Roman" w:hint="default"/>
        </w:rPr>
        <w:t>37 </w:t>
      </w:r>
      <w:r>
        <w:rPr>
          <w:spacing w:val="-4"/>
        </w:rPr>
        <w:t>号</w:t>
      </w:r>
      <w:r>
        <w:rPr>
          <w:rFonts w:ascii="Times New Roman" w:hAnsi="Times New Roman" w:cs="Times New Roman" w:eastAsia="Times New Roman" w:hint="default"/>
          <w:spacing w:val="-4"/>
        </w:rPr>
        <w:t>——</w:t>
      </w:r>
      <w:r>
        <w:rPr>
          <w:spacing w:val="-4"/>
        </w:rPr>
        <w:t>金融工具列报》（财会</w:t>
      </w:r>
      <w:r>
        <w:rPr>
          <w:rFonts w:ascii="Times New Roman" w:hAnsi="Times New Roman" w:cs="Times New Roman" w:eastAsia="Times New Roman" w:hint="default"/>
          <w:spacing w:val="-4"/>
        </w:rPr>
        <w:t>[2017]14 </w:t>
      </w:r>
      <w:r>
        <w:rPr>
          <w:spacing w:val="-11"/>
        </w:rPr>
        <w:t>号），</w:t>
      </w:r>
      <w:r>
        <w:rPr>
          <w:spacing w:val="-88"/>
        </w:rPr>
        <w:t> </w:t>
      </w:r>
      <w:r>
        <w:rPr>
          <w:spacing w:val="-88"/>
        </w:rPr>
      </w:r>
      <w:r>
        <w:rPr/>
        <w:t>要求自</w:t>
      </w:r>
      <w:r>
        <w:rPr>
          <w:spacing w:val="-1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9"/>
        </w:rPr>
        <w:t> </w:t>
      </w:r>
      <w:r>
        <w:rPr/>
        <w:t>年</w:t>
      </w:r>
      <w:r>
        <w:rPr>
          <w:spacing w:val="-14"/>
        </w:rPr>
        <w:t> </w:t>
      </w:r>
      <w:r>
        <w:rPr>
          <w:rFonts w:ascii="Times New Roman" w:hAnsi="Times New Roman" w:cs="Times New Roman" w:eastAsia="Times New Roman" w:hint="default"/>
        </w:rPr>
        <w:t>1</w:t>
      </w:r>
      <w:r>
        <w:rPr>
          <w:rFonts w:ascii="Times New Roman" w:hAnsi="Times New Roman" w:cs="Times New Roman" w:eastAsia="Times New Roman" w:hint="default"/>
          <w:spacing w:val="39"/>
        </w:rPr>
        <w:t> </w:t>
      </w:r>
      <w:r>
        <w:rPr/>
        <w:t>月</w:t>
      </w:r>
      <w:r>
        <w:rPr>
          <w:spacing w:val="-12"/>
        </w:rPr>
        <w:t> </w:t>
      </w:r>
      <w:r>
        <w:rPr>
          <w:rFonts w:ascii="Times New Roman" w:hAnsi="Times New Roman" w:cs="Times New Roman" w:eastAsia="Times New Roman" w:hint="default"/>
        </w:rPr>
        <w:t>1</w:t>
      </w:r>
      <w:r>
        <w:rPr>
          <w:rFonts w:ascii="Times New Roman" w:hAnsi="Times New Roman" w:cs="Times New Roman" w:eastAsia="Times New Roman" w:hint="default"/>
          <w:spacing w:val="37"/>
        </w:rPr>
        <w:t> </w:t>
      </w:r>
      <w:r>
        <w:rPr/>
        <w:t>日起在境内上市公司执行。本公司自</w:t>
      </w:r>
      <w:r>
        <w:rPr>
          <w:spacing w:val="-1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7"/>
        </w:rPr>
        <w:t> </w:t>
      </w:r>
      <w:r>
        <w:rPr/>
        <w:t>年</w:t>
      </w:r>
      <w:r>
        <w:rPr>
          <w:spacing w:val="-12"/>
        </w:rPr>
        <w:t> </w:t>
      </w:r>
      <w:r>
        <w:rPr>
          <w:rFonts w:ascii="Times New Roman" w:hAnsi="Times New Roman" w:cs="Times New Roman" w:eastAsia="Times New Roman" w:hint="default"/>
        </w:rPr>
        <w:t>1</w:t>
      </w:r>
      <w:r>
        <w:rPr/>
        <w:t>月</w:t>
      </w:r>
      <w:r>
        <w:rPr>
          <w:spacing w:val="-12"/>
        </w:rPr>
        <w:t> </w:t>
      </w:r>
      <w:r>
        <w:rPr>
          <w:rFonts w:ascii="Times New Roman" w:hAnsi="Times New Roman" w:cs="Times New Roman" w:eastAsia="Times New Roman" w:hint="default"/>
        </w:rPr>
        <w:t>1</w:t>
      </w:r>
      <w:r>
        <w:rPr>
          <w:rFonts w:ascii="Times New Roman" w:hAnsi="Times New Roman" w:cs="Times New Roman" w:eastAsia="Times New Roman" w:hint="default"/>
          <w:spacing w:val="37"/>
        </w:rPr>
        <w:t> </w:t>
      </w:r>
      <w:r>
        <w:rPr/>
        <w:t>日起施行上述新金融工具准</w:t>
      </w:r>
      <w:r>
        <w:rPr>
          <w:spacing w:val="-97"/>
        </w:rPr>
        <w:t> </w:t>
      </w:r>
      <w:r>
        <w:rPr>
          <w:spacing w:val="-97"/>
        </w:rPr>
      </w:r>
      <w:r>
        <w:rPr/>
        <w:t>则。</w:t>
      </w:r>
    </w:p>
    <w:p>
      <w:pPr>
        <w:pStyle w:val="BodyText"/>
        <w:spacing w:line="400" w:lineRule="auto" w:before="65"/>
        <w:ind w:right="1126" w:firstLine="420"/>
        <w:jc w:val="both"/>
      </w:pPr>
      <w:r>
        <w:rPr/>
        <w:t>本次会计政策变更对公司的影响：根据《企业会计准则第 </w:t>
      </w:r>
      <w:r>
        <w:rPr>
          <w:rFonts w:ascii="Times New Roman" w:hAnsi="Times New Roman" w:cs="Times New Roman" w:eastAsia="Times New Roman" w:hint="default"/>
        </w:rPr>
        <w:t>22</w:t>
      </w:r>
      <w:r>
        <w:rPr>
          <w:rFonts w:ascii="Times New Roman" w:hAnsi="Times New Roman" w:cs="Times New Roman" w:eastAsia="Times New Roman" w:hint="default"/>
          <w:spacing w:val="27"/>
        </w:rPr>
        <w:t> </w:t>
      </w:r>
      <w:r>
        <w:rPr/>
        <w:t>号</w:t>
      </w:r>
      <w:r>
        <w:rPr>
          <w:rFonts w:ascii="Times New Roman" w:hAnsi="Times New Roman" w:cs="Times New Roman" w:eastAsia="Times New Roman" w:hint="default"/>
        </w:rPr>
        <w:t>——</w:t>
      </w:r>
      <w:r>
        <w:rPr/>
        <w:t>金融工具确认和计量》之衔接规</w:t>
      </w:r>
      <w:r>
        <w:rPr>
          <w:w w:val="100"/>
        </w:rPr>
        <w:t> </w:t>
      </w:r>
      <w:r>
        <w:rPr>
          <w:spacing w:val="-2"/>
        </w:rPr>
        <w:t>定，在新金融工具准则施行日，应当对金融工具进行分类和计量（含减值），涉及前期比较财务报表数据</w:t>
      </w:r>
      <w:r>
        <w:rPr>
          <w:spacing w:val="-43"/>
        </w:rPr>
        <w:t> </w:t>
      </w:r>
      <w:r>
        <w:rPr>
          <w:spacing w:val="-43"/>
        </w:rPr>
      </w:r>
      <w:r>
        <w:rPr>
          <w:spacing w:val="-2"/>
        </w:rPr>
        <w:t>与新准则要求不一致的，无需调整。金融工具原账面价值和新准则施行日的新账面价值之间的差额，计入</w:t>
      </w:r>
      <w:r>
        <w:rPr>
          <w:spacing w:val="-42"/>
        </w:rPr>
        <w:t> </w:t>
      </w:r>
      <w:r>
        <w:rPr>
          <w:spacing w:val="-42"/>
        </w:rPr>
      </w:r>
      <w:r>
        <w:rPr/>
        <w:t>期初留存收益或其他综合收益。执行新金融工具准则对本公司相关财务报表列报的主要影响如下：</w:t>
      </w:r>
    </w:p>
    <w:p>
      <w:pPr>
        <w:pStyle w:val="BodyText"/>
        <w:spacing w:line="250" w:lineRule="exact" w:before="0"/>
        <w:ind w:left="6463" w:right="1133"/>
        <w:jc w:val="left"/>
      </w:pPr>
      <w:r>
        <w:rPr/>
        <w:t>单位：元</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108"/>
        <w:gridCol w:w="1844"/>
        <w:gridCol w:w="1844"/>
        <w:gridCol w:w="1843"/>
        <w:gridCol w:w="1844"/>
      </w:tblGrid>
      <w:tr>
        <w:trPr>
          <w:trHeight w:val="350" w:hRule="exact"/>
        </w:trPr>
        <w:tc>
          <w:tcPr>
            <w:tcW w:w="2108" w:type="dxa"/>
            <w:vMerge w:val="restart"/>
            <w:tcBorders>
              <w:top w:val="single" w:sz="6" w:space="0" w:color="000000"/>
              <w:left w:val="single" w:sz="6" w:space="0" w:color="000000"/>
              <w:right w:val="single" w:sz="6" w:space="0" w:color="000000"/>
            </w:tcBorders>
          </w:tcPr>
          <w:p>
            <w:pPr>
              <w:pStyle w:val="TableParagraph"/>
              <w:spacing w:line="240" w:lineRule="auto" w:before="20"/>
              <w:ind w:left="689"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3687" w:type="dxa"/>
            <w:gridSpan w:val="2"/>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left="1210" w:right="0"/>
              <w:jc w:val="left"/>
              <w:rPr>
                <w:rFonts w:ascii="宋体" w:hAnsi="宋体" w:cs="宋体" w:eastAsia="宋体" w:hint="default"/>
                <w:sz w:val="18"/>
                <w:szCs w:val="18"/>
              </w:rPr>
            </w:pPr>
            <w:r>
              <w:rPr>
                <w:rFonts w:ascii="宋体" w:hAnsi="宋体" w:cs="宋体" w:eastAsia="宋体" w:hint="default"/>
                <w:sz w:val="18"/>
                <w:szCs w:val="18"/>
              </w:rPr>
              <w:t>合并资产负债表</w:t>
            </w:r>
          </w:p>
        </w:tc>
        <w:tc>
          <w:tcPr>
            <w:tcW w:w="3687" w:type="dxa"/>
            <w:gridSpan w:val="2"/>
            <w:tcBorders>
              <w:top w:val="single" w:sz="6" w:space="0" w:color="000000"/>
              <w:left w:val="single" w:sz="6" w:space="0" w:color="000000"/>
              <w:bottom w:val="single" w:sz="8" w:space="0" w:color="000000"/>
              <w:right w:val="nil" w:sz="6" w:space="0" w:color="auto"/>
            </w:tcBorders>
          </w:tcPr>
          <w:p>
            <w:pPr>
              <w:pStyle w:val="TableParagraph"/>
              <w:spacing w:line="240" w:lineRule="auto" w:before="20"/>
              <w:ind w:left="1116" w:right="0"/>
              <w:jc w:val="left"/>
              <w:rPr>
                <w:rFonts w:ascii="宋体" w:hAnsi="宋体" w:cs="宋体" w:eastAsia="宋体" w:hint="default"/>
                <w:sz w:val="18"/>
                <w:szCs w:val="18"/>
              </w:rPr>
            </w:pPr>
            <w:r>
              <w:rPr>
                <w:rFonts w:ascii="宋体" w:hAnsi="宋体" w:cs="宋体" w:eastAsia="宋体" w:hint="default"/>
                <w:sz w:val="18"/>
                <w:szCs w:val="18"/>
              </w:rPr>
              <w:t>母公司资产负债表</w:t>
            </w:r>
          </w:p>
        </w:tc>
      </w:tr>
      <w:tr>
        <w:trPr>
          <w:trHeight w:val="348" w:hRule="exact"/>
        </w:trPr>
        <w:tc>
          <w:tcPr>
            <w:tcW w:w="2108" w:type="dxa"/>
            <w:vMerge/>
            <w:tcBorders>
              <w:left w:val="single" w:sz="6" w:space="0" w:color="000000"/>
              <w:bottom w:val="single" w:sz="8" w:space="0" w:color="000000"/>
              <w:right w:val="single" w:sz="6" w:space="0" w:color="000000"/>
            </w:tcBorders>
          </w:tcPr>
          <w:p>
            <w:pP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7"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84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3"/>
              <w:ind w:right="3"/>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346" w:hRule="exact"/>
        </w:trPr>
        <w:tc>
          <w:tcPr>
            <w:tcW w:w="21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24,651,428.57</w:t>
            </w:r>
          </w:p>
        </w:tc>
        <w:tc>
          <w:tcPr>
            <w:tcW w:w="1844" w:type="dxa"/>
            <w:tcBorders>
              <w:top w:val="single" w:sz="8" w:space="0" w:color="000000"/>
              <w:left w:val="single" w:sz="6" w:space="0" w:color="000000"/>
              <w:bottom w:val="single" w:sz="8" w:space="0" w:color="000000"/>
              <w:right w:val="single" w:sz="6" w:space="0" w:color="000000"/>
            </w:tcBorders>
          </w:tcPr>
          <w:p>
            <w:pP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24,651,428.57</w:t>
            </w:r>
          </w:p>
        </w:tc>
        <w:tc>
          <w:tcPr>
            <w:tcW w:w="1844"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21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44" w:type="dxa"/>
            <w:tcBorders>
              <w:top w:val="single" w:sz="8" w:space="0" w:color="000000"/>
              <w:left w:val="single" w:sz="6" w:space="0" w:color="000000"/>
              <w:bottom w:val="single" w:sz="8" w:space="0" w:color="000000"/>
              <w:right w:val="single" w:sz="6" w:space="0" w:color="000000"/>
            </w:tcBorders>
          </w:tcPr>
          <w:p>
            <w:pP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24,651,428.57</w:t>
            </w:r>
          </w:p>
        </w:tc>
        <w:tc>
          <w:tcPr>
            <w:tcW w:w="1843" w:type="dxa"/>
            <w:tcBorders>
              <w:top w:val="single" w:sz="8" w:space="0" w:color="000000"/>
              <w:left w:val="single" w:sz="6" w:space="0" w:color="000000"/>
              <w:bottom w:val="single" w:sz="8" w:space="0" w:color="000000"/>
              <w:right w:val="single" w:sz="6" w:space="0" w:color="000000"/>
            </w:tcBorders>
          </w:tcPr>
          <w:p>
            <w:pPr/>
          </w:p>
        </w:tc>
        <w:tc>
          <w:tcPr>
            <w:tcW w:w="184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7"/>
              <w:jc w:val="right"/>
              <w:rPr>
                <w:rFonts w:ascii="Times New Roman" w:hAnsi="Times New Roman" w:cs="Times New Roman" w:eastAsia="Times New Roman" w:hint="default"/>
                <w:sz w:val="18"/>
                <w:szCs w:val="18"/>
              </w:rPr>
            </w:pPr>
            <w:r>
              <w:rPr>
                <w:rFonts w:ascii="Times New Roman"/>
                <w:spacing w:val="-1"/>
                <w:sz w:val="18"/>
              </w:rPr>
              <w:t>24,651,428.57</w:t>
            </w:r>
          </w:p>
        </w:tc>
      </w:tr>
      <w:tr>
        <w:trPr>
          <w:trHeight w:val="346" w:hRule="exact"/>
        </w:trPr>
        <w:tc>
          <w:tcPr>
            <w:tcW w:w="21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1,832,877.98</w:t>
            </w:r>
          </w:p>
        </w:tc>
        <w:tc>
          <w:tcPr>
            <w:tcW w:w="1844" w:type="dxa"/>
            <w:tcBorders>
              <w:top w:val="single" w:sz="8" w:space="0" w:color="000000"/>
              <w:left w:val="single" w:sz="6" w:space="0" w:color="000000"/>
              <w:bottom w:val="single" w:sz="8" w:space="0" w:color="000000"/>
              <w:right w:val="single" w:sz="6" w:space="0" w:color="000000"/>
            </w:tcBorders>
          </w:tcPr>
          <w:p>
            <w:pP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1,832,877.98</w:t>
            </w:r>
          </w:p>
        </w:tc>
        <w:tc>
          <w:tcPr>
            <w:tcW w:w="1844"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21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44" w:type="dxa"/>
            <w:tcBorders>
              <w:top w:val="single" w:sz="8" w:space="0" w:color="000000"/>
              <w:left w:val="single" w:sz="6" w:space="0" w:color="000000"/>
              <w:bottom w:val="single" w:sz="8" w:space="0" w:color="000000"/>
              <w:right w:val="single" w:sz="6" w:space="0" w:color="000000"/>
            </w:tcBorders>
          </w:tcPr>
          <w:p>
            <w:pP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1,832,877.98</w:t>
            </w:r>
          </w:p>
        </w:tc>
        <w:tc>
          <w:tcPr>
            <w:tcW w:w="1843" w:type="dxa"/>
            <w:tcBorders>
              <w:top w:val="single" w:sz="8" w:space="0" w:color="000000"/>
              <w:left w:val="single" w:sz="6" w:space="0" w:color="000000"/>
              <w:bottom w:val="single" w:sz="8" w:space="0" w:color="000000"/>
              <w:right w:val="single" w:sz="6" w:space="0" w:color="000000"/>
            </w:tcBorders>
          </w:tcPr>
          <w:p>
            <w:pPr/>
          </w:p>
        </w:tc>
        <w:tc>
          <w:tcPr>
            <w:tcW w:w="184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7"/>
              <w:jc w:val="right"/>
              <w:rPr>
                <w:rFonts w:ascii="Times New Roman" w:hAnsi="Times New Roman" w:cs="Times New Roman" w:eastAsia="Times New Roman" w:hint="default"/>
                <w:sz w:val="18"/>
                <w:szCs w:val="18"/>
              </w:rPr>
            </w:pPr>
            <w:r>
              <w:rPr>
                <w:rFonts w:ascii="Times New Roman"/>
                <w:spacing w:val="-1"/>
                <w:sz w:val="18"/>
              </w:rPr>
              <w:t>1,832,877.98</w:t>
            </w:r>
          </w:p>
        </w:tc>
      </w:tr>
    </w:tbl>
    <w:p>
      <w:pPr>
        <w:spacing w:line="240" w:lineRule="auto" w:before="4"/>
        <w:rPr>
          <w:rFonts w:ascii="宋体" w:hAnsi="宋体" w:cs="宋体" w:eastAsia="宋体" w:hint="default"/>
          <w:sz w:val="11"/>
          <w:szCs w:val="11"/>
        </w:rPr>
      </w:pPr>
    </w:p>
    <w:p>
      <w:pPr>
        <w:pStyle w:val="BodyText"/>
        <w:spacing w:line="386" w:lineRule="auto" w:before="36"/>
        <w:ind w:right="1126" w:firstLine="420"/>
        <w:jc w:val="both"/>
      </w:pPr>
      <w:r>
        <w:rPr>
          <w:spacing w:val="-2"/>
        </w:rPr>
        <w:t>相应影响</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日期初相关财务报表科目及数据详见三、重要会计政策及会计估计和前期会计差</w:t>
      </w:r>
      <w:r>
        <w:rPr>
          <w:w w:val="100"/>
        </w:rPr>
        <w:t> </w:t>
      </w:r>
      <w:r>
        <w:rPr/>
        <w:t>错</w:t>
      </w: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-1</w:t>
      </w:r>
      <w:r>
        <w:rPr/>
        <w:t>、（</w:t>
      </w:r>
      <w:r>
        <w:rPr>
          <w:rFonts w:ascii="Times New Roman" w:hAnsi="Times New Roman" w:cs="Times New Roman" w:eastAsia="Times New Roman" w:hint="default"/>
        </w:rPr>
        <w:t>5</w:t>
      </w:r>
      <w:r>
        <w:rPr/>
        <w:t>）首次执行新金融工具准则调整首次执行当年年初财务报表相关项目情况。</w:t>
      </w:r>
    </w:p>
    <w:p>
      <w:pPr>
        <w:pStyle w:val="BodyText"/>
        <w:spacing w:line="393" w:lineRule="auto" w:before="35"/>
        <w:ind w:right="1126" w:firstLine="420"/>
        <w:jc w:val="both"/>
      </w:pPr>
      <w:r>
        <w:rPr>
          <w:spacing w:val="-7"/>
          <w:w w:val="100"/>
        </w:rPr>
        <w:t>（</w:t>
      </w:r>
      <w:r>
        <w:rPr>
          <w:rFonts w:ascii="Times New Roman" w:hAnsi="Times New Roman" w:cs="Times New Roman" w:eastAsia="Times New Roman" w:hint="default"/>
          <w:spacing w:val="-7"/>
          <w:w w:val="100"/>
        </w:rPr>
        <w:t>2</w:t>
      </w:r>
      <w:r>
        <w:rPr>
          <w:spacing w:val="-7"/>
          <w:w w:val="100"/>
        </w:rPr>
        <w:t>）财政部于</w:t>
      </w:r>
      <w:r>
        <w:rPr>
          <w:rFonts w:ascii="Times New Roman" w:hAnsi="Times New Roman" w:cs="Times New Roman" w:eastAsia="Times New Roman" w:hint="default"/>
          <w:spacing w:val="-7"/>
          <w:w w:val="100"/>
        </w:rPr>
        <w:t>2019</w:t>
      </w:r>
      <w:r>
        <w:rPr>
          <w:spacing w:val="-7"/>
          <w:w w:val="100"/>
        </w:rPr>
        <w:t>年</w:t>
      </w:r>
      <w:r>
        <w:rPr>
          <w:rFonts w:ascii="Times New Roman" w:hAnsi="Times New Roman" w:cs="Times New Roman" w:eastAsia="Times New Roman" w:hint="default"/>
          <w:spacing w:val="-7"/>
          <w:w w:val="100"/>
        </w:rPr>
        <w:t>4</w:t>
      </w:r>
      <w:r>
        <w:rPr>
          <w:spacing w:val="-7"/>
          <w:w w:val="100"/>
        </w:rPr>
        <w:t>月发布了《关于修订印发</w:t>
      </w:r>
      <w:r>
        <w:rPr>
          <w:rFonts w:ascii="Times New Roman" w:hAnsi="Times New Roman" w:cs="Times New Roman" w:eastAsia="Times New Roman" w:hint="default"/>
          <w:spacing w:val="-7"/>
          <w:w w:val="100"/>
        </w:rPr>
        <w:t>2019</w:t>
      </w:r>
      <w:r>
        <w:rPr>
          <w:spacing w:val="-7"/>
          <w:w w:val="100"/>
        </w:rPr>
        <w:t>年度一般企业财务报表格式的通知》（财会</w:t>
      </w:r>
      <w:r>
        <w:rPr>
          <w:rFonts w:ascii="Times New Roman" w:hAnsi="Times New Roman" w:cs="Times New Roman" w:eastAsia="Times New Roman" w:hint="default"/>
          <w:spacing w:val="-7"/>
          <w:w w:val="100"/>
        </w:rPr>
        <w:t>[2019]6</w:t>
      </w:r>
      <w:r>
        <w:rPr>
          <w:rFonts w:ascii="Times New Roman" w:hAnsi="Times New Roman" w:cs="Times New Roman" w:eastAsia="Times New Roman" w:hint="default"/>
          <w:w w:val="100"/>
        </w:rPr>
        <w:t> </w:t>
      </w:r>
      <w:r>
        <w:rPr>
          <w:spacing w:val="-2"/>
        </w:rPr>
        <w:t>号）（以下简称</w:t>
      </w:r>
      <w:r>
        <w:rPr>
          <w:rFonts w:ascii="Times New Roman" w:hAnsi="Times New Roman" w:cs="Times New Roman" w:eastAsia="Times New Roman" w:hint="default"/>
          <w:spacing w:val="-2"/>
        </w:rPr>
        <w:t>“</w:t>
      </w:r>
      <w:r>
        <w:rPr>
          <w:spacing w:val="-2"/>
        </w:rPr>
        <w:t>财务报表格式</w:t>
      </w:r>
      <w:r>
        <w:rPr>
          <w:rFonts w:ascii="Times New Roman" w:hAnsi="Times New Roman" w:cs="Times New Roman" w:eastAsia="Times New Roman" w:hint="default"/>
          <w:spacing w:val="-2"/>
        </w:rPr>
        <w:t>”</w:t>
      </w:r>
      <w:r>
        <w:rPr>
          <w:spacing w:val="-2"/>
        </w:rPr>
        <w:t>），本公司在编制</w:t>
      </w:r>
      <w:r>
        <w:rPr>
          <w:rFonts w:ascii="Times New Roman" w:hAnsi="Times New Roman" w:cs="Times New Roman" w:eastAsia="Times New Roman" w:hint="default"/>
          <w:spacing w:val="-2"/>
        </w:rPr>
        <w:t>2019</w:t>
      </w:r>
      <w:r>
        <w:rPr>
          <w:spacing w:val="-2"/>
        </w:rPr>
        <w:t>年度中期财务报表和年度财务报表及以后期间的财</w:t>
      </w:r>
      <w:r>
        <w:rPr>
          <w:spacing w:val="-17"/>
        </w:rPr>
        <w:t> </w:t>
      </w:r>
      <w:r>
        <w:rPr>
          <w:spacing w:val="-17"/>
        </w:rPr>
      </w:r>
      <w:r>
        <w:rPr>
          <w:spacing w:val="-2"/>
        </w:rPr>
        <w:t>务报表时，适用新财务报表格式。同时采用追溯调整法变更了相关财务报表列报。相关列报调整主要影响</w:t>
      </w:r>
      <w:r>
        <w:rPr>
          <w:spacing w:val="-44"/>
        </w:rPr>
        <w:t> </w:t>
      </w:r>
      <w:r>
        <w:rPr>
          <w:spacing w:val="-44"/>
        </w:rPr>
      </w:r>
      <w:r>
        <w:rPr/>
        <w:t>如下：</w:t>
      </w:r>
    </w:p>
    <w:p>
      <w:pPr>
        <w:pStyle w:val="BodyText"/>
        <w:spacing w:line="240" w:lineRule="auto" w:before="58"/>
        <w:ind w:left="573" w:right="1133"/>
        <w:jc w:val="left"/>
      </w:pPr>
      <w:r>
        <w:rPr>
          <w:rFonts w:ascii="Times New Roman" w:hAnsi="Times New Roman" w:cs="Times New Roman" w:eastAsia="Times New Roman" w:hint="default"/>
        </w:rPr>
        <w:t>1</w:t>
      </w:r>
      <w:r>
        <w:rPr/>
        <w:t>）资产负债表中</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项目分拆为</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两个项目；</w:t>
      </w:r>
      <w:r>
        <w:rPr>
          <w:rFonts w:ascii="Times New Roman" w:hAnsi="Times New Roman" w:cs="Times New Roman" w:eastAsia="Times New Roman" w:hint="default"/>
        </w:rPr>
        <w:t>“</w:t>
      </w:r>
      <w:r>
        <w:rPr/>
        <w:t>应付票据及</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1133"/>
        <w:jc w:val="left"/>
      </w:pPr>
      <w:r>
        <w:rPr/>
        <w:t>应付账款</w:t>
      </w:r>
      <w:r>
        <w:rPr>
          <w:rFonts w:ascii="Times New Roman" w:hAnsi="Times New Roman" w:cs="Times New Roman" w:eastAsia="Times New Roman" w:hint="default"/>
        </w:rPr>
        <w:t>”</w:t>
      </w:r>
      <w:r>
        <w:rPr/>
        <w:t>项目分拆为</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两个项目。</w:t>
      </w:r>
    </w:p>
    <w:p>
      <w:pPr>
        <w:pStyle w:val="BodyText"/>
        <w:spacing w:line="240" w:lineRule="auto" w:before="177"/>
        <w:ind w:left="573" w:right="1133"/>
        <w:jc w:val="left"/>
      </w:pPr>
      <w:r>
        <w:rPr/>
        <w:t>①影响当年相应科目情况</w:t>
      </w:r>
    </w:p>
    <w:p>
      <w:pPr>
        <w:spacing w:line="240" w:lineRule="auto" w:before="11"/>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2108"/>
        <w:gridCol w:w="1844"/>
        <w:gridCol w:w="1844"/>
        <w:gridCol w:w="1843"/>
        <w:gridCol w:w="1844"/>
      </w:tblGrid>
      <w:tr>
        <w:trPr>
          <w:trHeight w:val="355" w:hRule="exact"/>
        </w:trPr>
        <w:tc>
          <w:tcPr>
            <w:tcW w:w="2108" w:type="dxa"/>
            <w:vMerge w:val="restart"/>
            <w:tcBorders>
              <w:top w:val="single" w:sz="6" w:space="0" w:color="000000"/>
              <w:left w:val="single" w:sz="6" w:space="0" w:color="000000"/>
              <w:right w:val="single" w:sz="6" w:space="0" w:color="000000"/>
            </w:tcBorders>
          </w:tcPr>
          <w:p>
            <w:pPr>
              <w:pStyle w:val="TableParagraph"/>
              <w:spacing w:line="240" w:lineRule="auto" w:before="17"/>
              <w:ind w:left="689"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3687"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1210" w:right="0"/>
              <w:jc w:val="left"/>
              <w:rPr>
                <w:rFonts w:ascii="宋体" w:hAnsi="宋体" w:cs="宋体" w:eastAsia="宋体" w:hint="default"/>
                <w:sz w:val="18"/>
                <w:szCs w:val="18"/>
              </w:rPr>
            </w:pPr>
            <w:r>
              <w:rPr>
                <w:rFonts w:ascii="宋体" w:hAnsi="宋体" w:cs="宋体" w:eastAsia="宋体" w:hint="default"/>
                <w:sz w:val="18"/>
                <w:szCs w:val="18"/>
              </w:rPr>
              <w:t>合并资产负债表</w:t>
            </w:r>
          </w:p>
        </w:tc>
        <w:tc>
          <w:tcPr>
            <w:tcW w:w="3687"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1116" w:right="0"/>
              <w:jc w:val="left"/>
              <w:rPr>
                <w:rFonts w:ascii="宋体" w:hAnsi="宋体" w:cs="宋体" w:eastAsia="宋体" w:hint="default"/>
                <w:sz w:val="18"/>
                <w:szCs w:val="18"/>
              </w:rPr>
            </w:pPr>
            <w:r>
              <w:rPr>
                <w:rFonts w:ascii="宋体" w:hAnsi="宋体" w:cs="宋体" w:eastAsia="宋体" w:hint="default"/>
                <w:sz w:val="18"/>
                <w:szCs w:val="18"/>
              </w:rPr>
              <w:t>母公司资产负债表</w:t>
            </w:r>
          </w:p>
        </w:tc>
      </w:tr>
      <w:tr>
        <w:trPr>
          <w:trHeight w:val="350" w:hRule="exact"/>
        </w:trPr>
        <w:tc>
          <w:tcPr>
            <w:tcW w:w="2108" w:type="dxa"/>
            <w:vMerge/>
            <w:tcBorders>
              <w:left w:val="single" w:sz="6" w:space="0" w:color="000000"/>
              <w:bottom w:val="single" w:sz="12" w:space="0" w:color="000000"/>
              <w:right w:val="single" w:sz="6" w:space="0" w:color="000000"/>
            </w:tcBorders>
          </w:tcPr>
          <w:p>
            <w:pP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64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8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353" w:hRule="exact"/>
        </w:trPr>
        <w:tc>
          <w:tcPr>
            <w:tcW w:w="2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1,153,765,245.03</w:t>
            </w:r>
          </w:p>
        </w:tc>
        <w:tc>
          <w:tcPr>
            <w:tcW w:w="1844" w:type="dxa"/>
            <w:tcBorders>
              <w:top w:val="single" w:sz="12" w:space="0" w:color="000000"/>
              <w:left w:val="single" w:sz="6" w:space="0" w:color="000000"/>
              <w:bottom w:val="single" w:sz="12" w:space="0" w:color="000000"/>
              <w:right w:val="single" w:sz="6" w:space="0" w:color="000000"/>
            </w:tcBorders>
          </w:tcPr>
          <w:p>
            <w:pP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700" w:right="0"/>
              <w:jc w:val="left"/>
              <w:rPr>
                <w:rFonts w:ascii="Times New Roman" w:hAnsi="Times New Roman" w:cs="Times New Roman" w:eastAsia="Times New Roman" w:hint="default"/>
                <w:sz w:val="18"/>
                <w:szCs w:val="18"/>
              </w:rPr>
            </w:pPr>
            <w:r>
              <w:rPr>
                <w:rFonts w:ascii="Times New Roman"/>
                <w:sz w:val="18"/>
              </w:rPr>
              <w:t>469,937,079.60</w:t>
            </w:r>
          </w:p>
        </w:tc>
        <w:tc>
          <w:tcPr>
            <w:tcW w:w="184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44" w:type="dxa"/>
            <w:tcBorders>
              <w:top w:val="single" w:sz="12" w:space="0" w:color="000000"/>
              <w:left w:val="single" w:sz="6" w:space="0" w:color="000000"/>
              <w:bottom w:val="single" w:sz="12" w:space="0" w:color="000000"/>
              <w:right w:val="single" w:sz="6" w:space="0" w:color="000000"/>
            </w:tcBorders>
          </w:tcPr>
          <w:p>
            <w:pP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1,832,877.98</w:t>
            </w:r>
          </w:p>
        </w:tc>
        <w:tc>
          <w:tcPr>
            <w:tcW w:w="1843" w:type="dxa"/>
            <w:tcBorders>
              <w:top w:val="single" w:sz="12" w:space="0" w:color="000000"/>
              <w:left w:val="single" w:sz="6" w:space="0" w:color="000000"/>
              <w:bottom w:val="single" w:sz="12" w:space="0" w:color="000000"/>
              <w:right w:val="single" w:sz="6" w:space="0" w:color="000000"/>
            </w:tcBorders>
          </w:tcPr>
          <w:p>
            <w:pPr/>
          </w:p>
        </w:tc>
        <w:tc>
          <w:tcPr>
            <w:tcW w:w="18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1,434,992.55</w:t>
            </w:r>
          </w:p>
        </w:tc>
      </w:tr>
      <w:tr>
        <w:trPr>
          <w:trHeight w:val="350" w:hRule="exact"/>
        </w:trPr>
        <w:tc>
          <w:tcPr>
            <w:tcW w:w="2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4" w:type="dxa"/>
            <w:tcBorders>
              <w:top w:val="single" w:sz="12" w:space="0" w:color="000000"/>
              <w:left w:val="single" w:sz="6" w:space="0" w:color="000000"/>
              <w:bottom w:val="single" w:sz="12" w:space="0" w:color="000000"/>
              <w:right w:val="single" w:sz="6" w:space="0" w:color="000000"/>
            </w:tcBorders>
          </w:tcPr>
          <w:p>
            <w:pP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1,151,932,367.05</w:t>
            </w:r>
          </w:p>
        </w:tc>
        <w:tc>
          <w:tcPr>
            <w:tcW w:w="1843" w:type="dxa"/>
            <w:tcBorders>
              <w:top w:val="single" w:sz="12" w:space="0" w:color="000000"/>
              <w:left w:val="single" w:sz="6" w:space="0" w:color="000000"/>
              <w:bottom w:val="single" w:sz="12" w:space="0" w:color="000000"/>
              <w:right w:val="single" w:sz="6" w:space="0" w:color="000000"/>
            </w:tcBorders>
          </w:tcPr>
          <w:p>
            <w:pPr/>
          </w:p>
        </w:tc>
        <w:tc>
          <w:tcPr>
            <w:tcW w:w="18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468,502,087.05</w:t>
            </w:r>
          </w:p>
        </w:tc>
      </w:tr>
      <w:tr>
        <w:trPr>
          <w:trHeight w:val="353" w:hRule="exact"/>
        </w:trPr>
        <w:tc>
          <w:tcPr>
            <w:tcW w:w="2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331,594,325.38</w:t>
            </w:r>
          </w:p>
        </w:tc>
        <w:tc>
          <w:tcPr>
            <w:tcW w:w="1844" w:type="dxa"/>
            <w:tcBorders>
              <w:top w:val="single" w:sz="12" w:space="0" w:color="000000"/>
              <w:left w:val="single" w:sz="6" w:space="0" w:color="000000"/>
              <w:bottom w:val="single" w:sz="12" w:space="0" w:color="000000"/>
              <w:right w:val="single" w:sz="6" w:space="0" w:color="000000"/>
            </w:tcBorders>
          </w:tcPr>
          <w:p>
            <w:pP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700" w:right="0"/>
              <w:jc w:val="left"/>
              <w:rPr>
                <w:rFonts w:ascii="Times New Roman" w:hAnsi="Times New Roman" w:cs="Times New Roman" w:eastAsia="Times New Roman" w:hint="default"/>
                <w:sz w:val="18"/>
                <w:szCs w:val="18"/>
              </w:rPr>
            </w:pPr>
            <w:r>
              <w:rPr>
                <w:rFonts w:ascii="Times New Roman"/>
                <w:sz w:val="18"/>
              </w:rPr>
              <w:t>156,563,782.92</w:t>
            </w:r>
          </w:p>
        </w:tc>
        <w:tc>
          <w:tcPr>
            <w:tcW w:w="184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44" w:type="dxa"/>
            <w:tcBorders>
              <w:top w:val="single" w:sz="12" w:space="0" w:color="000000"/>
              <w:left w:val="single" w:sz="6" w:space="0" w:color="000000"/>
              <w:bottom w:val="single" w:sz="12" w:space="0" w:color="000000"/>
              <w:right w:val="single" w:sz="6" w:space="0" w:color="000000"/>
            </w:tcBorders>
          </w:tcPr>
          <w:p>
            <w:pPr/>
          </w:p>
        </w:tc>
        <w:tc>
          <w:tcPr>
            <w:tcW w:w="1844" w:type="dxa"/>
            <w:tcBorders>
              <w:top w:val="single" w:sz="12" w:space="0" w:color="000000"/>
              <w:left w:val="single" w:sz="6" w:space="0" w:color="000000"/>
              <w:bottom w:val="single" w:sz="12" w:space="0" w:color="000000"/>
              <w:right w:val="single" w:sz="6" w:space="0" w:color="000000"/>
            </w:tcBorders>
          </w:tcPr>
          <w:p>
            <w:pPr/>
          </w:p>
        </w:tc>
        <w:tc>
          <w:tcPr>
            <w:tcW w:w="1843" w:type="dxa"/>
            <w:tcBorders>
              <w:top w:val="single" w:sz="12" w:space="0" w:color="000000"/>
              <w:left w:val="single" w:sz="6" w:space="0" w:color="000000"/>
              <w:bottom w:val="single" w:sz="12" w:space="0" w:color="000000"/>
              <w:right w:val="single" w:sz="6" w:space="0" w:color="000000"/>
            </w:tcBorders>
          </w:tcPr>
          <w:p>
            <w:pPr/>
          </w:p>
        </w:tc>
        <w:tc>
          <w:tcPr>
            <w:tcW w:w="184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44" w:type="dxa"/>
            <w:tcBorders>
              <w:top w:val="single" w:sz="12" w:space="0" w:color="000000"/>
              <w:left w:val="single" w:sz="6" w:space="0" w:color="000000"/>
              <w:bottom w:val="single" w:sz="12" w:space="0" w:color="000000"/>
              <w:right w:val="single" w:sz="6" w:space="0" w:color="000000"/>
            </w:tcBorders>
          </w:tcPr>
          <w:p>
            <w:pP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331,594,325.38</w:t>
            </w:r>
          </w:p>
        </w:tc>
        <w:tc>
          <w:tcPr>
            <w:tcW w:w="1843" w:type="dxa"/>
            <w:tcBorders>
              <w:top w:val="single" w:sz="12" w:space="0" w:color="000000"/>
              <w:left w:val="single" w:sz="6" w:space="0" w:color="000000"/>
              <w:bottom w:val="single" w:sz="12" w:space="0" w:color="000000"/>
              <w:right w:val="single" w:sz="6" w:space="0" w:color="000000"/>
            </w:tcBorders>
          </w:tcPr>
          <w:p>
            <w:pPr/>
          </w:p>
        </w:tc>
        <w:tc>
          <w:tcPr>
            <w:tcW w:w="18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156,563,782.92</w:t>
            </w:r>
          </w:p>
        </w:tc>
      </w:tr>
    </w:tbl>
    <w:p>
      <w:pPr>
        <w:spacing w:line="240" w:lineRule="auto" w:before="6"/>
        <w:rPr>
          <w:rFonts w:ascii="宋体" w:hAnsi="宋体" w:cs="宋体" w:eastAsia="宋体" w:hint="default"/>
          <w:sz w:val="5"/>
          <w:szCs w:val="5"/>
        </w:rPr>
      </w:pPr>
    </w:p>
    <w:p>
      <w:pPr>
        <w:pStyle w:val="BodyText"/>
        <w:spacing w:line="240" w:lineRule="auto" w:before="36"/>
        <w:ind w:left="573" w:right="1133"/>
        <w:jc w:val="left"/>
      </w:pPr>
      <w:r>
        <w:rPr/>
        <w:t>②影响上年度财务报表披露相应科目情况</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108"/>
        <w:gridCol w:w="1844"/>
        <w:gridCol w:w="1844"/>
        <w:gridCol w:w="1843"/>
        <w:gridCol w:w="1844"/>
      </w:tblGrid>
      <w:tr>
        <w:trPr>
          <w:trHeight w:val="353" w:hRule="exact"/>
        </w:trPr>
        <w:tc>
          <w:tcPr>
            <w:tcW w:w="2108" w:type="dxa"/>
            <w:vMerge w:val="restart"/>
            <w:tcBorders>
              <w:top w:val="single" w:sz="6" w:space="0" w:color="000000"/>
              <w:left w:val="single" w:sz="6" w:space="0" w:color="000000"/>
              <w:right w:val="single" w:sz="6" w:space="0" w:color="000000"/>
            </w:tcBorders>
          </w:tcPr>
          <w:p>
            <w:pPr>
              <w:pStyle w:val="TableParagraph"/>
              <w:spacing w:line="240" w:lineRule="auto" w:before="17"/>
              <w:ind w:left="689"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3687"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1210" w:right="0"/>
              <w:jc w:val="left"/>
              <w:rPr>
                <w:rFonts w:ascii="宋体" w:hAnsi="宋体" w:cs="宋体" w:eastAsia="宋体" w:hint="default"/>
                <w:sz w:val="18"/>
                <w:szCs w:val="18"/>
              </w:rPr>
            </w:pPr>
            <w:r>
              <w:rPr>
                <w:rFonts w:ascii="宋体" w:hAnsi="宋体" w:cs="宋体" w:eastAsia="宋体" w:hint="default"/>
                <w:sz w:val="18"/>
                <w:szCs w:val="18"/>
              </w:rPr>
              <w:t>合并资产负债表</w:t>
            </w:r>
          </w:p>
        </w:tc>
        <w:tc>
          <w:tcPr>
            <w:tcW w:w="3687"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1116" w:right="0"/>
              <w:jc w:val="left"/>
              <w:rPr>
                <w:rFonts w:ascii="宋体" w:hAnsi="宋体" w:cs="宋体" w:eastAsia="宋体" w:hint="default"/>
                <w:sz w:val="18"/>
                <w:szCs w:val="18"/>
              </w:rPr>
            </w:pPr>
            <w:r>
              <w:rPr>
                <w:rFonts w:ascii="宋体" w:hAnsi="宋体" w:cs="宋体" w:eastAsia="宋体" w:hint="default"/>
                <w:sz w:val="18"/>
                <w:szCs w:val="18"/>
              </w:rPr>
              <w:t>母公司资产负债表</w:t>
            </w:r>
          </w:p>
        </w:tc>
      </w:tr>
      <w:tr>
        <w:trPr>
          <w:trHeight w:val="353" w:hRule="exact"/>
        </w:trPr>
        <w:tc>
          <w:tcPr>
            <w:tcW w:w="2108" w:type="dxa"/>
            <w:vMerge/>
            <w:tcBorders>
              <w:left w:val="single" w:sz="6" w:space="0" w:color="000000"/>
              <w:bottom w:val="single" w:sz="12" w:space="0" w:color="000000"/>
              <w:right w:val="single" w:sz="6" w:space="0" w:color="000000"/>
            </w:tcBorders>
          </w:tcPr>
          <w:p>
            <w:pP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48"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4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8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353" w:hRule="exact"/>
        </w:trPr>
        <w:tc>
          <w:tcPr>
            <w:tcW w:w="2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703" w:right="0"/>
              <w:jc w:val="left"/>
              <w:rPr>
                <w:rFonts w:ascii="Times New Roman" w:hAnsi="Times New Roman" w:cs="Times New Roman" w:eastAsia="Times New Roman" w:hint="default"/>
                <w:sz w:val="18"/>
                <w:szCs w:val="18"/>
              </w:rPr>
            </w:pPr>
            <w:r>
              <w:rPr>
                <w:rFonts w:ascii="Times New Roman"/>
                <w:sz w:val="18"/>
              </w:rPr>
              <w:t>926,408,625.47</w:t>
            </w:r>
          </w:p>
        </w:tc>
        <w:tc>
          <w:tcPr>
            <w:tcW w:w="1844" w:type="dxa"/>
            <w:tcBorders>
              <w:top w:val="single" w:sz="12" w:space="0" w:color="000000"/>
              <w:left w:val="single" w:sz="6" w:space="0" w:color="000000"/>
              <w:bottom w:val="single" w:sz="12" w:space="0" w:color="000000"/>
              <w:right w:val="single" w:sz="6" w:space="0" w:color="000000"/>
            </w:tcBorders>
          </w:tcPr>
          <w:p>
            <w:pP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700" w:right="0"/>
              <w:jc w:val="left"/>
              <w:rPr>
                <w:rFonts w:ascii="Times New Roman" w:hAnsi="Times New Roman" w:cs="Times New Roman" w:eastAsia="Times New Roman" w:hint="default"/>
                <w:sz w:val="18"/>
                <w:szCs w:val="18"/>
              </w:rPr>
            </w:pPr>
            <w:r>
              <w:rPr>
                <w:rFonts w:ascii="Times New Roman"/>
                <w:sz w:val="18"/>
              </w:rPr>
              <w:t>336,358,329.85</w:t>
            </w:r>
          </w:p>
        </w:tc>
        <w:tc>
          <w:tcPr>
            <w:tcW w:w="1844"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2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44" w:type="dxa"/>
            <w:tcBorders>
              <w:top w:val="single" w:sz="12" w:space="0" w:color="000000"/>
              <w:left w:val="single" w:sz="6" w:space="0" w:color="000000"/>
              <w:bottom w:val="single" w:sz="12" w:space="0" w:color="000000"/>
              <w:right w:val="single" w:sz="6" w:space="0" w:color="000000"/>
            </w:tcBorders>
          </w:tcPr>
          <w:p>
            <w:pP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5,773,316.67</w:t>
            </w:r>
          </w:p>
        </w:tc>
        <w:tc>
          <w:tcPr>
            <w:tcW w:w="1843" w:type="dxa"/>
            <w:tcBorders>
              <w:top w:val="single" w:sz="12" w:space="0" w:color="000000"/>
              <w:left w:val="single" w:sz="6" w:space="0" w:color="000000"/>
              <w:bottom w:val="single" w:sz="12" w:space="0" w:color="000000"/>
              <w:right w:val="single" w:sz="6" w:space="0" w:color="000000"/>
            </w:tcBorders>
          </w:tcPr>
          <w:p>
            <w:pPr/>
          </w:p>
        </w:tc>
        <w:tc>
          <w:tcPr>
            <w:tcW w:w="18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5,679,966.67</w:t>
            </w:r>
          </w:p>
        </w:tc>
      </w:tr>
      <w:tr>
        <w:trPr>
          <w:trHeight w:val="353" w:hRule="exact"/>
        </w:trPr>
        <w:tc>
          <w:tcPr>
            <w:tcW w:w="2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4" w:type="dxa"/>
            <w:tcBorders>
              <w:top w:val="single" w:sz="12" w:space="0" w:color="000000"/>
              <w:left w:val="single" w:sz="6" w:space="0" w:color="000000"/>
              <w:bottom w:val="single" w:sz="12" w:space="0" w:color="000000"/>
              <w:right w:val="single" w:sz="6" w:space="0" w:color="000000"/>
            </w:tcBorders>
          </w:tcPr>
          <w:p>
            <w:pP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920,635,308.80</w:t>
            </w:r>
          </w:p>
        </w:tc>
        <w:tc>
          <w:tcPr>
            <w:tcW w:w="1843" w:type="dxa"/>
            <w:tcBorders>
              <w:top w:val="single" w:sz="12" w:space="0" w:color="000000"/>
              <w:left w:val="single" w:sz="6" w:space="0" w:color="000000"/>
              <w:bottom w:val="single" w:sz="12" w:space="0" w:color="000000"/>
              <w:right w:val="single" w:sz="6" w:space="0" w:color="000000"/>
            </w:tcBorders>
          </w:tcPr>
          <w:p>
            <w:pPr/>
          </w:p>
        </w:tc>
        <w:tc>
          <w:tcPr>
            <w:tcW w:w="18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330,678,363.18</w:t>
            </w:r>
          </w:p>
        </w:tc>
      </w:tr>
      <w:tr>
        <w:trPr>
          <w:trHeight w:val="353" w:hRule="exact"/>
        </w:trPr>
        <w:tc>
          <w:tcPr>
            <w:tcW w:w="2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703" w:right="0"/>
              <w:jc w:val="left"/>
              <w:rPr>
                <w:rFonts w:ascii="Times New Roman" w:hAnsi="Times New Roman" w:cs="Times New Roman" w:eastAsia="Times New Roman" w:hint="default"/>
                <w:sz w:val="18"/>
                <w:szCs w:val="18"/>
              </w:rPr>
            </w:pPr>
            <w:r>
              <w:rPr>
                <w:rFonts w:ascii="Times New Roman"/>
                <w:sz w:val="18"/>
              </w:rPr>
              <w:t>523,282,367.20</w:t>
            </w:r>
          </w:p>
        </w:tc>
        <w:tc>
          <w:tcPr>
            <w:tcW w:w="1844" w:type="dxa"/>
            <w:tcBorders>
              <w:top w:val="single" w:sz="12" w:space="0" w:color="000000"/>
              <w:left w:val="single" w:sz="6" w:space="0" w:color="000000"/>
              <w:bottom w:val="single" w:sz="12" w:space="0" w:color="000000"/>
              <w:right w:val="single" w:sz="6" w:space="0" w:color="000000"/>
            </w:tcBorders>
          </w:tcPr>
          <w:p>
            <w:pP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700" w:right="0"/>
              <w:jc w:val="left"/>
              <w:rPr>
                <w:rFonts w:ascii="Times New Roman" w:hAnsi="Times New Roman" w:cs="Times New Roman" w:eastAsia="Times New Roman" w:hint="default"/>
                <w:sz w:val="18"/>
                <w:szCs w:val="18"/>
              </w:rPr>
            </w:pPr>
            <w:r>
              <w:rPr>
                <w:rFonts w:ascii="Times New Roman"/>
                <w:sz w:val="18"/>
              </w:rPr>
              <w:t>416,744,978.27</w:t>
            </w:r>
          </w:p>
        </w:tc>
        <w:tc>
          <w:tcPr>
            <w:tcW w:w="1844"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2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44" w:type="dxa"/>
            <w:tcBorders>
              <w:top w:val="single" w:sz="12" w:space="0" w:color="000000"/>
              <w:left w:val="single" w:sz="6" w:space="0" w:color="000000"/>
              <w:bottom w:val="single" w:sz="12" w:space="0" w:color="000000"/>
              <w:right w:val="single" w:sz="6" w:space="0" w:color="000000"/>
            </w:tcBorders>
          </w:tcPr>
          <w:p>
            <w:pP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200,000,200.00</w:t>
            </w:r>
          </w:p>
        </w:tc>
        <w:tc>
          <w:tcPr>
            <w:tcW w:w="1843" w:type="dxa"/>
            <w:tcBorders>
              <w:top w:val="single" w:sz="12" w:space="0" w:color="000000"/>
              <w:left w:val="single" w:sz="6" w:space="0" w:color="000000"/>
              <w:bottom w:val="single" w:sz="12" w:space="0" w:color="000000"/>
              <w:right w:val="single" w:sz="6" w:space="0" w:color="000000"/>
            </w:tcBorders>
          </w:tcPr>
          <w:p>
            <w:pPr/>
          </w:p>
        </w:tc>
        <w:tc>
          <w:tcPr>
            <w:tcW w:w="18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300,000,200.00</w:t>
            </w:r>
          </w:p>
        </w:tc>
      </w:tr>
      <w:tr>
        <w:trPr>
          <w:trHeight w:val="355" w:hRule="exact"/>
        </w:trPr>
        <w:tc>
          <w:tcPr>
            <w:tcW w:w="2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44" w:type="dxa"/>
            <w:tcBorders>
              <w:top w:val="single" w:sz="12" w:space="0" w:color="000000"/>
              <w:left w:val="single" w:sz="6" w:space="0" w:color="000000"/>
              <w:bottom w:val="single" w:sz="12" w:space="0" w:color="000000"/>
              <w:right w:val="single" w:sz="6" w:space="0" w:color="000000"/>
            </w:tcBorders>
          </w:tcPr>
          <w:p>
            <w:pP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323,282,167.20</w:t>
            </w:r>
          </w:p>
        </w:tc>
        <w:tc>
          <w:tcPr>
            <w:tcW w:w="1843" w:type="dxa"/>
            <w:tcBorders>
              <w:top w:val="single" w:sz="12" w:space="0" w:color="000000"/>
              <w:left w:val="single" w:sz="6" w:space="0" w:color="000000"/>
              <w:bottom w:val="single" w:sz="12" w:space="0" w:color="000000"/>
              <w:right w:val="single" w:sz="6" w:space="0" w:color="000000"/>
            </w:tcBorders>
          </w:tcPr>
          <w:p>
            <w:pPr/>
          </w:p>
        </w:tc>
        <w:tc>
          <w:tcPr>
            <w:tcW w:w="18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116,744,778.27</w:t>
            </w:r>
          </w:p>
        </w:tc>
      </w:tr>
    </w:tbl>
    <w:p>
      <w:pPr>
        <w:spacing w:line="240" w:lineRule="auto" w:before="5"/>
        <w:rPr>
          <w:rFonts w:ascii="宋体" w:hAnsi="宋体" w:cs="宋体" w:eastAsia="宋体" w:hint="default"/>
          <w:sz w:val="11"/>
          <w:szCs w:val="11"/>
        </w:rPr>
      </w:pPr>
    </w:p>
    <w:p>
      <w:pPr>
        <w:pStyle w:val="BodyText"/>
        <w:spacing w:line="386" w:lineRule="auto" w:before="36"/>
        <w:ind w:right="1128" w:firstLine="420"/>
        <w:jc w:val="both"/>
      </w:pPr>
      <w:r>
        <w:rPr>
          <w:rFonts w:ascii="Times New Roman" w:hAnsi="Times New Roman" w:cs="Times New Roman" w:eastAsia="Times New Roman" w:hint="default"/>
          <w:spacing w:val="-3"/>
        </w:rPr>
        <w:t>2</w:t>
      </w:r>
      <w:r>
        <w:rPr>
          <w:spacing w:val="-3"/>
        </w:rPr>
        <w:t>）将利润表项目</w:t>
      </w:r>
      <w:r>
        <w:rPr>
          <w:rFonts w:ascii="Times New Roman" w:hAnsi="Times New Roman" w:cs="Times New Roman" w:eastAsia="Times New Roman" w:hint="default"/>
          <w:spacing w:val="-3"/>
        </w:rPr>
        <w:t>“</w:t>
      </w:r>
      <w:r>
        <w:rPr>
          <w:spacing w:val="-3"/>
        </w:rPr>
        <w:t>减：资产减值损失</w:t>
      </w:r>
      <w:r>
        <w:rPr>
          <w:rFonts w:ascii="Times New Roman" w:hAnsi="Times New Roman" w:cs="Times New Roman" w:eastAsia="Times New Roman" w:hint="default"/>
          <w:spacing w:val="-3"/>
        </w:rPr>
        <w:t>”</w:t>
      </w:r>
      <w:r>
        <w:rPr>
          <w:spacing w:val="-3"/>
        </w:rPr>
        <w:t>调整为</w:t>
      </w:r>
      <w:r>
        <w:rPr>
          <w:rFonts w:ascii="Times New Roman" w:hAnsi="Times New Roman" w:cs="Times New Roman" w:eastAsia="Times New Roman" w:hint="default"/>
          <w:spacing w:val="-3"/>
        </w:rPr>
        <w:t>“</w:t>
      </w:r>
      <w:r>
        <w:rPr>
          <w:spacing w:val="-3"/>
        </w:rPr>
        <w:t>加：资产减值损失（损失以</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w:t>
      </w:r>
      <w:r>
        <w:rPr>
          <w:spacing w:val="-3"/>
        </w:rPr>
        <w:t>号填列）</w:t>
      </w:r>
      <w:r>
        <w:rPr>
          <w:spacing w:val="16"/>
        </w:rPr>
        <w:t> </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w:t>
      </w:r>
      <w:r>
        <w:rPr>
          <w:spacing w:val="-5"/>
        </w:rPr>
        <w:t>减：信用减</w:t>
      </w:r>
      <w:r>
        <w:rPr>
          <w:w w:val="100"/>
        </w:rPr>
        <w:t> </w:t>
      </w:r>
      <w:r>
        <w:rPr>
          <w:spacing w:val="-3"/>
        </w:rPr>
        <w:t>值损失</w:t>
      </w:r>
      <w:r>
        <w:rPr>
          <w:rFonts w:ascii="Times New Roman" w:hAnsi="Times New Roman" w:cs="Times New Roman" w:eastAsia="Times New Roman" w:hint="default"/>
          <w:spacing w:val="-3"/>
        </w:rPr>
        <w:t>”</w:t>
      </w:r>
      <w:r>
        <w:rPr>
          <w:spacing w:val="-3"/>
        </w:rPr>
        <w:t>调整为</w:t>
      </w:r>
      <w:r>
        <w:rPr>
          <w:rFonts w:ascii="Times New Roman" w:hAnsi="Times New Roman" w:cs="Times New Roman" w:eastAsia="Times New Roman" w:hint="default"/>
          <w:spacing w:val="-3"/>
        </w:rPr>
        <w:t>“</w:t>
      </w:r>
      <w:r>
        <w:rPr>
          <w:spacing w:val="-3"/>
        </w:rPr>
        <w:t>加：信用减值损失（损失以</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w:t>
      </w:r>
      <w:r>
        <w:rPr>
          <w:spacing w:val="-3"/>
        </w:rPr>
        <w:t>号填列） </w:t>
      </w:r>
      <w:r>
        <w:rPr>
          <w:rFonts w:ascii="Times New Roman" w:hAnsi="Times New Roman" w:cs="Times New Roman" w:eastAsia="Times New Roman" w:hint="default"/>
          <w:spacing w:val="-3"/>
        </w:rPr>
        <w:t>”</w:t>
      </w:r>
      <w:r>
        <w:rPr>
          <w:spacing w:val="-3"/>
        </w:rPr>
        <w:t>，在</w:t>
      </w:r>
      <w:r>
        <w:rPr>
          <w:rFonts w:ascii="Times New Roman" w:hAnsi="Times New Roman" w:cs="Times New Roman" w:eastAsia="Times New Roman" w:hint="default"/>
          <w:spacing w:val="-3"/>
        </w:rPr>
        <w:t>”</w:t>
      </w:r>
      <w:r>
        <w:rPr>
          <w:spacing w:val="-3"/>
        </w:rPr>
        <w:t>投资收益</w:t>
      </w:r>
      <w:r>
        <w:rPr>
          <w:rFonts w:ascii="Times New Roman" w:hAnsi="Times New Roman" w:cs="Times New Roman" w:eastAsia="Times New Roman" w:hint="default"/>
          <w:spacing w:val="-3"/>
        </w:rPr>
        <w:t>”</w:t>
      </w:r>
      <w:r>
        <w:rPr>
          <w:spacing w:val="-3"/>
        </w:rPr>
        <w:t>项目下增加</w:t>
      </w:r>
      <w:r>
        <w:rPr>
          <w:rFonts w:ascii="Times New Roman" w:hAnsi="Times New Roman" w:cs="Times New Roman" w:eastAsia="Times New Roman" w:hint="default"/>
          <w:spacing w:val="-3"/>
        </w:rPr>
        <w:t>“</w:t>
      </w:r>
      <w:r>
        <w:rPr>
          <w:spacing w:val="-3"/>
        </w:rPr>
        <w:t>加：以摊余成本计量</w:t>
      </w:r>
      <w:r>
        <w:rPr>
          <w:spacing w:val="-67"/>
        </w:rPr>
        <w:t> </w:t>
      </w:r>
      <w:r>
        <w:rPr>
          <w:spacing w:val="-67"/>
        </w:rPr>
      </w:r>
      <w:r>
        <w:rPr/>
        <w:t>的金融资产终止确认收益（损失以</w:t>
      </w:r>
      <w:r>
        <w:rPr>
          <w:rFonts w:ascii="Times New Roman" w:hAnsi="Times New Roman" w:cs="Times New Roman" w:eastAsia="Times New Roman" w:hint="default"/>
        </w:rPr>
        <w:t>“</w:t>
      </w:r>
      <w:r>
        <w:rPr>
          <w:rFonts w:ascii="Times New Roman" w:hAnsi="Times New Roman" w:cs="Times New Roman" w:eastAsia="Times New Roman" w:hint="default"/>
        </w:rPr>
        <w:t>-</w:t>
      </w:r>
      <w:r>
        <w:rPr>
          <w:rFonts w:ascii="Times New Roman" w:hAnsi="Times New Roman" w:cs="Times New Roman" w:eastAsia="Times New Roman" w:hint="default"/>
        </w:rPr>
        <w:t>”</w:t>
      </w:r>
      <w:r>
        <w:rPr/>
        <w:t>号填列）</w:t>
      </w:r>
      <w:r>
        <w:rPr>
          <w:rFonts w:ascii="Times New Roman" w:hAnsi="Times New Roman" w:cs="Times New Roman" w:eastAsia="Times New Roman" w:hint="default"/>
        </w:rPr>
        <w:t>”</w:t>
      </w:r>
      <w:r>
        <w:rPr/>
        <w:t>。</w:t>
      </w:r>
    </w:p>
    <w:p>
      <w:pPr>
        <w:pStyle w:val="BodyText"/>
        <w:spacing w:line="386" w:lineRule="auto" w:before="153"/>
        <w:ind w:right="1126" w:firstLine="420"/>
        <w:jc w:val="both"/>
      </w:pPr>
      <w:r>
        <w:rPr/>
        <w:t>本公司根据《关于修订印发 </w:t>
      </w:r>
      <w:r>
        <w:rPr>
          <w:rFonts w:ascii="Times New Roman" w:hAnsi="Times New Roman" w:cs="Times New Roman" w:eastAsia="Times New Roman" w:hint="default"/>
        </w:rPr>
        <w:t>2019</w:t>
      </w:r>
      <w:r>
        <w:rPr>
          <w:rFonts w:ascii="Times New Roman" w:hAnsi="Times New Roman" w:cs="Times New Roman" w:eastAsia="Times New Roman" w:hint="default"/>
          <w:spacing w:val="27"/>
        </w:rPr>
        <w:t> </w:t>
      </w:r>
      <w:r>
        <w:rPr/>
        <w:t>年度一般企业财务报表格式的通知》相关要求编制财务报表，仅对</w:t>
      </w:r>
      <w:r>
        <w:rPr>
          <w:w w:val="100"/>
        </w:rPr>
        <w:t> </w:t>
      </w:r>
      <w:r>
        <w:rPr/>
        <w:t>财务报表格式和部分项目填列口径产生影响，不影响公司净资产、净利润等财务指标。</w:t>
      </w:r>
    </w:p>
    <w:p>
      <w:pPr>
        <w:spacing w:line="240" w:lineRule="auto" w:before="2"/>
        <w:rPr>
          <w:rFonts w:ascii="宋体" w:hAnsi="宋体" w:cs="宋体" w:eastAsia="宋体" w:hint="default"/>
          <w:sz w:val="14"/>
          <w:szCs w:val="14"/>
        </w:rPr>
      </w:pPr>
    </w:p>
    <w:p>
      <w:pPr>
        <w:pStyle w:val="BodyText"/>
        <w:spacing w:line="386" w:lineRule="auto" w:before="0"/>
        <w:ind w:right="1131" w:firstLine="420"/>
        <w:jc w:val="both"/>
      </w:pPr>
      <w:r>
        <w:rPr>
          <w:spacing w:val="-12"/>
        </w:rPr>
        <w:t>（</w:t>
      </w:r>
      <w:r>
        <w:rPr>
          <w:rFonts w:ascii="Times New Roman" w:hAnsi="Times New Roman" w:cs="Times New Roman" w:eastAsia="Times New Roman" w:hint="default"/>
          <w:spacing w:val="-12"/>
        </w:rPr>
        <w:t>3</w:t>
      </w:r>
      <w:r>
        <w:rPr>
          <w:spacing w:val="-12"/>
        </w:rPr>
        <w:t>）公司自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10 </w:t>
      </w:r>
      <w:r>
        <w:rPr>
          <w:spacing w:val="-10"/>
        </w:rPr>
        <w:t>日起，执行财政部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5 </w:t>
      </w:r>
      <w:r>
        <w:rPr>
          <w:spacing w:val="-6"/>
        </w:rPr>
        <w:t>月修订颁布的《企业会计准则第 </w:t>
      </w:r>
      <w:r>
        <w:rPr>
          <w:rFonts w:ascii="Times New Roman" w:hAnsi="Times New Roman" w:cs="Times New Roman" w:eastAsia="Times New Roman" w:hint="default"/>
        </w:rPr>
        <w:t>7</w:t>
      </w:r>
      <w:r>
        <w:rPr>
          <w:rFonts w:ascii="Times New Roman" w:hAnsi="Times New Roman" w:cs="Times New Roman" w:eastAsia="Times New Roman" w:hint="default"/>
          <w:spacing w:val="20"/>
        </w:rPr>
        <w:t>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3"/>
          <w:w w:val="100"/>
        </w:rPr>
        <w:t> </w:t>
      </w:r>
      <w:r>
        <w:rPr/>
        <w:t>非货币性资产交换》。执行该准则对公司无重大影响。</w:t>
      </w:r>
    </w:p>
    <w:p>
      <w:pPr>
        <w:spacing w:line="240" w:lineRule="auto" w:before="2"/>
        <w:rPr>
          <w:rFonts w:ascii="宋体" w:hAnsi="宋体" w:cs="宋体" w:eastAsia="宋体" w:hint="default"/>
          <w:sz w:val="14"/>
          <w:szCs w:val="14"/>
        </w:rPr>
      </w:pPr>
    </w:p>
    <w:p>
      <w:pPr>
        <w:pStyle w:val="BodyText"/>
        <w:spacing w:line="386" w:lineRule="auto" w:before="0"/>
        <w:ind w:right="1128" w:firstLine="420"/>
        <w:jc w:val="both"/>
      </w:pPr>
      <w:r>
        <w:rPr>
          <w:spacing w:val="-18"/>
          <w:w w:val="100"/>
        </w:rPr>
        <w:t>（</w:t>
      </w:r>
      <w:r>
        <w:rPr>
          <w:rFonts w:ascii="Times New Roman" w:hAnsi="Times New Roman" w:cs="Times New Roman" w:eastAsia="Times New Roman" w:hint="default"/>
          <w:spacing w:val="-18"/>
          <w:w w:val="100"/>
        </w:rPr>
        <w:t>4</w:t>
      </w:r>
      <w:r>
        <w:rPr>
          <w:spacing w:val="-18"/>
          <w:w w:val="100"/>
        </w:rPr>
        <w:t>）公司自</w:t>
      </w:r>
      <w:r>
        <w:rPr>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w w:val="100"/>
        </w:rPr>
        <w:t> </w:t>
      </w:r>
      <w:r>
        <w:rPr>
          <w:w w:val="100"/>
        </w:rPr>
        <w:t>年 </w:t>
      </w:r>
      <w:r>
        <w:rPr>
          <w:rFonts w:ascii="Times New Roman" w:hAnsi="Times New Roman" w:cs="Times New Roman" w:eastAsia="Times New Roman" w:hint="default"/>
          <w:w w:val="100"/>
        </w:rPr>
        <w:t>6 </w:t>
      </w:r>
      <w:r>
        <w:rPr>
          <w:w w:val="100"/>
        </w:rPr>
        <w:t>月 </w:t>
      </w:r>
      <w:r>
        <w:rPr>
          <w:rFonts w:ascii="Times New Roman" w:hAnsi="Times New Roman" w:cs="Times New Roman" w:eastAsia="Times New Roman" w:hint="default"/>
          <w:w w:val="100"/>
        </w:rPr>
        <w:t>17 </w:t>
      </w:r>
      <w:r>
        <w:rPr>
          <w:spacing w:val="-14"/>
          <w:w w:val="100"/>
        </w:rPr>
        <w:t>日起，执行财政部</w:t>
      </w:r>
      <w:r>
        <w:rPr>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w w:val="100"/>
        </w:rPr>
        <w:t> </w:t>
      </w:r>
      <w:r>
        <w:rPr>
          <w:w w:val="100"/>
        </w:rPr>
        <w:t>年 </w:t>
      </w:r>
      <w:r>
        <w:rPr>
          <w:rFonts w:ascii="Times New Roman" w:hAnsi="Times New Roman" w:cs="Times New Roman" w:eastAsia="Times New Roman" w:hint="default"/>
          <w:w w:val="100"/>
        </w:rPr>
        <w:t>5 </w:t>
      </w:r>
      <w:r>
        <w:rPr>
          <w:spacing w:val="-9"/>
          <w:w w:val="100"/>
        </w:rPr>
        <w:t>月修订颁布的《企业会计准则第</w:t>
      </w:r>
      <w:r>
        <w:rPr>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7"/>
          <w:w w:val="100"/>
        </w:rPr>
        <w:t> </w:t>
      </w:r>
      <w:r>
        <w:rPr>
          <w:spacing w:val="-1"/>
          <w:w w:val="100"/>
        </w:rPr>
        <w:t>号</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 </w:t>
      </w:r>
      <w:r>
        <w:rPr/>
        <w:t>债务重组》。执行该准则对公司无重大影响。</w:t>
      </w:r>
    </w:p>
    <w:p>
      <w:pPr>
        <w:spacing w:line="240" w:lineRule="auto" w:before="0"/>
        <w:rPr>
          <w:rFonts w:ascii="宋体" w:hAnsi="宋体" w:cs="宋体" w:eastAsia="宋体" w:hint="default"/>
          <w:sz w:val="22"/>
          <w:szCs w:val="22"/>
        </w:rPr>
      </w:pPr>
    </w:p>
    <w:p>
      <w:pPr>
        <w:pStyle w:val="Heading5"/>
        <w:spacing w:line="240" w:lineRule="auto"/>
        <w:ind w:right="1133"/>
        <w:jc w:val="left"/>
        <w:rPr>
          <w:b w:val="0"/>
          <w:bCs w:val="0"/>
        </w:rPr>
      </w:pPr>
      <w:bookmarkStart w:name="（2）重要会计估计变更" w:id="230"/>
      <w:bookmarkEnd w:id="230"/>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bookmarkStart w:name="（3）2019年起执行新金融工具准则、新收入准则或新租赁准则调整执行当年年初财务" w:id="231"/>
      <w:bookmarkEnd w:id="231"/>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line="338" w:lineRule="auto"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534" w:space="7387"/>
            <w:col w:w="2009"/>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130,109,720.93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130,109,720.93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5,773,316.67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5,773,316.67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-5,773,316.67</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920,635,308.80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920,635,308.80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-176,281.40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5,773,316.67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5,773,316.67</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371,537,833.32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371,537,833.32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65,136,748.95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65,136,748.95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-669,944.44</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6,109,089,020.03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6,109,089,020.03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47,143,422.03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47,143,422.03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7,649,425,370.73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7,648,579,144.89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-846,225.84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48,000,000.00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48,000,000.00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1,068,322,527.11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1,068,322,527.11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649,225,509.18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649,225,509.18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4,491,017.78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4,491,017.78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417,837,361.64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417,837,361.64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4,622,039.46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4,622,039.46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6,697,812.62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6,697,812.62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226,281.25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226,281.25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15,067,931.45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15,067,931.45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55,283,206.64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55,283,206.64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2,269,773,687.13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2,269,773,687.13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9,919,199,057.86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9,918,352,832.02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-846,225.84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2,897,000,000.00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2,897,000,000.00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200,000,200.00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323,282,367.20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323,282,167.20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135,975,034.15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135,975,034.15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8,113,856.03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8,113,856.03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9,142,761.31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9,142,761.31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211,571,005.83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211,571,005.83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430,770.41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430,770.41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519,217,177.81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519,217,177.81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4,304,302,202.33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4,304,302,202.33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1,030,950,643.77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1,030,950,643.77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14,917,144.83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14,917,144.83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832,465.10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832,465.10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257,326,293.51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257,326,293.51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455,400.33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455,400.33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1,304,481,947.54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1,304,481,947.54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5,608,784,149.87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5,608,784,149.87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1,280,759,826.00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1,280,759,826.00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1,533,835,753.68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1,533,835,753.68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7,793,455.49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7,793,455.49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82,090,518.80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82,090,518.80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1,403,054,707.93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1,402,208,482.09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-846,225.84</w:t>
            </w:r>
          </w:p>
        </w:tc>
      </w:tr>
      <w:tr>
        <w:trPr>
          <w:trHeight w:val="71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4,307,534,261.90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4,306,688,036.06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-846,225.84</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2,880,646.09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2,880,646.09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4,310,414,907.99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4,309,568,682.15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-846,225.84</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9,919,199,057.86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9,918,352,832.02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-846,225.84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593" w:space="7327"/>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105,757,743.72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105,757,743.72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5,679,966.67</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-5,679,966.67</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330,678,363.18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330,678,363.18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-175,161.40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5,679,966.67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5,679,966.67</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231,214,699.12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231,214,699.12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4,063,554,463.96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65,136,748.95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475,404,975.24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475,404,975.24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36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4,941,489.60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4,941,489.60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5,217,231,701.49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5,217,056,540.09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-175,161.40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48,000,000.00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1,486,315,069.14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1,486,315,069.14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102,393,696.26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102,393,696.26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508,384,918.83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508,384,918.83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101,869,410.14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101,869,410.14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843,689.32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843,689.32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4,066,114.06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4,066,114.06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1,166,865.48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1,166,865.48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2,253,039,763.23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2,253,039,763.23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7,470,271,464.72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4,658,617,356.93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-175,161.40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2,271,000,000.00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2,271,000,000.00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116,744,978.27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116,744,978.27</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3,869,432.78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3,869,432.78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5,622,545.51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5,622,545.51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813,081,442.28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813,081,442.28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233,232,728.44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233,232,728.44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3,743,551,127.28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3,743,551,127.28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233,444,043.77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233,444,043.77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832,465.10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832,465.10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89,629,194.73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89,629,194.73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324,105,703.60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324,105,703.60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4,067,656,830.88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4,067,656,830.88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1,280,759,826.00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1,280,759,826.00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1,535,327,451.39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1,535,327,451.39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80,928,768.09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80,928,768.09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505,598,588.36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505,423,426.96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-175,161.40</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3,402,614,633.84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3,402,439,472.44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-175,161.40</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7,470,271,464.72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7,470,096,303.32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-175,161.40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调整情况说明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bookmarkStart w:name="（4）2019年起执行新金融工具准则或新租赁准则追溯调整前期比较数据说明" w:id="232"/>
      <w:bookmarkEnd w:id="232"/>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spacing w:line="487" w:lineRule="auto" w:before="0"/>
        <w:ind w:left="152" w:right="8968" w:firstLine="0"/>
        <w:jc w:val="left"/>
        <w:rPr>
          <w:rFonts w:ascii="宋体" w:hAnsi="宋体" w:cs="宋体" w:eastAsia="宋体" w:hint="default"/>
          <w:sz w:val="21"/>
          <w:szCs w:val="21"/>
        </w:rPr>
      </w:pPr>
      <w:bookmarkStart w:name="45、其他" w:id="233"/>
      <w:bookmarkEnd w:id="233"/>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六、税项" w:id="234"/>
      <w:bookmarkEnd w:id="234"/>
      <w:r>
        <w:rPr>
          <w:rFonts w:ascii="宋体" w:hAnsi="宋体" w:cs="宋体" w:eastAsia="宋体" w:hint="default"/>
          <w:b/>
          <w:bCs/>
          <w:w w:val="100"/>
          <w:sz w:val="21"/>
          <w:szCs w:val="21"/>
        </w:rPr>
      </w:r>
      <w:r>
        <w:rPr>
          <w:rFonts w:ascii="宋体" w:hAnsi="宋体" w:cs="宋体" w:eastAsia="宋体" w:hint="default"/>
          <w:b/>
          <w:bCs/>
          <w:sz w:val="24"/>
          <w:szCs w:val="24"/>
        </w:rPr>
        <w:t>六、税项</w:t>
      </w:r>
      <w:r>
        <w:rPr>
          <w:rFonts w:ascii="宋体" w:hAnsi="宋体" w:cs="宋体" w:eastAsia="宋体" w:hint="default"/>
          <w:b/>
          <w:bCs/>
          <w:w w:val="99"/>
          <w:sz w:val="24"/>
          <w:szCs w:val="24"/>
        </w:rPr>
        <w:t> </w:t>
      </w:r>
      <w:bookmarkStart w:name="1、主要税种及税率" w:id="235"/>
      <w:bookmarkEnd w:id="23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191"/>
        <w:gridCol w:w="3167"/>
        <w:gridCol w:w="3201"/>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24"/>
              <w:jc w:val="center"/>
              <w:rPr>
                <w:rFonts w:ascii="宋体" w:hAnsi="宋体" w:cs="宋体" w:eastAsia="宋体" w:hint="default"/>
                <w:sz w:val="18"/>
                <w:szCs w:val="18"/>
              </w:rPr>
            </w:pPr>
            <w:r>
              <w:rPr>
                <w:rFonts w:ascii="宋体" w:hAnsi="宋体" w:cs="宋体" w:eastAsia="宋体" w:hint="default"/>
                <w:sz w:val="18"/>
                <w:szCs w:val="18"/>
              </w:rPr>
              <w:t>税种</w:t>
            </w:r>
          </w:p>
        </w:tc>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91" w:type="dxa"/>
            <w:tcBorders>
              <w:top w:val="single" w:sz="4" w:space="0" w:color="000000"/>
              <w:left w:val="single" w:sz="4" w:space="0" w:color="000000"/>
              <w:bottom w:val="nil" w:sz="6" w:space="0" w:color="auto"/>
              <w:right w:val="single" w:sz="10" w:space="0" w:color="C7EBCC"/>
            </w:tcBorders>
            <w:shd w:val="clear" w:color="auto" w:fill="D2D2D2"/>
          </w:tcPr>
          <w:p>
            <w:pPr/>
          </w:p>
        </w:tc>
        <w:tc>
          <w:tcPr>
            <w:tcW w:w="3167" w:type="dxa"/>
            <w:vMerge w:val="restart"/>
            <w:tcBorders>
              <w:top w:val="single" w:sz="4" w:space="0" w:color="000000"/>
              <w:left w:val="single" w:sz="9" w:space="0" w:color="D2D2D2"/>
              <w:right w:val="single" w:sz="4" w:space="0" w:color="000000"/>
            </w:tcBorders>
            <w:shd w:val="clear" w:color="auto" w:fill="C7EBCC"/>
          </w:tcPr>
          <w:p>
            <w:pPr>
              <w:pStyle w:val="TableParagraph"/>
              <w:spacing w:line="316" w:lineRule="auto" w:before="49"/>
              <w:ind w:left="6" w:right="83"/>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201" w:type="dxa"/>
            <w:tcBorders>
              <w:top w:val="single" w:sz="4" w:space="0" w:color="000000"/>
              <w:left w:val="single" w:sz="4" w:space="0" w:color="000000"/>
              <w:bottom w:val="nil" w:sz="6" w:space="0" w:color="auto"/>
              <w:right w:val="single" w:sz="4" w:space="0" w:color="000000"/>
            </w:tcBorders>
            <w:shd w:val="clear" w:color="auto" w:fill="C7EBCC"/>
          </w:tcPr>
          <w:p>
            <w:pPr/>
          </w:p>
        </w:tc>
      </w:tr>
      <w:tr>
        <w:trPr>
          <w:trHeight w:val="391" w:hRule="exact"/>
        </w:trPr>
        <w:tc>
          <w:tcPr>
            <w:tcW w:w="3191" w:type="dxa"/>
            <w:tcBorders>
              <w:top w:val="nil" w:sz="6" w:space="0" w:color="auto"/>
              <w:left w:val="single" w:sz="4" w:space="0" w:color="000000"/>
              <w:bottom w:val="nil" w:sz="6" w:space="0" w:color="auto"/>
              <w:right w:val="single" w:sz="10" w:space="0" w:color="C7EB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67" w:type="dxa"/>
            <w:vMerge/>
            <w:tcBorders>
              <w:left w:val="single" w:sz="9" w:space="0" w:color="D2D2D2"/>
              <w:right w:val="single" w:sz="4" w:space="0" w:color="000000"/>
            </w:tcBorders>
            <w:shd w:val="clear" w:color="auto" w:fill="C7EBCC"/>
          </w:tcPr>
          <w:p>
            <w:pPr/>
          </w:p>
        </w:tc>
        <w:tc>
          <w:tcPr>
            <w:tcW w:w="3201" w:type="dxa"/>
            <w:tcBorders>
              <w:top w:val="nil" w:sz="6" w:space="0" w:color="auto"/>
              <w:left w:val="single" w:sz="4" w:space="0" w:color="000000"/>
              <w:bottom w:val="nil" w:sz="6" w:space="0" w:color="auto"/>
              <w:right w:val="single" w:sz="4" w:space="0" w:color="000000"/>
            </w:tcBorders>
            <w:shd w:val="clear" w:color="auto" w:fill="C7EBCC"/>
          </w:tcPr>
          <w:p>
            <w:pPr>
              <w:pStyle w:val="TableParagraph"/>
              <w:spacing w:line="240" w:lineRule="auto" w:before="49"/>
              <w:ind w:left="3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p>
        </w:tc>
      </w:tr>
      <w:tr>
        <w:trPr>
          <w:trHeight w:val="474" w:hRule="exact"/>
        </w:trPr>
        <w:tc>
          <w:tcPr>
            <w:tcW w:w="3191" w:type="dxa"/>
            <w:tcBorders>
              <w:top w:val="nil" w:sz="6" w:space="0" w:color="auto"/>
              <w:left w:val="single" w:sz="4" w:space="0" w:color="000000"/>
              <w:bottom w:val="single" w:sz="4" w:space="0" w:color="000000"/>
              <w:right w:val="single" w:sz="10" w:space="0" w:color="C7EBCC"/>
            </w:tcBorders>
            <w:shd w:val="clear" w:color="auto" w:fill="D2D2D2"/>
          </w:tcPr>
          <w:p>
            <w:pPr/>
          </w:p>
        </w:tc>
        <w:tc>
          <w:tcPr>
            <w:tcW w:w="3167" w:type="dxa"/>
            <w:vMerge/>
            <w:tcBorders>
              <w:left w:val="single" w:sz="9" w:space="0" w:color="D2D2D2"/>
              <w:bottom w:val="single" w:sz="4" w:space="0" w:color="000000"/>
              <w:right w:val="single" w:sz="4" w:space="0" w:color="000000"/>
            </w:tcBorders>
            <w:shd w:val="clear" w:color="auto" w:fill="C7EBCC"/>
          </w:tcPr>
          <w:p>
            <w:pPr/>
          </w:p>
        </w:tc>
        <w:tc>
          <w:tcPr>
            <w:tcW w:w="3201" w:type="dxa"/>
            <w:tcBorders>
              <w:top w:val="nil" w:sz="6" w:space="0" w:color="auto"/>
              <w:left w:val="single" w:sz="4" w:space="0" w:color="000000"/>
              <w:bottom w:val="single" w:sz="4" w:space="0" w:color="000000"/>
              <w:right w:val="single" w:sz="4" w:space="0" w:color="000000"/>
            </w:tcBorders>
            <w:shd w:val="clear" w:color="auto" w:fill="C7EBCC"/>
          </w:tcPr>
          <w:p>
            <w:pPr/>
          </w:p>
        </w:tc>
      </w:tr>
      <w:tr>
        <w:trPr>
          <w:trHeight w:val="402" w:hRule="exact"/>
        </w:trPr>
        <w:tc>
          <w:tcPr>
            <w:tcW w:w="3191" w:type="dxa"/>
            <w:tcBorders>
              <w:top w:val="single" w:sz="4" w:space="0" w:color="000000"/>
              <w:left w:val="single" w:sz="4" w:space="0" w:color="000000"/>
              <w:bottom w:val="single" w:sz="4" w:space="0" w:color="000000"/>
              <w:right w:val="single" w:sz="10" w:space="0" w:color="C7EBCC"/>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67" w:type="dxa"/>
            <w:tcBorders>
              <w:top w:val="single" w:sz="4" w:space="0" w:color="000000"/>
              <w:left w:val="single" w:sz="12" w:space="0" w:color="D2D2D2"/>
              <w:bottom w:val="single" w:sz="4" w:space="0" w:color="000000"/>
              <w:right w:val="single" w:sz="4" w:space="0" w:color="000000"/>
            </w:tcBorders>
            <w:shd w:val="clear" w:color="auto" w:fill="C7EBCC"/>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C7EBCC"/>
          </w:tcPr>
          <w:p>
            <w:pPr/>
          </w:p>
        </w:tc>
      </w:tr>
      <w:tr>
        <w:trPr>
          <w:trHeight w:val="402" w:hRule="exact"/>
        </w:trPr>
        <w:tc>
          <w:tcPr>
            <w:tcW w:w="3191" w:type="dxa"/>
            <w:tcBorders>
              <w:top w:val="single" w:sz="4" w:space="0" w:color="000000"/>
              <w:left w:val="single" w:sz="4" w:space="0" w:color="000000"/>
              <w:bottom w:val="single" w:sz="4" w:space="0" w:color="000000"/>
              <w:right w:val="single" w:sz="10" w:space="0" w:color="C7EB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67" w:type="dxa"/>
            <w:tcBorders>
              <w:top w:val="single" w:sz="4" w:space="0" w:color="000000"/>
              <w:left w:val="single" w:sz="12" w:space="0" w:color="D2D2D2"/>
              <w:bottom w:val="single" w:sz="4" w:space="0" w:color="000000"/>
              <w:right w:val="single" w:sz="4" w:space="0" w:color="000000"/>
            </w:tcBorders>
            <w:shd w:val="clear" w:color="auto" w:fill="C7EBCC"/>
          </w:tcPr>
          <w:p>
            <w:pPr>
              <w:pStyle w:val="TableParagraph"/>
              <w:spacing w:line="240" w:lineRule="auto" w:before="49"/>
              <w:ind w:left="1"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按实际缴纳的增值税及消费税计征</w:t>
            </w:r>
          </w:p>
        </w:tc>
        <w:tc>
          <w:tcPr>
            <w:tcW w:w="320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3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91" w:type="dxa"/>
            <w:tcBorders>
              <w:top w:val="single" w:sz="4" w:space="0" w:color="000000"/>
              <w:left w:val="single" w:sz="4" w:space="0" w:color="000000"/>
              <w:bottom w:val="single" w:sz="4" w:space="0" w:color="000000"/>
              <w:right w:val="single" w:sz="10" w:space="0" w:color="C7EBCC"/>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67" w:type="dxa"/>
            <w:tcBorders>
              <w:top w:val="single" w:sz="4" w:space="0" w:color="000000"/>
              <w:left w:val="single" w:sz="12" w:space="0" w:color="D2D2D2"/>
              <w:bottom w:val="single" w:sz="4" w:space="0" w:color="000000"/>
              <w:right w:val="single" w:sz="4" w:space="0" w:color="000000"/>
            </w:tcBorders>
            <w:shd w:val="clear" w:color="auto" w:fill="C7EBCC"/>
          </w:tcPr>
          <w:p>
            <w:pPr>
              <w:pStyle w:val="TableParagraph"/>
              <w:spacing w:line="240" w:lineRule="auto" w:before="50"/>
              <w:ind w:left="1"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按实际缴纳的增值税及消费税计征</w:t>
            </w:r>
          </w:p>
        </w:tc>
        <w:tc>
          <w:tcPr>
            <w:tcW w:w="320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3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6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按实际缴纳的增值税及消费税计征</w:t>
            </w:r>
          </w:p>
        </w:tc>
        <w:tc>
          <w:tcPr>
            <w:tcW w:w="320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6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按实际缴纳的增值税及消费税计征</w:t>
            </w:r>
          </w:p>
        </w:tc>
        <w:tc>
          <w:tcPr>
            <w:tcW w:w="320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2"/>
              <w:ind w:left="34" w:right="0"/>
              <w:jc w:val="left"/>
              <w:rPr>
                <w:rFonts w:ascii="Times New Roman" w:hAnsi="Times New Roman" w:cs="Times New Roman" w:eastAsia="Times New Roman" w:hint="default"/>
                <w:sz w:val="18"/>
                <w:szCs w:val="18"/>
              </w:rPr>
            </w:pPr>
            <w:r>
              <w:rPr>
                <w:rFonts w:ascii="Times New Roman"/>
                <w:sz w:val="18"/>
              </w:rPr>
              <w:t>2%</w:t>
            </w: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bookmarkStart w:name="存在不同企业所得税税率纳税主体的，披露情况说明" w:id="236"/>
      <w:bookmarkEnd w:id="236"/>
      <w:r>
        <w:rPr>
          <w:b w:val="0"/>
          <w:bCs w:val="0"/>
        </w:rPr>
      </w:r>
      <w:r>
        <w:rPr/>
        <w:t>存在不同企业所得税税率纳税主体的，披露情况说明</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bookmarkStart w:name="2、税收优惠" w:id="237"/>
      <w:bookmarkEnd w:id="237"/>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30"/>
          <w:szCs w:val="30"/>
        </w:rPr>
      </w:pPr>
    </w:p>
    <w:p>
      <w:pPr>
        <w:pStyle w:val="BodyText"/>
        <w:spacing w:line="386" w:lineRule="auto" w:before="0"/>
        <w:ind w:left="573" w:right="1133"/>
        <w:jc w:val="left"/>
      </w:pPr>
      <w:r>
        <w:rPr>
          <w:rFonts w:ascii="Times New Roman" w:hAnsi="Times New Roman" w:cs="Times New Roman" w:eastAsia="Times New Roman" w:hint="default"/>
          <w:b/>
          <w:bCs/>
        </w:rPr>
        <w:t>1</w:t>
      </w:r>
      <w:r>
        <w:rPr>
          <w:rFonts w:ascii="宋体" w:hAnsi="宋体" w:cs="宋体" w:eastAsia="宋体" w:hint="default"/>
          <w:b/>
          <w:bCs/>
        </w:rPr>
        <w:t>、增值税</w:t>
      </w:r>
      <w:r>
        <w:rPr>
          <w:rFonts w:ascii="宋体" w:hAnsi="宋体" w:cs="宋体" w:eastAsia="宋体" w:hint="default"/>
          <w:b/>
          <w:bCs/>
          <w:spacing w:val="-104"/>
        </w:rPr>
        <w:t> </w:t>
      </w:r>
      <w:r>
        <w:rPr>
          <w:spacing w:val="-2"/>
        </w:rPr>
        <w:t>本公司及子公司吉林紫鑫敦化医药药材有限公司、吉林草还丹药业有限公司、吉林紫鑫初元药业有限</w:t>
      </w:r>
    </w:p>
    <w:p>
      <w:pPr>
        <w:pStyle w:val="BodyText"/>
        <w:spacing w:line="408" w:lineRule="auto" w:before="65"/>
        <w:ind w:right="1133"/>
        <w:jc w:val="left"/>
      </w:pPr>
      <w:r>
        <w:rPr>
          <w:spacing w:val="-2"/>
        </w:rPr>
        <w:t>公司、吉林紫鑫般若药业有限公司、吉林紫鑫禺拙药业有限公司、吉林紫鑫人参销售有限公司、吉林紫鑫</w:t>
      </w:r>
      <w:r>
        <w:rPr>
          <w:spacing w:val="-50"/>
        </w:rPr>
        <w:t> </w:t>
      </w:r>
      <w:r>
        <w:rPr>
          <w:spacing w:val="-50"/>
        </w:rPr>
      </w:r>
      <w:r>
        <w:rPr>
          <w:spacing w:val="-2"/>
        </w:rPr>
        <w:t>金桂药业有限公司、吉林紫鑫高科技功能食品有限公司、吉林中科紫鑫科技有限公司、吉林紫鑫参工堂生</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jc w:val="both"/>
      </w:pPr>
      <w:r>
        <w:rPr>
          <w:spacing w:val="-2"/>
        </w:rPr>
        <w:t>物科技有限公司、吉林紫鑫汪清药业有限公司均为增值税一般纳税人，增值税应纳税额为当期销项税额抵</w:t>
      </w:r>
      <w:r>
        <w:rPr>
          <w:spacing w:val="-42"/>
        </w:rPr>
        <w:t> </w:t>
      </w:r>
      <w:r>
        <w:rPr>
          <w:spacing w:val="-42"/>
        </w:rPr>
      </w:r>
      <w:r>
        <w:rPr>
          <w:spacing w:val="-2"/>
        </w:rPr>
        <w:t>减可以抵扣的进项税额后的余额，增值税的销项税率为</w:t>
      </w:r>
      <w:r>
        <w:rPr>
          <w:rFonts w:ascii="宋体" w:hAnsi="宋体" w:cs="宋体" w:eastAsia="宋体" w:hint="default"/>
          <w:spacing w:val="-2"/>
        </w:rPr>
        <w:t>13%</w:t>
      </w:r>
      <w:r>
        <w:rPr>
          <w:spacing w:val="-2"/>
        </w:rPr>
        <w:t>、</w:t>
      </w:r>
      <w:r>
        <w:rPr>
          <w:rFonts w:ascii="宋体" w:hAnsi="宋体" w:cs="宋体" w:eastAsia="宋体" w:hint="default"/>
          <w:spacing w:val="-2"/>
        </w:rPr>
        <w:t>16%</w:t>
      </w:r>
      <w:r>
        <w:rPr>
          <w:spacing w:val="-2"/>
        </w:rPr>
        <w:t>。销售人参产品按照人参初加工和深加工</w:t>
      </w:r>
      <w:r>
        <w:rPr>
          <w:spacing w:val="-37"/>
        </w:rPr>
        <w:t> </w:t>
      </w:r>
      <w:r>
        <w:rPr>
          <w:spacing w:val="-37"/>
        </w:rPr>
      </w:r>
      <w:r>
        <w:rPr/>
        <w:t>分类，增值税的销项税率为</w:t>
      </w:r>
      <w:r>
        <w:rPr>
          <w:rFonts w:ascii="宋体" w:hAnsi="宋体" w:cs="宋体" w:eastAsia="宋体" w:hint="default"/>
        </w:rPr>
        <w:t>9%</w:t>
      </w:r>
      <w:r>
        <w:rPr/>
        <w:t>和</w:t>
      </w:r>
      <w:r>
        <w:rPr>
          <w:rFonts w:ascii="宋体" w:hAnsi="宋体" w:cs="宋体" w:eastAsia="宋体" w:hint="default"/>
        </w:rPr>
        <w:t>10%</w:t>
      </w:r>
      <w:r>
        <w:rPr/>
        <w:t>、</w:t>
      </w:r>
      <w:r>
        <w:rPr>
          <w:rFonts w:ascii="宋体" w:hAnsi="宋体" w:cs="宋体" w:eastAsia="宋体" w:hint="default"/>
        </w:rPr>
        <w:t>13%</w:t>
      </w:r>
      <w:r>
        <w:rPr/>
        <w:t>和</w:t>
      </w:r>
      <w:r>
        <w:rPr>
          <w:rFonts w:ascii="宋体" w:hAnsi="宋体" w:cs="宋体" w:eastAsia="宋体" w:hint="default"/>
        </w:rPr>
        <w:t>16%</w:t>
      </w:r>
      <w:r>
        <w:rPr/>
        <w:t>。子公司吉林紫鑫红石种养殖有限公司享受增值税免税政</w:t>
      </w:r>
      <w:r>
        <w:rPr>
          <w:spacing w:val="-31"/>
        </w:rPr>
        <w:t> </w:t>
      </w:r>
      <w:r>
        <w:rPr>
          <w:spacing w:val="-31"/>
        </w:rPr>
      </w:r>
      <w:r>
        <w:rPr/>
        <w:t>策。</w:t>
      </w:r>
    </w:p>
    <w:p>
      <w:pPr>
        <w:pStyle w:val="BodyText"/>
        <w:spacing w:line="386" w:lineRule="auto"/>
        <w:ind w:left="573" w:right="1133"/>
        <w:jc w:val="left"/>
      </w:pPr>
      <w:r>
        <w:rPr>
          <w:rFonts w:ascii="Times New Roman" w:hAnsi="Times New Roman" w:cs="Times New Roman" w:eastAsia="Times New Roman" w:hint="default"/>
          <w:b/>
          <w:bCs/>
        </w:rPr>
        <w:t>2</w:t>
      </w:r>
      <w:r>
        <w:rPr>
          <w:rFonts w:ascii="宋体" w:hAnsi="宋体" w:cs="宋体" w:eastAsia="宋体" w:hint="default"/>
          <w:b/>
          <w:bCs/>
        </w:rPr>
        <w:t>、企业所得税</w:t>
      </w:r>
      <w:r>
        <w:rPr>
          <w:rFonts w:ascii="宋体" w:hAnsi="宋体" w:cs="宋体" w:eastAsia="宋体" w:hint="default"/>
          <w:b/>
          <w:bCs/>
          <w:spacing w:val="-103"/>
        </w:rPr>
        <w:t> </w:t>
      </w:r>
      <w:r>
        <w:rPr>
          <w:spacing w:val="-1"/>
        </w:rPr>
        <w:t>本公司为吉林省高新技术企业执行的所得税税率为</w:t>
      </w:r>
      <w:r>
        <w:rPr>
          <w:rFonts w:ascii="Times New Roman" w:hAnsi="Times New Roman" w:cs="Times New Roman" w:eastAsia="Times New Roman" w:hint="default"/>
          <w:spacing w:val="-1"/>
        </w:rPr>
        <w:t>15%</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25</w:t>
      </w:r>
      <w:r>
        <w:rPr>
          <w:spacing w:val="-1"/>
        </w:rPr>
        <w:t>日批复，有效期</w:t>
      </w:r>
      <w:r>
        <w:rPr>
          <w:rFonts w:ascii="Times New Roman" w:hAnsi="Times New Roman" w:cs="Times New Roman" w:eastAsia="Times New Roman" w:hint="default"/>
          <w:spacing w:val="-1"/>
        </w:rPr>
        <w:t>3</w:t>
      </w:r>
      <w:r>
        <w:rPr>
          <w:spacing w:val="-1"/>
        </w:rPr>
        <w:t>年。子公司吉</w:t>
      </w:r>
    </w:p>
    <w:p>
      <w:pPr>
        <w:pStyle w:val="BodyText"/>
        <w:spacing w:line="403" w:lineRule="auto" w:before="35"/>
        <w:ind w:right="1126"/>
        <w:jc w:val="both"/>
      </w:pPr>
      <w:r>
        <w:rPr>
          <w:spacing w:val="-2"/>
        </w:rPr>
        <w:t>林草还丹药业有限公司、吉林紫鑫初元药业有限公司坐落在吉林省延边朝鲜族自治州，根据国家有关规定</w:t>
      </w:r>
      <w:r>
        <w:rPr>
          <w:spacing w:val="-42"/>
        </w:rPr>
        <w:t> </w:t>
      </w:r>
      <w:r>
        <w:rPr>
          <w:spacing w:val="-42"/>
        </w:rPr>
      </w:r>
      <w:r>
        <w:rPr>
          <w:spacing w:val="-2"/>
        </w:rPr>
        <w:t>享受国家西部大开发政策，执行的所得税税率为</w:t>
      </w:r>
      <w:r>
        <w:rPr>
          <w:rFonts w:ascii="Times New Roman" w:hAnsi="Times New Roman" w:cs="Times New Roman" w:eastAsia="Times New Roman" w:hint="default"/>
          <w:spacing w:val="-2"/>
        </w:rPr>
        <w:t>15%</w:t>
      </w:r>
      <w:r>
        <w:rPr>
          <w:spacing w:val="-2"/>
        </w:rPr>
        <w:t>。子公司吉林紫鑫敦化医药药材有限公司、吉林紫鑫</w:t>
      </w:r>
      <w:r>
        <w:rPr>
          <w:spacing w:val="-5"/>
        </w:rPr>
        <w:t> </w:t>
      </w:r>
      <w:r>
        <w:rPr>
          <w:spacing w:val="-5"/>
        </w:rPr>
      </w:r>
      <w:r>
        <w:rPr>
          <w:spacing w:val="-2"/>
        </w:rPr>
        <w:t>般若药业有限公司、吉林紫鑫禺拙药业有限公司、吉林紫鑫人参销售有限公司、吉林紫鑫人参研发有限公</w:t>
      </w:r>
      <w:r>
        <w:rPr>
          <w:spacing w:val="-42"/>
        </w:rPr>
        <w:t> </w:t>
      </w:r>
      <w:r>
        <w:rPr>
          <w:spacing w:val="-42"/>
        </w:rPr>
      </w:r>
      <w:r>
        <w:rPr>
          <w:spacing w:val="-2"/>
        </w:rPr>
        <w:t>司、吉林紫鑫药物研究有限公司、吉林中科紫鑫科技有限公司、北方环境能源交易所有限公司、吉林紫鑫</w:t>
      </w:r>
      <w:r>
        <w:rPr>
          <w:spacing w:val="-50"/>
        </w:rPr>
        <w:t> </w:t>
      </w:r>
      <w:r>
        <w:rPr>
          <w:spacing w:val="-50"/>
        </w:rPr>
      </w:r>
      <w:r>
        <w:rPr>
          <w:spacing w:val="-2"/>
        </w:rPr>
        <w:t>汪清药业有限公司、吉林紫鑫高科技功能食品有限公司、吉林紫鑫参工堂生物科技有限公司、吉林紫鑫金</w:t>
      </w:r>
      <w:r>
        <w:rPr>
          <w:spacing w:val="-44"/>
        </w:rPr>
        <w:t> </w:t>
      </w:r>
      <w:r>
        <w:rPr>
          <w:spacing w:val="-44"/>
        </w:rPr>
      </w:r>
      <w:r>
        <w:rPr/>
        <w:t>桂药业有限公司、吉林紫鑫桂鹤医药有限公司执行的所得税税率</w:t>
      </w:r>
      <w:r>
        <w:rPr>
          <w:rFonts w:ascii="Times New Roman" w:hAnsi="Times New Roman" w:cs="Times New Roman" w:eastAsia="Times New Roman" w:hint="default"/>
        </w:rPr>
        <w:t>25%</w:t>
      </w:r>
      <w:r>
        <w:rPr/>
        <w:t>。</w:t>
      </w:r>
    </w:p>
    <w:p>
      <w:pPr>
        <w:pStyle w:val="BodyText"/>
        <w:spacing w:line="408" w:lineRule="auto" w:before="19"/>
        <w:ind w:left="573" w:right="1133"/>
        <w:jc w:val="left"/>
      </w:pPr>
      <w:r>
        <w:rPr/>
        <w:t>（二）税收优惠及批文</w:t>
      </w:r>
      <w:r>
        <w:rPr>
          <w:w w:val="100"/>
        </w:rPr>
        <w:t> </w:t>
      </w:r>
      <w:r>
        <w:rPr>
          <w:spacing w:val="-1"/>
        </w:rPr>
        <w:t>本公司为吉林省高新技术企业执行的所得税税率为</w:t>
      </w:r>
      <w:r>
        <w:rPr>
          <w:rFonts w:ascii="Times New Roman" w:hAnsi="Times New Roman" w:cs="Times New Roman" w:eastAsia="Times New Roman" w:hint="default"/>
          <w:spacing w:val="-1"/>
        </w:rPr>
        <w:t>15%</w:t>
      </w:r>
      <w:r>
        <w:rPr>
          <w:spacing w:val="-1"/>
        </w:rPr>
        <w:t>。子公司吉林草还丹药业有限公司、吉林紫鑫</w:t>
      </w:r>
    </w:p>
    <w:p>
      <w:pPr>
        <w:pStyle w:val="BodyText"/>
        <w:spacing w:line="408" w:lineRule="auto" w:before="14"/>
        <w:ind w:right="1126"/>
        <w:jc w:val="both"/>
      </w:pPr>
      <w:r>
        <w:rPr>
          <w:spacing w:val="-2"/>
        </w:rPr>
        <w:t>初元药业有限公司坐落在吉林省延边朝鲜族自治州，根据国家有关规定享受国家西部大开发政策，执行的</w:t>
      </w:r>
      <w:r>
        <w:rPr>
          <w:spacing w:val="-44"/>
        </w:rPr>
        <w:t> </w:t>
      </w:r>
      <w:r>
        <w:rPr>
          <w:spacing w:val="-44"/>
        </w:rPr>
      </w:r>
      <w:r>
        <w:rPr/>
        <w:t>所得税税率为</w:t>
      </w:r>
      <w:r>
        <w:rPr>
          <w:rFonts w:ascii="Times New Roman" w:hAnsi="Times New Roman" w:cs="Times New Roman" w:eastAsia="Times New Roman" w:hint="default"/>
        </w:rPr>
        <w:t>15%</w:t>
      </w:r>
      <w:r>
        <w:rPr/>
        <w:t>。</w:t>
      </w:r>
    </w:p>
    <w:p>
      <w:pPr>
        <w:pStyle w:val="BodyText"/>
        <w:spacing w:line="400" w:lineRule="auto" w:before="15"/>
        <w:ind w:right="1126" w:firstLine="420"/>
        <w:jc w:val="both"/>
      </w:pPr>
      <w:r>
        <w:rPr/>
        <w:t>根据国税函【</w:t>
      </w:r>
      <w:r>
        <w:rPr>
          <w:rFonts w:ascii="Times New Roman" w:hAnsi="Times New Roman" w:cs="Times New Roman" w:eastAsia="Times New Roman" w:hint="default"/>
        </w:rPr>
        <w:t>2008</w:t>
      </w:r>
      <w:r>
        <w:rPr/>
        <w:t>】第</w:t>
      </w:r>
      <w:r>
        <w:rPr>
          <w:rFonts w:ascii="Times New Roman" w:hAnsi="Times New Roman" w:cs="Times New Roman" w:eastAsia="Times New Roman" w:hint="default"/>
        </w:rPr>
        <w:t>850</w:t>
      </w:r>
      <w:r>
        <w:rPr/>
        <w:t>号《国家税务总局关于贯彻落实从事农、林、牧、渔业项目企业所得税优</w:t>
      </w:r>
      <w:r>
        <w:rPr>
          <w:w w:val="100"/>
        </w:rPr>
        <w:t> </w:t>
      </w:r>
      <w:r>
        <w:rPr>
          <w:spacing w:val="-2"/>
        </w:rPr>
        <w:t>惠政策有关事项的通知》及《中华人民共和国企业所得税法实施条例》第八十六条的规定，子公司吉林紫</w:t>
      </w:r>
      <w:r>
        <w:rPr>
          <w:spacing w:val="-50"/>
        </w:rPr>
        <w:t> </w:t>
      </w:r>
      <w:r>
        <w:rPr>
          <w:spacing w:val="-50"/>
        </w:rPr>
      </w:r>
      <w:r>
        <w:rPr>
          <w:spacing w:val="-2"/>
        </w:rPr>
        <w:t>鑫红石种养殖有限公司享受所得税免征政策。子公司吉林草还丹药业有限公司、子公司吉林紫鑫般若药业</w:t>
      </w:r>
      <w:r>
        <w:rPr>
          <w:spacing w:val="-43"/>
        </w:rPr>
        <w:t> </w:t>
      </w:r>
      <w:r>
        <w:rPr>
          <w:spacing w:val="-43"/>
        </w:rPr>
      </w:r>
      <w:r>
        <w:rPr/>
        <w:t>有限公司人参初加工产品享受所得税免征政策。</w:t>
      </w:r>
    </w:p>
    <w:p>
      <w:pPr>
        <w:spacing w:line="240" w:lineRule="auto" w:before="1"/>
        <w:rPr>
          <w:rFonts w:ascii="宋体" w:hAnsi="宋体" w:cs="宋体" w:eastAsia="宋体" w:hint="default"/>
          <w:sz w:val="21"/>
          <w:szCs w:val="21"/>
        </w:rPr>
      </w:pPr>
    </w:p>
    <w:p>
      <w:pPr>
        <w:spacing w:line="487" w:lineRule="auto" w:before="0"/>
        <w:ind w:left="152" w:right="7863" w:firstLine="0"/>
        <w:jc w:val="left"/>
        <w:rPr>
          <w:rFonts w:ascii="宋体" w:hAnsi="宋体" w:cs="宋体" w:eastAsia="宋体" w:hint="default"/>
          <w:sz w:val="21"/>
          <w:szCs w:val="21"/>
        </w:rPr>
      </w:pPr>
      <w:bookmarkStart w:name="3、其他" w:id="238"/>
      <w:bookmarkEnd w:id="23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七、合并财务报表项目注释" w:id="239"/>
      <w:bookmarkEnd w:id="239"/>
      <w:r>
        <w:rPr>
          <w:rFonts w:ascii="宋体" w:hAnsi="宋体" w:cs="宋体" w:eastAsia="宋体" w:hint="default"/>
          <w:b/>
          <w:bCs/>
          <w:w w:val="100"/>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bookmarkStart w:name="1、货币资金" w:id="240"/>
      <w:bookmarkEnd w:id="24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235,099.65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89,419.63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17,799,911.66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130,020,295.49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18,035,011.31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130,109,720.93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13"/>
          <w:szCs w:val="13"/>
        </w:rPr>
      </w:pPr>
    </w:p>
    <w:p>
      <w:pPr>
        <w:pStyle w:val="BodyText"/>
        <w:spacing w:line="240" w:lineRule="auto" w:before="0"/>
        <w:ind w:left="573" w:right="1133"/>
        <w:jc w:val="left"/>
      </w:pPr>
      <w:r>
        <w:rPr/>
        <w:t>本公司期末银行存款不存在受到限制、抵押、冻结或有潜在回收风险的资金情况。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5"/>
        <w:spacing w:line="240" w:lineRule="auto"/>
        <w:ind w:right="1133"/>
        <w:jc w:val="left"/>
        <w:rPr>
          <w:b w:val="0"/>
          <w:bCs w:val="0"/>
        </w:rPr>
      </w:pPr>
      <w:bookmarkStart w:name="2、应收票据" w:id="241"/>
      <w:bookmarkEnd w:id="241"/>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bookmarkStart w:name="（1）应收票据分类列示" w:id="242"/>
      <w:bookmarkEnd w:id="242"/>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5,773,316.67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5,773,316.67</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932"/>
        <w:gridCol w:w="797"/>
        <w:gridCol w:w="792"/>
      </w:tblGrid>
      <w:tr>
        <w:trPr>
          <w:trHeight w:val="401"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4"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0"/>
        <w:ind w:left="152" w:right="1133"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57" w:lineRule="auto" w:before="49"/>
        <w:ind w:left="15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如是按照预期信用损失一般模型计提应收票据坏账准备，请参照其他应收款的披露方式披露坏账准备的相关信息：</w:t>
      </w:r>
    </w:p>
    <w:p>
      <w:pPr>
        <w:spacing w:before="29"/>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bookmarkStart w:name="3、应收账款" w:id="243"/>
      <w:bookmarkEnd w:id="243"/>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bookmarkStart w:name="（1）应收账款分类披露" w:id="244"/>
      <w:bookmarkEnd w:id="24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3841"/>
        <w:gridCol w:w="4082"/>
      </w:tblGrid>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2" w:hRule="exact"/>
        </w:trPr>
        <w:tc>
          <w:tcPr>
            <w:tcW w:w="1635" w:type="dxa"/>
            <w:vMerge/>
            <w:tcBorders>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1635" w:type="dxa"/>
            <w:vMerge/>
            <w:tcBorders>
              <w:left w:val="single" w:sz="4" w:space="0" w:color="000000"/>
              <w:right w:val="single" w:sz="4" w:space="0" w:color="000000"/>
            </w:tcBorders>
            <w:shd w:val="clear" w:color="auto" w:fill="D2D2D2"/>
          </w:tcPr>
          <w:p>
            <w:pP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1,255,87</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2,291.25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103,941,</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387.00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1,151,930</w:t>
            </w:r>
          </w:p>
          <w:p>
            <w:pPr>
              <w:pStyle w:val="TableParagraph"/>
              <w:spacing w:line="240" w:lineRule="auto" w:before="102"/>
              <w:ind w:left="191" w:right="0"/>
              <w:jc w:val="center"/>
              <w:rPr>
                <w:rFonts w:ascii="Times New Roman" w:hAnsi="Times New Roman" w:cs="Times New Roman" w:eastAsia="Times New Roman" w:hint="default"/>
                <w:sz w:val="18"/>
                <w:szCs w:val="18"/>
              </w:rPr>
            </w:pPr>
            <w:r>
              <w:rPr>
                <w:rFonts w:ascii="Times New Roman"/>
                <w:sz w:val="18"/>
              </w:rPr>
              <w:t>,904.25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995,083,8</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10.04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74,448,50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920,635,30</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8.80</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1,255,87</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2,291.25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103,941,</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387.00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1,151,930</w:t>
            </w:r>
          </w:p>
          <w:p>
            <w:pPr>
              <w:pStyle w:val="TableParagraph"/>
              <w:spacing w:line="240" w:lineRule="auto" w:before="102"/>
              <w:ind w:left="191" w:right="0"/>
              <w:jc w:val="center"/>
              <w:rPr>
                <w:rFonts w:ascii="Times New Roman" w:hAnsi="Times New Roman" w:cs="Times New Roman" w:eastAsia="Times New Roman" w:hint="default"/>
                <w:sz w:val="18"/>
                <w:szCs w:val="18"/>
              </w:rPr>
            </w:pPr>
            <w:r>
              <w:rPr>
                <w:rFonts w:ascii="Times New Roman"/>
                <w:sz w:val="18"/>
              </w:rPr>
              <w:t>,904.25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995,083,8</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10.04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74,448,50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920,459,02</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7.40</w:t>
            </w: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1,255,87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2,291.25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103,941,</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387.00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1,151,930</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,904.25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995,083,8</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10.04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74,448,50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920,635,30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8.80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611,852,569.81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36,711,154.19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410,817,033.76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32,865,362.70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158,575,201.37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15,857,520.13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三至四年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42,376,939.11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8,475,387.82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四至五年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31,740,835.78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9,522,250.74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509,711.42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509,711.42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1,255,872,291.25</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103,941,387.00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line="240" w:lineRule="auto" w:before="3"/>
        <w:rPr>
          <w:rFonts w:ascii="宋体" w:hAnsi="宋体" w:cs="宋体" w:eastAsia="宋体" w:hint="default"/>
          <w:sz w:val="13"/>
          <w:szCs w:val="13"/>
        </w:rPr>
      </w:pPr>
    </w:p>
    <w:p>
      <w:pPr>
        <w:pStyle w:val="BodyText"/>
        <w:spacing w:line="240" w:lineRule="auto" w:before="0"/>
        <w:ind w:left="573" w:right="1133"/>
        <w:jc w:val="left"/>
      </w:pPr>
      <w:r>
        <w:rPr/>
        <w:t>（</w:t>
      </w:r>
      <w:r>
        <w:rPr>
          <w:rFonts w:ascii="Times New Roman" w:hAnsi="Times New Roman" w:cs="Times New Roman" w:eastAsia="Times New Roman" w:hint="default"/>
        </w:rPr>
        <w:t>1</w:t>
      </w:r>
      <w:r>
        <w:rPr/>
        <w:t>）本期累计计提坏账准备金额为</w:t>
      </w:r>
      <w:r>
        <w:rPr>
          <w:rFonts w:ascii="Times New Roman" w:hAnsi="Times New Roman" w:cs="Times New Roman" w:eastAsia="Times New Roman" w:hint="default"/>
        </w:rPr>
        <w:t>29,316,604.36</w:t>
      </w:r>
      <w:r>
        <w:rPr/>
        <w:t>元，无收回或转回金额以及转销或核销金额。</w:t>
      </w:r>
    </w:p>
    <w:p>
      <w:pPr>
        <w:pStyle w:val="BodyText"/>
        <w:spacing w:line="386" w:lineRule="auto" w:before="178"/>
        <w:ind w:right="1133" w:firstLine="420"/>
        <w:jc w:val="left"/>
      </w:pPr>
      <w:r>
        <w:rPr>
          <w:spacing w:val="-1"/>
        </w:rPr>
        <w:t>（</w:t>
      </w:r>
      <w:r>
        <w:rPr>
          <w:rFonts w:ascii="Times New Roman" w:hAnsi="Times New Roman" w:cs="Times New Roman" w:eastAsia="Times New Roman" w:hint="default"/>
          <w:spacing w:val="-1"/>
        </w:rPr>
        <w:t>2</w:t>
      </w:r>
      <w:r>
        <w:rPr>
          <w:spacing w:val="-1"/>
        </w:rPr>
        <w:t>）应收账款期末余额中无持有本公司</w:t>
      </w:r>
      <w:r>
        <w:rPr>
          <w:rFonts w:ascii="Times New Roman" w:hAnsi="Times New Roman" w:cs="Times New Roman" w:eastAsia="Times New Roman" w:hint="default"/>
          <w:spacing w:val="-1"/>
        </w:rPr>
        <w:t>5%(</w:t>
      </w:r>
      <w:r>
        <w:rPr>
          <w:spacing w:val="-1"/>
        </w:rPr>
        <w:t>含</w:t>
      </w:r>
      <w:r>
        <w:rPr>
          <w:rFonts w:ascii="Times New Roman" w:hAnsi="Times New Roman" w:cs="Times New Roman" w:eastAsia="Times New Roman" w:hint="default"/>
          <w:spacing w:val="-1"/>
        </w:rPr>
        <w:t>5%)</w:t>
      </w:r>
      <w:r>
        <w:rPr>
          <w:spacing w:val="-1"/>
        </w:rPr>
        <w:t>以上表决权股份的股东单位的欠款，无应收关联方</w:t>
      </w:r>
      <w:r>
        <w:rPr>
          <w:w w:val="100"/>
        </w:rPr>
        <w:t> </w:t>
      </w:r>
      <w:r>
        <w:rPr/>
        <w:t>欠款。</w:t>
      </w:r>
    </w:p>
    <w:p>
      <w:pPr>
        <w:pStyle w:val="BodyText"/>
        <w:spacing w:line="386" w:lineRule="auto" w:before="65"/>
        <w:ind w:left="573" w:right="1133"/>
        <w:jc w:val="left"/>
      </w:pPr>
      <w:r>
        <w:rPr/>
        <w:t>（</w:t>
      </w:r>
      <w:r>
        <w:rPr>
          <w:rFonts w:ascii="Times New Roman" w:hAnsi="Times New Roman" w:cs="Times New Roman" w:eastAsia="Times New Roman" w:hint="default"/>
        </w:rPr>
        <w:t>3</w:t>
      </w:r>
      <w:r>
        <w:rPr/>
        <w:t>）按欠款方归集的期末余额前五名的应收账款情况：</w:t>
      </w:r>
      <w:r>
        <w:rPr>
          <w:w w:val="100"/>
        </w:rPr>
        <w:t> </w:t>
      </w:r>
      <w:r>
        <w:rPr>
          <w:spacing w:val="-3"/>
        </w:rPr>
        <w:t>按欠款方归集的期末余额前五名应收账款汇总金额</w:t>
      </w:r>
      <w:r>
        <w:rPr>
          <w:rFonts w:ascii="Times New Roman" w:hAnsi="Times New Roman" w:cs="Times New Roman" w:eastAsia="Times New Roman" w:hint="default"/>
          <w:spacing w:val="-3"/>
        </w:rPr>
        <w:t>260,736,983.70</w:t>
      </w:r>
      <w:r>
        <w:rPr>
          <w:spacing w:val="-3"/>
        </w:rPr>
        <w:t>元，占应收账款期末余额合计数的比</w:t>
      </w:r>
    </w:p>
    <w:p>
      <w:pPr>
        <w:pStyle w:val="BodyText"/>
        <w:spacing w:line="240" w:lineRule="auto" w:before="35"/>
        <w:ind w:right="1133"/>
        <w:jc w:val="left"/>
      </w:pPr>
      <w:r>
        <w:rPr/>
        <w:t>例</w:t>
      </w:r>
      <w:r>
        <w:rPr>
          <w:rFonts w:ascii="Times New Roman" w:hAnsi="Times New Roman" w:cs="Times New Roman" w:eastAsia="Times New Roman" w:hint="default"/>
        </w:rPr>
        <w:t>20.76%</w:t>
      </w:r>
      <w:r>
        <w:rPr/>
        <w:t>，相应计提的坏账准备期末余额汇总金额</w:t>
      </w:r>
      <w:r>
        <w:rPr>
          <w:rFonts w:ascii="Times New Roman" w:hAnsi="Times New Roman" w:cs="Times New Roman" w:eastAsia="Times New Roman" w:hint="default"/>
        </w:rPr>
        <w:t>19,822,993.75</w:t>
      </w:r>
      <w:r>
        <w:rPr/>
        <w:t>元。</w:t>
      </w:r>
    </w:p>
    <w:p>
      <w:pPr>
        <w:spacing w:before="162"/>
        <w:ind w:left="152" w:right="1133"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57" w:lineRule="auto" w:before="49"/>
        <w:ind w:left="15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line="338" w:lineRule="auto" w:before="29"/>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before="4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611,852,569.81</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410,817,033.76</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158,575,201.37</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74,627,486.31</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42,376,939.11</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31,740,835.78</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509,711.42</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1,255,872,291.25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4、应收款项融资" w:id="245"/>
      <w:bookmarkEnd w:id="245"/>
      <w:r>
        <w:rPr>
          <w:b w:val="0"/>
          <w:bCs w:val="0"/>
        </w:rPr>
      </w:r>
      <w:r>
        <w:rPr>
          <w:rFonts w:ascii="Times New Roman" w:hAnsi="Times New Roman" w:cs="Times New Roman" w:eastAsia="Times New Roman" w:hint="default"/>
        </w:rPr>
        <w:t>4</w:t>
      </w:r>
      <w:r>
        <w:rPr/>
        <w:t>、应收款项融资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1,832,877.98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5,773,316.67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1,832,877.98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5,773,316.67</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应收款项融资本期增减变动及公允价值变动情况</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2"/>
          <w:szCs w:val="12"/>
        </w:rPr>
      </w:pPr>
    </w:p>
    <w:p>
      <w:pPr>
        <w:pStyle w:val="BodyText"/>
        <w:spacing w:line="240" w:lineRule="auto" w:before="0"/>
        <w:ind w:left="573" w:right="1133"/>
        <w:jc w:val="left"/>
      </w:pPr>
      <w:r>
        <w:rPr/>
        <w:t>（</w:t>
      </w:r>
      <w:r>
        <w:rPr>
          <w:rFonts w:ascii="Times New Roman" w:hAnsi="Times New Roman" w:cs="Times New Roman" w:eastAsia="Times New Roman" w:hint="default"/>
        </w:rPr>
        <w:t>1</w:t>
      </w:r>
      <w:r>
        <w:rPr/>
        <w:t>）年末公司已背书且在资产负债表日尚未到期的应收款项融资</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229"/>
        <w:gridCol w:w="2972"/>
        <w:gridCol w:w="2976"/>
      </w:tblGrid>
      <w:tr>
        <w:trPr>
          <w:trHeight w:val="348" w:hRule="exact"/>
        </w:trPr>
        <w:tc>
          <w:tcPr>
            <w:tcW w:w="3229" w:type="dxa"/>
            <w:tcBorders>
              <w:top w:val="single" w:sz="6" w:space="0" w:color="000000"/>
              <w:left w:val="single" w:sz="6" w:space="0" w:color="000000"/>
              <w:bottom w:val="single" w:sz="8" w:space="0" w:color="000000"/>
              <w:right w:val="single" w:sz="6" w:space="0" w:color="000000"/>
            </w:tcBorders>
          </w:tcPr>
          <w:p>
            <w:pPr>
              <w:pStyle w:val="TableParagraph"/>
              <w:tabs>
                <w:tab w:pos="1553" w:val="left" w:leader="none"/>
              </w:tabs>
              <w:spacing w:line="240" w:lineRule="auto" w:before="17"/>
              <w:ind w:left="1085"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97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758"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2976"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7"/>
              <w:ind w:left="671"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348" w:hRule="exact"/>
        </w:trPr>
        <w:tc>
          <w:tcPr>
            <w:tcW w:w="322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1068"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7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20,718,501.79</w:t>
            </w:r>
          </w:p>
        </w:tc>
        <w:tc>
          <w:tcPr>
            <w:tcW w:w="2976" w:type="dxa"/>
            <w:tcBorders>
              <w:top w:val="single" w:sz="8" w:space="0" w:color="000000"/>
              <w:left w:val="single" w:sz="6" w:space="0" w:color="000000"/>
              <w:bottom w:val="single" w:sz="8" w:space="0" w:color="000000"/>
              <w:right w:val="nil" w:sz="6" w:space="0" w:color="auto"/>
            </w:tcBorders>
          </w:tcPr>
          <w:p>
            <w:pPr/>
          </w:p>
        </w:tc>
      </w:tr>
      <w:tr>
        <w:trPr>
          <w:trHeight w:val="349" w:hRule="exact"/>
        </w:trPr>
        <w:tc>
          <w:tcPr>
            <w:tcW w:w="3229" w:type="dxa"/>
            <w:tcBorders>
              <w:top w:val="single" w:sz="8" w:space="0" w:color="000000"/>
              <w:left w:val="single" w:sz="6" w:space="0" w:color="000000"/>
              <w:bottom w:val="single" w:sz="8" w:space="0" w:color="000000"/>
              <w:right w:val="single" w:sz="6" w:space="0" w:color="000000"/>
            </w:tcBorders>
          </w:tcPr>
          <w:p>
            <w:pPr>
              <w:pStyle w:val="TableParagraph"/>
              <w:tabs>
                <w:tab w:pos="398" w:val="left" w:leader="none"/>
              </w:tabs>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97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20,718,501.79</w:t>
            </w:r>
          </w:p>
        </w:tc>
        <w:tc>
          <w:tcPr>
            <w:tcW w:w="2976" w:type="dxa"/>
            <w:tcBorders>
              <w:top w:val="single" w:sz="8" w:space="0" w:color="000000"/>
              <w:left w:val="single" w:sz="6" w:space="0" w:color="000000"/>
              <w:bottom w:val="single" w:sz="8" w:space="0" w:color="000000"/>
              <w:right w:val="nil" w:sz="6" w:space="0" w:color="auto"/>
            </w:tcBorders>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如是按照预期信用损失一般模型计提应收款项融资减值准备，请参照其他应收款的披露方式披露减值准备的相关信息：</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pStyle w:val="BodyText"/>
        <w:spacing w:line="273" w:lineRule="auto" w:before="100"/>
        <w:ind w:right="1133" w:firstLine="420"/>
        <w:jc w:val="left"/>
      </w:pPr>
      <w:r>
        <w:rPr>
          <w:spacing w:val="-2"/>
        </w:rPr>
        <w:t>应收款项融资期末数中不存在抵押、质押应收票据的情况，也不存在因出票人未履约而转入应收账款</w:t>
      </w:r>
      <w:r>
        <w:rPr>
          <w:w w:val="100"/>
        </w:rPr>
        <w:t> </w:t>
      </w:r>
      <w:r>
        <w:rPr/>
        <w:t>的票据。</w:t>
      </w:r>
    </w:p>
    <w:p>
      <w:pPr>
        <w:spacing w:after="0" w:line="273"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bookmarkStart w:name="5、预付款项" w:id="246"/>
      <w:bookmarkEnd w:id="246"/>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bookmarkStart w:name="（1）预付款项按账龄列示" w:id="247"/>
      <w:bookmarkEnd w:id="24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25,622,513.67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331,005,240.30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89.09%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107,568,029.43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38,932,006.46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10.48%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1,111,375.83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1,551,556.56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0.42%</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49,030.00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134,311,918.93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371,537,833.32</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bookmarkStart w:name="（2）按预付对象归集的期末余额前五名的预付款情况" w:id="248"/>
      <w:bookmarkEnd w:id="248"/>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3229"/>
        <w:gridCol w:w="1699"/>
        <w:gridCol w:w="1419"/>
        <w:gridCol w:w="1274"/>
        <w:gridCol w:w="1560"/>
      </w:tblGrid>
      <w:tr>
        <w:trPr>
          <w:trHeight w:val="660" w:hRule="exact"/>
        </w:trPr>
        <w:tc>
          <w:tcPr>
            <w:tcW w:w="322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9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6" w:space="0" w:color="000000"/>
              <w:left w:val="single" w:sz="6" w:space="0" w:color="000000"/>
              <w:bottom w:val="single" w:sz="8" w:space="0" w:color="000000"/>
              <w:right w:val="single" w:sz="6" w:space="0" w:color="000000"/>
            </w:tcBorders>
          </w:tcPr>
          <w:p>
            <w:pPr>
              <w:pStyle w:val="TableParagraph"/>
              <w:spacing w:line="316" w:lineRule="auto" w:before="17"/>
              <w:ind w:left="449" w:right="71" w:hanging="378"/>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占预付账款总额 比例</w:t>
            </w:r>
            <w:r>
              <w:rPr>
                <w:rFonts w:ascii="Times New Roman" w:hAnsi="Times New Roman" w:cs="Times New Roman" w:eastAsia="Times New Roman" w:hint="default"/>
                <w:sz w:val="18"/>
                <w:szCs w:val="18"/>
              </w:rPr>
              <w:t>%</w:t>
            </w:r>
          </w:p>
        </w:tc>
        <w:tc>
          <w:tcPr>
            <w:tcW w:w="127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560"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7"/>
              <w:ind w:right="4"/>
              <w:jc w:val="center"/>
              <w:rPr>
                <w:rFonts w:ascii="宋体" w:hAnsi="宋体" w:cs="宋体" w:eastAsia="宋体" w:hint="default"/>
                <w:sz w:val="18"/>
                <w:szCs w:val="18"/>
              </w:rPr>
            </w:pPr>
            <w:r>
              <w:rPr>
                <w:rFonts w:ascii="宋体" w:hAnsi="宋体" w:cs="宋体" w:eastAsia="宋体" w:hint="default"/>
                <w:sz w:val="18"/>
                <w:szCs w:val="18"/>
              </w:rPr>
              <w:t>款项性质</w:t>
            </w:r>
          </w:p>
        </w:tc>
      </w:tr>
      <w:tr>
        <w:trPr>
          <w:trHeight w:val="739" w:hRule="exact"/>
        </w:trPr>
        <w:tc>
          <w:tcPr>
            <w:tcW w:w="322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亳州亳药堂药业有限公司</w:t>
            </w:r>
          </w:p>
        </w:tc>
        <w:tc>
          <w:tcPr>
            <w:tcW w:w="16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79,008,325.37</w:t>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
              <w:jc w:val="right"/>
              <w:rPr>
                <w:rFonts w:ascii="宋体" w:hAnsi="宋体" w:cs="宋体" w:eastAsia="宋体" w:hint="default"/>
                <w:sz w:val="18"/>
                <w:szCs w:val="18"/>
              </w:rPr>
            </w:pPr>
            <w:r>
              <w:rPr>
                <w:rFonts w:ascii="宋体"/>
                <w:sz w:val="18"/>
              </w:rPr>
              <w:t>58.82%</w:t>
            </w:r>
          </w:p>
        </w:tc>
        <w:tc>
          <w:tcPr>
            <w:tcW w:w="1274" w:type="dxa"/>
            <w:tcBorders>
              <w:top w:val="single" w:sz="8" w:space="0" w:color="000000"/>
              <w:left w:val="single" w:sz="6" w:space="0" w:color="000000"/>
              <w:bottom w:val="single" w:sz="8" w:space="0" w:color="000000"/>
              <w:right w:val="single" w:sz="6" w:space="0" w:color="000000"/>
            </w:tcBorders>
          </w:tcPr>
          <w:p>
            <w:pPr>
              <w:pStyle w:val="TableParagraph"/>
              <w:spacing w:line="314" w:lineRule="auto" w:before="56"/>
              <w:ind w:left="360" w:right="43" w:hanging="226"/>
              <w:jc w:val="left"/>
              <w:rPr>
                <w:rFonts w:ascii="宋体" w:hAnsi="宋体" w:cs="宋体" w:eastAsia="宋体" w:hint="default"/>
                <w:sz w:val="18"/>
                <w:szCs w:val="18"/>
              </w:rPr>
            </w:pPr>
            <w:r>
              <w:rPr>
                <w:rFonts w:ascii="宋体" w:hAnsi="宋体" w:cs="宋体" w:eastAsia="宋体" w:hint="default"/>
                <w:sz w:val="18"/>
                <w:szCs w:val="18"/>
              </w:rPr>
              <w:t>一年以内、一 至二年</w:t>
            </w:r>
          </w:p>
        </w:tc>
        <w:tc>
          <w:tcPr>
            <w:tcW w:w="156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材料款</w:t>
            </w:r>
          </w:p>
        </w:tc>
      </w:tr>
      <w:tr>
        <w:trPr>
          <w:trHeight w:val="740" w:hRule="exact"/>
        </w:trPr>
        <w:tc>
          <w:tcPr>
            <w:tcW w:w="322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敦化市兴参工贸有限责任公司</w:t>
            </w:r>
          </w:p>
        </w:tc>
        <w:tc>
          <w:tcPr>
            <w:tcW w:w="16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29,200,000.00</w:t>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
              <w:jc w:val="right"/>
              <w:rPr>
                <w:rFonts w:ascii="宋体" w:hAnsi="宋体" w:cs="宋体" w:eastAsia="宋体" w:hint="default"/>
                <w:sz w:val="18"/>
                <w:szCs w:val="18"/>
              </w:rPr>
            </w:pPr>
            <w:r>
              <w:rPr>
                <w:rFonts w:ascii="宋体"/>
                <w:sz w:val="18"/>
              </w:rPr>
              <w:t>21.74%</w:t>
            </w:r>
          </w:p>
        </w:tc>
        <w:tc>
          <w:tcPr>
            <w:tcW w:w="1274"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56"/>
              <w:ind w:left="360" w:right="43" w:hanging="226"/>
              <w:jc w:val="left"/>
              <w:rPr>
                <w:rFonts w:ascii="宋体" w:hAnsi="宋体" w:cs="宋体" w:eastAsia="宋体" w:hint="default"/>
                <w:sz w:val="18"/>
                <w:szCs w:val="18"/>
              </w:rPr>
            </w:pPr>
            <w:r>
              <w:rPr>
                <w:rFonts w:ascii="宋体" w:hAnsi="宋体" w:cs="宋体" w:eastAsia="宋体" w:hint="default"/>
                <w:sz w:val="18"/>
                <w:szCs w:val="18"/>
              </w:rPr>
              <w:t>一年以内、一 至二年</w:t>
            </w:r>
          </w:p>
        </w:tc>
        <w:tc>
          <w:tcPr>
            <w:tcW w:w="156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材料款</w:t>
            </w:r>
          </w:p>
        </w:tc>
      </w:tr>
      <w:tr>
        <w:trPr>
          <w:trHeight w:val="427" w:hRule="exact"/>
        </w:trPr>
        <w:tc>
          <w:tcPr>
            <w:tcW w:w="322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北京昊腾创视文化传媒股份有限公司</w:t>
            </w:r>
          </w:p>
        </w:tc>
        <w:tc>
          <w:tcPr>
            <w:tcW w:w="16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8,566,037.74</w:t>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t>6.38%</w:t>
            </w:r>
          </w:p>
        </w:tc>
        <w:tc>
          <w:tcPr>
            <w:tcW w:w="12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31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6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广告费</w:t>
            </w:r>
          </w:p>
        </w:tc>
      </w:tr>
      <w:tr>
        <w:trPr>
          <w:trHeight w:val="427" w:hRule="exact"/>
        </w:trPr>
        <w:tc>
          <w:tcPr>
            <w:tcW w:w="322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孙维斌</w:t>
            </w:r>
          </w:p>
        </w:tc>
        <w:tc>
          <w:tcPr>
            <w:tcW w:w="16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3,500,000.00</w:t>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t>2.61%</w:t>
            </w:r>
          </w:p>
        </w:tc>
        <w:tc>
          <w:tcPr>
            <w:tcW w:w="12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26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6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材料款</w:t>
            </w:r>
          </w:p>
        </w:tc>
      </w:tr>
      <w:tr>
        <w:trPr>
          <w:trHeight w:val="427" w:hRule="exact"/>
        </w:trPr>
        <w:tc>
          <w:tcPr>
            <w:tcW w:w="322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张文海</w:t>
            </w:r>
          </w:p>
        </w:tc>
        <w:tc>
          <w:tcPr>
            <w:tcW w:w="16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2,256,000.00</w:t>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t>1.68%</w:t>
            </w:r>
          </w:p>
        </w:tc>
        <w:tc>
          <w:tcPr>
            <w:tcW w:w="12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26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6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材料款</w:t>
            </w:r>
          </w:p>
        </w:tc>
      </w:tr>
      <w:tr>
        <w:trPr>
          <w:trHeight w:val="427" w:hRule="exact"/>
        </w:trPr>
        <w:tc>
          <w:tcPr>
            <w:tcW w:w="3229" w:type="dxa"/>
            <w:tcBorders>
              <w:top w:val="single" w:sz="8" w:space="0" w:color="000000"/>
              <w:left w:val="single" w:sz="6" w:space="0" w:color="000000"/>
              <w:bottom w:val="single" w:sz="8" w:space="0" w:color="000000"/>
              <w:right w:val="single" w:sz="6" w:space="0" w:color="000000"/>
            </w:tcBorders>
          </w:tcPr>
          <w:p>
            <w:pPr>
              <w:pStyle w:val="TableParagraph"/>
              <w:tabs>
                <w:tab w:pos="470" w:val="left" w:leader="none"/>
              </w:tabs>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122,530,363.11</w:t>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right="1"/>
              <w:jc w:val="right"/>
              <w:rPr>
                <w:rFonts w:ascii="宋体" w:hAnsi="宋体" w:cs="宋体" w:eastAsia="宋体" w:hint="default"/>
                <w:sz w:val="18"/>
                <w:szCs w:val="18"/>
              </w:rPr>
            </w:pPr>
            <w:r>
              <w:rPr>
                <w:rFonts w:ascii="宋体"/>
                <w:spacing w:val="-1"/>
                <w:sz w:val="18"/>
              </w:rPr>
              <w:t>91.23%</w:t>
            </w:r>
          </w:p>
        </w:tc>
        <w:tc>
          <w:tcPr>
            <w:tcW w:w="1274" w:type="dxa"/>
            <w:tcBorders>
              <w:top w:val="single" w:sz="8" w:space="0" w:color="000000"/>
              <w:left w:val="single" w:sz="6" w:space="0" w:color="000000"/>
              <w:bottom w:val="single" w:sz="8" w:space="0" w:color="000000"/>
              <w:right w:val="single" w:sz="6" w:space="0" w:color="000000"/>
            </w:tcBorders>
          </w:tcPr>
          <w:p>
            <w:pPr/>
          </w:p>
        </w:tc>
        <w:tc>
          <w:tcPr>
            <w:tcW w:w="1560" w:type="dxa"/>
            <w:tcBorders>
              <w:top w:val="single" w:sz="8" w:space="0" w:color="000000"/>
              <w:left w:val="single" w:sz="6" w:space="0" w:color="000000"/>
              <w:bottom w:val="single" w:sz="8" w:space="0" w:color="000000"/>
              <w:right w:val="nil" w:sz="6" w:space="0" w:color="auto"/>
            </w:tcBorders>
          </w:tcPr>
          <w:p>
            <w:pPr/>
          </w:p>
        </w:tc>
      </w:tr>
    </w:tbl>
    <w:p>
      <w:pPr>
        <w:spacing w:before="87"/>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6"/>
          <w:szCs w:val="16"/>
        </w:rPr>
      </w:pPr>
    </w:p>
    <w:p>
      <w:pPr>
        <w:pStyle w:val="BodyText"/>
        <w:spacing w:line="240" w:lineRule="auto" w:before="0"/>
        <w:ind w:right="1133"/>
        <w:jc w:val="left"/>
      </w:pPr>
      <w:r>
        <w:rPr/>
        <w:t>预付款项期末余额中无持有本公司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以上表决权股份的股东单位款项；无其他关联方款项。</w:t>
      </w:r>
    </w:p>
    <w:p>
      <w:pPr>
        <w:spacing w:line="240" w:lineRule="auto" w:before="8"/>
        <w:rPr>
          <w:rFonts w:ascii="宋体" w:hAnsi="宋体" w:cs="宋体" w:eastAsia="宋体" w:hint="default"/>
          <w:sz w:val="30"/>
          <w:szCs w:val="30"/>
        </w:rPr>
      </w:pPr>
    </w:p>
    <w:p>
      <w:pPr>
        <w:pStyle w:val="Heading5"/>
        <w:spacing w:line="240" w:lineRule="auto"/>
        <w:ind w:right="1133"/>
        <w:jc w:val="left"/>
        <w:rPr>
          <w:b w:val="0"/>
          <w:bCs w:val="0"/>
        </w:rPr>
      </w:pPr>
      <w:bookmarkStart w:name="6、其他应收款" w:id="249"/>
      <w:bookmarkEnd w:id="249"/>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50,893,586.03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65,136,748.95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50,893,586.03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65,136,748.95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bookmarkStart w:name="（1）其他应收款" w:id="250"/>
      <w:bookmarkEnd w:id="250"/>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bookmarkStart w:name="1）其他应收款按款项性质分类情况" w:id="251"/>
      <w:bookmarkEnd w:id="251"/>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15,816,123.26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46,152,522.70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9,726,657.85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10,250,154.03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27,218,117.85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13,256,006.78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5,782,788.22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2,400,651.99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减：信用损失准备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-7,650,101.15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-6,922,586.55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50,893,586.03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65,136,748.95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2）坏账准备计提情况" w:id="252"/>
      <w:bookmarkEnd w:id="252"/>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38" w:lineRule="auto" w:before="117"/>
        <w:ind w:left="152"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35,648,831.16</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4,382,166.08</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10,450,852.95</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8,061,836.99</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4,486,259.48</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510,452.44</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3,065,125.07</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58,543,687.18</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3）按欠款方归集的期末余额前五名的其他应收款情况" w:id="253"/>
      <w:bookmarkEnd w:id="253"/>
      <w:r>
        <w:rPr>
          <w:b w:val="0"/>
          <w:bCs w:val="0"/>
        </w:rPr>
      </w:r>
      <w:r>
        <w:rPr>
          <w:rFonts w:ascii="Times New Roman" w:hAnsi="Times New Roman" w:cs="Times New Roman" w:eastAsia="Times New Roman" w:hint="default"/>
        </w:rPr>
        <w:t>3</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5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3"/>
              <w:jc w:val="left"/>
              <w:rPr>
                <w:rFonts w:ascii="宋体" w:hAnsi="宋体" w:cs="宋体" w:eastAsia="宋体" w:hint="default"/>
                <w:sz w:val="18"/>
                <w:szCs w:val="18"/>
              </w:rPr>
            </w:pPr>
            <w:r>
              <w:rPr>
                <w:rFonts w:ascii="宋体" w:hAnsi="宋体" w:cs="宋体" w:eastAsia="宋体" w:hint="default"/>
                <w:spacing w:val="14"/>
                <w:sz w:val="18"/>
                <w:szCs w:val="18"/>
              </w:rPr>
              <w:t>磐石经济开发区管 </w:t>
            </w:r>
            <w:r>
              <w:rPr>
                <w:rFonts w:ascii="宋体" w:hAnsi="宋体" w:cs="宋体" w:eastAsia="宋体" w:hint="default"/>
                <w:sz w:val="18"/>
                <w:szCs w:val="18"/>
              </w:rPr>
              <w:t>理委员会统管户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18,200,000.00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432" w:right="431"/>
              <w:jc w:val="left"/>
              <w:rPr>
                <w:rFonts w:ascii="宋体" w:hAnsi="宋体" w:cs="宋体" w:eastAsia="宋体" w:hint="default"/>
                <w:sz w:val="18"/>
                <w:szCs w:val="18"/>
              </w:rPr>
            </w:pPr>
            <w:r>
              <w:rPr>
                <w:rFonts w:ascii="宋体" w:hAnsi="宋体" w:cs="宋体" w:eastAsia="宋体" w:hint="default"/>
                <w:sz w:val="18"/>
                <w:szCs w:val="18"/>
              </w:rPr>
              <w:t>一年以内 二至三年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1,112,000.00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3"/>
              <w:jc w:val="left"/>
              <w:rPr>
                <w:rFonts w:ascii="宋体" w:hAnsi="宋体" w:cs="宋体" w:eastAsia="宋体" w:hint="default"/>
                <w:sz w:val="18"/>
                <w:szCs w:val="18"/>
              </w:rPr>
            </w:pPr>
            <w:r>
              <w:rPr>
                <w:rFonts w:ascii="宋体" w:hAnsi="宋体" w:cs="宋体" w:eastAsia="宋体" w:hint="default"/>
                <w:spacing w:val="14"/>
                <w:sz w:val="18"/>
                <w:szCs w:val="18"/>
              </w:rPr>
              <w:t>中远海运租赁有限 </w:t>
            </w:r>
            <w:r>
              <w:rPr>
                <w:rFonts w:ascii="宋体" w:hAnsi="宋体" w:cs="宋体" w:eastAsia="宋体" w:hint="default"/>
                <w:sz w:val="18"/>
                <w:szCs w:val="18"/>
              </w:rPr>
              <w:t>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二至三年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350,000.00</w:t>
            </w:r>
          </w:p>
        </w:tc>
      </w:tr>
      <w:tr>
        <w:trPr>
          <w:trHeight w:val="75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3,366,441.41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432" w:right="431"/>
              <w:jc w:val="left"/>
              <w:rPr>
                <w:rFonts w:ascii="宋体" w:hAnsi="宋体" w:cs="宋体" w:eastAsia="宋体" w:hint="default"/>
                <w:sz w:val="18"/>
                <w:szCs w:val="18"/>
              </w:rPr>
            </w:pPr>
            <w:r>
              <w:rPr>
                <w:rFonts w:ascii="宋体" w:hAnsi="宋体" w:cs="宋体" w:eastAsia="宋体" w:hint="default"/>
                <w:sz w:val="18"/>
                <w:szCs w:val="18"/>
              </w:rPr>
              <w:t>一年以内 一至二年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5.75%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224,125.17</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
              <w:jc w:val="left"/>
              <w:rPr>
                <w:rFonts w:ascii="宋体" w:hAnsi="宋体" w:cs="宋体" w:eastAsia="宋体" w:hint="default"/>
                <w:sz w:val="18"/>
                <w:szCs w:val="18"/>
              </w:rPr>
            </w:pPr>
            <w:r>
              <w:rPr>
                <w:rFonts w:ascii="宋体" w:hAnsi="宋体" w:cs="宋体" w:eastAsia="宋体" w:hint="default"/>
                <w:spacing w:val="14"/>
                <w:sz w:val="18"/>
                <w:szCs w:val="18"/>
              </w:rPr>
              <w:t>柳河鑫丰泰商贸有 </w:t>
            </w:r>
            <w:r>
              <w:rPr>
                <w:rFonts w:ascii="宋体" w:hAnsi="宋体" w:cs="宋体" w:eastAsia="宋体" w:hint="default"/>
                <w:sz w:val="18"/>
                <w:szCs w:val="18"/>
              </w:rPr>
              <w:t>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180,000.00</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
              <w:jc w:val="both"/>
              <w:rPr>
                <w:rFonts w:ascii="宋体" w:hAnsi="宋体" w:cs="宋体" w:eastAsia="宋体" w:hint="default"/>
                <w:sz w:val="18"/>
                <w:szCs w:val="18"/>
              </w:rPr>
            </w:pPr>
            <w:r>
              <w:rPr>
                <w:rFonts w:ascii="宋体" w:hAnsi="宋体" w:cs="宋体" w:eastAsia="宋体" w:hint="default"/>
                <w:spacing w:val="14"/>
                <w:sz w:val="18"/>
                <w:szCs w:val="18"/>
              </w:rPr>
              <w:t>柳河县人力资源和 社会保障局监察大 </w:t>
            </w:r>
            <w:r>
              <w:rPr>
                <w:rFonts w:ascii="宋体" w:hAnsi="宋体" w:cs="宋体" w:eastAsia="宋体" w:hint="default"/>
                <w:sz w:val="18"/>
                <w:szCs w:val="18"/>
              </w:rPr>
              <w:t>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2,304,758.00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二至三年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z w:val="18"/>
              </w:rPr>
              <w:t>3.94%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230,475.80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49"/>
              <w:ind w:right="14"/>
              <w:jc w:val="right"/>
              <w:rPr>
                <w:rFonts w:ascii="宋体" w:hAnsi="宋体" w:cs="宋体" w:eastAsia="宋体" w:hint="default"/>
                <w:sz w:val="18"/>
                <w:szCs w:val="18"/>
              </w:rPr>
            </w:pPr>
            <w:r>
              <w:rPr>
                <w:rFonts w:ascii="宋体"/>
                <w:spacing w:val="-1"/>
                <w:sz w:val="18"/>
              </w:rPr>
              <w:t>30,371,199.41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51.88%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2,096,600.97</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7、存货" w:id="254"/>
      <w:bookmarkEnd w:id="254"/>
      <w:r>
        <w:rPr>
          <w:b w:val="0"/>
          <w:bCs w:val="0"/>
        </w:rPr>
      </w:r>
      <w:r>
        <w:rPr>
          <w:rFonts w:ascii="Times New Roman" w:hAnsi="Times New Roman" w:cs="Times New Roman" w:eastAsia="Times New Roman" w:hint="default"/>
        </w:rPr>
        <w:t>7</w:t>
      </w:r>
      <w:r>
        <w:rPr/>
        <w:t>、存货</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bookmarkStart w:name="（1）存货分类" w:id="255"/>
      <w:bookmarkEnd w:id="25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line="338" w:lineRule="auto" w:before="44"/>
        <w:ind w:left="15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上市公司从事房地产业务》的披露要求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7894" w:space="93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7"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存货跌价准备或 合同履约成本减 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存货跌价准备或 合同履约成本减 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按下列格式披露</w:t>
      </w:r>
      <w:r>
        <w:rPr>
          <w:rFonts w:ascii="Times New Roman" w:hAnsi="Times New Roman" w:cs="Times New Roman" w:eastAsia="Times New Roman" w:hint="default"/>
          <w:sz w:val="18"/>
          <w:szCs w:val="18"/>
        </w:rPr>
        <w:t>“</w:t>
      </w:r>
      <w:r>
        <w:rPr>
          <w:rFonts w:ascii="宋体" w:hAnsi="宋体" w:cs="宋体" w:eastAsia="宋体" w:hint="default"/>
          <w:sz w:val="18"/>
          <w:szCs w:val="18"/>
        </w:rPr>
        <w:t>开发成本</w:t>
      </w:r>
      <w:r>
        <w:rPr>
          <w:rFonts w:ascii="Times New Roman" w:hAnsi="Times New Roman" w:cs="Times New Roman" w:eastAsia="Times New Roman" w:hint="default"/>
          <w:sz w:val="18"/>
          <w:szCs w:val="18"/>
        </w:rPr>
        <w:t>”</w:t>
      </w:r>
      <w:r>
        <w:rPr>
          <w:rFonts w:ascii="宋体" w:hAnsi="宋体" w:cs="宋体" w:eastAsia="宋体" w:hint="default"/>
          <w:sz w:val="18"/>
          <w:szCs w:val="18"/>
        </w:rPr>
        <w:t>主要项目及其利息资本化情况：</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5"/>
        <w:gridCol w:w="799"/>
        <w:gridCol w:w="797"/>
        <w:gridCol w:w="800"/>
        <w:gridCol w:w="797"/>
        <w:gridCol w:w="799"/>
        <w:gridCol w:w="799"/>
        <w:gridCol w:w="798"/>
        <w:gridCol w:w="797"/>
      </w:tblGrid>
      <w:tr>
        <w:trPr>
          <w:trHeight w:val="102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开工时间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预计竣工 时间</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2" w:right="29" w:hanging="270"/>
              <w:jc w:val="left"/>
              <w:rPr>
                <w:rFonts w:ascii="宋体" w:hAnsi="宋体" w:cs="宋体" w:eastAsia="宋体" w:hint="default"/>
                <w:sz w:val="18"/>
                <w:szCs w:val="18"/>
              </w:rPr>
            </w:pPr>
            <w:r>
              <w:rPr>
                <w:rFonts w:ascii="宋体" w:hAnsi="宋体" w:cs="宋体" w:eastAsia="宋体" w:hint="default"/>
                <w:sz w:val="18"/>
                <w:szCs w:val="18"/>
              </w:rPr>
              <w:t>预计总投 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本期转入 开发产品</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4"/>
              <w:jc w:val="left"/>
              <w:rPr>
                <w:rFonts w:ascii="宋体" w:hAnsi="宋体" w:cs="宋体" w:eastAsia="宋体" w:hint="default"/>
                <w:sz w:val="18"/>
                <w:szCs w:val="18"/>
              </w:rPr>
            </w:pPr>
            <w:r>
              <w:rPr>
                <w:rFonts w:ascii="宋体" w:hAnsi="宋体" w:cs="宋体" w:eastAsia="宋体" w:hint="default"/>
                <w:sz w:val="18"/>
                <w:szCs w:val="18"/>
              </w:rPr>
              <w:t>本期其他 减少金额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center"/>
              <w:rPr>
                <w:rFonts w:ascii="宋体" w:hAnsi="宋体" w:cs="宋体" w:eastAsia="宋体" w:hint="default"/>
                <w:sz w:val="18"/>
                <w:szCs w:val="18"/>
              </w:rPr>
            </w:pPr>
            <w:r>
              <w:rPr>
                <w:rFonts w:ascii="宋体" w:hAnsi="宋体" w:cs="宋体" w:eastAsia="宋体" w:hint="default"/>
                <w:sz w:val="18"/>
                <w:szCs w:val="18"/>
              </w:rPr>
              <w:t>本期（开 发成本） 增加</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3"/>
              <w:jc w:val="center"/>
              <w:rPr>
                <w:rFonts w:ascii="宋体" w:hAnsi="宋体" w:cs="宋体" w:eastAsia="宋体" w:hint="default"/>
                <w:sz w:val="18"/>
                <w:szCs w:val="18"/>
              </w:rPr>
            </w:pPr>
            <w:r>
              <w:rPr>
                <w:rFonts w:ascii="宋体" w:hAnsi="宋体" w:cs="宋体" w:eastAsia="宋体" w:hint="default"/>
                <w:sz w:val="18"/>
                <w:szCs w:val="18"/>
              </w:rPr>
              <w:t>利息资本 化累计金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 w:right="35"/>
              <w:jc w:val="both"/>
              <w:rPr>
                <w:rFonts w:ascii="宋体" w:hAnsi="宋体" w:cs="宋体" w:eastAsia="宋体" w:hint="default"/>
                <w:sz w:val="18"/>
                <w:szCs w:val="18"/>
              </w:rPr>
            </w:pPr>
            <w:r>
              <w:rPr>
                <w:rFonts w:ascii="宋体" w:hAnsi="宋体" w:cs="宋体" w:eastAsia="宋体" w:hint="default"/>
                <w:sz w:val="18"/>
                <w:szCs w:val="18"/>
              </w:rPr>
              <w:t>其中：本 期利息资 本化金额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资金来源</w:t>
            </w:r>
          </w:p>
        </w:tc>
      </w:tr>
    </w:tbl>
    <w:p>
      <w:pPr>
        <w:spacing w:before="50"/>
        <w:ind w:left="152" w:right="1133" w:firstLine="0"/>
        <w:jc w:val="left"/>
        <w:rPr>
          <w:rFonts w:ascii="宋体" w:hAnsi="宋体" w:cs="宋体" w:eastAsia="宋体" w:hint="default"/>
          <w:sz w:val="18"/>
          <w:szCs w:val="18"/>
        </w:rPr>
      </w:pPr>
      <w:r>
        <w:rPr>
          <w:rFonts w:ascii="宋体" w:hAnsi="宋体" w:cs="宋体" w:eastAsia="宋体" w:hint="default"/>
          <w:sz w:val="18"/>
          <w:szCs w:val="18"/>
        </w:rPr>
        <w:t>按下列格式项目披露</w:t>
      </w:r>
      <w:r>
        <w:rPr>
          <w:rFonts w:ascii="Times New Roman" w:hAnsi="Times New Roman" w:cs="Times New Roman" w:eastAsia="Times New Roman" w:hint="default"/>
          <w:sz w:val="18"/>
          <w:szCs w:val="18"/>
        </w:rPr>
        <w:t>“</w:t>
      </w:r>
      <w:r>
        <w:rPr>
          <w:rFonts w:ascii="宋体" w:hAnsi="宋体" w:cs="宋体" w:eastAsia="宋体" w:hint="default"/>
          <w:sz w:val="18"/>
          <w:szCs w:val="18"/>
        </w:rPr>
        <w:t>开发产品</w:t>
      </w:r>
      <w:r>
        <w:rPr>
          <w:rFonts w:ascii="Times New Roman" w:hAnsi="Times New Roman" w:cs="Times New Roman" w:eastAsia="Times New Roman" w:hint="default"/>
          <w:sz w:val="18"/>
          <w:szCs w:val="18"/>
        </w:rPr>
        <w:t>”</w:t>
      </w:r>
      <w:r>
        <w:rPr>
          <w:rFonts w:ascii="宋体" w:hAnsi="宋体" w:cs="宋体" w:eastAsia="宋体" w:hint="default"/>
          <w:sz w:val="18"/>
          <w:szCs w:val="18"/>
        </w:rPr>
        <w:t>主要项目信息：</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40"/>
        <w:gridCol w:w="936"/>
        <w:gridCol w:w="1143"/>
        <w:gridCol w:w="1171"/>
        <w:gridCol w:w="1169"/>
        <w:gridCol w:w="1404"/>
        <w:gridCol w:w="1403"/>
        <w:gridCol w:w="1403"/>
      </w:tblGrid>
      <w:tr>
        <w:trPr>
          <w:trHeight w:val="713" w:hRule="exact"/>
        </w:trPr>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竣工时间</w:t>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15" w:right="64" w:hanging="449"/>
              <w:jc w:val="left"/>
              <w:rPr>
                <w:rFonts w:ascii="宋体" w:hAnsi="宋体" w:cs="宋体" w:eastAsia="宋体" w:hint="default"/>
                <w:sz w:val="18"/>
                <w:szCs w:val="18"/>
              </w:rPr>
            </w:pPr>
            <w:r>
              <w:rPr>
                <w:rFonts w:ascii="宋体" w:hAnsi="宋体" w:cs="宋体" w:eastAsia="宋体" w:hint="default"/>
                <w:sz w:val="18"/>
                <w:szCs w:val="18"/>
              </w:rPr>
              <w:t>利息资本化累计 金额</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6" w:right="65" w:hanging="180"/>
              <w:jc w:val="left"/>
              <w:rPr>
                <w:rFonts w:ascii="宋体" w:hAnsi="宋体" w:cs="宋体" w:eastAsia="宋体" w:hint="default"/>
                <w:sz w:val="18"/>
                <w:szCs w:val="18"/>
              </w:rPr>
            </w:pPr>
            <w:r>
              <w:rPr>
                <w:rFonts w:ascii="宋体" w:hAnsi="宋体" w:cs="宋体" w:eastAsia="宋体" w:hint="default"/>
                <w:sz w:val="18"/>
                <w:szCs w:val="18"/>
              </w:rPr>
              <w:t>其中：本期利息 资本化金额</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按下列格式分项目披露</w:t>
      </w:r>
      <w:r>
        <w:rPr>
          <w:rFonts w:ascii="Times New Roman" w:hAnsi="Times New Roman" w:cs="Times New Roman" w:eastAsia="Times New Roman" w:hint="default"/>
          <w:sz w:val="18"/>
          <w:szCs w:val="18"/>
        </w:rPr>
        <w:t>“</w:t>
      </w:r>
      <w:r>
        <w:rPr>
          <w:rFonts w:ascii="宋体" w:hAnsi="宋体" w:cs="宋体" w:eastAsia="宋体" w:hint="default"/>
          <w:sz w:val="18"/>
          <w:szCs w:val="18"/>
        </w:rPr>
        <w:t>分期收款开发产品</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出租开发产品</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周转房</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29"/>
        <w:gridCol w:w="1784"/>
        <w:gridCol w:w="2153"/>
        <w:gridCol w:w="1654"/>
        <w:gridCol w:w="2639"/>
      </w:tblGrid>
      <w:tr>
        <w:trPr>
          <w:trHeight w:val="401"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2）存货跌价准备和合同履约成本减值准备" w:id="256"/>
      <w:bookmarkEnd w:id="256"/>
      <w:r>
        <w:rPr>
          <w:b w:val="0"/>
          <w:bCs w:val="0"/>
        </w:rPr>
      </w:r>
      <w:r>
        <w:rPr/>
        <w:t>（</w:t>
      </w:r>
      <w:r>
        <w:rPr>
          <w:rFonts w:ascii="Times New Roman" w:hAnsi="Times New Roman" w:cs="Times New Roman" w:eastAsia="Times New Roman" w:hint="default"/>
        </w:rPr>
        <w:t>2</w:t>
      </w:r>
      <w:r>
        <w:rPr/>
        <w:t>）存货跌价准备和合同履约成本减值准备</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按下列格式披露存货跌价准备金计提情况：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573" w:space="525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898"/>
        <w:gridCol w:w="1196"/>
        <w:gridCol w:w="1063"/>
        <w:gridCol w:w="1330"/>
        <w:gridCol w:w="1462"/>
        <w:gridCol w:w="1196"/>
        <w:gridCol w:w="1063"/>
      </w:tblGrid>
      <w:tr>
        <w:trPr>
          <w:trHeight w:val="402" w:hRule="exact"/>
        </w:trPr>
        <w:tc>
          <w:tcPr>
            <w:tcW w:w="1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按主要项目分类：</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898"/>
        <w:gridCol w:w="1196"/>
        <w:gridCol w:w="1063"/>
        <w:gridCol w:w="1330"/>
        <w:gridCol w:w="1462"/>
        <w:gridCol w:w="1196"/>
        <w:gridCol w:w="1063"/>
      </w:tblGrid>
      <w:tr>
        <w:trPr>
          <w:trHeight w:val="403" w:hRule="exact"/>
        </w:trPr>
        <w:tc>
          <w:tcPr>
            <w:tcW w:w="1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3）存货期末余额中利息资本化率的情况" w:id="257"/>
      <w:bookmarkEnd w:id="257"/>
      <w:r>
        <w:rPr>
          <w:b w:val="0"/>
          <w:bCs w:val="0"/>
        </w:rPr>
      </w:r>
      <w:r>
        <w:rPr/>
        <w:t>（</w:t>
      </w:r>
      <w:r>
        <w:rPr>
          <w:rFonts w:ascii="Times New Roman" w:hAnsi="Times New Roman" w:cs="Times New Roman" w:eastAsia="Times New Roman" w:hint="default"/>
        </w:rPr>
        <w:t>3</w:t>
      </w:r>
      <w:r>
        <w:rPr/>
        <w:t>）存货期末余额中利息资本化率的情况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bookmarkStart w:name="（4）存货受限情况" w:id="258"/>
      <w:bookmarkEnd w:id="258"/>
      <w:r>
        <w:rPr>
          <w:b w:val="0"/>
          <w:bCs w:val="0"/>
        </w:rPr>
      </w:r>
      <w:r>
        <w:rPr/>
        <w:t>（</w:t>
      </w:r>
      <w:r>
        <w:rPr>
          <w:rFonts w:ascii="Times New Roman" w:hAnsi="Times New Roman" w:cs="Times New Roman" w:eastAsia="Times New Roman" w:hint="default"/>
        </w:rPr>
        <w:t>4</w:t>
      </w:r>
      <w:r>
        <w:rPr/>
        <w:t>）存货受限情况</w:t>
      </w:r>
      <w:r>
        <w:rPr>
          <w:b w:val="0"/>
          <w:bCs w:val="0"/>
        </w:rPr>
      </w:r>
    </w:p>
    <w:p>
      <w:pPr>
        <w:spacing w:line="240" w:lineRule="auto" w:before="10"/>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按项目披露受限存货情况：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38"/>
        <w:gridCol w:w="1822"/>
        <w:gridCol w:w="2504"/>
        <w:gridCol w:w="2504"/>
      </w:tblGrid>
      <w:tr>
        <w:trPr>
          <w:trHeight w:val="764" w:hRule="exact"/>
        </w:trPr>
        <w:tc>
          <w:tcPr>
            <w:tcW w:w="2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5）存货分类" w:id="259"/>
      <w:bookmarkEnd w:id="259"/>
      <w:r>
        <w:rPr>
          <w:b w:val="0"/>
          <w:bCs w:val="0"/>
        </w:rPr>
      </w:r>
      <w:r>
        <w:rPr/>
        <w:t>（</w:t>
      </w:r>
      <w:r>
        <w:rPr>
          <w:rFonts w:ascii="Times New Roman" w:hAnsi="Times New Roman" w:cs="Times New Roman" w:eastAsia="Times New Roman" w:hint="default"/>
        </w:rPr>
        <w:t>5</w:t>
      </w:r>
      <w:r>
        <w:rPr/>
        <w:t>）存货分类</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0"/>
        </w:sectPr>
      </w:pPr>
    </w:p>
    <w:p>
      <w:pPr>
        <w:spacing w:line="338" w:lineRule="auto" w:before="44"/>
        <w:ind w:left="15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上市公司从事房地产业务》的披露要求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7894" w:space="93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按下列格式披露</w:t>
      </w:r>
      <w:r>
        <w:rPr>
          <w:rFonts w:ascii="Times New Roman" w:hAnsi="Times New Roman" w:cs="Times New Roman" w:eastAsia="Times New Roman" w:hint="default"/>
          <w:sz w:val="18"/>
          <w:szCs w:val="18"/>
        </w:rPr>
        <w:t>“</w:t>
      </w:r>
      <w:r>
        <w:rPr>
          <w:rFonts w:ascii="宋体" w:hAnsi="宋体" w:cs="宋体" w:eastAsia="宋体" w:hint="default"/>
          <w:sz w:val="18"/>
          <w:szCs w:val="18"/>
        </w:rPr>
        <w:t>开发成本</w:t>
      </w:r>
      <w:r>
        <w:rPr>
          <w:rFonts w:ascii="Times New Roman" w:hAnsi="Times New Roman" w:cs="Times New Roman" w:eastAsia="Times New Roman" w:hint="default"/>
          <w:sz w:val="18"/>
          <w:szCs w:val="18"/>
        </w:rPr>
        <w:t>”</w:t>
      </w:r>
      <w:r>
        <w:rPr>
          <w:rFonts w:ascii="宋体" w:hAnsi="宋体" w:cs="宋体" w:eastAsia="宋体" w:hint="default"/>
          <w:sz w:val="18"/>
          <w:szCs w:val="18"/>
        </w:rPr>
        <w:t>主要项目及其利息资本化情况：</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5"/>
        <w:gridCol w:w="799"/>
        <w:gridCol w:w="797"/>
        <w:gridCol w:w="800"/>
        <w:gridCol w:w="797"/>
        <w:gridCol w:w="799"/>
        <w:gridCol w:w="799"/>
        <w:gridCol w:w="798"/>
        <w:gridCol w:w="797"/>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开工时间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预计竣工 时间</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2" w:right="29" w:hanging="270"/>
              <w:jc w:val="left"/>
              <w:rPr>
                <w:rFonts w:ascii="宋体" w:hAnsi="宋体" w:cs="宋体" w:eastAsia="宋体" w:hint="default"/>
                <w:sz w:val="18"/>
                <w:szCs w:val="18"/>
              </w:rPr>
            </w:pPr>
            <w:r>
              <w:rPr>
                <w:rFonts w:ascii="宋体" w:hAnsi="宋体" w:cs="宋体" w:eastAsia="宋体" w:hint="default"/>
                <w:sz w:val="18"/>
                <w:szCs w:val="18"/>
              </w:rPr>
              <w:t>预计总投 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本期转入 开发产品</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4"/>
              <w:jc w:val="left"/>
              <w:rPr>
                <w:rFonts w:ascii="宋体" w:hAnsi="宋体" w:cs="宋体" w:eastAsia="宋体" w:hint="default"/>
                <w:sz w:val="18"/>
                <w:szCs w:val="18"/>
              </w:rPr>
            </w:pPr>
            <w:r>
              <w:rPr>
                <w:rFonts w:ascii="宋体" w:hAnsi="宋体" w:cs="宋体" w:eastAsia="宋体" w:hint="default"/>
                <w:sz w:val="18"/>
                <w:szCs w:val="18"/>
              </w:rPr>
              <w:t>本期其他 减少金额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center"/>
              <w:rPr>
                <w:rFonts w:ascii="宋体" w:hAnsi="宋体" w:cs="宋体" w:eastAsia="宋体" w:hint="default"/>
                <w:sz w:val="18"/>
                <w:szCs w:val="18"/>
              </w:rPr>
            </w:pPr>
            <w:r>
              <w:rPr>
                <w:rFonts w:ascii="宋体" w:hAnsi="宋体" w:cs="宋体" w:eastAsia="宋体" w:hint="default"/>
                <w:sz w:val="18"/>
                <w:szCs w:val="18"/>
              </w:rPr>
              <w:t>本期（开 发成本） 增加</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3"/>
              <w:jc w:val="center"/>
              <w:rPr>
                <w:rFonts w:ascii="宋体" w:hAnsi="宋体" w:cs="宋体" w:eastAsia="宋体" w:hint="default"/>
                <w:sz w:val="18"/>
                <w:szCs w:val="18"/>
              </w:rPr>
            </w:pPr>
            <w:r>
              <w:rPr>
                <w:rFonts w:ascii="宋体" w:hAnsi="宋体" w:cs="宋体" w:eastAsia="宋体" w:hint="default"/>
                <w:sz w:val="18"/>
                <w:szCs w:val="18"/>
              </w:rPr>
              <w:t>利息资本 化累计金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 w:right="35"/>
              <w:jc w:val="both"/>
              <w:rPr>
                <w:rFonts w:ascii="宋体" w:hAnsi="宋体" w:cs="宋体" w:eastAsia="宋体" w:hint="default"/>
                <w:sz w:val="18"/>
                <w:szCs w:val="18"/>
              </w:rPr>
            </w:pPr>
            <w:r>
              <w:rPr>
                <w:rFonts w:ascii="宋体" w:hAnsi="宋体" w:cs="宋体" w:eastAsia="宋体" w:hint="default"/>
                <w:sz w:val="18"/>
                <w:szCs w:val="18"/>
              </w:rPr>
              <w:t>其中：本 期利息资 本化金额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资金来源</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按下列格式项目披露</w:t>
      </w:r>
      <w:r>
        <w:rPr>
          <w:rFonts w:ascii="Times New Roman" w:hAnsi="Times New Roman" w:cs="Times New Roman" w:eastAsia="Times New Roman" w:hint="default"/>
          <w:sz w:val="18"/>
          <w:szCs w:val="18"/>
        </w:rPr>
        <w:t>“</w:t>
      </w:r>
      <w:r>
        <w:rPr>
          <w:rFonts w:ascii="宋体" w:hAnsi="宋体" w:cs="宋体" w:eastAsia="宋体" w:hint="default"/>
          <w:sz w:val="18"/>
          <w:szCs w:val="18"/>
        </w:rPr>
        <w:t>开发产品</w:t>
      </w:r>
      <w:r>
        <w:rPr>
          <w:rFonts w:ascii="Times New Roman" w:hAnsi="Times New Roman" w:cs="Times New Roman" w:eastAsia="Times New Roman" w:hint="default"/>
          <w:sz w:val="18"/>
          <w:szCs w:val="18"/>
        </w:rPr>
        <w:t>”</w:t>
      </w:r>
      <w:r>
        <w:rPr>
          <w:rFonts w:ascii="宋体" w:hAnsi="宋体" w:cs="宋体" w:eastAsia="宋体" w:hint="default"/>
          <w:sz w:val="18"/>
          <w:szCs w:val="18"/>
        </w:rPr>
        <w:t>主要项目信息：</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40"/>
        <w:gridCol w:w="936"/>
        <w:gridCol w:w="1143"/>
        <w:gridCol w:w="1171"/>
        <w:gridCol w:w="1169"/>
        <w:gridCol w:w="1404"/>
        <w:gridCol w:w="1403"/>
        <w:gridCol w:w="1403"/>
      </w:tblGrid>
      <w:tr>
        <w:trPr>
          <w:trHeight w:val="402" w:hRule="exact"/>
        </w:trPr>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竣工时间</w:t>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67" w:right="0"/>
              <w:jc w:val="left"/>
              <w:rPr>
                <w:rFonts w:ascii="宋体" w:hAnsi="宋体" w:cs="宋体" w:eastAsia="宋体" w:hint="default"/>
                <w:sz w:val="18"/>
                <w:szCs w:val="18"/>
              </w:rPr>
            </w:pPr>
            <w:r>
              <w:rPr>
                <w:rFonts w:ascii="宋体" w:hAnsi="宋体" w:cs="宋体" w:eastAsia="宋体" w:hint="default"/>
                <w:sz w:val="18"/>
                <w:szCs w:val="18"/>
              </w:rPr>
              <w:t>利息资本化累计</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66" w:right="0"/>
              <w:jc w:val="left"/>
              <w:rPr>
                <w:rFonts w:ascii="宋体" w:hAnsi="宋体" w:cs="宋体" w:eastAsia="宋体" w:hint="default"/>
                <w:sz w:val="18"/>
                <w:szCs w:val="18"/>
              </w:rPr>
            </w:pPr>
            <w:r>
              <w:rPr>
                <w:rFonts w:ascii="宋体" w:hAnsi="宋体" w:cs="宋体" w:eastAsia="宋体" w:hint="default"/>
                <w:sz w:val="18"/>
                <w:szCs w:val="18"/>
              </w:rPr>
              <w:t>其中：本期利息</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40"/>
        <w:gridCol w:w="936"/>
        <w:gridCol w:w="1143"/>
        <w:gridCol w:w="1171"/>
        <w:gridCol w:w="1169"/>
        <w:gridCol w:w="1404"/>
        <w:gridCol w:w="1403"/>
        <w:gridCol w:w="1403"/>
      </w:tblGrid>
      <w:tr>
        <w:trPr>
          <w:trHeight w:val="363" w:hRule="exact"/>
        </w:trPr>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6" w:right="0"/>
              <w:jc w:val="left"/>
              <w:rPr>
                <w:rFonts w:ascii="宋体" w:hAnsi="宋体" w:cs="宋体" w:eastAsia="宋体" w:hint="default"/>
                <w:sz w:val="18"/>
                <w:szCs w:val="18"/>
              </w:rPr>
            </w:pPr>
            <w:r>
              <w:rPr>
                <w:rFonts w:ascii="宋体" w:hAnsi="宋体" w:cs="宋体" w:eastAsia="宋体" w:hint="default"/>
                <w:sz w:val="18"/>
                <w:szCs w:val="18"/>
              </w:rPr>
              <w:t>资本化金额</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按下列格式分项目披露</w:t>
      </w:r>
      <w:r>
        <w:rPr>
          <w:rFonts w:ascii="Times New Roman" w:hAnsi="Times New Roman" w:cs="Times New Roman" w:eastAsia="Times New Roman" w:hint="default"/>
          <w:sz w:val="18"/>
          <w:szCs w:val="18"/>
        </w:rPr>
        <w:t>“</w:t>
      </w:r>
      <w:r>
        <w:rPr>
          <w:rFonts w:ascii="宋体" w:hAnsi="宋体" w:cs="宋体" w:eastAsia="宋体" w:hint="default"/>
          <w:sz w:val="18"/>
          <w:szCs w:val="18"/>
        </w:rPr>
        <w:t>分期收款开发产品</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出租开发产品</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周转房</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29"/>
        <w:gridCol w:w="1784"/>
        <w:gridCol w:w="2153"/>
        <w:gridCol w:w="1654"/>
        <w:gridCol w:w="2639"/>
      </w:tblGrid>
      <w:tr>
        <w:trPr>
          <w:trHeight w:val="402"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4"/>
        <w:rPr>
          <w:rFonts w:ascii="宋体" w:hAnsi="宋体" w:cs="宋体" w:eastAsia="宋体" w:hint="default"/>
          <w:sz w:val="19"/>
          <w:szCs w:val="19"/>
        </w:rPr>
      </w:pPr>
    </w:p>
    <w:p>
      <w:pPr>
        <w:pStyle w:val="Heading5"/>
        <w:spacing w:line="240" w:lineRule="auto" w:before="36"/>
        <w:ind w:right="1133"/>
        <w:jc w:val="left"/>
        <w:rPr>
          <w:b w:val="0"/>
          <w:bCs w:val="0"/>
        </w:rPr>
      </w:pPr>
      <w:bookmarkStart w:name="（6）存货跌价准备" w:id="260"/>
      <w:bookmarkEnd w:id="260"/>
      <w:r>
        <w:rPr>
          <w:b w:val="0"/>
          <w:bCs w:val="0"/>
        </w:rPr>
      </w:r>
      <w:r>
        <w:rPr/>
        <w:t>（</w:t>
      </w:r>
      <w:r>
        <w:rPr>
          <w:rFonts w:ascii="Times New Roman" w:hAnsi="Times New Roman" w:cs="Times New Roman" w:eastAsia="Times New Roman" w:hint="default"/>
        </w:rPr>
        <w:t>6</w:t>
      </w:r>
      <w:r>
        <w:rPr/>
        <w:t>）存货跌价准备</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按下列格式披露存货跌价准备金计提情况：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573" w:space="525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898"/>
        <w:gridCol w:w="1196"/>
        <w:gridCol w:w="1063"/>
        <w:gridCol w:w="1330"/>
        <w:gridCol w:w="1462"/>
        <w:gridCol w:w="1196"/>
        <w:gridCol w:w="1063"/>
      </w:tblGrid>
      <w:tr>
        <w:trPr>
          <w:trHeight w:val="404" w:hRule="exact"/>
        </w:trPr>
        <w:tc>
          <w:tcPr>
            <w:tcW w:w="1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按主要项目分类：</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898"/>
        <w:gridCol w:w="1196"/>
        <w:gridCol w:w="1063"/>
        <w:gridCol w:w="1330"/>
        <w:gridCol w:w="1462"/>
        <w:gridCol w:w="1196"/>
        <w:gridCol w:w="1063"/>
      </w:tblGrid>
      <w:tr>
        <w:trPr>
          <w:trHeight w:val="402" w:hRule="exact"/>
        </w:trPr>
        <w:tc>
          <w:tcPr>
            <w:tcW w:w="1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8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4"/>
        <w:rPr>
          <w:rFonts w:ascii="宋体" w:hAnsi="宋体" w:cs="宋体" w:eastAsia="宋体" w:hint="default"/>
          <w:sz w:val="19"/>
          <w:szCs w:val="19"/>
        </w:rPr>
      </w:pPr>
    </w:p>
    <w:p>
      <w:pPr>
        <w:pStyle w:val="Heading5"/>
        <w:spacing w:line="240" w:lineRule="auto" w:before="36"/>
        <w:ind w:right="1133"/>
        <w:jc w:val="left"/>
        <w:rPr>
          <w:b w:val="0"/>
          <w:bCs w:val="0"/>
        </w:rPr>
      </w:pPr>
      <w:bookmarkStart w:name="（7）存货期末余额中利息资本化率的情况" w:id="261"/>
      <w:bookmarkEnd w:id="261"/>
      <w:r>
        <w:rPr>
          <w:b w:val="0"/>
          <w:bCs w:val="0"/>
        </w:rPr>
      </w:r>
      <w:r>
        <w:rPr/>
        <w:t>（</w:t>
      </w:r>
      <w:r>
        <w:rPr>
          <w:rFonts w:ascii="Times New Roman" w:hAnsi="Times New Roman" w:cs="Times New Roman" w:eastAsia="Times New Roman" w:hint="default"/>
        </w:rPr>
        <w:t>7</w:t>
      </w:r>
      <w:r>
        <w:rPr/>
        <w:t>）存货期末余额中利息资本化率的情况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bookmarkStart w:name="（8）存货受限情况" w:id="262"/>
      <w:bookmarkEnd w:id="262"/>
      <w:r>
        <w:rPr>
          <w:b w:val="0"/>
          <w:bCs w:val="0"/>
        </w:rPr>
      </w:r>
      <w:r>
        <w:rPr/>
        <w:t>（</w:t>
      </w:r>
      <w:r>
        <w:rPr>
          <w:rFonts w:ascii="Times New Roman" w:hAnsi="Times New Roman" w:cs="Times New Roman" w:eastAsia="Times New Roman" w:hint="default"/>
        </w:rPr>
        <w:t>8</w:t>
      </w:r>
      <w:r>
        <w:rPr/>
        <w:t>）存货受限情况</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按项目披露受限存货情况：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38"/>
        <w:gridCol w:w="1822"/>
        <w:gridCol w:w="2504"/>
        <w:gridCol w:w="2504"/>
      </w:tblGrid>
      <w:tr>
        <w:trPr>
          <w:trHeight w:val="763" w:hRule="exact"/>
        </w:trPr>
        <w:tc>
          <w:tcPr>
            <w:tcW w:w="2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9）期末建造合同形成的已完工未结算资产情况" w:id="263"/>
      <w:bookmarkEnd w:id="263"/>
      <w:r>
        <w:rPr>
          <w:b w:val="0"/>
          <w:bCs w:val="0"/>
        </w:rPr>
      </w:r>
      <w:r>
        <w:rPr/>
        <w:t>（</w:t>
      </w:r>
      <w:r>
        <w:rPr>
          <w:rFonts w:ascii="Times New Roman" w:hAnsi="Times New Roman" w:cs="Times New Roman" w:eastAsia="Times New Roman" w:hint="default"/>
        </w:rPr>
        <w:t>9</w:t>
      </w:r>
      <w:r>
        <w:rPr/>
        <w:t>）期末建造合同形成的已完工未结算资产情况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13"/>
          <w:szCs w:val="13"/>
        </w:rPr>
      </w:pPr>
    </w:p>
    <w:p>
      <w:pPr>
        <w:pStyle w:val="BodyText"/>
        <w:spacing w:line="240" w:lineRule="auto" w:before="0"/>
        <w:ind w:left="573" w:right="1133"/>
        <w:jc w:val="left"/>
      </w:pPr>
      <w:r>
        <w:rPr/>
        <w:t>（</w:t>
      </w:r>
      <w:r>
        <w:rPr>
          <w:rFonts w:ascii="Times New Roman" w:hAnsi="Times New Roman" w:cs="Times New Roman" w:eastAsia="Times New Roman" w:hint="default"/>
        </w:rPr>
        <w:t>1</w:t>
      </w:r>
      <w:r>
        <w:rPr/>
        <w:t>）存货中的消耗性生物资产</w:t>
      </w:r>
    </w:p>
    <w:p>
      <w:pPr>
        <w:spacing w:line="240" w:lineRule="auto" w:before="5"/>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237"/>
        <w:gridCol w:w="2472"/>
        <w:gridCol w:w="2472"/>
      </w:tblGrid>
      <w:tr>
        <w:trPr>
          <w:trHeight w:val="355" w:hRule="exact"/>
        </w:trPr>
        <w:tc>
          <w:tcPr>
            <w:tcW w:w="42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838"/>
              <w:jc w:val="right"/>
              <w:rPr>
                <w:rFonts w:ascii="宋体" w:hAnsi="宋体" w:cs="宋体" w:eastAsia="宋体" w:hint="default"/>
                <w:sz w:val="18"/>
                <w:szCs w:val="18"/>
              </w:rPr>
            </w:pPr>
            <w:r>
              <w:rPr>
                <w:rFonts w:ascii="宋体" w:hAnsi="宋体" w:cs="宋体" w:eastAsia="宋体" w:hint="default"/>
                <w:sz w:val="18"/>
                <w:szCs w:val="18"/>
              </w:rPr>
              <w:t>项  目</w:t>
            </w:r>
          </w:p>
        </w:tc>
        <w:tc>
          <w:tcPr>
            <w:tcW w:w="24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688"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50" w:hRule="exact"/>
        </w:trPr>
        <w:tc>
          <w:tcPr>
            <w:tcW w:w="4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一、种植业</w:t>
            </w:r>
          </w:p>
        </w:tc>
        <w:tc>
          <w:tcPr>
            <w:tcW w:w="2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5,016,052,478.42</w:t>
            </w:r>
          </w:p>
        </w:tc>
        <w:tc>
          <w:tcPr>
            <w:tcW w:w="24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4,402,282,512.22</w:t>
            </w:r>
          </w:p>
        </w:tc>
      </w:tr>
      <w:tr>
        <w:trPr>
          <w:trHeight w:val="353" w:hRule="exact"/>
        </w:trPr>
        <w:tc>
          <w:tcPr>
            <w:tcW w:w="4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人参种苗</w:t>
            </w:r>
          </w:p>
        </w:tc>
        <w:tc>
          <w:tcPr>
            <w:tcW w:w="2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11,207,815.91</w:t>
            </w:r>
          </w:p>
        </w:tc>
        <w:tc>
          <w:tcPr>
            <w:tcW w:w="24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13,859,760.80</w:t>
            </w:r>
          </w:p>
        </w:tc>
      </w:tr>
      <w:tr>
        <w:trPr>
          <w:trHeight w:val="353" w:hRule="exact"/>
        </w:trPr>
        <w:tc>
          <w:tcPr>
            <w:tcW w:w="4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林下参</w:t>
            </w:r>
          </w:p>
        </w:tc>
        <w:tc>
          <w:tcPr>
            <w:tcW w:w="2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5,004,643,361.01</w:t>
            </w:r>
          </w:p>
        </w:tc>
        <w:tc>
          <w:tcPr>
            <w:tcW w:w="24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4,388,221,449.92</w:t>
            </w:r>
          </w:p>
        </w:tc>
      </w:tr>
      <w:tr>
        <w:trPr>
          <w:trHeight w:val="350" w:hRule="exact"/>
        </w:trPr>
        <w:tc>
          <w:tcPr>
            <w:tcW w:w="4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其他作物</w:t>
            </w:r>
          </w:p>
        </w:tc>
        <w:tc>
          <w:tcPr>
            <w:tcW w:w="2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201,301.50</w:t>
            </w:r>
          </w:p>
        </w:tc>
        <w:tc>
          <w:tcPr>
            <w:tcW w:w="24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201,301.50</w:t>
            </w:r>
          </w:p>
        </w:tc>
      </w:tr>
      <w:tr>
        <w:trPr>
          <w:trHeight w:val="353" w:hRule="exact"/>
        </w:trPr>
        <w:tc>
          <w:tcPr>
            <w:tcW w:w="4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838"/>
              <w:jc w:val="right"/>
              <w:rPr>
                <w:rFonts w:ascii="宋体" w:hAnsi="宋体" w:cs="宋体" w:eastAsia="宋体" w:hint="default"/>
                <w:sz w:val="18"/>
                <w:szCs w:val="18"/>
              </w:rPr>
            </w:pPr>
            <w:r>
              <w:rPr>
                <w:rFonts w:ascii="宋体" w:hAnsi="宋体" w:cs="宋体" w:eastAsia="宋体" w:hint="default"/>
                <w:sz w:val="18"/>
                <w:szCs w:val="18"/>
              </w:rPr>
              <w:t>合  计</w:t>
            </w:r>
          </w:p>
        </w:tc>
        <w:tc>
          <w:tcPr>
            <w:tcW w:w="2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5,016,052,478.42</w:t>
            </w:r>
          </w:p>
        </w:tc>
        <w:tc>
          <w:tcPr>
            <w:tcW w:w="24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4,402,282,512.22</w:t>
            </w:r>
          </w:p>
        </w:tc>
      </w:tr>
    </w:tbl>
    <w:p>
      <w:pPr>
        <w:pStyle w:val="BodyText"/>
        <w:spacing w:line="240" w:lineRule="auto" w:before="64"/>
        <w:ind w:left="573" w:right="1133"/>
        <w:jc w:val="left"/>
      </w:pPr>
      <w:r>
        <w:rPr/>
        <w:t>（</w:t>
      </w:r>
      <w:r>
        <w:rPr>
          <w:rFonts w:ascii="Times New Roman" w:hAnsi="Times New Roman" w:cs="Times New Roman" w:eastAsia="Times New Roman" w:hint="default"/>
        </w:rPr>
        <w:t>2</w:t>
      </w:r>
      <w:r>
        <w:rPr/>
        <w:t>）本公司期末消耗性生物资产中林下参增加，主要因本期母公司及子公司吉林紫鑫红石种养殖有</w:t>
      </w:r>
    </w:p>
    <w:p>
      <w:pPr>
        <w:spacing w:after="0" w:line="240"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1133"/>
        <w:jc w:val="left"/>
      </w:pPr>
      <w:r>
        <w:rPr/>
        <w:t>限公司购买林下参增加所致。</w:t>
      </w:r>
    </w:p>
    <w:p>
      <w:pPr>
        <w:spacing w:line="240" w:lineRule="auto" w:before="10"/>
        <w:rPr>
          <w:rFonts w:ascii="宋体" w:hAnsi="宋体" w:cs="宋体" w:eastAsia="宋体" w:hint="default"/>
          <w:sz w:val="14"/>
          <w:szCs w:val="14"/>
        </w:rPr>
      </w:pPr>
    </w:p>
    <w:p>
      <w:pPr>
        <w:pStyle w:val="BodyText"/>
        <w:spacing w:line="240" w:lineRule="auto" w:before="0"/>
        <w:ind w:left="573" w:right="1133"/>
        <w:jc w:val="left"/>
      </w:pPr>
      <w:r>
        <w:rPr/>
        <w:t>（</w:t>
      </w:r>
      <w:r>
        <w:rPr>
          <w:rFonts w:ascii="Times New Roman" w:hAnsi="Times New Roman" w:cs="Times New Roman" w:eastAsia="Times New Roman" w:hint="default"/>
        </w:rPr>
        <w:t>3</w:t>
      </w:r>
      <w:r>
        <w:rPr/>
        <w:t>）存货期末余额中无成本高于可变现净值情况，无需计提存货跌价准备。</w:t>
      </w:r>
    </w:p>
    <w:p>
      <w:pPr>
        <w:pStyle w:val="BodyText"/>
        <w:spacing w:line="386" w:lineRule="auto" w:before="177"/>
        <w:ind w:left="489" w:right="1133" w:firstLine="84"/>
        <w:jc w:val="left"/>
      </w:pPr>
      <w:r>
        <w:rPr/>
        <w:t>（</w:t>
      </w:r>
      <w:r>
        <w:rPr>
          <w:rFonts w:ascii="Times New Roman" w:hAnsi="Times New Roman" w:cs="Times New Roman" w:eastAsia="Times New Roman" w:hint="default"/>
        </w:rPr>
        <w:t>4</w:t>
      </w:r>
      <w:r>
        <w:rPr/>
        <w:t>）存货期末余额中抵押和担保的情况：</w:t>
      </w:r>
      <w:r>
        <w:rPr>
          <w:w w:val="100"/>
        </w:rPr>
        <w:t> </w:t>
      </w:r>
      <w:r>
        <w:rPr>
          <w:spacing w:val="-3"/>
        </w:rPr>
        <w:t>根据</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20</w:t>
      </w:r>
      <w:r>
        <w:rPr>
          <w:spacing w:val="-3"/>
        </w:rPr>
        <w:t>日本公司与吉林银行股份有限公司长春瑞祥支行签订的质押合同，以本公司存货人参</w:t>
      </w:r>
    </w:p>
    <w:p>
      <w:pPr>
        <w:pStyle w:val="BodyText"/>
        <w:spacing w:line="240" w:lineRule="auto" w:before="35"/>
        <w:ind w:right="1133"/>
        <w:jc w:val="left"/>
      </w:pPr>
      <w:r>
        <w:rPr/>
        <w:t>（干品）中的</w:t>
      </w:r>
      <w:r>
        <w:rPr>
          <w:rFonts w:ascii="Times New Roman" w:hAnsi="Times New Roman" w:cs="Times New Roman" w:eastAsia="Times New Roman" w:hint="default"/>
        </w:rPr>
        <w:t>1,346.58</w:t>
      </w:r>
      <w:r>
        <w:rPr/>
        <w:t>吨，估价为</w:t>
      </w:r>
      <w:r>
        <w:rPr>
          <w:rFonts w:ascii="Times New Roman" w:hAnsi="Times New Roman" w:cs="Times New Roman" w:eastAsia="Times New Roman" w:hint="default"/>
        </w:rPr>
        <w:t>165,409.30</w:t>
      </w:r>
      <w:r>
        <w:rPr/>
        <w:t>万元，作为质押物取得银行流动资金贷款</w:t>
      </w:r>
      <w:r>
        <w:rPr>
          <w:rFonts w:ascii="Times New Roman" w:hAnsi="Times New Roman" w:cs="Times New Roman" w:eastAsia="Times New Roman" w:hint="default"/>
        </w:rPr>
        <w:t>80,000</w:t>
      </w:r>
      <w:r>
        <w:rPr/>
        <w:t>万元。</w:t>
      </w:r>
    </w:p>
    <w:p>
      <w:pPr>
        <w:spacing w:line="240" w:lineRule="auto" w:before="8"/>
        <w:rPr>
          <w:rFonts w:ascii="宋体" w:hAnsi="宋体" w:cs="宋体" w:eastAsia="宋体" w:hint="default"/>
          <w:sz w:val="30"/>
          <w:szCs w:val="30"/>
        </w:rPr>
      </w:pPr>
    </w:p>
    <w:p>
      <w:pPr>
        <w:pStyle w:val="Heading5"/>
        <w:spacing w:line="240" w:lineRule="auto"/>
        <w:ind w:right="1133"/>
        <w:jc w:val="left"/>
        <w:rPr>
          <w:b w:val="0"/>
          <w:bCs w:val="0"/>
        </w:rPr>
      </w:pPr>
      <w:bookmarkStart w:name="（10）存货分类" w:id="264"/>
      <w:bookmarkEnd w:id="264"/>
      <w:r>
        <w:rPr>
          <w:b w:val="0"/>
          <w:bCs w:val="0"/>
        </w:rPr>
      </w:r>
      <w:r>
        <w:rPr/>
        <w:t>（</w:t>
      </w:r>
      <w:r>
        <w:rPr>
          <w:rFonts w:ascii="Times New Roman" w:hAnsi="Times New Roman" w:cs="Times New Roman" w:eastAsia="Times New Roman" w:hint="default"/>
        </w:rPr>
        <w:t>10</w:t>
      </w:r>
      <w:r>
        <w:rPr/>
        <w:t>）存货分类</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3"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526,277,090.60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526,277,090.60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523,135,643.73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center"/>
              <w:rPr>
                <w:rFonts w:ascii="Times New Roman" w:hAnsi="Times New Roman" w:cs="Times New Roman" w:eastAsia="Times New Roman" w:hint="default"/>
                <w:sz w:val="18"/>
                <w:szCs w:val="18"/>
              </w:rPr>
            </w:pPr>
            <w:r>
              <w:rPr>
                <w:rFonts w:ascii="Times New Roman"/>
                <w:sz w:val="18"/>
              </w:rPr>
              <w:t>523,135,643.73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26,401,561.40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26,401,561.40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27,384,073.52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5" w:right="0"/>
              <w:jc w:val="center"/>
              <w:rPr>
                <w:rFonts w:ascii="Times New Roman" w:hAnsi="Times New Roman" w:cs="Times New Roman" w:eastAsia="Times New Roman" w:hint="default"/>
                <w:sz w:val="18"/>
                <w:szCs w:val="18"/>
              </w:rPr>
            </w:pPr>
            <w:r>
              <w:rPr>
                <w:rFonts w:ascii="Times New Roman"/>
                <w:sz w:val="18"/>
              </w:rPr>
              <w:t>27,384,073.52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1,086,980,082.45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1,086,980,082.45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1,087,914,486.77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1,087,914,486.77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5,016,052,478.42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5,016,052,478.42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4,402,282,512.22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4,402,282,512.22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72,656,220.30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72,656,220.30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40,481,594.56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5" w:right="0"/>
              <w:jc w:val="center"/>
              <w:rPr>
                <w:rFonts w:ascii="Times New Roman" w:hAnsi="Times New Roman" w:cs="Times New Roman" w:eastAsia="Times New Roman" w:hint="default"/>
                <w:sz w:val="18"/>
                <w:szCs w:val="18"/>
              </w:rPr>
            </w:pPr>
            <w:r>
              <w:rPr>
                <w:rFonts w:ascii="Times New Roman"/>
                <w:sz w:val="18"/>
              </w:rPr>
              <w:t>40,481,594.56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17,285,524.13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17,285,524.13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13,590,651.84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5" w:right="0"/>
              <w:jc w:val="center"/>
              <w:rPr>
                <w:rFonts w:ascii="Times New Roman" w:hAnsi="Times New Roman" w:cs="Times New Roman" w:eastAsia="Times New Roman" w:hint="default"/>
                <w:sz w:val="18"/>
                <w:szCs w:val="18"/>
              </w:rPr>
            </w:pPr>
            <w:r>
              <w:rPr>
                <w:rFonts w:ascii="Times New Roman"/>
                <w:sz w:val="18"/>
              </w:rPr>
              <w:t>13,590,651.84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10,353,713.23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10,353,713.23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14,300,057.39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5" w:right="0"/>
              <w:jc w:val="center"/>
              <w:rPr>
                <w:rFonts w:ascii="Times New Roman" w:hAnsi="Times New Roman" w:cs="Times New Roman" w:eastAsia="Times New Roman" w:hint="default"/>
                <w:sz w:val="18"/>
                <w:szCs w:val="18"/>
              </w:rPr>
            </w:pPr>
            <w:r>
              <w:rPr>
                <w:rFonts w:ascii="Times New Roman"/>
                <w:sz w:val="18"/>
              </w:rPr>
              <w:t>14,300,057.39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6,756,006,670.53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6,756,006,670.53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6,109,089,020.03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6,109,089,020.03</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11）期末建造合同形成的已完工未结算资产情况" w:id="265"/>
      <w:bookmarkEnd w:id="265"/>
      <w:r>
        <w:rPr>
          <w:b w:val="0"/>
          <w:bCs w:val="0"/>
        </w:rPr>
      </w:r>
      <w:r>
        <w:rPr/>
        <w:t>（</w:t>
      </w:r>
      <w:r>
        <w:rPr>
          <w:rFonts w:ascii="Times New Roman" w:hAnsi="Times New Roman" w:cs="Times New Roman" w:eastAsia="Times New Roman" w:hint="default"/>
        </w:rPr>
        <w:t>11</w:t>
      </w:r>
      <w:r>
        <w:rPr/>
        <w:t>）期末建造合同形成的已完工未结算资产情况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13"/>
          <w:szCs w:val="13"/>
        </w:rPr>
      </w:pPr>
    </w:p>
    <w:p>
      <w:pPr>
        <w:pStyle w:val="BodyText"/>
        <w:spacing w:line="240" w:lineRule="auto" w:before="0"/>
        <w:ind w:left="573" w:right="1133"/>
        <w:jc w:val="left"/>
      </w:pPr>
      <w:r>
        <w:rPr/>
        <w:t>（</w:t>
      </w:r>
      <w:r>
        <w:rPr>
          <w:rFonts w:ascii="Times New Roman" w:hAnsi="Times New Roman" w:cs="Times New Roman" w:eastAsia="Times New Roman" w:hint="default"/>
        </w:rPr>
        <w:t>1</w:t>
      </w:r>
      <w:r>
        <w:rPr/>
        <w:t>）存货中的消耗性生物资产</w:t>
      </w:r>
    </w:p>
    <w:p>
      <w:pPr>
        <w:spacing w:line="240" w:lineRule="auto" w:before="5"/>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237"/>
        <w:gridCol w:w="2472"/>
        <w:gridCol w:w="2472"/>
      </w:tblGrid>
      <w:tr>
        <w:trPr>
          <w:trHeight w:val="353" w:hRule="exact"/>
        </w:trPr>
        <w:tc>
          <w:tcPr>
            <w:tcW w:w="42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838"/>
              <w:jc w:val="right"/>
              <w:rPr>
                <w:rFonts w:ascii="宋体" w:hAnsi="宋体" w:cs="宋体" w:eastAsia="宋体" w:hint="default"/>
                <w:sz w:val="18"/>
                <w:szCs w:val="18"/>
              </w:rPr>
            </w:pPr>
            <w:r>
              <w:rPr>
                <w:rFonts w:ascii="宋体" w:hAnsi="宋体" w:cs="宋体" w:eastAsia="宋体" w:hint="default"/>
                <w:sz w:val="18"/>
                <w:szCs w:val="18"/>
              </w:rPr>
              <w:t>项  目</w:t>
            </w:r>
          </w:p>
        </w:tc>
        <w:tc>
          <w:tcPr>
            <w:tcW w:w="24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688"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53" w:hRule="exact"/>
        </w:trPr>
        <w:tc>
          <w:tcPr>
            <w:tcW w:w="4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一、种植业</w:t>
            </w:r>
          </w:p>
        </w:tc>
        <w:tc>
          <w:tcPr>
            <w:tcW w:w="2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5,016,052,478.42</w:t>
            </w:r>
          </w:p>
        </w:tc>
        <w:tc>
          <w:tcPr>
            <w:tcW w:w="24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4,402,282,512.22</w:t>
            </w:r>
          </w:p>
        </w:tc>
      </w:tr>
      <w:tr>
        <w:trPr>
          <w:trHeight w:val="353" w:hRule="exact"/>
        </w:trPr>
        <w:tc>
          <w:tcPr>
            <w:tcW w:w="4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人参种苗</w:t>
            </w:r>
          </w:p>
        </w:tc>
        <w:tc>
          <w:tcPr>
            <w:tcW w:w="2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pacing w:val="-1"/>
                <w:sz w:val="18"/>
              </w:rPr>
              <w:t>11,207,815.91</w:t>
            </w:r>
          </w:p>
        </w:tc>
        <w:tc>
          <w:tcPr>
            <w:tcW w:w="24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3"/>
              <w:ind w:right="7"/>
              <w:jc w:val="right"/>
              <w:rPr>
                <w:rFonts w:ascii="Times New Roman" w:hAnsi="Times New Roman" w:cs="Times New Roman" w:eastAsia="Times New Roman" w:hint="default"/>
                <w:sz w:val="18"/>
                <w:szCs w:val="18"/>
              </w:rPr>
            </w:pPr>
            <w:r>
              <w:rPr>
                <w:rFonts w:ascii="Times New Roman"/>
                <w:spacing w:val="-1"/>
                <w:sz w:val="18"/>
              </w:rPr>
              <w:t>13,859,760.80</w:t>
            </w:r>
          </w:p>
        </w:tc>
      </w:tr>
      <w:tr>
        <w:trPr>
          <w:trHeight w:val="350" w:hRule="exact"/>
        </w:trPr>
        <w:tc>
          <w:tcPr>
            <w:tcW w:w="4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林下参</w:t>
            </w:r>
          </w:p>
        </w:tc>
        <w:tc>
          <w:tcPr>
            <w:tcW w:w="2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5,004,643,361.01</w:t>
            </w:r>
          </w:p>
        </w:tc>
        <w:tc>
          <w:tcPr>
            <w:tcW w:w="24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4,388,221,449.92</w:t>
            </w:r>
          </w:p>
        </w:tc>
      </w:tr>
      <w:tr>
        <w:trPr>
          <w:trHeight w:val="353" w:hRule="exact"/>
        </w:trPr>
        <w:tc>
          <w:tcPr>
            <w:tcW w:w="4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其他作物</w:t>
            </w:r>
          </w:p>
        </w:tc>
        <w:tc>
          <w:tcPr>
            <w:tcW w:w="2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201,301.50</w:t>
            </w:r>
          </w:p>
        </w:tc>
        <w:tc>
          <w:tcPr>
            <w:tcW w:w="24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201,301.50</w:t>
            </w:r>
          </w:p>
        </w:tc>
      </w:tr>
      <w:tr>
        <w:trPr>
          <w:trHeight w:val="353" w:hRule="exact"/>
        </w:trPr>
        <w:tc>
          <w:tcPr>
            <w:tcW w:w="4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838"/>
              <w:jc w:val="right"/>
              <w:rPr>
                <w:rFonts w:ascii="宋体" w:hAnsi="宋体" w:cs="宋体" w:eastAsia="宋体" w:hint="default"/>
                <w:sz w:val="18"/>
                <w:szCs w:val="18"/>
              </w:rPr>
            </w:pPr>
            <w:r>
              <w:rPr>
                <w:rFonts w:ascii="宋体" w:hAnsi="宋体" w:cs="宋体" w:eastAsia="宋体" w:hint="default"/>
                <w:sz w:val="18"/>
                <w:szCs w:val="18"/>
              </w:rPr>
              <w:t>合  计</w:t>
            </w:r>
          </w:p>
        </w:tc>
        <w:tc>
          <w:tcPr>
            <w:tcW w:w="2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5,016,052,478.42</w:t>
            </w:r>
          </w:p>
        </w:tc>
        <w:tc>
          <w:tcPr>
            <w:tcW w:w="24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4,402,282,512.22</w:t>
            </w:r>
          </w:p>
        </w:tc>
      </w:tr>
    </w:tbl>
    <w:p>
      <w:pPr>
        <w:pStyle w:val="BodyText"/>
        <w:spacing w:line="386" w:lineRule="auto" w:before="64"/>
        <w:ind w:right="1133" w:firstLine="420"/>
        <w:jc w:val="left"/>
      </w:pPr>
      <w:r>
        <w:rPr/>
        <w:t>（</w:t>
      </w:r>
      <w:r>
        <w:rPr>
          <w:rFonts w:ascii="Times New Roman" w:hAnsi="Times New Roman" w:cs="Times New Roman" w:eastAsia="Times New Roman" w:hint="default"/>
        </w:rPr>
        <w:t>2</w:t>
      </w:r>
      <w:r>
        <w:rPr/>
        <w:t>）本公司期末消耗性生物资产中林下参增加，主要因本期母公司及子公司吉林紫鑫红石种养殖有</w:t>
      </w:r>
      <w:r>
        <w:rPr>
          <w:w w:val="100"/>
        </w:rPr>
        <w:t> </w:t>
      </w:r>
      <w:r>
        <w:rPr/>
        <w:t>限公司购买林下参增加所致。</w:t>
      </w:r>
    </w:p>
    <w:p>
      <w:pPr>
        <w:pStyle w:val="BodyText"/>
        <w:spacing w:line="240" w:lineRule="auto" w:before="65"/>
        <w:ind w:left="573" w:right="1133"/>
        <w:jc w:val="left"/>
      </w:pPr>
      <w:r>
        <w:rPr/>
        <w:t>（</w:t>
      </w:r>
      <w:r>
        <w:rPr>
          <w:rFonts w:ascii="Times New Roman" w:hAnsi="Times New Roman" w:cs="Times New Roman" w:eastAsia="Times New Roman" w:hint="default"/>
        </w:rPr>
        <w:t>3</w:t>
      </w:r>
      <w:r>
        <w:rPr/>
        <w:t>）存货期末余额中无成本高于可变现净值情况，无需计提存货跌价准备。</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5"/>
        <w:ind w:left="489" w:right="1133" w:firstLine="84"/>
        <w:jc w:val="left"/>
      </w:pPr>
      <w:r>
        <w:rPr/>
        <w:t>（</w:t>
      </w:r>
      <w:r>
        <w:rPr>
          <w:rFonts w:ascii="Times New Roman" w:hAnsi="Times New Roman" w:cs="Times New Roman" w:eastAsia="Times New Roman" w:hint="default"/>
        </w:rPr>
        <w:t>4</w:t>
      </w:r>
      <w:r>
        <w:rPr/>
        <w:t>）存货期末余额中抵押和担保的情况：</w:t>
      </w:r>
      <w:r>
        <w:rPr>
          <w:w w:val="100"/>
        </w:rPr>
        <w:t> </w:t>
      </w:r>
      <w:r>
        <w:rPr>
          <w:spacing w:val="-3"/>
        </w:rPr>
        <w:t>根据</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20</w:t>
      </w:r>
      <w:r>
        <w:rPr>
          <w:spacing w:val="-3"/>
        </w:rPr>
        <w:t>日本公司与吉林银行股份有限公司长春瑞祥支行签订的质押合同，以本公司存货人参</w:t>
      </w:r>
    </w:p>
    <w:p>
      <w:pPr>
        <w:pStyle w:val="BodyText"/>
        <w:spacing w:line="240" w:lineRule="auto" w:before="35"/>
        <w:ind w:right="1133"/>
        <w:jc w:val="left"/>
      </w:pPr>
      <w:r>
        <w:rPr/>
        <w:t>（干品）中的</w:t>
      </w:r>
      <w:r>
        <w:rPr>
          <w:rFonts w:ascii="Times New Roman" w:hAnsi="Times New Roman" w:cs="Times New Roman" w:eastAsia="Times New Roman" w:hint="default"/>
        </w:rPr>
        <w:t>1,346.58</w:t>
      </w:r>
      <w:r>
        <w:rPr/>
        <w:t>吨，估价为</w:t>
      </w:r>
      <w:r>
        <w:rPr>
          <w:rFonts w:ascii="Times New Roman" w:hAnsi="Times New Roman" w:cs="Times New Roman" w:eastAsia="Times New Roman" w:hint="default"/>
        </w:rPr>
        <w:t>165,409.30</w:t>
      </w:r>
      <w:r>
        <w:rPr/>
        <w:t>万元，作为质押物取得银行流动资金贷款</w:t>
      </w:r>
      <w:r>
        <w:rPr>
          <w:rFonts w:ascii="Times New Roman" w:hAnsi="Times New Roman" w:cs="Times New Roman" w:eastAsia="Times New Roman" w:hint="default"/>
        </w:rPr>
        <w:t>80,000</w:t>
      </w:r>
      <w:r>
        <w:rPr/>
        <w:t>万元。</w:t>
      </w:r>
    </w:p>
    <w:p>
      <w:pPr>
        <w:spacing w:line="240" w:lineRule="auto" w:before="8"/>
        <w:rPr>
          <w:rFonts w:ascii="宋体" w:hAnsi="宋体" w:cs="宋体" w:eastAsia="宋体" w:hint="default"/>
          <w:sz w:val="30"/>
          <w:szCs w:val="30"/>
        </w:rPr>
      </w:pPr>
    </w:p>
    <w:p>
      <w:pPr>
        <w:pStyle w:val="Heading5"/>
        <w:spacing w:line="240" w:lineRule="auto"/>
        <w:ind w:right="1133"/>
        <w:jc w:val="left"/>
        <w:rPr>
          <w:b w:val="0"/>
          <w:bCs w:val="0"/>
        </w:rPr>
      </w:pPr>
      <w:bookmarkStart w:name="8、其他流动资产" w:id="266"/>
      <w:bookmarkEnd w:id="266"/>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已交税费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1,394,041.05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8,911,995.08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34,394,471.91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38,231,426.95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35,788,512.96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47,143,422.03</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bookmarkStart w:name="9、其他权益工具投资" w:id="267"/>
      <w:bookmarkEnd w:id="267"/>
      <w:r>
        <w:rPr>
          <w:b w:val="0"/>
          <w:bCs w:val="0"/>
        </w:rPr>
      </w:r>
      <w:r>
        <w:rPr>
          <w:rFonts w:ascii="Times New Roman" w:hAnsi="Times New Roman" w:cs="Times New Roman" w:eastAsia="Times New Roman" w:hint="default"/>
        </w:rPr>
        <w:t>9</w:t>
      </w:r>
      <w:r>
        <w:rPr/>
        <w:t>、其他权益工具投资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长春农村商业银行股份有限公司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4,651,428.57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华盖信诚医疗健康投资成都合伙企业</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24,651,428.57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48,000,000.00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分项披露本期非交易性权益工具投资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133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r>
        <w:trPr>
          <w:trHeight w:val="356"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本期出售部分股</w:t>
            </w:r>
          </w:p>
        </w:tc>
      </w:tr>
      <w:tr>
        <w:trPr>
          <w:trHeight w:val="936"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长春农村商业银 行股份有限公司</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8,820,000.00</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99" w:right="0"/>
              <w:jc w:val="left"/>
              <w:rPr>
                <w:rFonts w:ascii="Times New Roman" w:hAnsi="Times New Roman" w:cs="Times New Roman" w:eastAsia="Times New Roman" w:hint="default"/>
                <w:sz w:val="18"/>
                <w:szCs w:val="18"/>
              </w:rPr>
            </w:pPr>
            <w:r>
              <w:rPr>
                <w:rFonts w:ascii="Times New Roman"/>
                <w:sz w:val="18"/>
              </w:rPr>
              <w:t>66,981,214.28</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0"/>
              <w:jc w:val="both"/>
              <w:rPr>
                <w:rFonts w:ascii="宋体" w:hAnsi="宋体" w:cs="宋体" w:eastAsia="宋体" w:hint="default"/>
                <w:sz w:val="18"/>
                <w:szCs w:val="18"/>
              </w:rPr>
            </w:pPr>
            <w:r>
              <w:rPr>
                <w:rFonts w:ascii="宋体" w:hAnsi="宋体" w:cs="宋体" w:eastAsia="宋体" w:hint="default"/>
                <w:sz w:val="18"/>
                <w:szCs w:val="18"/>
              </w:rPr>
              <w:t>持有该金融资产 的目的不是交易 性的</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2"/>
              <w:jc w:val="both"/>
              <w:rPr>
                <w:rFonts w:ascii="宋体" w:hAnsi="宋体" w:cs="宋体" w:eastAsia="宋体" w:hint="default"/>
                <w:sz w:val="18"/>
                <w:szCs w:val="18"/>
              </w:rPr>
            </w:pPr>
            <w:r>
              <w:rPr>
                <w:rFonts w:ascii="宋体" w:hAnsi="宋体" w:cs="宋体" w:eastAsia="宋体" w:hint="default"/>
                <w:sz w:val="18"/>
                <w:szCs w:val="18"/>
              </w:rPr>
              <w:t>权所取得收益在 年末时转入未分 配利润和盈余公</w:t>
            </w:r>
          </w:p>
        </w:tc>
      </w:tr>
      <w:tr>
        <w:trPr>
          <w:trHeight w:val="360"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积</w:t>
            </w:r>
          </w:p>
        </w:tc>
      </w:tr>
      <w:tr>
        <w:trPr>
          <w:trHeight w:val="355" w:hRule="exact"/>
        </w:trPr>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华盖信诚医疗健</w:t>
            </w:r>
          </w:p>
        </w:tc>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2" w:lineRule="exact"/>
              <w:ind w:left="2"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7.850pt;height:15.6pt;mso-position-horizontal-relative:char;mso-position-vertical-relative:line" coordorigin="0,0" coordsize="1357,312">
                  <v:group style="position:absolute;left:0;top:0;width:1357;height:312" coordorigin="0,0" coordsize="1357,312">
                    <v:shape style="position:absolute;left:0;top:0;width:1357;height:312" coordorigin="0,0" coordsize="1357,312" path="m0,312l1356,312,1356,0,0,0,0,312xe" filled="true" fillcolor="#ffffff" stroked="false">
                      <v:path arrowok="t"/>
                      <v:fill type="solid"/>
                    </v:shape>
                  </v:group>
                </v:group>
              </w:pict>
            </w:r>
            <w:r>
              <w:rPr>
                <w:rFonts w:ascii="宋体" w:hAnsi="宋体" w:cs="宋体" w:eastAsia="宋体" w:hint="default"/>
                <w:position w:val="-5"/>
                <w:sz w:val="20"/>
                <w:szCs w:val="20"/>
              </w:rPr>
            </w:r>
          </w:p>
        </w:tc>
        <w:tc>
          <w:tcPr>
            <w:tcW w:w="1368"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持有该金融资产</w:t>
            </w:r>
          </w:p>
        </w:tc>
        <w:tc>
          <w:tcPr>
            <w:tcW w:w="1368" w:type="dxa"/>
            <w:vMerge w:val="restart"/>
            <w:tcBorders>
              <w:top w:val="single" w:sz="4" w:space="0" w:color="000000"/>
              <w:left w:val="single" w:sz="4" w:space="0" w:color="000000"/>
              <w:right w:val="single" w:sz="4" w:space="0" w:color="000000"/>
            </w:tcBorders>
          </w:tcPr>
          <w:p>
            <w:pPr/>
          </w:p>
        </w:tc>
      </w:tr>
      <w:tr>
        <w:trPr>
          <w:trHeight w:val="312"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康投资成都合伙</w:t>
            </w:r>
          </w:p>
        </w:tc>
        <w:tc>
          <w:tcPr>
            <w:tcW w:w="1369"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的目的不是交易</w:t>
            </w:r>
          </w:p>
        </w:tc>
        <w:tc>
          <w:tcPr>
            <w:tcW w:w="1368" w:type="dxa"/>
            <w:vMerge/>
            <w:tcBorders>
              <w:left w:val="single" w:sz="4" w:space="0" w:color="000000"/>
              <w:right w:val="single" w:sz="4" w:space="0" w:color="000000"/>
            </w:tcBorders>
          </w:tcPr>
          <w:p>
            <w:pPr/>
          </w:p>
        </w:tc>
      </w:tr>
      <w:tr>
        <w:trPr>
          <w:trHeight w:val="357" w:hRule="exact"/>
        </w:trPr>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369"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性的</w:t>
            </w:r>
          </w:p>
        </w:tc>
        <w:tc>
          <w:tcPr>
            <w:tcW w:w="1368" w:type="dxa"/>
            <w:vMerge/>
            <w:tcBorders>
              <w:left w:val="single" w:sz="4" w:space="0" w:color="000000"/>
              <w:bottom w:val="single" w:sz="4" w:space="0" w:color="000000"/>
              <w:right w:val="single" w:sz="4" w:space="0" w:color="000000"/>
            </w:tcBorders>
          </w:tcPr>
          <w:p>
            <w:pPr/>
          </w:p>
        </w:tc>
      </w:tr>
    </w:tbl>
    <w:p>
      <w:pPr>
        <w:spacing w:before="49"/>
        <w:ind w:left="152" w:right="1133" w:firstLine="0"/>
        <w:jc w:val="left"/>
        <w:rPr>
          <w:rFonts w:ascii="宋体" w:hAnsi="宋体" w:cs="宋体" w:eastAsia="宋体" w:hint="default"/>
          <w:sz w:val="18"/>
          <w:szCs w:val="18"/>
        </w:rPr>
      </w:pPr>
      <w:r>
        <w:rPr/>
        <w:pict>
          <v:shape style="position:absolute;margin-left:74.279999pt;margin-top:-16.074282pt;width:119pt;height:15.6pt;mso-position-horizontal-relative:page;mso-position-vertical-relative:paragraph;z-index:-1008448"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（有限合伙）</w:t>
                  </w:r>
                </w:p>
              </w:txbxContent>
            </v:textbox>
            <w10:wrap type="none"/>
          </v:shape>
        </w:pict>
      </w: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5"/>
        <w:ind w:right="1126" w:firstLine="629"/>
        <w:jc w:val="both"/>
      </w:pPr>
      <w:r>
        <w:rPr>
          <w:spacing w:val="-2"/>
        </w:rPr>
        <w:t>按照新金融工具准则的要求，将原在</w:t>
      </w:r>
      <w:r>
        <w:rPr>
          <w:rFonts w:ascii="Times New Roman" w:hAnsi="Times New Roman" w:cs="Times New Roman" w:eastAsia="Times New Roman" w:hint="default"/>
          <w:spacing w:val="-2"/>
        </w:rPr>
        <w:t>“</w:t>
      </w:r>
      <w:r>
        <w:rPr>
          <w:spacing w:val="-2"/>
        </w:rPr>
        <w:t>可供出售金融资产</w:t>
      </w:r>
      <w:r>
        <w:rPr>
          <w:rFonts w:ascii="Times New Roman" w:hAnsi="Times New Roman" w:cs="Times New Roman" w:eastAsia="Times New Roman" w:hint="default"/>
          <w:spacing w:val="-2"/>
        </w:rPr>
        <w:t>”</w:t>
      </w:r>
      <w:r>
        <w:rPr>
          <w:spacing w:val="-2"/>
        </w:rPr>
        <w:t>项目列示的对长春农村商业银行股份有限</w:t>
      </w:r>
      <w:r>
        <w:rPr>
          <w:w w:val="100"/>
        </w:rPr>
        <w:t> </w:t>
      </w:r>
      <w:r>
        <w:rPr/>
        <w:t>公司</w:t>
      </w:r>
      <w:r>
        <w:rPr>
          <w:rFonts w:ascii="Times New Roman" w:hAnsi="Times New Roman" w:cs="Times New Roman" w:eastAsia="Times New Roman" w:hint="default"/>
        </w:rPr>
        <w:t>28,000,000.00</w:t>
      </w:r>
      <w:r>
        <w:rPr/>
        <w:t>元投资、对华盖信诚医疗健康投资成都合伙企业（有限合伙）</w:t>
      </w:r>
      <w:r>
        <w:rPr>
          <w:rFonts w:ascii="Times New Roman" w:hAnsi="Times New Roman" w:cs="Times New Roman" w:eastAsia="Times New Roman" w:hint="default"/>
        </w:rPr>
        <w:t>20,000,000.00</w:t>
      </w:r>
      <w:r>
        <w:rPr/>
        <w:t>元投资变更</w:t>
      </w:r>
      <w:r>
        <w:rPr>
          <w:spacing w:val="-27"/>
        </w:rPr>
        <w:t> </w:t>
      </w:r>
      <w:r>
        <w:rPr>
          <w:spacing w:val="-27"/>
        </w:rPr>
      </w:r>
      <w:r>
        <w:rPr/>
        <w:t>到</w:t>
      </w:r>
      <w:r>
        <w:rPr>
          <w:rFonts w:ascii="Times New Roman" w:hAnsi="Times New Roman" w:cs="Times New Roman" w:eastAsia="Times New Roman" w:hint="default"/>
        </w:rPr>
        <w:t>“</w:t>
      </w:r>
      <w:r>
        <w:rPr/>
        <w:t>其他权益工具投资</w:t>
      </w:r>
      <w:r>
        <w:rPr>
          <w:rFonts w:ascii="Times New Roman" w:hAnsi="Times New Roman" w:cs="Times New Roman" w:eastAsia="Times New Roman" w:hint="default"/>
        </w:rPr>
        <w:t>”</w:t>
      </w:r>
      <w:r>
        <w:rPr/>
        <w:t>核算。</w:t>
      </w:r>
    </w:p>
    <w:p>
      <w:pPr>
        <w:pStyle w:val="BodyText"/>
        <w:spacing w:line="240" w:lineRule="auto" w:before="35"/>
        <w:ind w:left="0" w:right="1132"/>
        <w:jc w:val="right"/>
      </w:pPr>
      <w:r>
        <w:rPr>
          <w:spacing w:val="6"/>
        </w:rPr>
        <w:t>本公司将持有的长春农村商业银行股份有限公司的部分股权  </w:t>
      </w:r>
      <w:r>
        <w:rPr>
          <w:rFonts w:ascii="Times New Roman" w:hAnsi="Times New Roman" w:cs="Times New Roman" w:eastAsia="Times New Roman" w:hint="default"/>
        </w:rPr>
        <w:t>4,086</w:t>
      </w:r>
      <w:r>
        <w:rPr>
          <w:rFonts w:ascii="Times New Roman" w:hAnsi="Times New Roman" w:cs="Times New Roman" w:eastAsia="Times New Roman" w:hint="default"/>
          <w:spacing w:val="34"/>
        </w:rPr>
        <w:t> </w:t>
      </w:r>
      <w:r>
        <w:rPr>
          <w:spacing w:val="6"/>
        </w:rPr>
        <w:t>万股，占长春农商行总股本</w:t>
      </w:r>
    </w:p>
    <w:p>
      <w:pPr>
        <w:pStyle w:val="BodyText"/>
        <w:spacing w:line="240" w:lineRule="auto" w:before="177"/>
        <w:ind w:right="0"/>
        <w:jc w:val="left"/>
      </w:pPr>
      <w:r>
        <w:rPr>
          <w:rFonts w:ascii="Times New Roman" w:hAnsi="Times New Roman" w:cs="Times New Roman" w:eastAsia="Times New Roman" w:hint="default"/>
          <w:spacing w:val="-3"/>
        </w:rPr>
        <w:t>2.27%</w:t>
      </w:r>
      <w:r>
        <w:rPr>
          <w:spacing w:val="-3"/>
        </w:rPr>
        <w:t>出售，以大信会计事务所（特殊普通合伙）出具的长春农商行 </w:t>
      </w:r>
      <w:r>
        <w:rPr>
          <w:rFonts w:ascii="Times New Roman" w:hAnsi="Times New Roman" w:cs="Times New Roman" w:eastAsia="Times New Roman" w:hint="default"/>
        </w:rPr>
        <w:t>2018 </w:t>
      </w:r>
      <w:r>
        <w:rPr>
          <w:rFonts w:ascii="Times New Roman" w:hAnsi="Times New Roman" w:cs="Times New Roman" w:eastAsia="Times New Roman" w:hint="default"/>
          <w:spacing w:val="24"/>
        </w:rPr>
        <w:t> </w:t>
      </w:r>
      <w:r>
        <w:rPr>
          <w:spacing w:val="-6"/>
        </w:rPr>
        <w:t>年年度《审计报告》（编号：大</w:t>
      </w:r>
    </w:p>
    <w:p>
      <w:pPr>
        <w:pStyle w:val="BodyText"/>
        <w:spacing w:line="386" w:lineRule="auto" w:before="177"/>
        <w:ind w:right="0"/>
        <w:jc w:val="left"/>
      </w:pPr>
      <w:r>
        <w:rPr/>
        <w:t>信审字</w:t>
      </w:r>
      <w:r>
        <w:rPr>
          <w:rFonts w:ascii="Times New Roman" w:hAnsi="Times New Roman" w:cs="Times New Roman" w:eastAsia="Times New Roman" w:hint="default"/>
        </w:rPr>
        <w:t>[2019]</w:t>
      </w:r>
      <w:r>
        <w:rPr/>
        <w:t>第 </w:t>
      </w:r>
      <w:r>
        <w:rPr>
          <w:rFonts w:ascii="Times New Roman" w:hAnsi="Times New Roman" w:cs="Times New Roman" w:eastAsia="Times New Roman" w:hint="default"/>
        </w:rPr>
        <w:t>1-01488 </w:t>
      </w:r>
      <w:r>
        <w:rPr>
          <w:spacing w:val="-6"/>
        </w:rPr>
        <w:t>号）为定价参考依据，协商以每股 </w:t>
      </w:r>
      <w:r>
        <w:rPr>
          <w:rFonts w:ascii="Times New Roman" w:hAnsi="Times New Roman" w:cs="Times New Roman" w:eastAsia="Times New Roman" w:hint="default"/>
        </w:rPr>
        <w:t>2.5 </w:t>
      </w:r>
      <w:r>
        <w:rPr>
          <w:spacing w:val="-5"/>
        </w:rPr>
        <w:t>元人民币的价格，合计成交金额 </w:t>
      </w:r>
      <w:r>
        <w:rPr>
          <w:rFonts w:ascii="Times New Roman" w:hAnsi="Times New Roman" w:cs="Times New Roman" w:eastAsia="Times New Roman" w:hint="default"/>
        </w:rPr>
        <w:t>10,215 </w:t>
      </w:r>
      <w:r>
        <w:rPr/>
        <w:t>万</w:t>
      </w:r>
      <w:r>
        <w:rPr>
          <w:spacing w:val="-74"/>
        </w:rPr>
        <w:t> </w:t>
      </w:r>
      <w:r>
        <w:rPr>
          <w:spacing w:val="-6"/>
          <w:w w:val="100"/>
        </w:rPr>
        <w:t>元。分别出售给吉林省启晟科技有限责任公司</w:t>
      </w:r>
      <w:r>
        <w:rPr>
          <w:spacing w:val="-20"/>
          <w:w w:val="100"/>
        </w:rPr>
        <w:t> </w:t>
      </w:r>
      <w:r>
        <w:rPr>
          <w:rFonts w:ascii="Times New Roman" w:hAnsi="Times New Roman" w:cs="Times New Roman" w:eastAsia="Times New Roman" w:hint="default"/>
          <w:spacing w:val="-1"/>
          <w:w w:val="100"/>
        </w:rPr>
        <w:t>1,386</w:t>
      </w:r>
      <w:r>
        <w:rPr>
          <w:rFonts w:ascii="Times New Roman" w:hAnsi="Times New Roman" w:cs="Times New Roman" w:eastAsia="Times New Roman" w:hint="default"/>
          <w:spacing w:val="29"/>
          <w:w w:val="100"/>
        </w:rPr>
        <w:t> </w:t>
      </w:r>
      <w:r>
        <w:rPr>
          <w:w w:val="100"/>
        </w:rPr>
        <w:t>万股</w:t>
      </w:r>
      <w:r>
        <w:rPr>
          <w:rFonts w:ascii="Times New Roman" w:hAnsi="Times New Roman" w:cs="Times New Roman" w:eastAsia="Times New Roman" w:hint="default"/>
          <w:w w:val="100"/>
        </w:rPr>
        <w:t>,</w:t>
      </w:r>
      <w:r>
        <w:rPr>
          <w:rFonts w:ascii="Times New Roman" w:hAnsi="Times New Roman" w:cs="Times New Roman" w:eastAsia="Times New Roman" w:hint="default"/>
          <w:spacing w:val="29"/>
          <w:w w:val="100"/>
        </w:rPr>
        <w:t> </w:t>
      </w:r>
      <w:r>
        <w:rPr>
          <w:spacing w:val="-1"/>
          <w:w w:val="100"/>
        </w:rPr>
        <w:t>占长春农商行总股本</w:t>
      </w:r>
      <w:r>
        <w:rPr>
          <w:spacing w:val="-23"/>
          <w:w w:val="100"/>
        </w:rPr>
        <w:t> </w:t>
      </w:r>
      <w:r>
        <w:rPr>
          <w:rFonts w:ascii="Times New Roman" w:hAnsi="Times New Roman" w:cs="Times New Roman" w:eastAsia="Times New Roman" w:hint="default"/>
          <w:spacing w:val="-10"/>
          <w:w w:val="100"/>
        </w:rPr>
        <w:t>0.77%</w:t>
      </w:r>
      <w:r>
        <w:rPr>
          <w:spacing w:val="-10"/>
          <w:w w:val="100"/>
        </w:rPr>
        <w:t>，成交金额</w:t>
      </w:r>
      <w:r>
        <w:rPr>
          <w:spacing w:val="-21"/>
          <w:w w:val="100"/>
        </w:rPr>
        <w:t> </w:t>
      </w:r>
      <w:r>
        <w:rPr>
          <w:rFonts w:ascii="Times New Roman" w:hAnsi="Times New Roman" w:cs="Times New Roman" w:eastAsia="Times New Roman" w:hint="default"/>
          <w:spacing w:val="-1"/>
          <w:w w:val="100"/>
        </w:rPr>
        <w:t>3,465</w:t>
      </w:r>
      <w:r>
        <w:rPr>
          <w:rFonts w:ascii="Times New Roman" w:hAnsi="Times New Roman" w:cs="Times New Roman" w:eastAsia="Times New Roman" w:hint="default"/>
          <w:spacing w:val="29"/>
          <w:w w:val="100"/>
        </w:rPr>
        <w:t> </w:t>
      </w:r>
      <w:r>
        <w:rPr>
          <w:w w:val="100"/>
        </w:rPr>
        <w:t>万</w:t>
      </w:r>
      <w:r>
        <w:rPr>
          <w:spacing w:val="-104"/>
          <w:w w:val="100"/>
        </w:rPr>
        <w:t> </w:t>
      </w:r>
      <w:r>
        <w:rPr/>
        <w:t>元；吉林省翔顺经贸有限责任公司 </w:t>
      </w:r>
      <w:r>
        <w:rPr>
          <w:rFonts w:ascii="Times New Roman" w:hAnsi="Times New Roman" w:cs="Times New Roman" w:eastAsia="Times New Roman" w:hint="default"/>
        </w:rPr>
        <w:t>1,500 </w:t>
      </w:r>
      <w:r>
        <w:rPr/>
        <w:t>万股，占长春农商行总股本 </w:t>
      </w:r>
      <w:r>
        <w:rPr>
          <w:rFonts w:ascii="Times New Roman" w:hAnsi="Times New Roman" w:cs="Times New Roman" w:eastAsia="Times New Roman" w:hint="default"/>
        </w:rPr>
        <w:t>0.83%</w:t>
      </w:r>
      <w:r>
        <w:rPr/>
        <w:t>，成交金额 </w:t>
      </w:r>
      <w:r>
        <w:rPr>
          <w:rFonts w:ascii="Times New Roman" w:hAnsi="Times New Roman" w:cs="Times New Roman" w:eastAsia="Times New Roman" w:hint="default"/>
        </w:rPr>
        <w:t>3,750</w:t>
      </w:r>
      <w:r>
        <w:rPr/>
        <w:t>万元；吉林</w:t>
      </w:r>
      <w:r>
        <w:rPr>
          <w:spacing w:val="-97"/>
        </w:rPr>
        <w:t> </w:t>
      </w:r>
      <w:r>
        <w:rPr>
          <w:spacing w:val="-97"/>
        </w:rPr>
      </w:r>
      <w:r>
        <w:rPr>
          <w:spacing w:val="-4"/>
        </w:rPr>
        <w:t>省银顺通商贸有限责任公司</w:t>
      </w:r>
      <w:r>
        <w:rPr>
          <w:rFonts w:ascii="Times New Roman" w:hAnsi="Times New Roman" w:cs="Times New Roman" w:eastAsia="Times New Roman" w:hint="default"/>
          <w:spacing w:val="-4"/>
        </w:rPr>
        <w:t>1,200</w:t>
      </w:r>
      <w:r>
        <w:rPr>
          <w:spacing w:val="-4"/>
        </w:rPr>
        <w:t>万股，占长春农商行总股本</w:t>
      </w:r>
      <w:r>
        <w:rPr>
          <w:rFonts w:ascii="Times New Roman" w:hAnsi="Times New Roman" w:cs="Times New Roman" w:eastAsia="Times New Roman" w:hint="default"/>
          <w:spacing w:val="-4"/>
        </w:rPr>
        <w:t>0.67%</w:t>
      </w:r>
      <w:r>
        <w:rPr>
          <w:spacing w:val="-4"/>
        </w:rPr>
        <w:t>，成交金额</w:t>
      </w:r>
      <w:r>
        <w:rPr>
          <w:rFonts w:ascii="Times New Roman" w:hAnsi="Times New Roman" w:cs="Times New Roman" w:eastAsia="Times New Roman" w:hint="default"/>
          <w:spacing w:val="-4"/>
        </w:rPr>
        <w:t>3,000</w:t>
      </w:r>
      <w:r>
        <w:rPr>
          <w:spacing w:val="-4"/>
        </w:rPr>
        <w:t>万元；本次交易完成后，</w:t>
      </w:r>
      <w:r>
        <w:rPr>
          <w:spacing w:val="-40"/>
        </w:rPr>
        <w:t> </w:t>
      </w:r>
      <w:r>
        <w:rPr>
          <w:spacing w:val="-40"/>
        </w:rPr>
      </w:r>
      <w:r>
        <w:rPr/>
        <w:t>公司持有长春农商行股份为</w:t>
      </w:r>
      <w:r>
        <w:rPr>
          <w:rFonts w:ascii="Times New Roman" w:hAnsi="Times New Roman" w:cs="Times New Roman" w:eastAsia="Times New Roman" w:hint="default"/>
        </w:rPr>
        <w:t>814</w:t>
      </w:r>
      <w:r>
        <w:rPr/>
        <w:t>万股，占长春农商行总股本</w:t>
      </w:r>
      <w:r>
        <w:rPr>
          <w:rFonts w:ascii="Times New Roman" w:hAnsi="Times New Roman" w:cs="Times New Roman" w:eastAsia="Times New Roman" w:hint="default"/>
        </w:rPr>
        <w:t>0.45%</w:t>
      </w:r>
      <w:r>
        <w:rPr/>
        <w:t>。剩余金额为</w:t>
      </w:r>
      <w:r>
        <w:rPr>
          <w:rFonts w:ascii="Times New Roman" w:hAnsi="Times New Roman" w:cs="Times New Roman" w:eastAsia="Times New Roman" w:hint="default"/>
        </w:rPr>
        <w:t>4,651,428.57</w:t>
      </w:r>
      <w:r>
        <w:rPr/>
        <w:t>元。</w:t>
      </w:r>
    </w:p>
    <w:p>
      <w:pPr>
        <w:spacing w:line="240" w:lineRule="auto" w:before="10"/>
        <w:rPr>
          <w:rFonts w:ascii="宋体" w:hAnsi="宋体" w:cs="宋体" w:eastAsia="宋体" w:hint="default"/>
          <w:sz w:val="19"/>
          <w:szCs w:val="19"/>
        </w:rPr>
      </w:pPr>
    </w:p>
    <w:p>
      <w:pPr>
        <w:pStyle w:val="Heading5"/>
        <w:spacing w:line="240" w:lineRule="auto"/>
        <w:ind w:right="1133"/>
        <w:jc w:val="left"/>
        <w:rPr>
          <w:b w:val="0"/>
          <w:bCs w:val="0"/>
        </w:rPr>
      </w:pPr>
      <w:bookmarkStart w:name="10、固定资产" w:id="268"/>
      <w:bookmarkEnd w:id="268"/>
      <w:r>
        <w:rPr>
          <w:b w:val="0"/>
          <w:bCs w:val="0"/>
        </w:rPr>
      </w:r>
      <w:r>
        <w:rPr>
          <w:rFonts w:ascii="Times New Roman" w:hAnsi="Times New Roman" w:cs="Times New Roman" w:eastAsia="Times New Roman" w:hint="default"/>
        </w:rPr>
        <w:t>10</w:t>
      </w:r>
      <w:r>
        <w:rPr/>
        <w:t>、固定资产</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1,440,620,668.86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1,068,322,527.11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1,440,620,668.86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1,068,322,527.11</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1）固定资产情况" w:id="269"/>
      <w:bookmarkEnd w:id="269"/>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0"/>
              <w:jc w:val="righ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1,212,246,874.25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150,604,678.70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31,484,957.17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30,229,529.28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25,000,100.00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1,449,566,139.40</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347,141,990.82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120,143,627.79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3,069,564.27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470,359,782.88</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105,504.59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2,996,483.25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792,795.97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3,899,383.81</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7"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347,036,486.23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117,147,144.54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2,276,768.30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466,460,399.07</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11,100,030.21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1,233,052.23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12,333,082.44</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11,100,030.21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1,233,052.23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12,333,082.44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1,559,388,865.07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259,648,276.28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31,489,557.17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32,066,041.32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1,907,592,839.84</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257,698,481.96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76,266,581.12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23,655,916.23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19,243,042.51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4,379,590.47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381,243,612.29</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66,792,142.41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22,620,543.79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2,084,771.21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3,530,525.90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2,171,240.29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97,199,223.60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66,792,142.41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22,620,543.79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2,084,771.21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3,530,525.90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2,171,240.29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97,199,223.60</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10,302,834.13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1,167,830.78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11,470,664.91</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10,302,834.13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1,167,830.78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11,470,664.91</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324,490,624.37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88,584,290.78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25,740,687.44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21,605,737.63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6,550,830.76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466,972,170.98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1,234,898,240.70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171,063,985.50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10,460,303.69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18,449,269.24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1,440,620,668.86</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954,548,392.29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74,338,097.58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7,829,040.94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10,986,486.77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20,620,509.53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1,068,322,527.11</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2）通过融资租赁租入的固定资产情况" w:id="270"/>
      <w:bookmarkEnd w:id="270"/>
      <w:r>
        <w:rPr>
          <w:b w:val="0"/>
          <w:bCs w:val="0"/>
        </w:rPr>
      </w:r>
      <w:r>
        <w:rPr/>
        <w:t>（</w:t>
      </w:r>
      <w:r>
        <w:rPr>
          <w:rFonts w:ascii="Times New Roman" w:hAnsi="Times New Roman" w:cs="Times New Roman" w:eastAsia="Times New Roman" w:hint="default"/>
        </w:rPr>
        <w:t>2</w:t>
      </w:r>
      <w:r>
        <w:rPr/>
        <w:t>）通过融资租赁租入的固定资产情况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24,874,475.83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6,439,108.52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18,435,367.31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125,624.17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111,722.24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13,901.93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6,550,830.76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18,449,269.24</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11、在建工程" w:id="271"/>
      <w:bookmarkEnd w:id="271"/>
      <w:r>
        <w:rPr>
          <w:b w:val="0"/>
          <w:bCs w:val="0"/>
        </w:rPr>
      </w:r>
      <w:r>
        <w:rPr>
          <w:rFonts w:ascii="Times New Roman" w:hAnsi="Times New Roman" w:cs="Times New Roman" w:eastAsia="Times New Roman" w:hint="default"/>
        </w:rPr>
        <w:t>11</w:t>
      </w:r>
      <w:r>
        <w:rPr/>
        <w:t>、在建工程</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334,959,802.48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649,225,509.18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334,959,802.48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649,225,509.18</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1）在建工程情况" w:id="272"/>
      <w:bookmarkEnd w:id="272"/>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pict>
          <v:group style="position:absolute;margin-left:56.400002pt;margin-top:19.19173pt;width:479.15pt;height:413.85pt;mso-position-horizontal-relative:page;mso-position-vertical-relative:paragraph;z-index:-1008424" coordorigin="1128,384" coordsize="9583,8277">
            <v:group style="position:absolute;left:1140;top:398;width:1357;height:202" coordorigin="1140,398" coordsize="1357,202">
              <v:shape style="position:absolute;left:1140;top:398;width:1357;height:202" coordorigin="1140,398" coordsize="1357,202" path="m1140,600l2496,600,2496,398,1140,398,1140,600xe" filled="true" fillcolor="#d2d2d2" stroked="false">
                <v:path arrowok="t"/>
                <v:fill type="solid"/>
              </v:shape>
            </v:group>
            <v:group style="position:absolute;left:1151;top:600;width:2;height:392" coordorigin="1151,600" coordsize="2,392">
              <v:shape style="position:absolute;left:1151;top:600;width:2;height:392" coordorigin="1151,600" coordsize="0,392" path="m1151,600l1151,991e" filled="false" stroked="true" strokeweight="1.08pt" strokecolor="#d2d2d2">
                <v:path arrowok="t"/>
              </v:shape>
            </v:group>
            <v:group style="position:absolute;left:2486;top:600;width:2;height:392" coordorigin="2486,600" coordsize="2,392">
              <v:shape style="position:absolute;left:2486;top:600;width:2;height:392" coordorigin="2486,600" coordsize="0,392" path="m2486,600l2486,991e" filled="false" stroked="true" strokeweight="1.08pt" strokecolor="#d2d2d2">
                <v:path arrowok="t"/>
              </v:shape>
            </v:group>
            <v:group style="position:absolute;left:1140;top:991;width:1357;height:202" coordorigin="1140,991" coordsize="1357,202">
              <v:shape style="position:absolute;left:1140;top:991;width:1357;height:202" coordorigin="1140,991" coordsize="1357,202" path="m1140,1193l2496,1193,2496,991,1140,991,1140,1193xe" filled="true" fillcolor="#d2d2d2" stroked="false">
                <v:path arrowok="t"/>
                <v:fill type="solid"/>
              </v:shape>
            </v:group>
            <v:group style="position:absolute;left:1162;top:600;width:1314;height:392" coordorigin="1162,600" coordsize="1314,392">
              <v:shape style="position:absolute;left:1162;top:600;width:1314;height:392" coordorigin="1162,600" coordsize="1314,392" path="m1162,991l2475,991,2475,600,1162,600,1162,991xe" filled="true" fillcolor="#d2d2d2" stroked="false">
                <v:path arrowok="t"/>
                <v:fill type="solid"/>
              </v:shape>
            </v:group>
            <v:group style="position:absolute;left:2519;top:398;width:2;height:392" coordorigin="2519,398" coordsize="2,392">
              <v:shape style="position:absolute;left:2519;top:398;width:2;height:392" coordorigin="2519,398" coordsize="0,392" path="m2519,398l2519,789e" filled="false" stroked="true" strokeweight="1.08pt" strokecolor="#d2d2d2">
                <v:path arrowok="t"/>
              </v:shape>
            </v:group>
            <v:group style="position:absolute;left:6589;top:398;width:2;height:392" coordorigin="6589,398" coordsize="2,392">
              <v:shape style="position:absolute;left:6589;top:398;width:2;height:392" coordorigin="6589,398" coordsize="0,392" path="m6589,398l6589,789e" filled="false" stroked="true" strokeweight="1.2pt" strokecolor="#d2d2d2">
                <v:path arrowok="t"/>
              </v:shape>
            </v:group>
            <v:group style="position:absolute;left:2530;top:398;width:4048;height:392" coordorigin="2530,398" coordsize="4048,392">
              <v:shape style="position:absolute;left:2530;top:398;width:4048;height:392" coordorigin="2530,398" coordsize="4048,392" path="m2530,789l6577,789,6577,398,2530,398,2530,789xe" filled="true" fillcolor="#d2d2d2" stroked="false">
                <v:path arrowok="t"/>
                <v:fill type="solid"/>
              </v:shape>
            </v:group>
            <v:group style="position:absolute;left:6622;top:398;width:2;height:392" coordorigin="6622,398" coordsize="2,392">
              <v:shape style="position:absolute;left:6622;top:398;width:2;height:392" coordorigin="6622,398" coordsize="0,392" path="m6622,398l6622,789e" filled="false" stroked="true" strokeweight="1.08pt" strokecolor="#d2d2d2">
                <v:path arrowok="t"/>
              </v:shape>
            </v:group>
            <v:group style="position:absolute;left:10690;top:398;width:2;height:392" coordorigin="10690,398" coordsize="2,392">
              <v:shape style="position:absolute;left:10690;top:398;width:2;height:392" coordorigin="10690,398" coordsize="0,392" path="m10690,398l10690,789e" filled="false" stroked="true" strokeweight="1.08pt" strokecolor="#d2d2d2">
                <v:path arrowok="t"/>
              </v:shape>
            </v:group>
            <v:group style="position:absolute;left:6633;top:398;width:4047;height:392" coordorigin="6633,398" coordsize="4047,392">
              <v:shape style="position:absolute;left:6633;top:398;width:4047;height:392" coordorigin="6633,398" coordsize="4047,392" path="m6633,789l10679,789,10679,398,6633,398,6633,789xe" filled="true" fillcolor="#d2d2d2" stroked="false">
                <v:path arrowok="t"/>
                <v:fill type="solid"/>
              </v:shape>
            </v:group>
            <v:group style="position:absolute;left:1138;top:393;width:1359;height:2" coordorigin="1138,393" coordsize="1359,2">
              <v:shape style="position:absolute;left:1138;top:393;width:1359;height:2" coordorigin="1138,393" coordsize="1359,0" path="m1138,393l2496,393e" filled="false" stroked="true" strokeweight=".47998pt" strokecolor="#000000">
                <v:path arrowok="t"/>
              </v:shape>
            </v:group>
            <v:group style="position:absolute;left:2506;top:393;width:4093;height:2" coordorigin="2506,393" coordsize="4093,2">
              <v:shape style="position:absolute;left:2506;top:393;width:4093;height:2" coordorigin="2506,393" coordsize="4093,0" path="m2506,393l6599,393e" filled="false" stroked="true" strokeweight=".47998pt" strokecolor="#000000">
                <v:path arrowok="t"/>
              </v:shape>
            </v:group>
            <v:group style="position:absolute;left:6609;top:393;width:4093;height:2" coordorigin="6609,393" coordsize="4093,2">
              <v:shape style="position:absolute;left:6609;top:393;width:4093;height:2" coordorigin="6609,393" coordsize="4093,0" path="m6609,393l10701,393e" filled="false" stroked="true" strokeweight=".47998pt" strokecolor="#000000">
                <v:path arrowok="t"/>
              </v:shape>
            </v:group>
            <v:group style="position:absolute;left:2519;top:799;width:2;height:394" coordorigin="2519,799" coordsize="2,394">
              <v:shape style="position:absolute;left:2519;top:799;width:2;height:394" coordorigin="2519,799" coordsize="0,394" path="m2519,799l2519,1193e" filled="false" stroked="true" strokeweight="1.08pt" strokecolor="#d2d2d2">
                <v:path arrowok="t"/>
              </v:shape>
            </v:group>
            <v:group style="position:absolute;left:3854;top:799;width:2;height:394" coordorigin="3854,799" coordsize="2,394">
              <v:shape style="position:absolute;left:3854;top:799;width:2;height:394" coordorigin="3854,799" coordsize="0,394" path="m3854,799l3854,1193e" filled="false" stroked="true" strokeweight="1.08pt" strokecolor="#d2d2d2">
                <v:path arrowok="t"/>
              </v:shape>
            </v:group>
            <v:group style="position:absolute;left:2530;top:799;width:1314;height:394" coordorigin="2530,799" coordsize="1314,394">
              <v:shape style="position:absolute;left:2530;top:799;width:1314;height:394" coordorigin="2530,799" coordsize="1314,394" path="m2530,1193l3843,1193,3843,799,2530,799,2530,1193xe" filled="true" fillcolor="#d2d2d2" stroked="false">
                <v:path arrowok="t"/>
                <v:fill type="solid"/>
              </v:shape>
            </v:group>
            <v:group style="position:absolute;left:3888;top:799;width:2;height:394" coordorigin="3888,799" coordsize="2,394">
              <v:shape style="position:absolute;left:3888;top:799;width:2;height:394" coordorigin="3888,799" coordsize="0,394" path="m3888,799l3888,1193e" filled="false" stroked="true" strokeweight="1.08pt" strokecolor="#d2d2d2">
                <v:path arrowok="t"/>
              </v:shape>
            </v:group>
            <v:group style="position:absolute;left:5221;top:799;width:2;height:394" coordorigin="5221,799" coordsize="2,394">
              <v:shape style="position:absolute;left:5221;top:799;width:2;height:394" coordorigin="5221,799" coordsize="0,394" path="m5221,799l5221,1193e" filled="false" stroked="true" strokeweight="1.2pt" strokecolor="#d2d2d2">
                <v:path arrowok="t"/>
              </v:shape>
            </v:group>
            <v:group style="position:absolute;left:3899;top:799;width:1311;height:394" coordorigin="3899,799" coordsize="1311,394">
              <v:shape style="position:absolute;left:3899;top:799;width:1311;height:394" coordorigin="3899,799" coordsize="1311,394" path="m3899,1193l5209,1193,5209,799,3899,799,3899,1193xe" filled="true" fillcolor="#d2d2d2" stroked="false">
                <v:path arrowok="t"/>
                <v:fill type="solid"/>
              </v:shape>
            </v:group>
            <v:group style="position:absolute;left:5255;top:799;width:2;height:394" coordorigin="5255,799" coordsize="2,394">
              <v:shape style="position:absolute;left:5255;top:799;width:2;height:394" coordorigin="5255,799" coordsize="0,394" path="m5255,799l5255,1193e" filled="false" stroked="true" strokeweight="1.2pt" strokecolor="#d2d2d2">
                <v:path arrowok="t"/>
              </v:shape>
            </v:group>
            <v:group style="position:absolute;left:6589;top:799;width:2;height:394" coordorigin="6589,799" coordsize="2,394">
              <v:shape style="position:absolute;left:6589;top:799;width:2;height:394" coordorigin="6589,799" coordsize="0,394" path="m6589,799l6589,1193e" filled="false" stroked="true" strokeweight="1.2pt" strokecolor="#d2d2d2">
                <v:path arrowok="t"/>
              </v:shape>
            </v:group>
            <v:group style="position:absolute;left:5267;top:799;width:1311;height:394" coordorigin="5267,799" coordsize="1311,394">
              <v:shape style="position:absolute;left:5267;top:799;width:1311;height:394" coordorigin="5267,799" coordsize="1311,394" path="m5267,1193l6577,1193,6577,799,5267,799,5267,1193xe" filled="true" fillcolor="#d2d2d2" stroked="false">
                <v:path arrowok="t"/>
                <v:fill type="solid"/>
              </v:shape>
            </v:group>
            <v:group style="position:absolute;left:6622;top:799;width:2;height:394" coordorigin="6622,799" coordsize="2,394">
              <v:shape style="position:absolute;left:6622;top:799;width:2;height:394" coordorigin="6622,799" coordsize="0,394" path="m6622,799l6622,1193e" filled="false" stroked="true" strokeweight="1.08pt" strokecolor="#d2d2d2">
                <v:path arrowok="t"/>
              </v:shape>
            </v:group>
            <v:group style="position:absolute;left:7956;top:799;width:2;height:394" coordorigin="7956,799" coordsize="2,394">
              <v:shape style="position:absolute;left:7956;top:799;width:2;height:394" coordorigin="7956,799" coordsize="0,394" path="m7956,799l7956,1193e" filled="false" stroked="true" strokeweight="1.08pt" strokecolor="#d2d2d2">
                <v:path arrowok="t"/>
              </v:shape>
            </v:group>
            <v:group style="position:absolute;left:6633;top:799;width:1313;height:394" coordorigin="6633,799" coordsize="1313,394">
              <v:shape style="position:absolute;left:6633;top:799;width:1313;height:394" coordorigin="6633,799" coordsize="1313,394" path="m6633,1193l7945,1193,7945,799,6633,799,6633,1193xe" filled="true" fillcolor="#d2d2d2" stroked="false">
                <v:path arrowok="t"/>
                <v:fill type="solid"/>
              </v:shape>
            </v:group>
            <v:group style="position:absolute;left:7989;top:799;width:2;height:394" coordorigin="7989,799" coordsize="2,394">
              <v:shape style="position:absolute;left:7989;top:799;width:2;height:394" coordorigin="7989,799" coordsize="0,394" path="m7989,799l7989,1193e" filled="false" stroked="true" strokeweight="1.2pt" strokecolor="#d2d2d2">
                <v:path arrowok="t"/>
              </v:shape>
            </v:group>
            <v:group style="position:absolute;left:9324;top:799;width:2;height:394" coordorigin="9324,799" coordsize="2,394">
              <v:shape style="position:absolute;left:9324;top:799;width:2;height:394" coordorigin="9324,799" coordsize="0,394" path="m9324,799l9324,1193e" filled="false" stroked="true" strokeweight="1.2pt" strokecolor="#d2d2d2">
                <v:path arrowok="t"/>
              </v:shape>
            </v:group>
            <v:group style="position:absolute;left:8001;top:799;width:1311;height:394" coordorigin="8001,799" coordsize="1311,394">
              <v:shape style="position:absolute;left:8001;top:799;width:1311;height:394" coordorigin="8001,799" coordsize="1311,394" path="m8001,1193l9311,1193,9311,799,8001,799,8001,1193xe" filled="true" fillcolor="#d2d2d2" stroked="false">
                <v:path arrowok="t"/>
                <v:fill type="solid"/>
              </v:shape>
            </v:group>
            <v:group style="position:absolute;left:9356;top:799;width:2;height:394" coordorigin="9356,799" coordsize="2,394">
              <v:shape style="position:absolute;left:9356;top:799;width:2;height:394" coordorigin="9356,799" coordsize="0,394" path="m9356,799l9356,1193e" filled="false" stroked="true" strokeweight="1.08pt" strokecolor="#d2d2d2">
                <v:path arrowok="t"/>
              </v:shape>
            </v:group>
            <v:group style="position:absolute;left:10690;top:799;width:2;height:394" coordorigin="10690,799" coordsize="2,394">
              <v:shape style="position:absolute;left:10690;top:799;width:2;height:394" coordorigin="10690,799" coordsize="0,394" path="m10690,799l10690,1193e" filled="false" stroked="true" strokeweight="1.08pt" strokecolor="#d2d2d2">
                <v:path arrowok="t"/>
              </v:shape>
            </v:group>
            <v:group style="position:absolute;left:9367;top:799;width:1313;height:394" coordorigin="9367,799" coordsize="1313,394">
              <v:shape style="position:absolute;left:9367;top:799;width:1313;height:394" coordorigin="9367,799" coordsize="1313,394" path="m9367,1193l10680,1193,10680,799,9367,799,9367,1193xe" filled="true" fillcolor="#d2d2d2" stroked="false">
                <v:path arrowok="t"/>
                <v:fill type="solid"/>
              </v:shape>
            </v:group>
            <v:group style="position:absolute;left:2506;top:794;width:1359;height:2" coordorigin="2506,794" coordsize="1359,2">
              <v:shape style="position:absolute;left:2506;top:794;width:1359;height:2" coordorigin="2506,794" coordsize="1359,0" path="m2506,794l3865,794e" filled="false" stroked="true" strokeweight=".47998pt" strokecolor="#000000">
                <v:path arrowok="t"/>
              </v:shape>
            </v:group>
            <v:group style="position:absolute;left:3875;top:794;width:1359;height:2" coordorigin="3875,794" coordsize="1359,2">
              <v:shape style="position:absolute;left:3875;top:794;width:1359;height:2" coordorigin="3875,794" coordsize="1359,0" path="m3875,794l5233,794e" filled="false" stroked="true" strokeweight=".47998pt" strokecolor="#000000">
                <v:path arrowok="t"/>
              </v:shape>
            </v:group>
            <v:group style="position:absolute;left:5243;top:794;width:1357;height:2" coordorigin="5243,794" coordsize="1357,2">
              <v:shape style="position:absolute;left:5243;top:794;width:1357;height:2" coordorigin="5243,794" coordsize="1357,0" path="m5243,794l6599,794e" filled="false" stroked="true" strokeweight=".47998pt" strokecolor="#000000">
                <v:path arrowok="t"/>
              </v:shape>
            </v:group>
            <v:group style="position:absolute;left:6609;top:794;width:1359;height:2" coordorigin="6609,794" coordsize="1359,2">
              <v:shape style="position:absolute;left:6609;top:794;width:1359;height:2" coordorigin="6609,794" coordsize="1359,0" path="m6609,794l7967,794e" filled="false" stroked="true" strokeweight=".47998pt" strokecolor="#000000">
                <v:path arrowok="t"/>
              </v:shape>
            </v:group>
            <v:group style="position:absolute;left:7977;top:794;width:1357;height:2" coordorigin="7977,794" coordsize="1357,2">
              <v:shape style="position:absolute;left:7977;top:794;width:1357;height:2" coordorigin="7977,794" coordsize="1357,0" path="m7977,794l9333,794e" filled="false" stroked="true" strokeweight=".47998pt" strokecolor="#000000">
                <v:path arrowok="t"/>
              </v:shape>
            </v:group>
            <v:group style="position:absolute;left:9343;top:794;width:1359;height:2" coordorigin="9343,794" coordsize="1359,2">
              <v:shape style="position:absolute;left:9343;top:794;width:1359;height:2" coordorigin="9343,794" coordsize="1359,0" path="m9343,794l10701,794e" filled="false" stroked="true" strokeweight=".47998pt" strokecolor="#000000">
                <v:path arrowok="t"/>
              </v:shape>
            </v:group>
            <v:group style="position:absolute;left:1138;top:1197;width:1359;height:2" coordorigin="1138,1197" coordsize="1359,2">
              <v:shape style="position:absolute;left:1138;top:1197;width:1359;height:2" coordorigin="1138,1197" coordsize="1359,0" path="m1138,1197l2496,1197e" filled="false" stroked="true" strokeweight=".48001pt" strokecolor="#000000">
                <v:path arrowok="t"/>
              </v:shape>
            </v:group>
            <v:group style="position:absolute;left:2506;top:1197;width:1359;height:2" coordorigin="2506,1197" coordsize="1359,2">
              <v:shape style="position:absolute;left:2506;top:1197;width:1359;height:2" coordorigin="2506,1197" coordsize="1359,0" path="m2506,1197l3865,1197e" filled="false" stroked="true" strokeweight=".48001pt" strokecolor="#000000">
                <v:path arrowok="t"/>
              </v:shape>
            </v:group>
            <v:group style="position:absolute;left:3875;top:1197;width:1359;height:2" coordorigin="3875,1197" coordsize="1359,2">
              <v:shape style="position:absolute;left:3875;top:1197;width:1359;height:2" coordorigin="3875,1197" coordsize="1359,0" path="m3875,1197l5233,1197e" filled="false" stroked="true" strokeweight=".48001pt" strokecolor="#000000">
                <v:path arrowok="t"/>
              </v:shape>
            </v:group>
            <v:group style="position:absolute;left:5243;top:1197;width:1357;height:2" coordorigin="5243,1197" coordsize="1357,2">
              <v:shape style="position:absolute;left:5243;top:1197;width:1357;height:2" coordorigin="5243,1197" coordsize="1357,0" path="m5243,1197l6599,1197e" filled="false" stroked="true" strokeweight=".48001pt" strokecolor="#000000">
                <v:path arrowok="t"/>
              </v:shape>
            </v:group>
            <v:group style="position:absolute;left:6609;top:1197;width:1359;height:2" coordorigin="6609,1197" coordsize="1359,2">
              <v:shape style="position:absolute;left:6609;top:1197;width:1359;height:2" coordorigin="6609,1197" coordsize="1359,0" path="m6609,1197l7967,1197e" filled="false" stroked="true" strokeweight=".48001pt" strokecolor="#000000">
                <v:path arrowok="t"/>
              </v:shape>
            </v:group>
            <v:group style="position:absolute;left:7977;top:1197;width:1357;height:2" coordorigin="7977,1197" coordsize="1357,2">
              <v:shape style="position:absolute;left:7977;top:1197;width:1357;height:2" coordorigin="7977,1197" coordsize="1357,0" path="m7977,1197l9333,1197e" filled="false" stroked="true" strokeweight=".48001pt" strokecolor="#000000">
                <v:path arrowok="t"/>
              </v:shape>
            </v:group>
            <v:group style="position:absolute;left:9343;top:1197;width:1359;height:2" coordorigin="9343,1197" coordsize="1359,2">
              <v:shape style="position:absolute;left:9343;top:1197;width:1359;height:2" coordorigin="9343,1197" coordsize="1359,0" path="m9343,1197l10701,1197e" filled="false" stroked="true" strokeweight=".48001pt" strokecolor="#000000">
                <v:path arrowok="t"/>
              </v:shape>
            </v:group>
            <v:group style="position:absolute;left:1151;top:8252;width:2;height:394" coordorigin="1151,8252" coordsize="2,394">
              <v:shape style="position:absolute;left:1151;top:8252;width:2;height:394" coordorigin="1151,8252" coordsize="0,394" path="m1151,8252l1151,8646e" filled="false" stroked="true" strokeweight="1.08pt" strokecolor="#d2d2d2">
                <v:path arrowok="t"/>
              </v:shape>
            </v:group>
            <v:group style="position:absolute;left:2486;top:8252;width:2;height:394" coordorigin="2486,8252" coordsize="2,394">
              <v:shape style="position:absolute;left:2486;top:8252;width:2;height:394" coordorigin="2486,8252" coordsize="0,394" path="m2486,8252l2486,8646e" filled="false" stroked="true" strokeweight="1.08pt" strokecolor="#d2d2d2">
                <v:path arrowok="t"/>
              </v:shape>
            </v:group>
            <v:group style="position:absolute;left:1162;top:8252;width:1314;height:394" coordorigin="1162,8252" coordsize="1314,394">
              <v:shape style="position:absolute;left:1162;top:8252;width:1314;height:394" coordorigin="1162,8252" coordsize="1314,394" path="m1162,8646l2475,8646,2475,8252,1162,8252,1162,8646xe" filled="true" fillcolor="#d2d2d2" stroked="false">
                <v:path arrowok="t"/>
                <v:fill type="solid"/>
              </v:shape>
            </v:group>
            <v:group style="position:absolute;left:1138;top:8247;width:1359;height:2" coordorigin="1138,8247" coordsize="1359,2">
              <v:shape style="position:absolute;left:1138;top:8247;width:1359;height:2" coordorigin="1138,8247" coordsize="1359,0" path="m1138,8247l2496,8247e" filled="false" stroked="true" strokeweight=".47998pt" strokecolor="#000000">
                <v:path arrowok="t"/>
              </v:shape>
            </v:group>
            <v:group style="position:absolute;left:2506;top:8247;width:1359;height:2" coordorigin="2506,8247" coordsize="1359,2">
              <v:shape style="position:absolute;left:2506;top:8247;width:1359;height:2" coordorigin="2506,8247" coordsize="1359,0" path="m2506,8247l3865,8247e" filled="false" stroked="true" strokeweight=".47998pt" strokecolor="#000000">
                <v:path arrowok="t"/>
              </v:shape>
            </v:group>
            <v:group style="position:absolute;left:3875;top:8247;width:1359;height:2" coordorigin="3875,8247" coordsize="1359,2">
              <v:shape style="position:absolute;left:3875;top:8247;width:1359;height:2" coordorigin="3875,8247" coordsize="1359,0" path="m3875,8247l5233,8247e" filled="false" stroked="true" strokeweight=".47998pt" strokecolor="#000000">
                <v:path arrowok="t"/>
              </v:shape>
            </v:group>
            <v:group style="position:absolute;left:5243;top:8247;width:1357;height:2" coordorigin="5243,8247" coordsize="1357,2">
              <v:shape style="position:absolute;left:5243;top:8247;width:1357;height:2" coordorigin="5243,8247" coordsize="1357,0" path="m5243,8247l6599,8247e" filled="false" stroked="true" strokeweight=".47998pt" strokecolor="#000000">
                <v:path arrowok="t"/>
              </v:shape>
            </v:group>
            <v:group style="position:absolute;left:6609;top:8247;width:1359;height:2" coordorigin="6609,8247" coordsize="1359,2">
              <v:shape style="position:absolute;left:6609;top:8247;width:1359;height:2" coordorigin="6609,8247" coordsize="1359,0" path="m6609,8247l7967,8247e" filled="false" stroked="true" strokeweight=".47998pt" strokecolor="#000000">
                <v:path arrowok="t"/>
              </v:shape>
            </v:group>
            <v:group style="position:absolute;left:7977;top:8247;width:1357;height:2" coordorigin="7977,8247" coordsize="1357,2">
              <v:shape style="position:absolute;left:7977;top:8247;width:1357;height:2" coordorigin="7977,8247" coordsize="1357,0" path="m7977,8247l9333,8247e" filled="false" stroked="true" strokeweight=".47998pt" strokecolor="#000000">
                <v:path arrowok="t"/>
              </v:shape>
            </v:group>
            <v:group style="position:absolute;left:9343;top:8247;width:1359;height:2" coordorigin="9343,8247" coordsize="1359,2">
              <v:shape style="position:absolute;left:9343;top:8247;width:1359;height:2" coordorigin="9343,8247" coordsize="1359,0" path="m9343,8247l10701,8247e" filled="false" stroked="true" strokeweight=".47998pt" strokecolor="#000000">
                <v:path arrowok="t"/>
              </v:shape>
            </v:group>
            <v:group style="position:absolute;left:1133;top:389;width:2;height:8267" coordorigin="1133,389" coordsize="2,8267">
              <v:shape style="position:absolute;left:1133;top:389;width:2;height:8267" coordorigin="1133,389" coordsize="0,8267" path="m1133,389l1133,8655e" filled="false" stroked="true" strokeweight=".48pt" strokecolor="#000000">
                <v:path arrowok="t"/>
              </v:shape>
            </v:group>
            <v:group style="position:absolute;left:1138;top:8650;width:1359;height:2" coordorigin="1138,8650" coordsize="1359,2">
              <v:shape style="position:absolute;left:1138;top:8650;width:1359;height:2" coordorigin="1138,8650" coordsize="1359,0" path="m1138,8650l2496,8650e" filled="false" stroked="true" strokeweight=".47998pt" strokecolor="#000000">
                <v:path arrowok="t"/>
              </v:shape>
            </v:group>
            <v:group style="position:absolute;left:2519;top:1915;width:2;height:394" coordorigin="2519,1915" coordsize="2,394">
              <v:shape style="position:absolute;left:2519;top:1915;width:2;height:394" coordorigin="2519,1915" coordsize="0,394" path="m2519,1915l2519,2309e" filled="false" stroked="true" strokeweight="1.08pt" strokecolor="#ffffff">
                <v:path arrowok="t"/>
              </v:shape>
            </v:group>
            <v:group style="position:absolute;left:2530;top:1915;width:1314;height:394" coordorigin="2530,1915" coordsize="1314,394">
              <v:shape style="position:absolute;left:2530;top:1915;width:1314;height:394" coordorigin="2530,1915" coordsize="1314,394" path="m2530,2309l3843,2309,3843,1915,2530,1915,2530,2309xe" filled="true" fillcolor="#ffffff" stroked="false">
                <v:path arrowok="t"/>
                <v:fill type="solid"/>
              </v:shape>
            </v:group>
            <v:group style="position:absolute;left:2519;top:2943;width:2;height:392" coordorigin="2519,2943" coordsize="2,392">
              <v:shape style="position:absolute;left:2519;top:2943;width:2;height:392" coordorigin="2519,2943" coordsize="0,392" path="m2519,2943l2519,3334e" filled="false" stroked="true" strokeweight="1.08pt" strokecolor="#ffffff">
                <v:path arrowok="t"/>
              </v:shape>
            </v:group>
            <v:group style="position:absolute;left:2530;top:2943;width:1314;height:392" coordorigin="2530,2943" coordsize="1314,392">
              <v:shape style="position:absolute;left:2530;top:2943;width:1314;height:392" coordorigin="2530,2943" coordsize="1314,392" path="m2530,3334l3843,3334,3843,2943,2530,2943,2530,3334xe" filled="true" fillcolor="#ffffff" stroked="false">
                <v:path arrowok="t"/>
                <v:fill type="solid"/>
              </v:shape>
            </v:group>
            <v:group style="position:absolute;left:2519;top:3967;width:2;height:394" coordorigin="2519,3967" coordsize="2,394">
              <v:shape style="position:absolute;left:2519;top:3967;width:2;height:394" coordorigin="2519,3967" coordsize="0,394" path="m2519,3967l2519,4361e" filled="false" stroked="true" strokeweight="1.08pt" strokecolor="#ffffff">
                <v:path arrowok="t"/>
              </v:shape>
            </v:group>
            <v:group style="position:absolute;left:2530;top:3967;width:1314;height:394" coordorigin="2530,3967" coordsize="1314,394">
              <v:shape style="position:absolute;left:2530;top:3967;width:1314;height:394" coordorigin="2530,3967" coordsize="1314,394" path="m2530,4361l3843,4361,3843,3967,2530,3967,2530,4361xe" filled="true" fillcolor="#ffffff" stroked="false">
                <v:path arrowok="t"/>
                <v:fill type="solid"/>
              </v:shape>
            </v:group>
            <v:group style="position:absolute;left:2519;top:6267;width:2;height:392" coordorigin="2519,6267" coordsize="2,392">
              <v:shape style="position:absolute;left:2519;top:6267;width:2;height:392" coordorigin="2519,6267" coordsize="0,392" path="m2519,6267l2519,6658e" filled="false" stroked="true" strokeweight="1.08pt" strokecolor="#ffffff">
                <v:path arrowok="t"/>
              </v:shape>
            </v:group>
            <v:group style="position:absolute;left:2508;top:6658;width:1357;height:156" coordorigin="2508,6658" coordsize="1357,156">
              <v:shape style="position:absolute;left:2508;top:6658;width:1357;height:156" coordorigin="2508,6658" coordsize="1357,156" path="m2508,6814l3865,6814,3865,6658,2508,6658,2508,6814xe" filled="true" fillcolor="#ffffff" stroked="false">
                <v:path arrowok="t"/>
                <v:fill type="solid"/>
              </v:shape>
            </v:group>
            <v:group style="position:absolute;left:2530;top:6267;width:1314;height:392" coordorigin="2530,6267" coordsize="1314,392">
              <v:shape style="position:absolute;left:2530;top:6267;width:1314;height:392" coordorigin="2530,6267" coordsize="1314,392" path="m2530,6658l3843,6658,3843,6267,2530,6267,2530,6658xe" filled="true" fillcolor="#ffffff" stroked="false">
                <v:path arrowok="t"/>
                <v:fill type="solid"/>
              </v:shape>
            </v:group>
            <v:group style="position:absolute;left:2501;top:389;width:2;height:8267" coordorigin="2501,389" coordsize="2,8267">
              <v:shape style="position:absolute;left:2501;top:389;width:2;height:8267" coordorigin="2501,389" coordsize="0,8267" path="m2501,389l2501,8655e" filled="false" stroked="true" strokeweight=".48pt" strokecolor="#000000">
                <v:path arrowok="t"/>
              </v:shape>
            </v:group>
            <v:group style="position:absolute;left:2506;top:8650;width:1359;height:2" coordorigin="2506,8650" coordsize="1359,2">
              <v:shape style="position:absolute;left:2506;top:8650;width:1359;height:2" coordorigin="2506,8650" coordsize="1359,0" path="m2506,8650l3865,8650e" filled="false" stroked="true" strokeweight=".47998pt" strokecolor="#000000">
                <v:path arrowok="t"/>
              </v:shape>
            </v:group>
            <v:group style="position:absolute;left:3875;top:8650;width:1359;height:2" coordorigin="3875,8650" coordsize="1359,2">
              <v:shape style="position:absolute;left:3875;top:8650;width:1359;height:2" coordorigin="3875,8650" coordsize="1359,0" path="m3875,8650l5233,8650e" filled="false" stroked="true" strokeweight=".47998pt" strokecolor="#000000">
                <v:path arrowok="t"/>
              </v:shape>
            </v:group>
            <v:group style="position:absolute;left:5243;top:8650;width:1357;height:2" coordorigin="5243,8650" coordsize="1357,2">
              <v:shape style="position:absolute;left:5243;top:8650;width:1357;height:2" coordorigin="5243,8650" coordsize="1357,0" path="m5243,8650l6599,8650e" filled="false" stroked="true" strokeweight=".47998pt" strokecolor="#000000">
                <v:path arrowok="t"/>
              </v:shape>
            </v:group>
            <v:group style="position:absolute;left:6609;top:8650;width:1359;height:2" coordorigin="6609,8650" coordsize="1359,2">
              <v:shape style="position:absolute;left:6609;top:8650;width:1359;height:2" coordorigin="6609,8650" coordsize="1359,0" path="m6609,8650l7967,8650e" filled="false" stroked="true" strokeweight=".47998pt" strokecolor="#000000">
                <v:path arrowok="t"/>
              </v:shape>
            </v:group>
            <v:group style="position:absolute;left:7977;top:8650;width:1357;height:2" coordorigin="7977,8650" coordsize="1357,2">
              <v:shape style="position:absolute;left:7977;top:8650;width:1357;height:2" coordorigin="7977,8650" coordsize="1357,0" path="m7977,8650l9333,8650e" filled="false" stroked="true" strokeweight=".47998pt" strokecolor="#000000">
                <v:path arrowok="t"/>
              </v:shape>
            </v:group>
            <v:group style="position:absolute;left:9343;top:8650;width:1359;height:2" coordorigin="9343,8650" coordsize="1359,2">
              <v:shape style="position:absolute;left:9343;top:8650;width:1359;height:2" coordorigin="9343,8650" coordsize="1359,0" path="m9343,8650l10701,8650e" filled="false" stroked="true" strokeweight=".47998pt" strokecolor="#000000">
                <v:path arrowok="t"/>
              </v:shape>
            </v:group>
            <v:group style="position:absolute;left:10706;top:389;width:2;height:8267" coordorigin="10706,389" coordsize="2,8267">
              <v:shape style="position:absolute;left:10706;top:389;width:2;height:8267" coordorigin="10706,389" coordsize="0,8267" path="m10706,389l10706,8655e" filled="false" stroked="true" strokeweight=".47998pt" strokecolor="#000000">
                <v:path arrowok="t"/>
              </v:shape>
            </v:group>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8"/>
          <w:szCs w:val="8"/>
        </w:rPr>
      </w:pPr>
    </w:p>
    <w:tbl>
      <w:tblPr>
        <w:tblW w:w="0" w:type="auto"/>
        <w:jc w:val="left"/>
        <w:tblInd w:w="152"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1205" w:hRule="exact"/>
        </w:trPr>
        <w:tc>
          <w:tcPr>
            <w:tcW w:w="1368"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项目</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8" w:right="0"/>
              <w:jc w:val="left"/>
              <w:rPr>
                <w:rFonts w:ascii="宋体" w:hAnsi="宋体" w:cs="宋体" w:eastAsia="宋体" w:hint="default"/>
                <w:sz w:val="18"/>
                <w:szCs w:val="18"/>
              </w:rPr>
            </w:pPr>
            <w:r>
              <w:rPr>
                <w:rFonts w:ascii="宋体" w:hAnsi="宋体" w:cs="宋体" w:eastAsia="宋体" w:hint="default"/>
                <w:sz w:val="18"/>
                <w:szCs w:val="18"/>
              </w:rPr>
              <w:t>柳河厂区建设</w:t>
            </w:r>
          </w:p>
        </w:tc>
        <w:tc>
          <w:tcPr>
            <w:tcW w:w="1369" w:type="dxa"/>
            <w:tcBorders>
              <w:top w:val="nil" w:sz="6" w:space="0" w:color="auto"/>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93" w:right="0"/>
              <w:jc w:val="center"/>
              <w:rPr>
                <w:rFonts w:ascii="Times New Roman" w:hAnsi="Times New Roman" w:cs="Times New Roman" w:eastAsia="Times New Roman" w:hint="default"/>
                <w:sz w:val="18"/>
                <w:szCs w:val="18"/>
              </w:rPr>
            </w:pPr>
            <w:r>
              <w:rPr>
                <w:rFonts w:ascii="Times New Roman"/>
                <w:sz w:val="18"/>
              </w:rPr>
              <w:t>134,360,684.91</w:t>
            </w: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408" w:lineRule="auto" w:before="53"/>
              <w:ind w:left="319" w:right="317"/>
              <w:jc w:val="left"/>
              <w:rPr>
                <w:rFonts w:ascii="宋体" w:hAnsi="宋体" w:cs="宋体" w:eastAsia="宋体" w:hint="default"/>
                <w:sz w:val="18"/>
                <w:szCs w:val="18"/>
              </w:rPr>
            </w:pPr>
            <w:r>
              <w:rPr>
                <w:rFonts w:ascii="宋体" w:hAnsi="宋体" w:cs="宋体" w:eastAsia="宋体" w:hint="default"/>
                <w:sz w:val="18"/>
                <w:szCs w:val="18"/>
              </w:rPr>
              <w:t>期末余额 减值准备</w:t>
            </w: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账面价值</w:t>
            </w: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134,360,684.91</w:t>
            </w: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508,384,918.83</w:t>
            </w: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408" w:lineRule="auto" w:before="53"/>
              <w:ind w:left="319" w:right="315" w:hanging="3"/>
              <w:jc w:val="left"/>
              <w:rPr>
                <w:rFonts w:ascii="宋体" w:hAnsi="宋体" w:cs="宋体" w:eastAsia="宋体" w:hint="default"/>
                <w:sz w:val="18"/>
                <w:szCs w:val="18"/>
              </w:rPr>
            </w:pPr>
            <w:r>
              <w:rPr>
                <w:rFonts w:ascii="宋体" w:hAnsi="宋体" w:cs="宋体" w:eastAsia="宋体" w:hint="default"/>
                <w:sz w:val="18"/>
                <w:szCs w:val="18"/>
              </w:rPr>
              <w:t>期初余额 减值准备</w:t>
            </w:r>
          </w:p>
        </w:tc>
        <w:tc>
          <w:tcPr>
            <w:tcW w:w="1368" w:type="dxa"/>
            <w:tcBorders>
              <w:top w:val="nil" w:sz="6" w:space="0" w:color="auto"/>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账面价值</w:t>
            </w: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79" w:right="0"/>
              <w:jc w:val="center"/>
              <w:rPr>
                <w:rFonts w:ascii="Times New Roman" w:hAnsi="Times New Roman" w:cs="Times New Roman" w:eastAsia="Times New Roman" w:hint="default"/>
                <w:sz w:val="18"/>
                <w:szCs w:val="18"/>
              </w:rPr>
            </w:pPr>
            <w:r>
              <w:rPr>
                <w:rFonts w:ascii="Times New Roman"/>
                <w:sz w:val="18"/>
              </w:rPr>
              <w:t>508,384,918.83</w:t>
            </w:r>
          </w:p>
        </w:tc>
      </w:tr>
      <w:tr>
        <w:trPr>
          <w:trHeight w:val="1027" w:hRule="exact"/>
        </w:trPr>
        <w:tc>
          <w:tcPr>
            <w:tcW w:w="2737" w:type="dxa"/>
            <w:gridSpan w:val="2"/>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28" w:right="1299"/>
              <w:jc w:val="left"/>
              <w:rPr>
                <w:rFonts w:ascii="宋体" w:hAnsi="宋体" w:cs="宋体" w:eastAsia="宋体" w:hint="default"/>
                <w:sz w:val="18"/>
                <w:szCs w:val="18"/>
              </w:rPr>
            </w:pPr>
            <w:r>
              <w:rPr>
                <w:rFonts w:ascii="宋体" w:hAnsi="宋体" w:cs="宋体" w:eastAsia="宋体" w:hint="default"/>
                <w:sz w:val="18"/>
                <w:szCs w:val="18"/>
              </w:rPr>
              <w:t>人参产品系列化 </w:t>
            </w:r>
            <w:r>
              <w:rPr>
                <w:rFonts w:ascii="宋体" w:hAnsi="宋体" w:cs="宋体" w:eastAsia="宋体" w:hint="default"/>
                <w:spacing w:val="-5"/>
                <w:sz w:val="18"/>
                <w:szCs w:val="18"/>
              </w:rPr>
              <w:t>项目（通化厂区）</w:t>
            </w:r>
          </w:p>
          <w:p>
            <w:pPr>
              <w:pStyle w:val="TableParagraph"/>
              <w:spacing w:line="240" w:lineRule="auto" w:before="1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改扩建工程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978,458.62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978,458.62</w:t>
            </w:r>
          </w:p>
        </w:tc>
      </w:tr>
      <w:tr>
        <w:trPr>
          <w:trHeight w:val="1025" w:hRule="exact"/>
        </w:trPr>
        <w:tc>
          <w:tcPr>
            <w:tcW w:w="273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人参产品系列化</w:t>
            </w:r>
          </w:p>
          <w:p>
            <w:pPr>
              <w:pStyle w:val="TableParagraph"/>
              <w:tabs>
                <w:tab w:pos="1675" w:val="left" w:leader="none"/>
              </w:tabs>
              <w:spacing w:line="240" w:lineRule="auto" w:before="77"/>
              <w:ind w:left="28"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项目（磐石厂区）</w:t>
              <w:tab/>
            </w:r>
            <w:r>
              <w:rPr>
                <w:rFonts w:ascii="Times New Roman" w:hAnsi="Times New Roman" w:cs="Times New Roman" w:eastAsia="Times New Roman" w:hint="default"/>
                <w:sz w:val="18"/>
                <w:szCs w:val="18"/>
              </w:rPr>
              <w:t>62,614,308.52</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改扩建工程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62,614,308.52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59,364,360.54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59,364,360.54</w:t>
            </w:r>
          </w:p>
        </w:tc>
      </w:tr>
      <w:tr>
        <w:trPr>
          <w:trHeight w:val="1027" w:hRule="exact"/>
        </w:trPr>
        <w:tc>
          <w:tcPr>
            <w:tcW w:w="273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人参产品系列化</w:t>
            </w:r>
          </w:p>
          <w:p>
            <w:pPr>
              <w:pStyle w:val="TableParagraph"/>
              <w:tabs>
                <w:tab w:pos="1764" w:val="left" w:leader="none"/>
              </w:tabs>
              <w:spacing w:line="240" w:lineRule="auto" w:before="76"/>
              <w:ind w:left="28"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项目（延吉厂区）</w:t>
              <w:tab/>
            </w:r>
            <w:r>
              <w:rPr>
                <w:rFonts w:ascii="Times New Roman" w:hAnsi="Times New Roman" w:cs="Times New Roman" w:eastAsia="Times New Roman" w:hint="default"/>
                <w:sz w:val="18"/>
                <w:szCs w:val="18"/>
              </w:rPr>
              <w:t>4,747,527.85</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改扩建工程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4,747,527.85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8,447,445.43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8,447,445.43</w:t>
            </w:r>
          </w:p>
        </w:tc>
      </w:tr>
      <w:tr>
        <w:trPr>
          <w:trHeight w:val="1025" w:hRule="exact"/>
        </w:trPr>
        <w:tc>
          <w:tcPr>
            <w:tcW w:w="1368" w:type="dxa"/>
            <w:tcBorders>
              <w:top w:val="single" w:sz="4" w:space="0" w:color="000000"/>
              <w:left w:val="nil" w:sz="6" w:space="0" w:color="auto"/>
              <w:bottom w:val="single" w:sz="4" w:space="0" w:color="000000"/>
              <w:right w:val="nil" w:sz="6" w:space="0" w:color="auto"/>
            </w:tcBorders>
          </w:tcPr>
          <w:p>
            <w:pPr>
              <w:pStyle w:val="TableParagraph"/>
              <w:spacing w:line="316" w:lineRule="auto" w:before="49"/>
              <w:ind w:left="28" w:right="77"/>
              <w:jc w:val="both"/>
              <w:rPr>
                <w:rFonts w:ascii="宋体" w:hAnsi="宋体" w:cs="宋体" w:eastAsia="宋体" w:hint="default"/>
                <w:sz w:val="18"/>
                <w:szCs w:val="18"/>
              </w:rPr>
            </w:pPr>
            <w:r>
              <w:rPr>
                <w:rFonts w:ascii="宋体" w:hAnsi="宋体" w:cs="宋体" w:eastAsia="宋体" w:hint="default"/>
                <w:sz w:val="18"/>
                <w:szCs w:val="18"/>
              </w:rPr>
              <w:t>高新医药产业园 建设项目（通化 厂区）</w:t>
            </w:r>
          </w:p>
        </w:tc>
        <w:tc>
          <w:tcPr>
            <w:tcW w:w="136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57,440,197.06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57,440,197.06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30,436,265.58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30,436,265.58</w:t>
            </w:r>
          </w:p>
        </w:tc>
      </w:tr>
      <w:tr>
        <w:trPr>
          <w:trHeight w:val="403" w:hRule="exact"/>
        </w:trPr>
        <w:tc>
          <w:tcPr>
            <w:tcW w:w="1368"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中科新厂区建设</w:t>
            </w:r>
          </w:p>
        </w:tc>
        <w:tc>
          <w:tcPr>
            <w:tcW w:w="1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12,840,600.00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12,840,600.00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12,840,600.00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12,840,600.00</w:t>
            </w:r>
          </w:p>
        </w:tc>
      </w:tr>
      <w:tr>
        <w:trPr>
          <w:trHeight w:val="713" w:hRule="exact"/>
        </w:trPr>
        <w:tc>
          <w:tcPr>
            <w:tcW w:w="2737" w:type="dxa"/>
            <w:gridSpan w:val="2"/>
            <w:tcBorders>
              <w:top w:val="single" w:sz="4" w:space="0" w:color="000000"/>
              <w:left w:val="nil" w:sz="6" w:space="0" w:color="auto"/>
              <w:bottom w:val="single" w:sz="4" w:space="0" w:color="000000"/>
              <w:right w:val="single" w:sz="4" w:space="0" w:color="000000"/>
            </w:tcBorders>
          </w:tcPr>
          <w:p>
            <w:pPr>
              <w:pStyle w:val="TableParagraph"/>
              <w:spacing w:line="217" w:lineRule="exact" w:before="49"/>
              <w:ind w:left="28" w:right="0"/>
              <w:jc w:val="left"/>
              <w:rPr>
                <w:rFonts w:ascii="宋体" w:hAnsi="宋体" w:cs="宋体" w:eastAsia="宋体" w:hint="default"/>
                <w:sz w:val="18"/>
                <w:szCs w:val="18"/>
              </w:rPr>
            </w:pPr>
            <w:r>
              <w:rPr>
                <w:rFonts w:ascii="宋体" w:hAnsi="宋体" w:cs="宋体" w:eastAsia="宋体" w:hint="default"/>
                <w:sz w:val="18"/>
                <w:szCs w:val="18"/>
              </w:rPr>
              <w:t>参工堂新厂区建</w:t>
            </w:r>
          </w:p>
          <w:p>
            <w:pPr>
              <w:pStyle w:val="TableParagraph"/>
              <w:spacing w:line="142" w:lineRule="exact"/>
              <w:ind w:left="1675" w:right="0"/>
              <w:jc w:val="left"/>
              <w:rPr>
                <w:rFonts w:ascii="Times New Roman" w:hAnsi="Times New Roman" w:cs="Times New Roman" w:eastAsia="Times New Roman" w:hint="default"/>
                <w:sz w:val="18"/>
                <w:szCs w:val="18"/>
              </w:rPr>
            </w:pPr>
            <w:r>
              <w:rPr>
                <w:rFonts w:ascii="Times New Roman"/>
                <w:sz w:val="18"/>
              </w:rPr>
              <w:t>20,270,939.10</w:t>
            </w:r>
          </w:p>
          <w:p>
            <w:pPr>
              <w:pStyle w:val="TableParagraph"/>
              <w:spacing w:line="189" w:lineRule="exact"/>
              <w:ind w:left="28" w:right="0"/>
              <w:jc w:val="left"/>
              <w:rPr>
                <w:rFonts w:ascii="宋体" w:hAnsi="宋体" w:cs="宋体" w:eastAsia="宋体" w:hint="default"/>
                <w:sz w:val="18"/>
                <w:szCs w:val="18"/>
              </w:rPr>
            </w:pPr>
            <w:r>
              <w:rPr>
                <w:rFonts w:ascii="宋体" w:hAnsi="宋体" w:cs="宋体" w:eastAsia="宋体" w:hint="default"/>
                <w:spacing w:val="-5"/>
                <w:sz w:val="18"/>
                <w:szCs w:val="18"/>
              </w:rPr>
              <w:t>设项目（梅河口）</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20,270,939.10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1,259,937.99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1,259,937.99</w:t>
            </w:r>
          </w:p>
        </w:tc>
      </w:tr>
      <w:tr>
        <w:trPr>
          <w:trHeight w:val="715" w:hRule="exact"/>
        </w:trPr>
        <w:tc>
          <w:tcPr>
            <w:tcW w:w="1368" w:type="dxa"/>
            <w:tcBorders>
              <w:top w:val="single" w:sz="4" w:space="0" w:color="000000"/>
              <w:left w:val="nil" w:sz="6" w:space="0" w:color="auto"/>
              <w:bottom w:val="single" w:sz="4" w:space="0" w:color="000000"/>
              <w:right w:val="nil" w:sz="6" w:space="0" w:color="auto"/>
            </w:tcBorders>
          </w:tcPr>
          <w:p>
            <w:pPr>
              <w:pStyle w:val="TableParagraph"/>
              <w:spacing w:line="316" w:lineRule="auto" w:before="49"/>
              <w:ind w:left="28" w:right="77"/>
              <w:jc w:val="left"/>
              <w:rPr>
                <w:rFonts w:ascii="宋体" w:hAnsi="宋体" w:cs="宋体" w:eastAsia="宋体" w:hint="default"/>
                <w:sz w:val="18"/>
                <w:szCs w:val="18"/>
              </w:rPr>
            </w:pPr>
            <w:r>
              <w:rPr>
                <w:rFonts w:ascii="宋体" w:hAnsi="宋体" w:cs="宋体" w:eastAsia="宋体" w:hint="default"/>
                <w:sz w:val="18"/>
                <w:szCs w:val="18"/>
              </w:rPr>
              <w:t>草还丹厂区改扩 建项目</w:t>
            </w:r>
          </w:p>
        </w:tc>
        <w:tc>
          <w:tcPr>
            <w:tcW w:w="1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495,280.22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495,280.22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13,408,898.54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13,408,898.54</w:t>
            </w:r>
          </w:p>
        </w:tc>
      </w:tr>
      <w:tr>
        <w:trPr>
          <w:trHeight w:val="713" w:hRule="exact"/>
        </w:trPr>
        <w:tc>
          <w:tcPr>
            <w:tcW w:w="1368"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紫鑫高科技食品</w:t>
            </w:r>
          </w:p>
          <w:p>
            <w:pPr>
              <w:pStyle w:val="TableParagraph"/>
              <w:spacing w:line="240" w:lineRule="auto" w:before="76"/>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改扩建工程</w:t>
            </w:r>
          </w:p>
        </w:tc>
        <w:tc>
          <w:tcPr>
            <w:tcW w:w="1369" w:type="dxa"/>
            <w:tcBorders>
              <w:top w:val="single" w:sz="4" w:space="0" w:color="000000"/>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42,190,264.82</w:t>
            </w: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42,190,264.82</w:t>
            </w: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14,104,623.65</w:t>
            </w: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14,104,623.65</w:t>
            </w:r>
          </w:p>
        </w:tc>
      </w:tr>
      <w:tr>
        <w:trPr>
          <w:trHeight w:val="403" w:hRule="exact"/>
        </w:trPr>
        <w:tc>
          <w:tcPr>
            <w:tcW w:w="136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nil" w:sz="6" w:space="0" w:color="auto"/>
              <w:left w:val="nil" w:sz="6" w:space="0" w:color="auto"/>
              <w:bottom w:val="nil" w:sz="6" w:space="0" w:color="auto"/>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334,959,802.48</w:t>
            </w: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334,959,802.48</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649,225,509.18</w:t>
            </w: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nil" w:sz="6" w:space="0" w:color="auto"/>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649,225,509.18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bookmarkStart w:name="（2）重要在建工程项目本期变动情况" w:id="273"/>
      <w:bookmarkEnd w:id="273"/>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9"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柳河新 厂区建 设</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570,210,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508,384,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918.83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85,650,3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86.77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459,674,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620.69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134,360,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684.91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227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人参产 品系列 化项目</w:t>
            </w:r>
          </w:p>
          <w:p>
            <w:pPr>
              <w:pStyle w:val="TableParagraph"/>
              <w:spacing w:line="312" w:lineRule="auto" w:before="17"/>
              <w:ind w:left="24" w:right="96"/>
              <w:jc w:val="left"/>
              <w:rPr>
                <w:rFonts w:ascii="宋体" w:hAnsi="宋体" w:cs="宋体" w:eastAsia="宋体" w:hint="default"/>
                <w:sz w:val="18"/>
                <w:szCs w:val="18"/>
              </w:rPr>
            </w:pPr>
            <w:r>
              <w:rPr>
                <w:rFonts w:ascii="宋体" w:hAnsi="宋体" w:cs="宋体" w:eastAsia="宋体" w:hint="default"/>
                <w:sz w:val="18"/>
                <w:szCs w:val="18"/>
              </w:rPr>
              <w:t>（磐石 厂区）</w:t>
            </w:r>
            <w:r>
              <w:rPr>
                <w:rFonts w:ascii="Times New Roman" w:hAnsi="Times New Roman" w:cs="Times New Roman" w:eastAsia="Times New Roman" w:hint="default"/>
                <w:sz w:val="18"/>
                <w:szCs w:val="18"/>
              </w:rPr>
              <w:t>- </w:t>
            </w:r>
            <w:r>
              <w:rPr>
                <w:rFonts w:ascii="宋体" w:hAnsi="宋体" w:cs="宋体" w:eastAsia="宋体" w:hint="default"/>
                <w:sz w:val="18"/>
                <w:szCs w:val="18"/>
              </w:rPr>
              <w:t>改扩建 工程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486,240,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907.54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59,364,3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60.54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3,249,94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7.98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62,614,3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08.52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64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高新医 药产业 园建设 </w:t>
            </w:r>
            <w:r>
              <w:rPr>
                <w:rFonts w:ascii="宋体" w:hAnsi="宋体" w:cs="宋体" w:eastAsia="宋体" w:hint="default"/>
                <w:spacing w:val="-11"/>
                <w:sz w:val="18"/>
                <w:szCs w:val="18"/>
              </w:rPr>
              <w:t>项目（通</w:t>
            </w:r>
            <w:r>
              <w:rPr>
                <w:rFonts w:ascii="宋体" w:hAnsi="宋体" w:cs="宋体" w:eastAsia="宋体" w:hint="default"/>
                <w:sz w:val="18"/>
                <w:szCs w:val="18"/>
              </w:rPr>
              <w:t> 化厂区）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30,436,2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65.58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27,003,9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31.48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57,440,1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97.06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参工堂 新厂区 建设</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463,000,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1,259,93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19,011,0</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01.11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20,270,9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39.10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133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草还丹 厂区改 扩建工 程项目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14,235,2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96.00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13,408,8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98.54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5,106,41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3,280,97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9.62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14,739,0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57.48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495,280.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3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紫鑫高 科技食 品</w:t>
            </w:r>
            <w:r>
              <w:rPr>
                <w:rFonts w:ascii="Times New Roman" w:hAnsi="Times New Roman" w:cs="Times New Roman" w:eastAsia="Times New Roman" w:hint="default"/>
                <w:sz w:val="18"/>
                <w:szCs w:val="18"/>
              </w:rPr>
              <w:t>-</w:t>
            </w:r>
            <w:r>
              <w:rPr>
                <w:rFonts w:ascii="宋体" w:hAnsi="宋体" w:cs="宋体" w:eastAsia="宋体" w:hint="default"/>
                <w:sz w:val="18"/>
                <w:szCs w:val="18"/>
              </w:rPr>
              <w:t>改扩 建工程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27,493,5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76.00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14,104,6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23.65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28,085,6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41.17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42,190,2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64.82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1,861,17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9,779.54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626,959,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005.13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168,107,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327.29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462,955,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600.31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14,739,0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57.48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317,371,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674.63</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12、生产性生物资产" w:id="274"/>
      <w:bookmarkEnd w:id="274"/>
      <w:r>
        <w:rPr>
          <w:b w:val="0"/>
          <w:bCs w:val="0"/>
        </w:rPr>
      </w:r>
      <w:r>
        <w:rPr>
          <w:rFonts w:ascii="Times New Roman" w:hAnsi="Times New Roman" w:cs="Times New Roman" w:eastAsia="Times New Roman" w:hint="default"/>
        </w:rPr>
        <w:t>12</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bookmarkStart w:name="（1）采用成本计量模式的生产性生物资产" w:id="275"/>
      <w:bookmarkEnd w:id="275"/>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10"/>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3" w:right="0"/>
              <w:jc w:val="left"/>
              <w:rPr>
                <w:rFonts w:ascii="宋体" w:hAnsi="宋体" w:cs="宋体" w:eastAsia="宋体" w:hint="default"/>
                <w:sz w:val="18"/>
                <w:szCs w:val="18"/>
              </w:rPr>
            </w:pPr>
            <w:r>
              <w:rPr>
                <w:rFonts w:ascii="宋体" w:hAnsi="宋体" w:cs="宋体" w:eastAsia="宋体" w:hint="default"/>
                <w:sz w:val="18"/>
                <w:szCs w:val="18"/>
              </w:rPr>
              <w:t>种植业</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畜牧养殖业</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林业</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水产业</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62" w:hRule="exact"/>
        </w:trPr>
        <w:tc>
          <w:tcPr>
            <w:tcW w:w="1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622" w:right="70" w:hanging="540"/>
              <w:jc w:val="left"/>
              <w:rPr>
                <w:rFonts w:ascii="宋体" w:hAnsi="宋体" w:cs="宋体" w:eastAsia="宋体" w:hint="default"/>
                <w:sz w:val="18"/>
                <w:szCs w:val="18"/>
              </w:rPr>
            </w:pPr>
            <w:r>
              <w:rPr>
                <w:rFonts w:ascii="宋体" w:hAnsi="宋体" w:cs="宋体" w:eastAsia="宋体" w:hint="default"/>
                <w:sz w:val="18"/>
                <w:szCs w:val="18"/>
              </w:rPr>
              <w:t>成熟性生产性生物 资产</w:t>
            </w:r>
          </w:p>
        </w:tc>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71" w:type="dxa"/>
            <w:tcBorders>
              <w:top w:val="nil" w:sz="6" w:space="0" w:color="auto"/>
              <w:left w:val="single" w:sz="4" w:space="0" w:color="000000"/>
              <w:bottom w:val="nil" w:sz="6" w:space="0" w:color="auto"/>
              <w:right w:val="single" w:sz="4" w:space="0" w:color="000000"/>
            </w:tcBorders>
            <w:shd w:val="clear" w:color="auto" w:fill="D2D2D2"/>
          </w:tcPr>
          <w:p>
            <w:pPr/>
          </w:p>
        </w:tc>
        <w:tc>
          <w:tcPr>
            <w:tcW w:w="1605" w:type="dxa"/>
            <w:vMerge/>
            <w:tcBorders>
              <w:left w:val="single" w:sz="4" w:space="0" w:color="000000"/>
              <w:right w:val="single" w:sz="4" w:space="0" w:color="000000"/>
            </w:tcBorders>
            <w:shd w:val="clear" w:color="auto" w:fill="D2D2D2"/>
          </w:tcPr>
          <w:p>
            <w:pPr/>
          </w:p>
        </w:tc>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161" w:hRule="exact"/>
        </w:trPr>
        <w:tc>
          <w:tcPr>
            <w:tcW w:w="1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5" w:type="dxa"/>
            <w:vMerge/>
            <w:tcBorders>
              <w:left w:val="single" w:sz="4" w:space="0" w:color="000000"/>
              <w:bottom w:val="single" w:sz="4" w:space="0" w:color="000000"/>
              <w:right w:val="single" w:sz="4" w:space="0" w:color="000000"/>
            </w:tcBorders>
            <w:shd w:val="clear" w:color="auto" w:fill="D2D2D2"/>
          </w:tcPr>
          <w:p>
            <w:pPr/>
          </w:p>
        </w:tc>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6,415,739.69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6,415,739.69</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自行培育</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6,415,739.69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6,415,739.69</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1,924,721.91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1,924,721.91</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641,573.97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641,573.97</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641,573.97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641,573.97</w:t>
            </w:r>
          </w:p>
        </w:tc>
      </w:tr>
      <w:tr>
        <w:trPr>
          <w:trHeight w:val="40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2,566,295.88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2,566,295.88</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3,849,443.81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3,849,443.81</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4,491,017.78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4,491,017.78</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33"/>
        <w:jc w:val="left"/>
        <w:rPr>
          <w:b w:val="0"/>
          <w:bCs w:val="0"/>
        </w:rPr>
      </w:pPr>
      <w:bookmarkStart w:name="13、无形资产" w:id="276"/>
      <w:bookmarkEnd w:id="276"/>
      <w:r>
        <w:rPr>
          <w:b w:val="0"/>
          <w:bCs w:val="0"/>
        </w:rPr>
      </w:r>
      <w:r>
        <w:rPr>
          <w:rFonts w:ascii="Times New Roman" w:hAnsi="Times New Roman" w:cs="Times New Roman" w:eastAsia="Times New Roman" w:hint="default"/>
        </w:rPr>
        <w:t>13</w:t>
      </w:r>
      <w:r>
        <w:rPr/>
        <w:t>、无形资产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bookmarkStart w:name="（1）无形资产情况" w:id="277"/>
      <w:bookmarkEnd w:id="277"/>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73"/>
        <w:gridCol w:w="1208"/>
        <w:gridCol w:w="1196"/>
        <w:gridCol w:w="1195"/>
        <w:gridCol w:w="1198"/>
        <w:gridCol w:w="1195"/>
        <w:gridCol w:w="1196"/>
        <w:gridCol w:w="1198"/>
      </w:tblGrid>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林地使用权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407,362,217.46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76,587,538.39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10,070,000.00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3,084,837.41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497,104,593.26</w:t>
            </w: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229,941.35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229,941.35</w:t>
            </w: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229,941.35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229,941.35</w:t>
            </w: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0"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20"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11"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407,362,217.46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76,587,538.39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10,070,000.00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3,314,778.76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497,334,534.61</w:t>
            </w: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39,457,704.43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36,947,810.15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1,480,886.15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1,380,830.89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79,267,231.62</w:t>
            </w: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1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8,462,338.80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4,103,759.70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250,810.44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723,593.05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13,540,501.99</w:t>
            </w: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8,462,338.80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4,103,759.70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250,810.44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723,593.05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13,540,501.99</w:t>
            </w: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36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47,920,043.23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41,051,569.85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1,731,696.59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2,104,423.94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92,807,733.61</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8"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359,442,174.23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35,535,968.54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8,338,303.41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1,210,354.82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404,526,801.00</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367,904,513.03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39,639,728.24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8,589,113.85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1,704,006.52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417,837,361.64</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bookmarkStart w:name="14、开发支出" w:id="278"/>
      <w:bookmarkEnd w:id="278"/>
      <w:r>
        <w:rPr>
          <w:b w:val="0"/>
          <w:bCs w:val="0"/>
        </w:rPr>
      </w:r>
      <w:r>
        <w:rPr>
          <w:rFonts w:ascii="Times New Roman" w:hAnsi="Times New Roman" w:cs="Times New Roman" w:eastAsia="Times New Roman" w:hint="default"/>
        </w:rPr>
        <w:t>14</w:t>
      </w:r>
      <w:r>
        <w:rPr/>
        <w:t>、开发支出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52"/>
        <w:gridCol w:w="1063"/>
        <w:gridCol w:w="1064"/>
        <w:gridCol w:w="1063"/>
        <w:gridCol w:w="1064"/>
        <w:gridCol w:w="1063"/>
        <w:gridCol w:w="1061"/>
        <w:gridCol w:w="1064"/>
        <w:gridCol w:w="1063"/>
      </w:tblGrid>
      <w:tr>
        <w:trPr>
          <w:trHeight w:val="404" w:hRule="exact"/>
        </w:trPr>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3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36" w:right="72"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052"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052"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52"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7"/>
              <w:jc w:val="center"/>
              <w:rPr>
                <w:rFonts w:ascii="宋体" w:hAnsi="宋体" w:cs="宋体" w:eastAsia="宋体" w:hint="default"/>
                <w:sz w:val="18"/>
                <w:szCs w:val="18"/>
              </w:rPr>
            </w:pPr>
            <w:r>
              <w:rPr>
                <w:rFonts w:ascii="宋体" w:hAnsi="宋体" w:cs="宋体" w:eastAsia="宋体" w:hint="default"/>
                <w:sz w:val="18"/>
                <w:szCs w:val="18"/>
              </w:rPr>
              <w:t>中成药研究</w:t>
            </w:r>
          </w:p>
        </w:tc>
        <w:tc>
          <w:tcPr>
            <w:tcW w:w="106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843,689.32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843,689.32</w:t>
            </w:r>
          </w:p>
        </w:tc>
      </w:tr>
      <w:tr>
        <w:trPr>
          <w:trHeight w:val="713"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29"/>
              <w:jc w:val="left"/>
              <w:rPr>
                <w:rFonts w:ascii="宋体" w:hAnsi="宋体" w:cs="宋体" w:eastAsia="宋体" w:hint="default"/>
                <w:sz w:val="18"/>
                <w:szCs w:val="18"/>
              </w:rPr>
            </w:pPr>
            <w:r>
              <w:rPr>
                <w:rFonts w:ascii="宋体" w:hAnsi="宋体" w:cs="宋体" w:eastAsia="宋体" w:hint="default"/>
                <w:sz w:val="18"/>
                <w:szCs w:val="18"/>
              </w:rPr>
              <w:t>基因测序仪 开发</w:t>
            </w:r>
          </w:p>
        </w:tc>
        <w:tc>
          <w:tcPr>
            <w:tcW w:w="106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3,778,350.14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3,778,350.14</w:t>
            </w:r>
          </w:p>
        </w:tc>
      </w:tr>
      <w:tr>
        <w:trPr>
          <w:trHeight w:val="403"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4,622,039.46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4,622,039.46</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bookmarkStart w:name="15、商誉" w:id="279"/>
      <w:bookmarkEnd w:id="279"/>
      <w:r>
        <w:rPr>
          <w:b w:val="0"/>
          <w:bCs w:val="0"/>
        </w:rPr>
      </w:r>
      <w:r>
        <w:rPr>
          <w:rFonts w:ascii="Times New Roman" w:hAnsi="Times New Roman" w:cs="Times New Roman" w:eastAsia="Times New Roman" w:hint="default"/>
        </w:rPr>
        <w:t>15</w:t>
      </w:r>
      <w:r>
        <w:rPr/>
        <w:t>、商誉</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bookmarkStart w:name="（1）商誉账面原值" w:id="280"/>
      <w:bookmarkEnd w:id="280"/>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0"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1"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北方环境能源交 易所有限公司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3,823,945.58</w:t>
            </w:r>
          </w:p>
        </w:tc>
        <w:tc>
          <w:tcPr>
            <w:tcW w:w="1368"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3,823,945.58</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吉林紫鑫桂鹤医 药有限公司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2,873,867.04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2,873,867.04</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6,697,812.62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6,697,812.62</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16、长期待摊费用" w:id="281"/>
      <w:bookmarkEnd w:id="281"/>
      <w:r>
        <w:rPr>
          <w:b w:val="0"/>
          <w:bCs w:val="0"/>
        </w:rPr>
      </w:r>
      <w:r>
        <w:rPr>
          <w:rFonts w:ascii="Times New Roman" w:hAnsi="Times New Roman" w:cs="Times New Roman" w:eastAsia="Times New Roman" w:hint="default"/>
        </w:rPr>
        <w:t>16</w:t>
      </w:r>
      <w:r>
        <w:rPr/>
        <w:t>、长期待摊费用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林地承包费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226,281.25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8,355.00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217,926.25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固定资产大修支出</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14,739,057.48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2,870,176.89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11,868,880.59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38,195,506.00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51,804,494.00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226,281.25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104,739,057.48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41,074,037.89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63,891,300.84</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bookmarkStart w:name="17、递延所得税资产/递延所得税负债" w:id="282"/>
      <w:bookmarkEnd w:id="282"/>
      <w:r>
        <w:rPr>
          <w:b w:val="0"/>
          <w:bCs w:val="0"/>
        </w:rPr>
      </w: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bookmarkStart w:name="（1）未经抵销的递延所得税资产" w:id="283"/>
      <w:bookmarkEnd w:id="283"/>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应收款项坏账准备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93,440,881.54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17,496,047.29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73,126,034.94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13,827,108.53</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未弥补亏损确认递延所 得税资产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6,504,182.53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1,235,794.68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6,530,646.95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1,240,822.92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99,945,064.07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18,731,841.97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79,656,681.89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15,067,931.45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2）未经抵销的递延所得税负债" w:id="284"/>
      <w:bookmarkEnd w:id="284"/>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2,811,115.53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421,667.33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3,036,002.20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455,400.33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2,811,115.53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421,667.33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3,036,002.20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455,400.33</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3）以抵销后净额列示的递延所得税资产或负债" w:id="285"/>
      <w:bookmarkEnd w:id="285"/>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13"/>
        <w:gridCol w:w="1904"/>
        <w:gridCol w:w="1916"/>
        <w:gridCol w:w="1913"/>
        <w:gridCol w:w="1916"/>
      </w:tblGrid>
      <w:tr>
        <w:trPr>
          <w:trHeight w:val="163"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400"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22"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项目</w:t>
            </w:r>
          </w:p>
        </w:tc>
        <w:tc>
          <w:tcPr>
            <w:tcW w:w="1904"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4"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18,731,841.97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15,067,931.45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04"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421,667.33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455,400.33</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4）未确认递延所得税资产明细" w:id="286"/>
      <w:bookmarkEnd w:id="286"/>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18,150,606.61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8,245,052.85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448,681,115.50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329,232,678.04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466,831,722.11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337,477,730.89</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5）未确认递延所得税资产的可抵扣亏损将于以下年度到期" w:id="287"/>
      <w:bookmarkEnd w:id="287"/>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7,710,099.45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29,872,393.19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29,872,393.19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39,919,494.10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39,919,494.10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101,069,495.99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101,069,495.99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138,154,313.95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150,661,195.31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139,665,418.27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448,681,115.50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329,232,678.04</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bookmarkStart w:name="18、其他非流动资产" w:id="288"/>
      <w:bookmarkEnd w:id="288"/>
      <w:r>
        <w:rPr>
          <w:b w:val="0"/>
          <w:bCs w:val="0"/>
        </w:rPr>
      </w:r>
      <w:r>
        <w:rPr>
          <w:rFonts w:ascii="Times New Roman" w:hAnsi="Times New Roman" w:cs="Times New Roman" w:eastAsia="Times New Roman" w:hint="default"/>
        </w:rPr>
        <w:t>18</w:t>
      </w:r>
      <w:r>
        <w:rPr/>
        <w:t>、其他非流动资产</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预付工程及设备款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189,243,210.33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55,283,206.64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药品注册款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18,045,600.00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207,288,810.33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55,283,206.64</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bookmarkStart w:name="19、短期借款" w:id="289"/>
      <w:bookmarkEnd w:id="289"/>
      <w:r>
        <w:rPr>
          <w:b w:val="0"/>
          <w:bCs w:val="0"/>
        </w:rPr>
      </w:r>
      <w:r>
        <w:rPr>
          <w:rFonts w:ascii="Times New Roman" w:hAnsi="Times New Roman" w:cs="Times New Roman" w:eastAsia="Times New Roman" w:hint="default"/>
        </w:rPr>
        <w:t>19</w:t>
      </w:r>
      <w:r>
        <w:rPr/>
        <w:t>、短期借款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bookmarkStart w:name="（1）短期借款分类" w:id="290"/>
      <w:bookmarkEnd w:id="290"/>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1,007,945,000.00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2,089,673,342.17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1,425,000,000.00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3,583,818,342.17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2,897,000,000.00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
        <w:rPr>
          <w:rFonts w:ascii="宋体" w:hAnsi="宋体" w:cs="宋体" w:eastAsia="宋体" w:hint="default"/>
          <w:sz w:val="13"/>
          <w:szCs w:val="13"/>
        </w:rPr>
      </w:pPr>
    </w:p>
    <w:p>
      <w:pPr>
        <w:pStyle w:val="BodyText"/>
        <w:spacing w:line="386" w:lineRule="auto" w:before="0"/>
        <w:ind w:right="1128" w:firstLine="413"/>
        <w:jc w:val="both"/>
      </w:pPr>
      <w:r>
        <w:rPr>
          <w:spacing w:val="-2"/>
        </w:rPr>
        <w:t>（</w:t>
      </w:r>
      <w:r>
        <w:rPr>
          <w:rFonts w:ascii="Times New Roman" w:hAnsi="Times New Roman" w:cs="Times New Roman" w:eastAsia="Times New Roman" w:hint="default"/>
          <w:spacing w:val="-2"/>
        </w:rPr>
        <w:t>1</w:t>
      </w:r>
      <w:r>
        <w:rPr>
          <w:spacing w:val="-2"/>
        </w:rPr>
        <w:t>）上述质押借款</w:t>
      </w:r>
      <w:r>
        <w:rPr>
          <w:rFonts w:ascii="Times New Roman" w:hAnsi="Times New Roman" w:cs="Times New Roman" w:eastAsia="Times New Roman" w:hint="default"/>
          <w:spacing w:val="-2"/>
        </w:rPr>
        <w:t>100,794.50</w:t>
      </w:r>
      <w:r>
        <w:rPr>
          <w:spacing w:val="-2"/>
        </w:rPr>
        <w:t>万元分别由本公司大股东敦化市康平投资有限责任公司将其持有的本公</w:t>
      </w:r>
      <w:r>
        <w:rPr>
          <w:w w:val="100"/>
        </w:rPr>
        <w:t> </w:t>
      </w:r>
      <w:r>
        <w:rPr/>
        <w:t>司</w:t>
      </w:r>
      <w:r>
        <w:rPr>
          <w:rFonts w:ascii="Times New Roman" w:hAnsi="Times New Roman" w:cs="Times New Roman" w:eastAsia="Times New Roman" w:hint="default"/>
        </w:rPr>
        <w:t>7,000</w:t>
      </w:r>
      <w:r>
        <w:rPr/>
        <w:t>万股质押，本公司存货人参（干品）</w:t>
      </w:r>
      <w:r>
        <w:rPr>
          <w:rFonts w:ascii="Times New Roman" w:hAnsi="Times New Roman" w:cs="Times New Roman" w:eastAsia="Times New Roman" w:hint="default"/>
        </w:rPr>
        <w:t>1,346.58</w:t>
      </w:r>
      <w:r>
        <w:rPr/>
        <w:t>吨提供质押。</w:t>
      </w:r>
    </w:p>
    <w:p>
      <w:pPr>
        <w:pStyle w:val="BodyText"/>
        <w:spacing w:line="398" w:lineRule="auto" w:before="36"/>
        <w:ind w:right="1129" w:firstLine="413"/>
        <w:jc w:val="both"/>
      </w:pPr>
      <w:r>
        <w:rPr>
          <w:spacing w:val="-3"/>
        </w:rPr>
        <w:t>（</w:t>
      </w:r>
      <w:r>
        <w:rPr>
          <w:rFonts w:ascii="Times New Roman" w:hAnsi="Times New Roman" w:cs="Times New Roman" w:eastAsia="Times New Roman" w:hint="default"/>
          <w:spacing w:val="-3"/>
        </w:rPr>
        <w:t>2</w:t>
      </w:r>
      <w:r>
        <w:rPr>
          <w:spacing w:val="-3"/>
        </w:rPr>
        <w:t>）上述抵押借款</w:t>
      </w:r>
      <w:r>
        <w:rPr>
          <w:rFonts w:ascii="Times New Roman" w:hAnsi="Times New Roman" w:cs="Times New Roman" w:eastAsia="Times New Roman" w:hint="default"/>
          <w:spacing w:val="-3"/>
        </w:rPr>
        <w:t>48,620</w:t>
      </w:r>
      <w:r>
        <w:rPr>
          <w:spacing w:val="-3"/>
        </w:rPr>
        <w:t>万元由本公司及子公司吉林紫鑫般若药业有限公司、吉林草还丹药业有限公</w:t>
      </w:r>
      <w:r>
        <w:rPr>
          <w:spacing w:val="-3"/>
          <w:w w:val="100"/>
        </w:rPr>
        <w:t> </w:t>
      </w:r>
      <w:r>
        <w:rPr>
          <w:spacing w:val="-2"/>
        </w:rPr>
        <w:t>司、吉林紫鑫初元药业有限公司、吉林紫鑫红石种养殖有限公司、吉林紫鑫高科技功能食品有限公司、北</w:t>
      </w:r>
      <w:r>
        <w:rPr>
          <w:spacing w:val="-47"/>
        </w:rPr>
        <w:t> </w:t>
      </w:r>
      <w:r>
        <w:rPr>
          <w:spacing w:val="-47"/>
        </w:rPr>
      </w:r>
      <w:r>
        <w:rPr/>
        <w:t>京中科紫鑫科技有限公司以房屋产权及土地使用权提供抵押。</w:t>
      </w:r>
    </w:p>
    <w:p>
      <w:pPr>
        <w:pStyle w:val="BodyText"/>
        <w:spacing w:line="240" w:lineRule="auto" w:before="54"/>
        <w:ind w:left="566" w:right="1133"/>
        <w:jc w:val="left"/>
      </w:pPr>
      <w:r>
        <w:rPr/>
        <w:t>（</w:t>
      </w:r>
      <w:r>
        <w:rPr>
          <w:rFonts w:ascii="Times New Roman" w:hAnsi="Times New Roman" w:cs="Times New Roman" w:eastAsia="Times New Roman" w:hint="default"/>
        </w:rPr>
        <w:t>3</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日止，上述短期借款已逾期未偿还的短期借款</w:t>
      </w:r>
    </w:p>
    <w:p>
      <w:pPr>
        <w:spacing w:line="240" w:lineRule="auto" w:before="8"/>
        <w:rPr>
          <w:rFonts w:ascii="宋体" w:hAnsi="宋体" w:cs="宋体" w:eastAsia="宋体" w:hint="default"/>
          <w:sz w:val="30"/>
          <w:szCs w:val="30"/>
        </w:rPr>
      </w:pPr>
    </w:p>
    <w:p>
      <w:pPr>
        <w:pStyle w:val="Heading5"/>
        <w:spacing w:line="240" w:lineRule="auto"/>
        <w:ind w:right="1133"/>
        <w:jc w:val="left"/>
        <w:rPr>
          <w:b w:val="0"/>
          <w:bCs w:val="0"/>
        </w:rPr>
      </w:pPr>
      <w:bookmarkStart w:name="（2）已逾期未偿还的短期借款情况" w:id="291"/>
      <w:bookmarkEnd w:id="291"/>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逾期利率</w:t>
            </w:r>
          </w:p>
        </w:tc>
      </w:tr>
      <w:tr>
        <w:trPr>
          <w:trHeight w:val="102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吉林农安农村商业银行 股份有限公司卫星广场 支行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10.44%</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吉林九台农村商业银行 股份有限公司长春分行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11.75%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230,000,000.00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bookmarkStart w:name="20、应付票据" w:id="292"/>
      <w:bookmarkEnd w:id="292"/>
      <w:r>
        <w:rPr>
          <w:b w:val="0"/>
          <w:bCs w:val="0"/>
        </w:rPr>
      </w:r>
      <w:r>
        <w:rPr>
          <w:rFonts w:ascii="Times New Roman" w:hAnsi="Times New Roman" w:cs="Times New Roman" w:eastAsia="Times New Roman" w:hint="default"/>
        </w:rPr>
        <w:t>20</w:t>
      </w:r>
      <w:r>
        <w:rPr/>
        <w:t>、应付票据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200,000,200.00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200,000,200.00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bookmarkStart w:name="21、应付账款" w:id="293"/>
      <w:bookmarkEnd w:id="293"/>
      <w:r>
        <w:rPr>
          <w:b w:val="0"/>
          <w:bCs w:val="0"/>
        </w:rPr>
      </w:r>
      <w:r>
        <w:rPr>
          <w:rFonts w:ascii="Times New Roman" w:hAnsi="Times New Roman" w:cs="Times New Roman" w:eastAsia="Times New Roman" w:hint="default"/>
        </w:rPr>
        <w:t>21</w:t>
      </w:r>
      <w:r>
        <w:rPr/>
        <w:t>、应付账款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bookmarkStart w:name="（1）应付账款列示" w:id="294"/>
      <w:bookmarkEnd w:id="294"/>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155,535,949.89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225,983,580.91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82,736,038.36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82,062,510.39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81,362,353.32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4,828,860.36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11,959,983.81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10,407,215.54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331,594,325.38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323,282,167.20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22、预收款项" w:id="295"/>
      <w:bookmarkEnd w:id="295"/>
      <w:r>
        <w:rPr>
          <w:b w:val="0"/>
          <w:bCs w:val="0"/>
        </w:rPr>
      </w:r>
      <w:r>
        <w:rPr>
          <w:rFonts w:ascii="Times New Roman" w:hAnsi="Times New Roman" w:cs="Times New Roman" w:eastAsia="Times New Roman" w:hint="default"/>
        </w:rPr>
        <w:t>22</w:t>
      </w:r>
      <w:r>
        <w:rPr/>
        <w:t>、预收款项</w:t>
      </w:r>
      <w:r>
        <w:rPr>
          <w:b w:val="0"/>
          <w:bCs w:val="0"/>
        </w:rPr>
      </w:r>
    </w:p>
    <w:p>
      <w:pPr>
        <w:spacing w:line="240" w:lineRule="auto" w:before="5"/>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bookmarkStart w:name="（1）预收款项列示" w:id="296"/>
      <w:bookmarkEnd w:id="29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27,089,064.96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130,553,302.73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2,703,606.31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4,184,734.52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2,986,925.16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1,182,294.90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1,012,619.10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54,702.00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33,792,215.53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135,975,034.15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2）期末建造合同形成的已结算未完工项目情况" w:id="297"/>
      <w:bookmarkEnd w:id="297"/>
      <w:r>
        <w:rPr>
          <w:b w:val="0"/>
          <w:bCs w:val="0"/>
        </w:rPr>
      </w:r>
      <w:r>
        <w:rPr/>
        <w:t>（</w:t>
      </w:r>
      <w:r>
        <w:rPr>
          <w:rFonts w:ascii="Times New Roman" w:hAnsi="Times New Roman" w:cs="Times New Roman" w:eastAsia="Times New Roman" w:hint="default"/>
        </w:rPr>
        <w:t>2</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bookmarkStart w:name="23、应付职工薪酬" w:id="298"/>
      <w:bookmarkEnd w:id="298"/>
      <w:r>
        <w:rPr>
          <w:b w:val="0"/>
          <w:bCs w:val="0"/>
        </w:rPr>
      </w:r>
      <w:r>
        <w:rPr>
          <w:rFonts w:ascii="Times New Roman" w:hAnsi="Times New Roman" w:cs="Times New Roman" w:eastAsia="Times New Roman" w:hint="default"/>
        </w:rPr>
        <w:t>23</w:t>
      </w:r>
      <w:r>
        <w:rPr/>
        <w:t>、应付职工薪酬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bookmarkStart w:name="（1）应付职工薪酬列示" w:id="299"/>
      <w:bookmarkEnd w:id="299"/>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7,963,592.21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107,804,175.52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98,031,267.07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17,736,500.66</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150,263.82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14,982,129.87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14,978,243.25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154,150.44</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8,113,856.03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122,786,305.39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113,009,510.32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17,890,651.10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2）短期薪酬列示" w:id="300"/>
      <w:bookmarkEnd w:id="30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7,228,038.26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90,869,264.56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81,372,561.63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16,724,741.19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2,915,234.44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2,915,234.44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68,482.28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6,301,067.79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6,328,687.67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40,862.40</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60,862.48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5,398,912.74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5,419,548.18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40,227.04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2,659.15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404,779.99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407,238.61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200.53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4,960.65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497,375.06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501,900.88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434.83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6,697.87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4,967,164.30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4,902,310.37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71,551.80</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660,373.80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2,751,444.43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2,512,472.96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899,345.27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7,963,592.21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107,804,175.52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98,031,267.07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17,736,500.66</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3）设定提存计划列示" w:id="301"/>
      <w:bookmarkEnd w:id="30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144,859.31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14,422,061.44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14,417,098.59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149,822.16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5,404.51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560,068.43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561,144.66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4,328.28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150,263.82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14,982,129.87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14,978,243.25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154,150.44</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bookmarkStart w:name="24、应交税费" w:id="302"/>
      <w:bookmarkEnd w:id="302"/>
      <w:r>
        <w:rPr>
          <w:b w:val="0"/>
          <w:bCs w:val="0"/>
        </w:rPr>
      </w:r>
      <w:r>
        <w:rPr>
          <w:rFonts w:ascii="Times New Roman" w:hAnsi="Times New Roman" w:cs="Times New Roman" w:eastAsia="Times New Roman" w:hint="default"/>
        </w:rPr>
        <w:t>24</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3,841,034.85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5,487,624.64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13,232,935.09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2,606,103.87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275,611.72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200,229.34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245,349.86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283,642.77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165,585.70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290,498.41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116,142.80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164,797.38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77,428.52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109,864.90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169,476.00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313,784.74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18,437,349.28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9,142,761.31</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bookmarkStart w:name="25、其他应付款" w:id="303"/>
      <w:bookmarkEnd w:id="303"/>
      <w:r>
        <w:rPr>
          <w:b w:val="0"/>
          <w:bCs w:val="0"/>
        </w:rPr>
      </w:r>
      <w:r>
        <w:rPr>
          <w:rFonts w:ascii="Times New Roman" w:hAnsi="Times New Roman" w:cs="Times New Roman" w:eastAsia="Times New Roman" w:hint="default"/>
        </w:rPr>
        <w:t>25</w:t>
      </w:r>
      <w:r>
        <w:rPr/>
        <w:t>、其他应付款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83,367,713.27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430,770.41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115,306,268.07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211,140,235.42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198,673,981.34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211,571,005.83</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1）应付利息" w:id="304"/>
      <w:bookmarkEnd w:id="304"/>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83,367,713.27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430,770.41</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bookmarkStart w:name="（2）其他应付款" w:id="305"/>
      <w:bookmarkEnd w:id="305"/>
      <w:r>
        <w:rPr>
          <w:b w:val="0"/>
          <w:bCs w:val="0"/>
        </w:rPr>
      </w:r>
      <w:r>
        <w:rPr/>
        <w:t>（</w:t>
      </w:r>
      <w:r>
        <w:rPr>
          <w:rFonts w:ascii="Times New Roman" w:hAnsi="Times New Roman" w:cs="Times New Roman" w:eastAsia="Times New Roman" w:hint="default"/>
        </w:rPr>
        <w:t>2</w:t>
      </w:r>
      <w:r>
        <w:rPr/>
        <w:t>）其他应付款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bookmarkStart w:name="1）按款项性质列示其他应付款" w:id="306"/>
      <w:bookmarkEnd w:id="306"/>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83,769,581.48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204,906,554.05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26,385,898.04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5,235,433.36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3,685,831.69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188,152.30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1,464,956.86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810,095.71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115,306,268.07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211,140,235.42</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26、一年内到期的非流动负债" w:id="307"/>
      <w:bookmarkEnd w:id="307"/>
      <w:r>
        <w:rPr>
          <w:b w:val="0"/>
          <w:bCs w:val="0"/>
        </w:rPr>
      </w:r>
      <w:r>
        <w:rPr>
          <w:rFonts w:ascii="Times New Roman" w:hAnsi="Times New Roman" w:cs="Times New Roman" w:eastAsia="Times New Roman" w:hint="default"/>
        </w:rPr>
        <w:t>26</w:t>
      </w:r>
      <w:r>
        <w:rPr/>
        <w:t>、一年内到期的非流动负债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377,970,100.00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417,559,461.79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14,955,677.98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101,657,716.02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392,925,777.98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519,217,177.81</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bookmarkStart w:name="27、长期借款" w:id="308"/>
      <w:bookmarkEnd w:id="308"/>
      <w:r>
        <w:rPr>
          <w:b w:val="0"/>
          <w:bCs w:val="0"/>
        </w:rPr>
      </w:r>
      <w:r>
        <w:rPr>
          <w:rFonts w:ascii="Times New Roman" w:hAnsi="Times New Roman" w:cs="Times New Roman" w:eastAsia="Times New Roman" w:hint="default"/>
        </w:rPr>
        <w:t>27</w:t>
      </w:r>
      <w:r>
        <w:rPr/>
        <w:t>、长期借款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bookmarkStart w:name="（1）长期借款分类" w:id="309"/>
      <w:bookmarkEnd w:id="309"/>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1,051,253,391.21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742,080,000.00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288,870,643.77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1,373,453,391.21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1,030,950,643.77</w:t>
            </w:r>
          </w:p>
        </w:tc>
      </w:tr>
    </w:tbl>
    <w:p>
      <w:pPr>
        <w:spacing w:line="357" w:lineRule="auto" w:before="49"/>
        <w:ind w:left="152" w:right="8594"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pStyle w:val="BodyText"/>
        <w:spacing w:line="240" w:lineRule="auto" w:before="85"/>
        <w:ind w:left="566" w:right="1133"/>
        <w:jc w:val="left"/>
      </w:pPr>
      <w:r>
        <w:rPr/>
        <w:t>（</w:t>
      </w:r>
      <w:r>
        <w:rPr>
          <w:rFonts w:ascii="Times New Roman" w:hAnsi="Times New Roman" w:cs="Times New Roman" w:eastAsia="Times New Roman" w:hint="default"/>
        </w:rPr>
        <w:t>1</w:t>
      </w:r>
      <w:r>
        <w:rPr/>
        <w:t>）本公司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29</w:t>
      </w:r>
      <w:r>
        <w:rPr/>
        <w:t>日与中国工商银行股份有限公司柳河支行签订的编号为</w:t>
      </w:r>
      <w:r>
        <w:rPr>
          <w:rFonts w:ascii="Times New Roman" w:hAnsi="Times New Roman" w:cs="Times New Roman" w:eastAsia="Times New Roman" w:hint="default"/>
        </w:rPr>
        <w:t>0080600008-2016</w:t>
      </w:r>
      <w:r>
        <w:rPr/>
        <w:t>年</w:t>
      </w:r>
    </w:p>
    <w:p>
      <w:pPr>
        <w:pStyle w:val="BodyText"/>
        <w:spacing w:line="393" w:lineRule="auto" w:before="177"/>
        <w:ind w:right="1126"/>
        <w:jc w:val="both"/>
      </w:pPr>
      <w:r>
        <w:rPr>
          <w:spacing w:val="-1"/>
        </w:rPr>
        <w:t>（柳河）字</w:t>
      </w:r>
      <w:r>
        <w:rPr>
          <w:rFonts w:ascii="Times New Roman" w:hAnsi="Times New Roman" w:cs="Times New Roman" w:eastAsia="Times New Roman" w:hint="default"/>
          <w:spacing w:val="-1"/>
        </w:rPr>
        <w:t>00002</w:t>
      </w:r>
      <w:r>
        <w:rPr>
          <w:spacing w:val="-1"/>
        </w:rPr>
        <w:t>号固定资产借款合同，以及编号为</w:t>
      </w:r>
      <w:r>
        <w:rPr>
          <w:rFonts w:ascii="Times New Roman" w:hAnsi="Times New Roman" w:cs="Times New Roman" w:eastAsia="Times New Roman" w:hint="default"/>
          <w:spacing w:val="-1"/>
        </w:rPr>
        <w:t>0080600008-2016</w:t>
      </w:r>
      <w:r>
        <w:rPr>
          <w:spacing w:val="-1"/>
        </w:rPr>
        <w:t>年柳河（抵）字</w:t>
      </w:r>
      <w:r>
        <w:rPr>
          <w:rFonts w:ascii="Times New Roman" w:hAnsi="Times New Roman" w:cs="Times New Roman" w:eastAsia="Times New Roman" w:hint="default"/>
          <w:spacing w:val="-1"/>
        </w:rPr>
        <w:t>0001</w:t>
      </w:r>
      <w:r>
        <w:rPr>
          <w:spacing w:val="-1"/>
        </w:rPr>
        <w:t>号和吉林紫鑫禺</w:t>
      </w:r>
      <w:r>
        <w:rPr>
          <w:spacing w:val="-43"/>
        </w:rPr>
        <w:t> </w:t>
      </w:r>
      <w:r>
        <w:rPr>
          <w:spacing w:val="-43"/>
        </w:rPr>
      </w:r>
      <w:r>
        <w:rPr>
          <w:spacing w:val="-3"/>
        </w:rPr>
        <w:t>拙药业有限公司与中国工商银行股份有限公司柳河支行签订的编号为</w:t>
      </w:r>
      <w:r>
        <w:rPr>
          <w:rFonts w:ascii="Times New Roman" w:hAnsi="Times New Roman" w:cs="Times New Roman" w:eastAsia="Times New Roman" w:hint="default"/>
          <w:spacing w:val="-3"/>
        </w:rPr>
        <w:t>0080600008-2016</w:t>
      </w:r>
      <w:r>
        <w:rPr>
          <w:spacing w:val="-3"/>
        </w:rPr>
        <w:t>年柳河（抵）字</w:t>
      </w:r>
      <w:r>
        <w:rPr>
          <w:rFonts w:ascii="Times New Roman" w:hAnsi="Times New Roman" w:cs="Times New Roman" w:eastAsia="Times New Roman" w:hint="default"/>
          <w:spacing w:val="-3"/>
        </w:rPr>
        <w:t>0002</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spacing w:val="-2"/>
        </w:rPr>
        <w:t>号最高额抵押合同中规定，本公司以房屋和土地使用权以及吉林紫鑫禺拙药业有限公司的房屋和土地进行</w:t>
      </w:r>
      <w:r>
        <w:rPr>
          <w:spacing w:val="-43"/>
        </w:rPr>
        <w:t> </w:t>
      </w:r>
      <w:r>
        <w:rPr>
          <w:spacing w:val="-43"/>
        </w:rPr>
      </w:r>
      <w:r>
        <w:rPr/>
        <w:t>抵押向中国工商银行股份有限公司柳河支行借款</w:t>
      </w:r>
      <w:r>
        <w:rPr>
          <w:rFonts w:ascii="Times New Roman" w:hAnsi="Times New Roman" w:cs="Times New Roman" w:eastAsia="Times New Roman" w:hint="default"/>
        </w:rPr>
        <w:t>3</w:t>
      </w:r>
      <w:r>
        <w:rPr/>
        <w:t>亿元，借款期限为</w:t>
      </w:r>
      <w:r>
        <w:rPr>
          <w:rFonts w:ascii="Times New Roman" w:hAnsi="Times New Roman" w:cs="Times New Roman" w:eastAsia="Times New Roman" w:hint="default"/>
        </w:rPr>
        <w:t>7</w:t>
      </w:r>
      <w:r>
        <w:rPr/>
        <w:t>年。</w:t>
      </w:r>
    </w:p>
    <w:p>
      <w:pPr>
        <w:spacing w:after="0" w:line="393"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5"/>
        <w:ind w:right="1128" w:firstLine="413"/>
        <w:jc w:val="both"/>
      </w:pPr>
      <w:r>
        <w:rPr>
          <w:spacing w:val="2"/>
        </w:rPr>
        <w:t>本公司全资子公司吉林紫鑫红石种养殖有限公司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4</w:t>
      </w:r>
      <w:r>
        <w:rPr>
          <w:spacing w:val="2"/>
        </w:rPr>
        <w:t>日与吉林银行股份有限公司通化柳河支</w:t>
      </w:r>
      <w:r>
        <w:rPr>
          <w:w w:val="100"/>
        </w:rPr>
        <w:t> </w:t>
      </w:r>
      <w:r>
        <w:rPr>
          <w:spacing w:val="-2"/>
        </w:rPr>
        <w:t>行签订编号为吉林银行通化柳河支行</w:t>
      </w:r>
      <w:r>
        <w:rPr>
          <w:rFonts w:ascii="Times New Roman" w:hAnsi="Times New Roman" w:cs="Times New Roman" w:eastAsia="Times New Roman" w:hint="default"/>
          <w:spacing w:val="-2"/>
        </w:rPr>
        <w:t>2019</w:t>
      </w:r>
      <w:r>
        <w:rPr>
          <w:spacing w:val="-2"/>
        </w:rPr>
        <w:t>年公司借字第</w:t>
      </w:r>
      <w:r>
        <w:rPr>
          <w:rFonts w:ascii="Times New Roman" w:hAnsi="Times New Roman" w:cs="Times New Roman" w:eastAsia="Times New Roman" w:hint="default"/>
          <w:spacing w:val="-2"/>
        </w:rPr>
        <w:t>001</w:t>
      </w:r>
      <w:r>
        <w:rPr>
          <w:spacing w:val="-2"/>
        </w:rPr>
        <w:t>号人民币借款合同，约定借款金额为人民币</w:t>
      </w:r>
      <w:r>
        <w:rPr>
          <w:rFonts w:ascii="Times New Roman" w:hAnsi="Times New Roman" w:cs="Times New Roman" w:eastAsia="Times New Roman" w:hint="default"/>
          <w:spacing w:val="-2"/>
        </w:rPr>
        <w:t>2</w:t>
      </w:r>
      <w:r>
        <w:rPr>
          <w:spacing w:val="-2"/>
        </w:rPr>
        <w:t>亿</w:t>
      </w:r>
      <w:r>
        <w:rPr>
          <w:spacing w:val="-39"/>
        </w:rPr>
        <w:t> </w:t>
      </w:r>
      <w:r>
        <w:rPr/>
        <w:t>元，借款期限为</w:t>
      </w:r>
      <w:r>
        <w:rPr>
          <w:rFonts w:ascii="Times New Roman" w:hAnsi="Times New Roman" w:cs="Times New Roman" w:eastAsia="Times New Roman" w:hint="default"/>
        </w:rPr>
        <w:t>3</w:t>
      </w:r>
      <w:r>
        <w:rPr/>
        <w:t>年。上述借款由本公司作为信用担保承担保证责任。</w:t>
      </w:r>
    </w:p>
    <w:p>
      <w:pPr>
        <w:pStyle w:val="BodyText"/>
        <w:spacing w:line="386" w:lineRule="auto" w:before="35"/>
        <w:ind w:right="1128" w:firstLine="413"/>
        <w:jc w:val="both"/>
      </w:pPr>
      <w:r>
        <w:rPr/>
        <w:t>本公司全资子公司吉林紫鑫般若药业有限公司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日与吉林银行通化新华支行签订编号为吉</w:t>
      </w:r>
      <w:r>
        <w:rPr>
          <w:w w:val="100"/>
        </w:rPr>
        <w:t> </w:t>
      </w:r>
      <w:r>
        <w:rPr>
          <w:spacing w:val="-2"/>
        </w:rPr>
        <w:t>林银行通化新华支行</w:t>
      </w:r>
      <w:r>
        <w:rPr>
          <w:rFonts w:ascii="Times New Roman" w:hAnsi="Times New Roman" w:cs="Times New Roman" w:eastAsia="Times New Roman" w:hint="default"/>
          <w:spacing w:val="-2"/>
        </w:rPr>
        <w:t>2017</w:t>
      </w:r>
      <w:r>
        <w:rPr>
          <w:spacing w:val="-2"/>
        </w:rPr>
        <w:t>年流借字第</w:t>
      </w:r>
      <w:r>
        <w:rPr>
          <w:rFonts w:ascii="Times New Roman" w:hAnsi="Times New Roman" w:cs="Times New Roman" w:eastAsia="Times New Roman" w:hint="default"/>
          <w:spacing w:val="-2"/>
        </w:rPr>
        <w:t>092501</w:t>
      </w:r>
      <w:r>
        <w:rPr>
          <w:spacing w:val="-2"/>
        </w:rPr>
        <w:t>号借款合同，约定借款金额</w:t>
      </w:r>
      <w:r>
        <w:rPr>
          <w:rFonts w:ascii="Times New Roman" w:hAnsi="Times New Roman" w:cs="Times New Roman" w:eastAsia="Times New Roman" w:hint="default"/>
          <w:spacing w:val="-2"/>
        </w:rPr>
        <w:t>2</w:t>
      </w:r>
      <w:r>
        <w:rPr>
          <w:spacing w:val="-2"/>
        </w:rPr>
        <w:t>亿元，借款期限</w:t>
      </w:r>
      <w:r>
        <w:rPr>
          <w:rFonts w:ascii="Times New Roman" w:hAnsi="Times New Roman" w:cs="Times New Roman" w:eastAsia="Times New Roman" w:hint="default"/>
          <w:spacing w:val="-2"/>
        </w:rPr>
        <w:t>3</w:t>
      </w:r>
      <w:r>
        <w:rPr>
          <w:spacing w:val="-2"/>
        </w:rPr>
        <w:t>年。上述借款由</w:t>
      </w:r>
      <w:r>
        <w:rPr>
          <w:spacing w:val="-36"/>
        </w:rPr>
        <w:t> </w:t>
      </w:r>
      <w:r>
        <w:rPr>
          <w:spacing w:val="-36"/>
        </w:rPr>
      </w:r>
      <w:r>
        <w:rPr/>
        <w:t>本公司作为信用担保承担保证责任。</w:t>
      </w:r>
    </w:p>
    <w:p>
      <w:pPr>
        <w:pStyle w:val="BodyText"/>
        <w:spacing w:line="386" w:lineRule="auto" w:before="65"/>
        <w:ind w:right="1128" w:firstLine="413"/>
        <w:jc w:val="both"/>
      </w:pPr>
      <w:r>
        <w:rPr/>
        <w:t>本公司全资子公司吉林紫鑫般若药业有限公司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日与吉林磐石农村商业银行股份有限公司</w:t>
      </w:r>
      <w:r>
        <w:rPr>
          <w:w w:val="100"/>
        </w:rPr>
        <w:t> </w:t>
      </w:r>
      <w:r>
        <w:rPr/>
        <w:t>签订的编号为</w:t>
      </w:r>
      <w:r>
        <w:rPr>
          <w:rFonts w:ascii="Times New Roman" w:hAnsi="Times New Roman" w:cs="Times New Roman" w:eastAsia="Times New Roman" w:hint="default"/>
        </w:rPr>
        <w:t>BC20190711000273</w:t>
      </w:r>
      <w:r>
        <w:rPr/>
        <w:t>号号借款合同，约定借款金额</w:t>
      </w:r>
      <w:r>
        <w:rPr>
          <w:rFonts w:ascii="Times New Roman" w:hAnsi="Times New Roman" w:cs="Times New Roman" w:eastAsia="Times New Roman" w:hint="default"/>
        </w:rPr>
        <w:t>12,500</w:t>
      </w:r>
      <w:r>
        <w:rPr/>
        <w:t>万元，借款期限</w:t>
      </w:r>
      <w:r>
        <w:rPr>
          <w:rFonts w:ascii="Times New Roman" w:hAnsi="Times New Roman" w:cs="Times New Roman" w:eastAsia="Times New Roman" w:hint="default"/>
        </w:rPr>
        <w:t>2</w:t>
      </w:r>
      <w:r>
        <w:rPr/>
        <w:t>年；上述借款由本</w:t>
      </w:r>
      <w:r>
        <w:rPr>
          <w:spacing w:val="-46"/>
        </w:rPr>
        <w:t> </w:t>
      </w:r>
      <w:r>
        <w:rPr>
          <w:spacing w:val="-46"/>
        </w:rPr>
      </w:r>
      <w:r>
        <w:rPr/>
        <w:t>公司作为信用担保承担保证责任。</w:t>
      </w:r>
    </w:p>
    <w:p>
      <w:pPr>
        <w:pStyle w:val="BodyText"/>
        <w:spacing w:line="386" w:lineRule="auto" w:before="65"/>
        <w:ind w:right="1128" w:firstLine="413"/>
        <w:jc w:val="both"/>
      </w:pPr>
      <w:r>
        <w:rPr/>
        <w:t>本公司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日与长春农村商业银行股份有限公司春城支行签订的编号为</w:t>
      </w:r>
      <w:r>
        <w:rPr>
          <w:rFonts w:ascii="Times New Roman" w:hAnsi="Times New Roman" w:cs="Times New Roman" w:eastAsia="Times New Roman" w:hint="default"/>
        </w:rPr>
        <w:t>20181022000736</w:t>
      </w:r>
      <w:r>
        <w:rPr/>
        <w:t>号借</w:t>
      </w:r>
      <w:r>
        <w:rPr>
          <w:w w:val="100"/>
        </w:rPr>
        <w:t> </w:t>
      </w:r>
      <w:r>
        <w:rPr>
          <w:spacing w:val="-1"/>
        </w:rPr>
        <w:t>款合同，约定借款金额</w:t>
      </w:r>
      <w:r>
        <w:rPr>
          <w:rFonts w:ascii="Times New Roman" w:hAnsi="Times New Roman" w:cs="Times New Roman" w:eastAsia="Times New Roman" w:hint="default"/>
          <w:spacing w:val="-1"/>
        </w:rPr>
        <w:t>3,000</w:t>
      </w:r>
      <w:r>
        <w:rPr>
          <w:spacing w:val="-1"/>
        </w:rPr>
        <w:t>万元，借款期限</w:t>
      </w:r>
      <w:r>
        <w:rPr>
          <w:rFonts w:ascii="Times New Roman" w:hAnsi="Times New Roman" w:cs="Times New Roman" w:eastAsia="Times New Roman" w:hint="default"/>
          <w:spacing w:val="-1"/>
        </w:rPr>
        <w:t>3</w:t>
      </w:r>
      <w:r>
        <w:rPr>
          <w:spacing w:val="-1"/>
        </w:rPr>
        <w:t>年；以吉林紫鑫金桂药业有限公司的房屋土地使用权抵押给</w:t>
      </w:r>
      <w:r>
        <w:rPr>
          <w:spacing w:val="-29"/>
        </w:rPr>
        <w:t> </w:t>
      </w:r>
      <w:r>
        <w:rPr>
          <w:spacing w:val="-29"/>
        </w:rPr>
      </w:r>
      <w:r>
        <w:rPr/>
        <w:t>长春农村商业银行股份有限公司春城支行，为上述借款提供抵押担保。</w:t>
      </w:r>
    </w:p>
    <w:p>
      <w:pPr>
        <w:pStyle w:val="BodyText"/>
        <w:spacing w:line="386" w:lineRule="auto" w:before="65"/>
        <w:ind w:right="1126" w:firstLine="413"/>
        <w:jc w:val="both"/>
      </w:pPr>
      <w:r>
        <w:rPr>
          <w:spacing w:val="2"/>
        </w:rPr>
        <w:t>本公司全资子公司吉林紫鑫参工堂生物科技有限公司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25</w:t>
      </w:r>
      <w:r>
        <w:rPr>
          <w:spacing w:val="2"/>
        </w:rPr>
        <w:t>日与吉林银行股份有限公司长春</w:t>
      </w:r>
      <w:r>
        <w:rPr>
          <w:w w:val="100"/>
        </w:rPr>
        <w:t> </w:t>
      </w:r>
      <w:r>
        <w:rPr/>
        <w:t>瑞祥支行签订的编号为吉林银行股份有限公司长春瑞祥支行</w:t>
      </w:r>
      <w:r>
        <w:rPr>
          <w:rFonts w:ascii="Times New Roman" w:hAnsi="Times New Roman" w:cs="Times New Roman" w:eastAsia="Times New Roman" w:hint="default"/>
        </w:rPr>
        <w:t>2018</w:t>
      </w:r>
      <w:r>
        <w:rPr/>
        <w:t>年固借字第</w:t>
      </w:r>
      <w:r>
        <w:rPr>
          <w:rFonts w:ascii="Times New Roman" w:hAnsi="Times New Roman" w:cs="Times New Roman" w:eastAsia="Times New Roman" w:hint="default"/>
        </w:rPr>
        <w:t>030</w:t>
      </w:r>
      <w:r>
        <w:rPr/>
        <w:t>号借款合同，约定借款金</w:t>
      </w:r>
      <w:r>
        <w:rPr>
          <w:spacing w:val="-29"/>
        </w:rPr>
        <w:t> </w:t>
      </w:r>
      <w:r>
        <w:rPr>
          <w:spacing w:val="-29"/>
        </w:rPr>
      </w:r>
      <w:r>
        <w:rPr>
          <w:spacing w:val="-1"/>
        </w:rPr>
        <w:t>额</w:t>
      </w:r>
      <w:r>
        <w:rPr>
          <w:rFonts w:ascii="Times New Roman" w:hAnsi="Times New Roman" w:cs="Times New Roman" w:eastAsia="Times New Roman" w:hint="default"/>
          <w:spacing w:val="-1"/>
        </w:rPr>
        <w:t>1,100</w:t>
      </w:r>
      <w:r>
        <w:rPr>
          <w:spacing w:val="-1"/>
        </w:rPr>
        <w:t>万元，借款期限</w:t>
      </w:r>
      <w:r>
        <w:rPr>
          <w:rFonts w:ascii="Times New Roman" w:hAnsi="Times New Roman" w:cs="Times New Roman" w:eastAsia="Times New Roman" w:hint="default"/>
          <w:spacing w:val="-1"/>
        </w:rPr>
        <w:t>7</w:t>
      </w:r>
      <w:r>
        <w:rPr>
          <w:spacing w:val="-1"/>
        </w:rPr>
        <w:t>年；以吉林紫鑫参工堂生物科技有限公司的房屋土地使用权抵押给吉林银行股份</w:t>
      </w:r>
      <w:r>
        <w:rPr>
          <w:spacing w:val="-26"/>
        </w:rPr>
        <w:t> </w:t>
      </w:r>
      <w:r>
        <w:rPr>
          <w:spacing w:val="-26"/>
        </w:rPr>
      </w:r>
      <w:r>
        <w:rPr>
          <w:spacing w:val="-2"/>
        </w:rPr>
        <w:t>有限公司长春瑞祥支行，为上述借款提供抵押担保。编号为吉林银行股份有限公司长春瑞祥支行</w:t>
      </w:r>
      <w:r>
        <w:rPr>
          <w:rFonts w:ascii="Times New Roman" w:hAnsi="Times New Roman" w:cs="Times New Roman" w:eastAsia="Times New Roman" w:hint="default"/>
          <w:spacing w:val="-2"/>
        </w:rPr>
        <w:t>2018</w:t>
      </w:r>
      <w:r>
        <w:rPr>
          <w:spacing w:val="-2"/>
        </w:rPr>
        <w:t>年固</w:t>
      </w:r>
      <w:r>
        <w:rPr>
          <w:spacing w:val="-38"/>
        </w:rPr>
        <w:t> </w:t>
      </w:r>
      <w:r>
        <w:rPr>
          <w:spacing w:val="-1"/>
        </w:rPr>
        <w:t>借字第</w:t>
      </w:r>
      <w:r>
        <w:rPr>
          <w:rFonts w:ascii="Times New Roman" w:hAnsi="Times New Roman" w:cs="Times New Roman" w:eastAsia="Times New Roman" w:hint="default"/>
          <w:spacing w:val="-1"/>
        </w:rPr>
        <w:t>033</w:t>
      </w:r>
      <w:r>
        <w:rPr>
          <w:spacing w:val="-1"/>
        </w:rPr>
        <w:t>号借款合同，约定借款金额</w:t>
      </w:r>
      <w:r>
        <w:rPr>
          <w:rFonts w:ascii="Times New Roman" w:hAnsi="Times New Roman" w:cs="Times New Roman" w:eastAsia="Times New Roman" w:hint="default"/>
          <w:spacing w:val="-1"/>
        </w:rPr>
        <w:t>28,900</w:t>
      </w:r>
      <w:r>
        <w:rPr>
          <w:spacing w:val="-1"/>
        </w:rPr>
        <w:t>万元，借款期限</w:t>
      </w:r>
      <w:r>
        <w:rPr>
          <w:rFonts w:ascii="Times New Roman" w:hAnsi="Times New Roman" w:cs="Times New Roman" w:eastAsia="Times New Roman" w:hint="default"/>
          <w:spacing w:val="-1"/>
        </w:rPr>
        <w:t>7</w:t>
      </w:r>
      <w:r>
        <w:rPr>
          <w:spacing w:val="-1"/>
        </w:rPr>
        <w:t>年；述借款由本公司作为信用担保承担保证</w:t>
      </w:r>
      <w:r>
        <w:rPr>
          <w:spacing w:val="-28"/>
        </w:rPr>
        <w:t> </w:t>
      </w:r>
      <w:r>
        <w:rPr>
          <w:spacing w:val="-28"/>
        </w:rPr>
      </w:r>
      <w:r>
        <w:rPr/>
        <w:t>责任。</w:t>
      </w:r>
    </w:p>
    <w:p>
      <w:pPr>
        <w:pStyle w:val="BodyText"/>
        <w:spacing w:line="386" w:lineRule="auto" w:before="65"/>
        <w:ind w:right="1131" w:firstLine="413"/>
        <w:jc w:val="both"/>
      </w:pPr>
      <w:r>
        <w:rPr>
          <w:spacing w:val="2"/>
        </w:rPr>
        <w:t>本公司全资子公司吉林紫鑫金桂药业有限公司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25</w:t>
      </w:r>
      <w:r>
        <w:rPr>
          <w:spacing w:val="2"/>
        </w:rPr>
        <w:t>日与吉林银行股份有限公司长春瑞祥支</w:t>
      </w:r>
      <w:r>
        <w:rPr>
          <w:w w:val="100"/>
        </w:rPr>
        <w:t> </w:t>
      </w:r>
      <w:r>
        <w:rPr>
          <w:spacing w:val="-1"/>
        </w:rPr>
        <w:t>行签订的编号为吉林银行股份有限公司长春瑞祥支行</w:t>
      </w:r>
      <w:r>
        <w:rPr>
          <w:rFonts w:ascii="Times New Roman" w:hAnsi="Times New Roman" w:cs="Times New Roman" w:eastAsia="Times New Roman" w:hint="default"/>
          <w:spacing w:val="-1"/>
        </w:rPr>
        <w:t>2018</w:t>
      </w:r>
      <w:r>
        <w:rPr>
          <w:spacing w:val="-1"/>
        </w:rPr>
        <w:t>年固借字第</w:t>
      </w:r>
      <w:r>
        <w:rPr>
          <w:rFonts w:ascii="Times New Roman" w:hAnsi="Times New Roman" w:cs="Times New Roman" w:eastAsia="Times New Roman" w:hint="default"/>
          <w:spacing w:val="-1"/>
        </w:rPr>
        <w:t>031</w:t>
      </w:r>
      <w:r>
        <w:rPr>
          <w:spacing w:val="-1"/>
        </w:rPr>
        <w:t>号借款合同，约定借款金额</w:t>
      </w:r>
      <w:r>
        <w:rPr>
          <w:rFonts w:ascii="Times New Roman" w:hAnsi="Times New Roman" w:cs="Times New Roman" w:eastAsia="Times New Roman" w:hint="default"/>
          <w:spacing w:val="-1"/>
        </w:rPr>
        <w:t>4,650</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万元，借款期限</w:t>
      </w:r>
      <w:r>
        <w:rPr>
          <w:rFonts w:ascii="Times New Roman" w:hAnsi="Times New Roman" w:cs="Times New Roman" w:eastAsia="Times New Roman" w:hint="default"/>
        </w:rPr>
        <w:t>3</w:t>
      </w:r>
      <w:r>
        <w:rPr/>
        <w:t>年；以吉林紫鑫金桂药业有限公司的房屋土地使用权抵押给吉林银行股份有限公司长春</w:t>
      </w:r>
      <w:r>
        <w:rPr>
          <w:spacing w:val="-25"/>
        </w:rPr>
        <w:t> </w:t>
      </w:r>
      <w:r>
        <w:rPr>
          <w:spacing w:val="-25"/>
        </w:rPr>
      </w:r>
      <w:r>
        <w:rPr/>
        <w:t>瑞祥支行，为上述借款提供抵押担保。编号为吉林银行股份有限公司长春瑞祥支行</w:t>
      </w:r>
      <w:r>
        <w:rPr>
          <w:rFonts w:ascii="Times New Roman" w:hAnsi="Times New Roman" w:cs="Times New Roman" w:eastAsia="Times New Roman" w:hint="default"/>
        </w:rPr>
        <w:t>2018</w:t>
      </w:r>
      <w:r>
        <w:rPr/>
        <w:t>年固借字第</w:t>
      </w:r>
      <w:r>
        <w:rPr>
          <w:rFonts w:ascii="Times New Roman" w:hAnsi="Times New Roman" w:cs="Times New Roman" w:eastAsia="Times New Roman" w:hint="default"/>
        </w:rPr>
        <w:t>032</w:t>
      </w:r>
      <w:r>
        <w:rPr/>
        <w:t>号</w:t>
      </w:r>
      <w:r>
        <w:rPr>
          <w:spacing w:val="-28"/>
        </w:rPr>
        <w:t> </w:t>
      </w:r>
      <w:r>
        <w:rPr/>
        <w:t>借款合同，约定借款金额</w:t>
      </w:r>
      <w:r>
        <w:rPr>
          <w:rFonts w:ascii="Times New Roman" w:hAnsi="Times New Roman" w:cs="Times New Roman" w:eastAsia="Times New Roman" w:hint="default"/>
        </w:rPr>
        <w:t>15,350</w:t>
      </w:r>
      <w:r>
        <w:rPr/>
        <w:t>万元，借款期限</w:t>
      </w:r>
      <w:r>
        <w:rPr>
          <w:rFonts w:ascii="Times New Roman" w:hAnsi="Times New Roman" w:cs="Times New Roman" w:eastAsia="Times New Roman" w:hint="default"/>
        </w:rPr>
        <w:t>3</w:t>
      </w:r>
      <w:r>
        <w:rPr/>
        <w:t>年；上述借款由本公司作为信用担保承担保证责任。</w:t>
      </w:r>
    </w:p>
    <w:p>
      <w:pPr>
        <w:pStyle w:val="BodyText"/>
        <w:spacing w:line="386" w:lineRule="auto" w:before="36"/>
        <w:ind w:right="1128" w:firstLine="413"/>
        <w:jc w:val="both"/>
      </w:pPr>
      <w:r>
        <w:rPr/>
        <w:t>本公司全资子公司吉林紫鑫般若药业有限公司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日与吉林银行股份有限公司长春瑞祥支行</w:t>
      </w:r>
      <w:r>
        <w:rPr>
          <w:w w:val="100"/>
        </w:rPr>
        <w:t> </w:t>
      </w:r>
      <w:r>
        <w:rPr>
          <w:spacing w:val="-1"/>
        </w:rPr>
        <w:t>签订的编号为吉林银行股份有限公司长春瑞祥支行</w:t>
      </w:r>
      <w:r>
        <w:rPr>
          <w:rFonts w:ascii="Times New Roman" w:hAnsi="Times New Roman" w:cs="Times New Roman" w:eastAsia="Times New Roman" w:hint="default"/>
          <w:spacing w:val="-1"/>
        </w:rPr>
        <w:t>2019</w:t>
      </w:r>
      <w:r>
        <w:rPr>
          <w:spacing w:val="-1"/>
        </w:rPr>
        <w:t>年固借字第</w:t>
      </w:r>
      <w:r>
        <w:rPr>
          <w:rFonts w:ascii="Times New Roman" w:hAnsi="Times New Roman" w:cs="Times New Roman" w:eastAsia="Times New Roman" w:hint="default"/>
          <w:spacing w:val="-1"/>
        </w:rPr>
        <w:t>001</w:t>
      </w:r>
      <w:r>
        <w:rPr>
          <w:spacing w:val="-1"/>
        </w:rPr>
        <w:t>号借款合同，约定借款金额</w:t>
      </w:r>
      <w:r>
        <w:rPr>
          <w:rFonts w:ascii="Times New Roman" w:hAnsi="Times New Roman" w:cs="Times New Roman" w:eastAsia="Times New Roman" w:hint="default"/>
          <w:spacing w:val="-1"/>
        </w:rPr>
        <w:t>5,000</w:t>
      </w:r>
      <w:r>
        <w:rPr>
          <w:spacing w:val="-1"/>
        </w:rPr>
        <w:t>万</w:t>
      </w:r>
      <w:r>
        <w:rPr>
          <w:spacing w:val="-25"/>
        </w:rPr>
        <w:t> </w:t>
      </w:r>
      <w:r>
        <w:rPr/>
        <w:t>元，借款期限</w:t>
      </w:r>
      <w:r>
        <w:rPr>
          <w:rFonts w:ascii="Times New Roman" w:hAnsi="Times New Roman" w:cs="Times New Roman" w:eastAsia="Times New Roman" w:hint="default"/>
        </w:rPr>
        <w:t>7</w:t>
      </w:r>
      <w:r>
        <w:rPr/>
        <w:t>年；以吉林紫鑫般若药业有限公司的房屋土地使用权抵押给吉林银行股份有限公司长春瑞</w:t>
      </w:r>
      <w:r>
        <w:rPr>
          <w:spacing w:val="-25"/>
        </w:rPr>
        <w:t> </w:t>
      </w:r>
      <w:r>
        <w:rPr>
          <w:spacing w:val="-25"/>
        </w:rPr>
      </w:r>
      <w:r>
        <w:rPr/>
        <w:t>祥支行，为上述借款提供抵押担保。编号为吉林有限公司长春瑞祥支行</w:t>
      </w:r>
      <w:r>
        <w:rPr>
          <w:rFonts w:ascii="Times New Roman" w:hAnsi="Times New Roman" w:cs="Times New Roman" w:eastAsia="Times New Roman" w:hint="default"/>
        </w:rPr>
        <w:t>2019</w:t>
      </w:r>
      <w:r>
        <w:rPr/>
        <w:t>年固借字第</w:t>
      </w:r>
      <w:r>
        <w:rPr>
          <w:rFonts w:ascii="Times New Roman" w:hAnsi="Times New Roman" w:cs="Times New Roman" w:eastAsia="Times New Roman" w:hint="default"/>
        </w:rPr>
        <w:t>002</w:t>
      </w:r>
      <w:r>
        <w:rPr/>
        <w:t>号借款合同，</w:t>
      </w:r>
      <w:r>
        <w:rPr>
          <w:spacing w:val="-24"/>
        </w:rPr>
        <w:t> </w:t>
      </w:r>
      <w:r>
        <w:rPr>
          <w:spacing w:val="-24"/>
        </w:rPr>
      </w:r>
      <w:r>
        <w:rPr/>
        <w:t>约定借款</w:t>
      </w:r>
      <w:r>
        <w:rPr>
          <w:rFonts w:ascii="Times New Roman" w:hAnsi="Times New Roman" w:cs="Times New Roman" w:eastAsia="Times New Roman" w:hint="default"/>
        </w:rPr>
        <w:t>1,5000</w:t>
      </w:r>
      <w:r>
        <w:rPr/>
        <w:t>万元，借款期限</w:t>
      </w:r>
      <w:r>
        <w:rPr>
          <w:rFonts w:ascii="Times New Roman" w:hAnsi="Times New Roman" w:cs="Times New Roman" w:eastAsia="Times New Roman" w:hint="default"/>
        </w:rPr>
        <w:t>7</w:t>
      </w:r>
      <w:r>
        <w:rPr/>
        <w:t>年；上述借款由本公司作为信用担保承担保证责任。</w:t>
      </w:r>
    </w:p>
    <w:p>
      <w:pPr>
        <w:pStyle w:val="BodyText"/>
        <w:spacing w:line="386" w:lineRule="auto" w:before="35"/>
        <w:ind w:right="1128" w:firstLine="413"/>
        <w:jc w:val="both"/>
      </w:pPr>
      <w:r>
        <w:rPr/>
        <w:t>本公司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日与长安国际信托有限公司签订的编号为宁单紫鑫</w:t>
      </w:r>
      <w:r>
        <w:rPr>
          <w:rFonts w:ascii="Times New Roman" w:hAnsi="Times New Roman" w:cs="Times New Roman" w:eastAsia="Times New Roman" w:hint="default"/>
        </w:rPr>
        <w:t>19080287</w:t>
      </w:r>
      <w:r>
        <w:rPr/>
        <w:t>号借款合同，约定借</w:t>
      </w:r>
      <w:r>
        <w:rPr>
          <w:w w:val="100"/>
        </w:rPr>
        <w:t> </w:t>
      </w:r>
      <w:r>
        <w:rPr>
          <w:spacing w:val="-3"/>
        </w:rPr>
        <w:t>款金额</w:t>
      </w:r>
      <w:r>
        <w:rPr>
          <w:rFonts w:ascii="Times New Roman" w:hAnsi="Times New Roman" w:cs="Times New Roman" w:eastAsia="Times New Roman" w:hint="default"/>
          <w:spacing w:val="-3"/>
        </w:rPr>
        <w:t>20,000</w:t>
      </w:r>
      <w:r>
        <w:rPr>
          <w:spacing w:val="-3"/>
        </w:rPr>
        <w:t>万元，借款期限</w:t>
      </w:r>
      <w:r>
        <w:rPr>
          <w:rFonts w:ascii="Times New Roman" w:hAnsi="Times New Roman" w:cs="Times New Roman" w:eastAsia="Times New Roman" w:hint="default"/>
          <w:spacing w:val="-3"/>
        </w:rPr>
        <w:t>2</w:t>
      </w:r>
      <w:r>
        <w:rPr>
          <w:spacing w:val="-3"/>
        </w:rPr>
        <w:t>年；以北京中科紫鑫科技有限公司的房屋土地使用权抵押给长安国际信托有</w:t>
      </w:r>
    </w:p>
    <w:p>
      <w:pPr>
        <w:spacing w:after="0" w:line="386"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left="566" w:right="1133" w:hanging="414"/>
        <w:jc w:val="left"/>
      </w:pPr>
      <w:r>
        <w:rPr/>
        <w:t>限公司，为上述借款提供抵押担保。</w:t>
      </w:r>
      <w:r>
        <w:rPr>
          <w:w w:val="100"/>
        </w:rPr>
        <w:t> </w:t>
      </w:r>
      <w:r>
        <w:rPr/>
        <w:t>本公司全资子公司吉林紫鑫禺拙药业有限公司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日与吉林银行通化新华支行签订的编号为</w:t>
      </w:r>
    </w:p>
    <w:p>
      <w:pPr>
        <w:pStyle w:val="BodyText"/>
        <w:spacing w:line="386" w:lineRule="auto" w:before="14"/>
        <w:ind w:right="1133"/>
        <w:jc w:val="left"/>
      </w:pPr>
      <w:r>
        <w:rPr>
          <w:spacing w:val="-3"/>
        </w:rPr>
        <w:t>吉林银行新华支行</w:t>
      </w:r>
      <w:r>
        <w:rPr>
          <w:rFonts w:ascii="Times New Roman" w:hAnsi="Times New Roman" w:cs="Times New Roman" w:eastAsia="Times New Roman" w:hint="default"/>
          <w:spacing w:val="-3"/>
        </w:rPr>
        <w:t>2017</w:t>
      </w:r>
      <w:r>
        <w:rPr>
          <w:spacing w:val="-3"/>
        </w:rPr>
        <w:t>年流借字第</w:t>
      </w:r>
      <w:r>
        <w:rPr>
          <w:rFonts w:ascii="Times New Roman" w:hAnsi="Times New Roman" w:cs="Times New Roman" w:eastAsia="Times New Roman" w:hint="default"/>
          <w:spacing w:val="-3"/>
        </w:rPr>
        <w:t>092502</w:t>
      </w:r>
      <w:r>
        <w:rPr>
          <w:spacing w:val="-3"/>
        </w:rPr>
        <w:t>号借款合同，约定借款金额</w:t>
      </w:r>
      <w:r>
        <w:rPr>
          <w:rFonts w:ascii="Times New Roman" w:hAnsi="Times New Roman" w:cs="Times New Roman" w:eastAsia="Times New Roman" w:hint="default"/>
          <w:spacing w:val="-3"/>
        </w:rPr>
        <w:t>1,0000</w:t>
      </w:r>
      <w:r>
        <w:rPr>
          <w:spacing w:val="-3"/>
        </w:rPr>
        <w:t>万元，借款期限</w:t>
      </w:r>
      <w:r>
        <w:rPr>
          <w:rFonts w:ascii="Times New Roman" w:hAnsi="Times New Roman" w:cs="Times New Roman" w:eastAsia="Times New Roman" w:hint="default"/>
          <w:spacing w:val="-3"/>
        </w:rPr>
        <w:t>3</w:t>
      </w:r>
      <w:r>
        <w:rPr>
          <w:spacing w:val="-3"/>
        </w:rPr>
        <w:t>年；上述借款</w:t>
      </w:r>
      <w:r>
        <w:rPr>
          <w:spacing w:val="-28"/>
        </w:rPr>
        <w:t> </w:t>
      </w:r>
      <w:r>
        <w:rPr>
          <w:spacing w:val="-28"/>
        </w:rPr>
      </w:r>
      <w:r>
        <w:rPr/>
        <w:t>为保证借款，由本公司作为信用担保承担保证责任。</w:t>
      </w:r>
    </w:p>
    <w:p>
      <w:pPr>
        <w:pStyle w:val="BodyText"/>
        <w:spacing w:line="240" w:lineRule="auto" w:before="65"/>
        <w:ind w:right="1133"/>
        <w:jc w:val="left"/>
      </w:pPr>
      <w:r>
        <w:rPr/>
        <w:t>（</w:t>
      </w: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日止，上述长期借款中无逾期的借款。</w:t>
      </w:r>
    </w:p>
    <w:p>
      <w:pPr>
        <w:spacing w:line="240" w:lineRule="auto" w:before="8"/>
        <w:rPr>
          <w:rFonts w:ascii="宋体" w:hAnsi="宋体" w:cs="宋体" w:eastAsia="宋体" w:hint="default"/>
          <w:sz w:val="30"/>
          <w:szCs w:val="30"/>
        </w:rPr>
      </w:pPr>
    </w:p>
    <w:p>
      <w:pPr>
        <w:pStyle w:val="Heading5"/>
        <w:spacing w:line="240" w:lineRule="auto"/>
        <w:ind w:right="1133"/>
        <w:jc w:val="left"/>
        <w:rPr>
          <w:b w:val="0"/>
          <w:bCs w:val="0"/>
        </w:rPr>
      </w:pPr>
      <w:bookmarkStart w:name="28、长期应付款" w:id="310"/>
      <w:bookmarkEnd w:id="310"/>
      <w:r>
        <w:rPr>
          <w:b w:val="0"/>
          <w:bCs w:val="0"/>
        </w:rPr>
      </w:r>
      <w:r>
        <w:rPr>
          <w:rFonts w:ascii="Times New Roman" w:hAnsi="Times New Roman" w:cs="Times New Roman" w:eastAsia="Times New Roman" w:hint="default"/>
        </w:rPr>
        <w:t>28</w:t>
      </w:r>
      <w:r>
        <w:rPr/>
        <w:t>、长期应付款</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14,717,144.83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14,917,144.83</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1）按款项性质列示长期应付款" w:id="311"/>
      <w:bookmarkEnd w:id="311"/>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14,717,144.83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14,717,144.83</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bookmarkStart w:name="（2）专项应付款" w:id="312"/>
      <w:bookmarkEnd w:id="312"/>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调整改造项目转贷 资金</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386" w:lineRule="auto" w:before="0"/>
        <w:ind w:right="1129" w:firstLine="420"/>
        <w:jc w:val="both"/>
      </w:pPr>
      <w:r>
        <w:rPr/>
        <w:t>根据通化市财政局文件通市财建</w:t>
      </w:r>
      <w:r>
        <w:rPr>
          <w:rFonts w:ascii="Times New Roman" w:hAnsi="Times New Roman" w:cs="Times New Roman" w:eastAsia="Times New Roman" w:hint="default"/>
        </w:rPr>
        <w:t>[2004]61</w:t>
      </w:r>
      <w:r>
        <w:rPr/>
        <w:t>号《关于下达</w:t>
      </w:r>
      <w:r>
        <w:rPr>
          <w:rFonts w:ascii="Times New Roman" w:hAnsi="Times New Roman" w:cs="Times New Roman" w:eastAsia="Times New Roman" w:hint="default"/>
        </w:rPr>
        <w:t>2004</w:t>
      </w:r>
      <w:r>
        <w:rPr/>
        <w:t>年东北老工业基地调整改造国债转贷支出</w:t>
      </w:r>
      <w:r>
        <w:rPr>
          <w:w w:val="100"/>
        </w:rPr>
        <w:t> </w:t>
      </w:r>
      <w:r>
        <w:rPr/>
        <w:t>计划的通知》，</w:t>
      </w:r>
      <w:r>
        <w:rPr>
          <w:rFonts w:ascii="Times New Roman" w:hAnsi="Times New Roman" w:cs="Times New Roman" w:eastAsia="Times New Roman" w:hint="default"/>
        </w:rPr>
        <w:t>2005</w:t>
      </w:r>
      <w:r>
        <w:rPr/>
        <w:t>年柳河县财政局拨入本公司</w:t>
      </w:r>
      <w:r>
        <w:rPr>
          <w:rFonts w:ascii="Times New Roman" w:hAnsi="Times New Roman" w:cs="Times New Roman" w:eastAsia="Times New Roman" w:hint="default"/>
        </w:rPr>
        <w:t>160</w:t>
      </w:r>
      <w:r>
        <w:rPr/>
        <w:t>万元中央国债地方转贷资金，专项用于东北地区等老</w:t>
      </w:r>
      <w:r>
        <w:rPr>
          <w:spacing w:val="-28"/>
        </w:rPr>
        <w:t> </w:t>
      </w:r>
      <w:r>
        <w:rPr>
          <w:spacing w:val="-28"/>
        </w:rPr>
      </w:r>
      <w:r>
        <w:rPr/>
        <w:t>工业基地调整改造项目建设。</w:t>
      </w:r>
    </w:p>
    <w:p>
      <w:pPr>
        <w:spacing w:after="0" w:line="386"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bookmarkStart w:name="29、递延收益" w:id="313"/>
      <w:bookmarkEnd w:id="313"/>
      <w:r>
        <w:rPr>
          <w:b w:val="0"/>
          <w:bCs w:val="0"/>
        </w:rPr>
      </w:r>
      <w:r>
        <w:rPr>
          <w:rFonts w:ascii="Times New Roman" w:hAnsi="Times New Roman" w:cs="Times New Roman" w:eastAsia="Times New Roman" w:hint="default"/>
        </w:rPr>
        <w:t>29</w:t>
      </w:r>
      <w:r>
        <w:rPr/>
        <w:t>、递延收益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248,567,848.17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15,065,600.00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8,472,398.62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255,161,049.55</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委托合作款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5"/>
              <w:jc w:val="center"/>
              <w:rPr>
                <w:rFonts w:ascii="宋体" w:hAnsi="宋体" w:cs="宋体" w:eastAsia="宋体" w:hint="default"/>
                <w:sz w:val="18"/>
                <w:szCs w:val="18"/>
              </w:rPr>
            </w:pPr>
            <w:r>
              <w:rPr>
                <w:rFonts w:ascii="宋体" w:hAnsi="宋体" w:cs="宋体" w:eastAsia="宋体" w:hint="default"/>
                <w:sz w:val="18"/>
                <w:szCs w:val="18"/>
              </w:rPr>
              <w:t>合作单位无偿投入</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未实现售后租回损 益</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8,058,445.34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93,832.41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3,882,767.46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4,269,510.29</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257,326,293.51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15,159,432.41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12,355,166.08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260,130,559.84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025"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无偿划拨土 地</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70,839,196.00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1,531,658.28</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69,307,537.72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关于城镇保 证住房专项 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4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固体制剂及 口服液生产 线升级改造 项目资金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基础项目建 设</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3,189,041.94</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490,621.80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2,698,420.14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东北老工业 基地基建投 资</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12,889,560.20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886,957.92</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12,002,602.28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紫鑫般若药 业有限公司 污水深度处 理与中水回 用工程</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294,099.95</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32,600.04</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261,499.91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2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 益心丸等微 丸、</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更年宁等水 丸和水蜜丸 等大小蜜丸</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2,992,499.82</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665,000.04</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2,327,499.78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36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能力</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人参皂苷精 致提取物、 针剂生产项 目及中分子 肝素制剂新 药研究</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种苗研究经 费</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119,622.50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980,377.50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生物核酸综 合检测分析 系统开发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601,361.00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601,361.00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柳河县住房 和城乡建设 局廉租房建 设资金专户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1,350,000.00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1,350,000.00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吉林紫鑫金 桂药业产业 园建设项目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33,748,100.11</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1,763,424.00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42,984,676.11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产业转型升 级项目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环境保护专 项治理资金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口服液制剂 车间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GMP</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改造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3,758,400.00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208,800.00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3,549,600.00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4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 支生物发酵 蜜环菌脑心 舒产业化项 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 </w:t>
            </w:r>
            <w:r>
              <w:rPr>
                <w:rFonts w:ascii="宋体" w:hAnsi="宋体" w:cs="宋体" w:eastAsia="宋体" w:hint="default"/>
                <w:sz w:val="18"/>
                <w:szCs w:val="18"/>
              </w:rPr>
              <w:t>万 瓶人参酵素 饮料产业化</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3,134,779.79</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355,280.00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2,779,499.79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基础设施建 设</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20,816,499.58</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1,054,000.00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19,762,499.58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年加工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z w:val="18"/>
                <w:szCs w:val="18"/>
              </w:rPr>
              <w:t>吨人参系列 化制品项目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631,999.79</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599,999.79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人参加工</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738,371.66</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49,834.01</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688,537.65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67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GMP</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项目建 设奖金</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人参果蔬发 酵饮料、人 参果蔬发酵 咀嚼片项目 专项资金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991,666.67</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100,000.01</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891,666.66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现代农业发 展引导资金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2,528,749.99</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255,000.02</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2,273,749.97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省级现代农 业发展人参 产业专项资 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595,000.00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535,000.00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 瓶暴贝口服 液项目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人参加工接 续产业发展 项目资金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3,071,200.00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139,600.00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2,931,600.00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敦化市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生晒参加工 扩建项目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3,864,000.00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3,696,000.00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传统农业升 级改造专项 经费</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老工业基地 调整改造专 项资金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慢速磨浆 原理生产人 参液态食品 关键技术开 发与转化</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396,666.67</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356,666.67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人参蜜片生 产控制系统 升级改造项 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595,000.00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535,000.00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8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年梅河 口市支持企 业发展专项</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24,686,755.00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24,686,755.00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36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吉林紫鑫参 工堂生物科 技有限公司 项目入驻吉 林紫鑫梅河 口大健康高 科技产业园</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10,144,900.00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3,565,600.00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13,710,500.00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省医药健康 产业发展专 项资金</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248,567,848.17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15,065,600.0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8,472,398.62</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255,161,049.55</w:t>
            </w:r>
          </w:p>
        </w:tc>
        <w:tc>
          <w:tcPr>
            <w:tcW w:w="101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bookmarkStart w:name="30、股本" w:id="314"/>
      <w:bookmarkEnd w:id="314"/>
      <w:r>
        <w:rPr>
          <w:b w:val="0"/>
          <w:bCs w:val="0"/>
        </w:rPr>
      </w:r>
      <w:r>
        <w:rPr>
          <w:rFonts w:ascii="Times New Roman" w:hAnsi="Times New Roman" w:cs="Times New Roman" w:eastAsia="Times New Roman" w:hint="default"/>
        </w:rPr>
        <w:t>30</w:t>
      </w:r>
      <w:r>
        <w:rPr/>
        <w:t>、股本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96"/>
        <w:gridCol w:w="1198"/>
      </w:tblGrid>
      <w:tr>
        <w:trPr>
          <w:trHeight w:val="205"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vMerge/>
            <w:tcBorders>
              <w:left w:val="single" w:sz="4" w:space="0" w:color="000000"/>
              <w:bottom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9" w:space="0" w:color="D2D2D2"/>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1,280,759,826.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1,280,759,826.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bookmarkStart w:name="31、资本公积" w:id="315"/>
      <w:bookmarkEnd w:id="315"/>
      <w:r>
        <w:rPr>
          <w:b w:val="0"/>
          <w:bCs w:val="0"/>
        </w:rPr>
      </w:r>
      <w:r>
        <w:rPr>
          <w:rFonts w:ascii="Times New Roman" w:hAnsi="Times New Roman" w:cs="Times New Roman" w:eastAsia="Times New Roman" w:hint="default"/>
        </w:rPr>
        <w:t>31</w:t>
      </w:r>
      <w:r>
        <w:rPr/>
        <w:t>、资本公积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623" w:right="0"/>
              <w:jc w:val="left"/>
              <w:rPr>
                <w:rFonts w:ascii="Times New Roman" w:hAnsi="Times New Roman" w:cs="Times New Roman" w:eastAsia="Times New Roman" w:hint="default"/>
                <w:sz w:val="18"/>
                <w:szCs w:val="18"/>
              </w:rPr>
            </w:pPr>
            <w:r>
              <w:rPr>
                <w:rFonts w:ascii="Times New Roman"/>
                <w:sz w:val="18"/>
              </w:rPr>
              <w:t>1,533,835,753.68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2" w:right="0"/>
              <w:jc w:val="left"/>
              <w:rPr>
                <w:rFonts w:ascii="Times New Roman" w:hAnsi="Times New Roman" w:cs="Times New Roman" w:eastAsia="Times New Roman" w:hint="default"/>
                <w:sz w:val="18"/>
                <w:szCs w:val="18"/>
              </w:rPr>
            </w:pPr>
            <w:r>
              <w:rPr>
                <w:rFonts w:ascii="Times New Roman"/>
                <w:sz w:val="18"/>
              </w:rPr>
              <w:t>1,533,835,753.68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1,533,835,753.68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2" w:right="0"/>
              <w:jc w:val="left"/>
              <w:rPr>
                <w:rFonts w:ascii="Times New Roman" w:hAnsi="Times New Roman" w:cs="Times New Roman" w:eastAsia="Times New Roman" w:hint="default"/>
                <w:sz w:val="18"/>
                <w:szCs w:val="18"/>
              </w:rPr>
            </w:pPr>
            <w:r>
              <w:rPr>
                <w:rFonts w:ascii="Times New Roman"/>
                <w:sz w:val="18"/>
              </w:rPr>
              <w:t>1,533,835,753.68</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bookmarkStart w:name="32、其他综合收益" w:id="316"/>
      <w:bookmarkEnd w:id="316"/>
      <w:r>
        <w:rPr>
          <w:b w:val="0"/>
          <w:bCs w:val="0"/>
        </w:rPr>
      </w:r>
      <w:r>
        <w:rPr>
          <w:rFonts w:ascii="Times New Roman" w:hAnsi="Times New Roman" w:cs="Times New Roman" w:eastAsia="Times New Roman" w:hint="default"/>
        </w:rPr>
        <w:t>32</w:t>
      </w:r>
      <w:r>
        <w:rPr/>
        <w:t>、其他综合收益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55"/>
        <w:gridCol w:w="975"/>
        <w:gridCol w:w="852"/>
        <w:gridCol w:w="1052"/>
        <w:gridCol w:w="852"/>
        <w:gridCol w:w="852"/>
        <w:gridCol w:w="853"/>
        <w:gridCol w:w="852"/>
        <w:gridCol w:w="727"/>
      </w:tblGrid>
      <w:tr>
        <w:trPr>
          <w:trHeight w:val="402" w:hRule="exact"/>
        </w:trPr>
        <w:tc>
          <w:tcPr>
            <w:tcW w:w="25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1338" w:hRule="exact"/>
        </w:trPr>
        <w:tc>
          <w:tcPr>
            <w:tcW w:w="2555"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5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44"/>
        <w:gridCol w:w="975"/>
        <w:gridCol w:w="852"/>
        <w:gridCol w:w="1052"/>
        <w:gridCol w:w="852"/>
        <w:gridCol w:w="852"/>
        <w:gridCol w:w="853"/>
        <w:gridCol w:w="852"/>
        <w:gridCol w:w="727"/>
      </w:tblGrid>
      <w:tr>
        <w:trPr>
          <w:trHeight w:val="363"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2"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合收益</w:t>
            </w:r>
          </w:p>
        </w:tc>
        <w:tc>
          <w:tcPr>
            <w:tcW w:w="975" w:type="dxa"/>
            <w:tcBorders>
              <w:top w:val="single" w:sz="4" w:space="0" w:color="000000"/>
              <w:left w:val="single" w:sz="10" w:space="0" w:color="D2D2D2"/>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66,981,21</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4.28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-66,981,214.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0" w:firstLine="540"/>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975" w:type="dxa"/>
            <w:tcBorders>
              <w:top w:val="single" w:sz="4" w:space="0" w:color="000000"/>
              <w:left w:val="single" w:sz="10" w:space="0" w:color="D2D2D2"/>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66,981,21</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4.28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-66,981,214.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7,793,455.4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65,965.97</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65,965.97</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7,859,42</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1.46</w:t>
            </w:r>
          </w:p>
        </w:tc>
      </w:tr>
      <w:tr>
        <w:trPr>
          <w:trHeight w:val="161" w:hRule="exact"/>
        </w:trPr>
        <w:tc>
          <w:tcPr>
            <w:tcW w:w="2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3,188,855.8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32,232.97</w:t>
            </w:r>
          </w:p>
        </w:tc>
        <w:tc>
          <w:tcPr>
            <w:tcW w:w="10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32,232.97</w:t>
            </w:r>
          </w:p>
        </w:tc>
        <w:tc>
          <w:tcPr>
            <w:tcW w:w="852"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3,221,08</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8.80</w:t>
            </w:r>
          </w:p>
        </w:tc>
      </w:tr>
      <w:tr>
        <w:trPr>
          <w:trHeight w:val="394"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5" w:type="dxa"/>
            <w:vMerge/>
            <w:tcBorders>
              <w:left w:val="single" w:sz="10"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10"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r>
        <w:trPr>
          <w:trHeight w:val="713" w:hRule="exact"/>
        </w:trPr>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4,604,599.6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33,733.00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33,733.00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4,638,33</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2.66</w:t>
            </w:r>
          </w:p>
        </w:tc>
      </w:tr>
      <w:tr>
        <w:trPr>
          <w:trHeight w:val="715"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7,793,455.4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67,047,18</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0.25</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-66,981,214.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65,965.97</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7,859,42</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1.46</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
        <w:rPr>
          <w:rFonts w:ascii="宋体" w:hAnsi="宋体" w:cs="宋体" w:eastAsia="宋体" w:hint="default"/>
          <w:sz w:val="13"/>
          <w:szCs w:val="13"/>
        </w:rPr>
      </w:pPr>
    </w:p>
    <w:p>
      <w:pPr>
        <w:pStyle w:val="BodyText"/>
        <w:spacing w:line="386" w:lineRule="auto" w:before="0"/>
        <w:ind w:right="0" w:firstLine="413"/>
        <w:jc w:val="left"/>
      </w:pPr>
      <w:r>
        <w:rPr/>
        <w:t>根本公司持有的长春农村商业银行股份有限公司的部分股权 </w:t>
      </w:r>
      <w:r>
        <w:rPr>
          <w:rFonts w:ascii="Times New Roman" w:hAnsi="Times New Roman" w:cs="Times New Roman" w:eastAsia="Times New Roman" w:hint="default"/>
        </w:rPr>
        <w:t>4,086 </w:t>
      </w:r>
      <w:r>
        <w:rPr>
          <w:spacing w:val="-4"/>
        </w:rPr>
        <w:t>万股，占长春农商行总股本</w:t>
      </w:r>
      <w:r>
        <w:rPr>
          <w:spacing w:val="-47"/>
        </w:rPr>
        <w:t> </w:t>
      </w:r>
      <w:r>
        <w:rPr>
          <w:rFonts w:ascii="Times New Roman" w:hAnsi="Times New Roman" w:cs="Times New Roman" w:eastAsia="Times New Roman" w:hint="default"/>
        </w:rPr>
        <w:t>2.27%</w:t>
      </w:r>
      <w:r>
        <w:rPr>
          <w:rFonts w:ascii="Times New Roman" w:hAnsi="Times New Roman" w:cs="Times New Roman" w:eastAsia="Times New Roman" w:hint="default"/>
          <w:w w:val="100"/>
        </w:rPr>
        <w:t> </w:t>
      </w:r>
      <w:r>
        <w:rPr/>
        <w:t>出售，经与交易方友好协商，以大信会计事务所（特殊普通合伙）出具的长春农商行</w:t>
      </w:r>
      <w:r>
        <w:rPr>
          <w:spacing w:val="-24"/>
        </w:rPr>
        <w:t> </w:t>
      </w:r>
      <w:r>
        <w:rPr>
          <w:rFonts w:ascii="Times New Roman" w:hAnsi="Times New Roman" w:cs="Times New Roman" w:eastAsia="Times New Roman" w:hint="default"/>
        </w:rPr>
        <w:t>2018</w:t>
      </w:r>
      <w:r>
        <w:rPr/>
        <w:t>年年度《审计</w:t>
      </w:r>
      <w:r>
        <w:rPr>
          <w:w w:val="100"/>
        </w:rPr>
        <w:t> </w:t>
      </w:r>
      <w:r>
        <w:rPr/>
        <w:t>报告》（编号：大信审字</w:t>
      </w:r>
      <w:r>
        <w:rPr>
          <w:rFonts w:ascii="Times New Roman" w:hAnsi="Times New Roman" w:cs="Times New Roman" w:eastAsia="Times New Roman" w:hint="default"/>
        </w:rPr>
        <w:t>[2019]</w:t>
      </w:r>
      <w:r>
        <w:rPr/>
        <w:t>第 </w:t>
      </w:r>
      <w:r>
        <w:rPr>
          <w:rFonts w:ascii="Times New Roman" w:hAnsi="Times New Roman" w:cs="Times New Roman" w:eastAsia="Times New Roman" w:hint="default"/>
        </w:rPr>
        <w:t>1-01488 </w:t>
      </w:r>
      <w:r>
        <w:rPr/>
        <w:t>号）为定价参考依据，协商以每股 </w:t>
      </w:r>
      <w:r>
        <w:rPr>
          <w:rFonts w:ascii="Times New Roman" w:hAnsi="Times New Roman" w:cs="Times New Roman" w:eastAsia="Times New Roman" w:hint="default"/>
        </w:rPr>
        <w:t>2.5</w:t>
      </w:r>
      <w:r>
        <w:rPr>
          <w:rFonts w:ascii="Times New Roman" w:hAnsi="Times New Roman" w:cs="Times New Roman" w:eastAsia="Times New Roman" w:hint="default"/>
          <w:spacing w:val="17"/>
        </w:rPr>
        <w:t> </w:t>
      </w:r>
      <w:r>
        <w:rPr/>
        <w:t>元人民币的价格，合计</w:t>
      </w:r>
    </w:p>
    <w:p>
      <w:pPr>
        <w:pStyle w:val="BodyText"/>
        <w:spacing w:line="386" w:lineRule="auto" w:before="35"/>
        <w:ind w:right="1133"/>
        <w:jc w:val="left"/>
      </w:pPr>
      <w:r>
        <w:rPr/>
        <w:t>成交金额</w:t>
      </w:r>
      <w:r>
        <w:rPr>
          <w:spacing w:val="21"/>
        </w:rPr>
        <w:t> </w:t>
      </w:r>
      <w:r>
        <w:rPr>
          <w:rFonts w:ascii="Times New Roman" w:hAnsi="Times New Roman" w:cs="Times New Roman" w:eastAsia="Times New Roman" w:hint="default"/>
        </w:rPr>
        <w:t>10,215</w:t>
      </w:r>
      <w:r>
        <w:rPr>
          <w:rFonts w:ascii="Times New Roman" w:hAnsi="Times New Roman" w:cs="Times New Roman" w:eastAsia="Times New Roman" w:hint="default"/>
          <w:spacing w:val="16"/>
        </w:rPr>
        <w:t> </w:t>
      </w:r>
      <w:r>
        <w:rPr>
          <w:spacing w:val="-4"/>
        </w:rPr>
        <w:t>万元。扣除成本后的差额</w:t>
      </w:r>
      <w:r>
        <w:rPr>
          <w:rFonts w:ascii="Times New Roman" w:hAnsi="Times New Roman" w:cs="Times New Roman" w:eastAsia="Times New Roman" w:hint="default"/>
          <w:spacing w:val="-4"/>
        </w:rPr>
        <w:t>66,981,214.28</w:t>
      </w:r>
      <w:r>
        <w:rPr>
          <w:spacing w:val="-4"/>
        </w:rPr>
        <w:t>元转入其他综合收益，在年末时将其分别结转到盈</w:t>
      </w:r>
      <w:r>
        <w:rPr>
          <w:spacing w:val="-95"/>
        </w:rPr>
        <w:t> </w:t>
      </w:r>
      <w:r>
        <w:rPr>
          <w:spacing w:val="-95"/>
        </w:rPr>
      </w:r>
      <w:r>
        <w:rPr/>
        <w:t>余公积金额</w:t>
      </w:r>
      <w:r>
        <w:rPr>
          <w:rFonts w:ascii="Times New Roman" w:hAnsi="Times New Roman" w:cs="Times New Roman" w:eastAsia="Times New Roman" w:hint="default"/>
        </w:rPr>
        <w:t>6,698,121.43</w:t>
      </w:r>
      <w:r>
        <w:rPr/>
        <w:t>元，结转未分配利润金额为</w:t>
      </w:r>
      <w:r>
        <w:rPr>
          <w:rFonts w:ascii="Times New Roman" w:hAnsi="Times New Roman" w:cs="Times New Roman" w:eastAsia="Times New Roman" w:hint="default"/>
        </w:rPr>
        <w:t>60,283,092.85</w:t>
      </w:r>
      <w:r>
        <w:rPr/>
        <w:t>元。</w:t>
      </w:r>
    </w:p>
    <w:p>
      <w:pPr>
        <w:spacing w:line="240" w:lineRule="auto" w:before="10"/>
        <w:rPr>
          <w:rFonts w:ascii="宋体" w:hAnsi="宋体" w:cs="宋体" w:eastAsia="宋体" w:hint="default"/>
          <w:sz w:val="19"/>
          <w:szCs w:val="19"/>
        </w:rPr>
      </w:pPr>
    </w:p>
    <w:p>
      <w:pPr>
        <w:pStyle w:val="Heading5"/>
        <w:spacing w:line="240" w:lineRule="auto"/>
        <w:ind w:right="1133"/>
        <w:jc w:val="left"/>
        <w:rPr>
          <w:b w:val="0"/>
          <w:bCs w:val="0"/>
        </w:rPr>
      </w:pPr>
      <w:bookmarkStart w:name="33、盈余公积" w:id="317"/>
      <w:bookmarkEnd w:id="317"/>
      <w:r>
        <w:rPr>
          <w:b w:val="0"/>
          <w:bCs w:val="0"/>
        </w:rPr>
      </w:r>
      <w:r>
        <w:rPr>
          <w:rFonts w:ascii="Times New Roman" w:hAnsi="Times New Roman" w:cs="Times New Roman" w:eastAsia="Times New Roman" w:hint="default"/>
        </w:rPr>
        <w:t>33</w:t>
      </w:r>
      <w:r>
        <w:rPr/>
        <w:t>、盈余公积</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82,090,518.80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11,189,428.87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93,279,947.67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82,090,518.80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11,189,428.87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93,279,947.67</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bookmarkStart w:name="34、未分配利润" w:id="318"/>
      <w:bookmarkEnd w:id="318"/>
      <w:r>
        <w:rPr>
          <w:b w:val="0"/>
          <w:bCs w:val="0"/>
        </w:rPr>
      </w:r>
      <w:r>
        <w:rPr>
          <w:rFonts w:ascii="Times New Roman" w:hAnsi="Times New Roman" w:cs="Times New Roman" w:eastAsia="Times New Roman" w:hint="default"/>
        </w:rPr>
        <w:t>34</w:t>
      </w:r>
      <w:r>
        <w:rPr/>
        <w:t>、未分配利润</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1,403,054,707.93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1,229,665,769.31</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-846,225.84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1,402,208,482.09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1,229,665,769.31</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70,289,863.49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174,072,146.42</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4,491,307.44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683,207.80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1" w:hRule="exact"/>
        </w:trPr>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其他转入</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-60,283,092.85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1,528,290,130.99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30" w:right="0"/>
              <w:jc w:val="left"/>
              <w:rPr>
                <w:rFonts w:ascii="Times New Roman" w:hAnsi="Times New Roman" w:cs="Times New Roman" w:eastAsia="Times New Roman" w:hint="default"/>
                <w:sz w:val="18"/>
                <w:szCs w:val="18"/>
              </w:rPr>
            </w:pPr>
            <w:r>
              <w:rPr>
                <w:rFonts w:ascii="Times New Roman"/>
                <w:sz w:val="18"/>
              </w:rPr>
              <w:t>1,403,054,707.93</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Times New Roman" w:hAnsi="Times New Roman" w:cs="Times New Roman" w:eastAsia="Times New Roman" w:hint="default"/>
          <w:sz w:val="18"/>
          <w:szCs w:val="18"/>
        </w:rPr>
        <w:t>-846,225.84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p>
      <w:pPr>
        <w:spacing w:before="103"/>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bookmarkStart w:name="35、营业收入和营业成本" w:id="319"/>
      <w:bookmarkEnd w:id="319"/>
      <w:r>
        <w:rPr>
          <w:b w:val="0"/>
          <w:bCs w:val="0"/>
        </w:rPr>
      </w:r>
      <w:r>
        <w:rPr>
          <w:rFonts w:ascii="Times New Roman" w:hAnsi="Times New Roman" w:cs="Times New Roman" w:eastAsia="Times New Roman" w:hint="default"/>
        </w:rPr>
        <w:t>35</w:t>
      </w:r>
      <w:r>
        <w:rPr/>
        <w:t>、营业收入和营业成本</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855,543,889.08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199,369,007.11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1,321,771,817.53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462,834,741.77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3,745,355.03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2,555,353.42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3,189,294.60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3,032,399.43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859,289,244.11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201,924,360.53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1,324,961,112.13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465,867,141.20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40" w:lineRule="auto" w:before="115"/>
        <w:ind w:left="152" w:right="93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其他说明</w:t>
      </w:r>
    </w:p>
    <w:p>
      <w:pPr>
        <w:spacing w:line="240" w:lineRule="auto" w:before="6"/>
        <w:rPr>
          <w:rFonts w:ascii="宋体" w:hAnsi="宋体" w:cs="宋体" w:eastAsia="宋体" w:hint="default"/>
          <w:sz w:val="21"/>
          <w:szCs w:val="21"/>
        </w:rPr>
      </w:pPr>
    </w:p>
    <w:p>
      <w:pPr>
        <w:pStyle w:val="Heading5"/>
        <w:spacing w:line="240" w:lineRule="auto"/>
        <w:ind w:right="1133"/>
        <w:jc w:val="left"/>
        <w:rPr>
          <w:b w:val="0"/>
          <w:bCs w:val="0"/>
        </w:rPr>
      </w:pPr>
      <w:bookmarkStart w:name="36、税金及附加" w:id="320"/>
      <w:bookmarkEnd w:id="320"/>
      <w:r>
        <w:rPr>
          <w:b w:val="0"/>
          <w:bCs w:val="0"/>
        </w:rPr>
      </w:r>
      <w:r>
        <w:rPr>
          <w:rFonts w:ascii="Times New Roman" w:hAnsi="Times New Roman" w:cs="Times New Roman" w:eastAsia="Times New Roman" w:hint="default"/>
        </w:rPr>
        <w:t>36</w:t>
      </w:r>
      <w:r>
        <w:rPr/>
        <w:t>、税金及附加</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2"/>
        <w:gridCol w:w="3190"/>
      </w:tblGrid>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3,300,162.65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5,113,195.18</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1,815,976.45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2,687,719.97</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9,971,484.03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9,877,935.77</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4,289,118.94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4,133,748.87</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151,592.04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154,672.76</w:t>
            </w:r>
          </w:p>
        </w:tc>
      </w:tr>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1,163,709.66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1,149,920.86</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1,210,650.95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1,791,813.29</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环保税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16,714.99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51,119.06</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95,746.76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62,820.60</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残疾人保障金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181,430.69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146,091.22</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22,196,587.16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25,169,037.58</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bookmarkStart w:name="37、销售费用" w:id="321"/>
      <w:bookmarkEnd w:id="321"/>
      <w:r>
        <w:rPr>
          <w:b w:val="0"/>
          <w:bCs w:val="0"/>
        </w:rPr>
      </w:r>
      <w:r>
        <w:rPr>
          <w:rFonts w:ascii="Times New Roman" w:hAnsi="Times New Roman" w:cs="Times New Roman" w:eastAsia="Times New Roman" w:hint="default"/>
        </w:rPr>
        <w:t>37</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4,813,816.71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9,670,072.15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1,906,121.60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7,290,267.57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370,278.10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2,085,149.19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947,878.14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535,712.23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9,547,417.48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14,600,867.44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18,457,313.45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86,043,485.91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柜台租赁费用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38,161,087.24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17,791,642.99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30,993,929.71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91,995,555.71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151,219,484.20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bookmarkStart w:name="38、管理费用" w:id="322"/>
      <w:bookmarkEnd w:id="322"/>
      <w:r>
        <w:rPr>
          <w:b w:val="0"/>
          <w:bCs w:val="0"/>
        </w:rPr>
      </w:r>
      <w:r>
        <w:rPr>
          <w:rFonts w:ascii="Times New Roman" w:hAnsi="Times New Roman" w:cs="Times New Roman" w:eastAsia="Times New Roman" w:hint="default"/>
        </w:rPr>
        <w:t>38</w:t>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71,318,489.82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81,328,231.16</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3,821,527.65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4,322,905.27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14,414,314.12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18,594,131.44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4,303,211.22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3,409,942.35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2,414,338.57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3,954,635.24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103,709.81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12,245.06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74,729,997.46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66,696,636.35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3,308,682.98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1,591,463.36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22,216,868.80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28,008,748.65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196,631,140.43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207,918,938.88</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bookmarkStart w:name="39、研发费用" w:id="323"/>
      <w:bookmarkEnd w:id="323"/>
      <w:r>
        <w:rPr>
          <w:b w:val="0"/>
          <w:bCs w:val="0"/>
        </w:rPr>
      </w:r>
      <w:r>
        <w:rPr>
          <w:rFonts w:ascii="Times New Roman" w:hAnsi="Times New Roman" w:cs="Times New Roman" w:eastAsia="Times New Roman" w:hint="default"/>
        </w:rPr>
        <w:t>39</w:t>
      </w:r>
      <w:r>
        <w:rPr/>
        <w:t>、研发费用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6,077,581.00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7,619,892.60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10,640,725.75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18,225,979.03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设备折旧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1,596,967.33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1,523,635.46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其他投入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22,040,572.11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18,196,144.02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40,355,846.19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45,565,651.11</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bookmarkStart w:name="40、财务费用" w:id="324"/>
      <w:bookmarkEnd w:id="324"/>
      <w:r>
        <w:rPr>
          <w:b w:val="0"/>
          <w:bCs w:val="0"/>
        </w:rPr>
      </w:r>
      <w:r>
        <w:rPr>
          <w:rFonts w:ascii="Times New Roman" w:hAnsi="Times New Roman" w:cs="Times New Roman" w:eastAsia="Times New Roman" w:hint="default"/>
        </w:rPr>
        <w:t>40</w:t>
      </w:r>
      <w:r>
        <w:rPr/>
        <w:t>、财务费用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318,830,006.19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244,773,399.80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87,982.57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261,877.83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202,032.26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561,959.60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2,683,198.85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62,432.84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321,627,254.73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245,135,914.41</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bookmarkStart w:name="41、其他收益" w:id="325"/>
      <w:bookmarkEnd w:id="325"/>
      <w:r>
        <w:rPr>
          <w:b w:val="0"/>
          <w:bCs w:val="0"/>
        </w:rPr>
      </w:r>
      <w:r>
        <w:rPr>
          <w:rFonts w:ascii="Times New Roman" w:hAnsi="Times New Roman" w:cs="Times New Roman" w:eastAsia="Times New Roman" w:hint="default"/>
        </w:rPr>
        <w:t>41</w:t>
      </w:r>
      <w:r>
        <w:rPr/>
        <w:t>、其他收益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8,472,398.62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9,490,368.76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28,244,800.00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1,168,942.59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175,411.54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品牌奖励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税收优惠补助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25,825,462.15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592,647.62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企业发展引导资金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创新奖励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1,285,000.00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研发合作政府拨付补助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现代农业发展专项资金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3,627,016.46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专利补助资金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123,581.54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126,609,201.36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19,726,427.92</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42、投资收益" w:id="326"/>
      <w:bookmarkEnd w:id="326"/>
      <w:r>
        <w:rPr>
          <w:b w:val="0"/>
          <w:bCs w:val="0"/>
        </w:rPr>
      </w:r>
      <w:r>
        <w:rPr>
          <w:rFonts w:ascii="Times New Roman" w:hAnsi="Times New Roman" w:cs="Times New Roman" w:eastAsia="Times New Roman" w:hint="default"/>
        </w:rPr>
        <w:t>42</w:t>
      </w:r>
      <w:r>
        <w:rPr/>
        <w:t>、投资收益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74"/>
              <w:jc w:val="left"/>
              <w:rPr>
                <w:rFonts w:ascii="宋体" w:hAnsi="宋体" w:cs="宋体" w:eastAsia="宋体" w:hint="default"/>
                <w:sz w:val="18"/>
                <w:szCs w:val="18"/>
              </w:rPr>
            </w:pPr>
            <w:r>
              <w:rPr>
                <w:rFonts w:ascii="宋体" w:hAnsi="宋体" w:cs="宋体" w:eastAsia="宋体" w:hint="default"/>
                <w:sz w:val="18"/>
                <w:szCs w:val="18"/>
              </w:rPr>
              <w:t>其他权益工具投资在持有期间取得的股利 收入</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8,820,000.00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8,820,000.00</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处置其他债权投资取得的投资收益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614,140.32</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8,820,000.00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9,434,140.32</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19"/>
          <w:szCs w:val="19"/>
        </w:rPr>
      </w:pPr>
    </w:p>
    <w:p>
      <w:pPr>
        <w:pStyle w:val="BodyText"/>
        <w:spacing w:line="386" w:lineRule="auto" w:before="0"/>
        <w:ind w:right="1126" w:firstLine="420"/>
        <w:jc w:val="both"/>
      </w:pPr>
      <w:r>
        <w:rPr>
          <w:spacing w:val="-2"/>
        </w:rPr>
        <w:t>根据长春农村商业银行股份有限公司召开的</w:t>
      </w:r>
      <w:r>
        <w:rPr>
          <w:rFonts w:ascii="Times New Roman" w:hAnsi="Times New Roman" w:cs="Times New Roman" w:eastAsia="Times New Roman" w:hint="default"/>
          <w:spacing w:val="-2"/>
        </w:rPr>
        <w:t>2018</w:t>
      </w:r>
      <w:r>
        <w:rPr>
          <w:spacing w:val="-2"/>
        </w:rPr>
        <w:t>年度股东大会决议，审议通过了</w:t>
      </w:r>
      <w:r>
        <w:rPr>
          <w:rFonts w:ascii="Times New Roman" w:hAnsi="Times New Roman" w:cs="Times New Roman" w:eastAsia="Times New Roman" w:hint="default"/>
          <w:spacing w:val="-2"/>
        </w:rPr>
        <w:t>2018</w:t>
      </w:r>
      <w:r>
        <w:rPr>
          <w:spacing w:val="-2"/>
        </w:rPr>
        <w:t>年度利润分配方</w:t>
      </w:r>
      <w:r>
        <w:rPr>
          <w:w w:val="100"/>
        </w:rPr>
        <w:t> </w:t>
      </w:r>
      <w:r>
        <w:rPr>
          <w:spacing w:val="-1"/>
        </w:rPr>
        <w:t>案，按照每股</w:t>
      </w:r>
      <w:r>
        <w:rPr>
          <w:rFonts w:ascii="Times New Roman" w:hAnsi="Times New Roman" w:cs="Times New Roman" w:eastAsia="Times New Roman" w:hint="default"/>
          <w:spacing w:val="-1"/>
        </w:rPr>
        <w:t>0.18</w:t>
      </w:r>
      <w:r>
        <w:rPr>
          <w:spacing w:val="-1"/>
        </w:rPr>
        <w:t>元（含税）的比例，向该行截止</w:t>
      </w:r>
      <w:r>
        <w:rPr>
          <w:rFonts w:ascii="Times New Roman" w:hAnsi="Times New Roman" w:cs="Times New Roman" w:eastAsia="Times New Roman" w:hint="default"/>
          <w:spacing w:val="-1"/>
        </w:rPr>
        <w:t>2018</w:t>
      </w:r>
      <w:r>
        <w:rPr>
          <w:spacing w:val="-1"/>
        </w:rPr>
        <w:t>年末登记在册的股东进行现金分红，本期确认投资</w:t>
      </w:r>
      <w:r>
        <w:rPr>
          <w:spacing w:val="-29"/>
        </w:rPr>
        <w:t> </w:t>
      </w:r>
      <w:r>
        <w:rPr>
          <w:spacing w:val="-29"/>
        </w:rPr>
      </w:r>
      <w:r>
        <w:rPr/>
        <w:t>收益</w:t>
      </w:r>
      <w:r>
        <w:rPr>
          <w:rFonts w:ascii="Times New Roman" w:hAnsi="Times New Roman" w:cs="Times New Roman" w:eastAsia="Times New Roman" w:hint="default"/>
        </w:rPr>
        <w:t>882</w:t>
      </w:r>
      <w:r>
        <w:rPr/>
        <w:t>万元。</w:t>
      </w:r>
    </w:p>
    <w:p>
      <w:pPr>
        <w:spacing w:line="240" w:lineRule="auto" w:before="11"/>
        <w:rPr>
          <w:rFonts w:ascii="宋体" w:hAnsi="宋体" w:cs="宋体" w:eastAsia="宋体" w:hint="default"/>
          <w:sz w:val="19"/>
          <w:szCs w:val="19"/>
        </w:rPr>
      </w:pPr>
    </w:p>
    <w:p>
      <w:pPr>
        <w:pStyle w:val="Heading5"/>
        <w:spacing w:line="240" w:lineRule="auto"/>
        <w:ind w:right="1133"/>
        <w:jc w:val="left"/>
        <w:rPr>
          <w:b w:val="0"/>
          <w:bCs w:val="0"/>
        </w:rPr>
      </w:pPr>
      <w:bookmarkStart w:name="43、信用减值损失" w:id="327"/>
      <w:bookmarkEnd w:id="327"/>
      <w:r>
        <w:rPr>
          <w:b w:val="0"/>
          <w:bCs w:val="0"/>
        </w:rPr>
      </w:r>
      <w:r>
        <w:rPr>
          <w:rFonts w:ascii="Times New Roman" w:hAnsi="Times New Roman" w:cs="Times New Roman" w:eastAsia="Times New Roman" w:hint="default"/>
        </w:rPr>
        <w:t>43</w:t>
      </w:r>
      <w:r>
        <w:rPr/>
        <w:t>、信用减值损失</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-29,316,604.36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-57,570.16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-29,374,174.52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bookmarkStart w:name="44、资产减值损失" w:id="328"/>
      <w:bookmarkEnd w:id="328"/>
      <w:r>
        <w:rPr>
          <w:b w:val="0"/>
          <w:bCs w:val="0"/>
        </w:rPr>
      </w:r>
      <w:r>
        <w:rPr>
          <w:rFonts w:ascii="Times New Roman" w:hAnsi="Times New Roman" w:cs="Times New Roman" w:eastAsia="Times New Roman" w:hint="default"/>
        </w:rPr>
        <w:t>44</w:t>
      </w:r>
      <w:r>
        <w:rPr/>
        <w:t>、资产减值损失</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2,988,473.75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2,988,473.75</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bookmarkStart w:name="45、资产处置收益" w:id="329"/>
      <w:bookmarkEnd w:id="329"/>
      <w:r>
        <w:rPr>
          <w:b w:val="0"/>
          <w:bCs w:val="0"/>
        </w:rPr>
      </w:r>
      <w:r>
        <w:rPr>
          <w:rFonts w:ascii="Times New Roman" w:hAnsi="Times New Roman" w:cs="Times New Roman" w:eastAsia="Times New Roman" w:hint="default"/>
        </w:rPr>
        <w:t>45</w:t>
      </w:r>
      <w:r>
        <w:rPr/>
        <w:t>、资产处置收益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-554,044.53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-134,201.81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-554,044.53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-134,201.81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-554,044.53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-134,201.81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bookmarkStart w:name="46、营业外收入" w:id="330"/>
      <w:bookmarkEnd w:id="330"/>
      <w:r>
        <w:rPr>
          <w:b w:val="0"/>
          <w:bCs w:val="0"/>
        </w:rPr>
      </w:r>
      <w:r>
        <w:rPr>
          <w:rFonts w:ascii="Times New Roman" w:hAnsi="Times New Roman" w:cs="Times New Roman" w:eastAsia="Times New Roman" w:hint="default"/>
        </w:rPr>
        <w:t>46</w:t>
      </w:r>
      <w:r>
        <w:rPr/>
        <w:t>、营业外收入</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5"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63,700.61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116,562.46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63,700.61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63,700.61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116,562.46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63,700.61</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3"/>
        <w:gridCol w:w="1063"/>
        <w:gridCol w:w="1065"/>
        <w:gridCol w:w="1051"/>
      </w:tblGrid>
      <w:tr>
        <w:trPr>
          <w:trHeight w:val="715"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6"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5" w:right="39"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before="50"/>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bookmarkStart w:name="47、营业外支出" w:id="331"/>
      <w:bookmarkEnd w:id="331"/>
      <w:r>
        <w:rPr>
          <w:b w:val="0"/>
          <w:bCs w:val="0"/>
        </w:rPr>
      </w:r>
      <w:r>
        <w:rPr>
          <w:rFonts w:ascii="Times New Roman" w:hAnsi="Times New Roman" w:cs="Times New Roman" w:eastAsia="Times New Roman" w:hint="default"/>
        </w:rPr>
        <w:t>47</w:t>
      </w:r>
      <w:r>
        <w:rPr/>
        <w:t>、营业外支出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2"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399,599.19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2,610,688.92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399,599.19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非正常损失项目</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1,240.00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3,108,740.16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1,467,990.64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3,108,740.16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3,508,339.35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4,079,919.56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3,508,339.35</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bookmarkStart w:name="48、所得税费用" w:id="332"/>
      <w:bookmarkEnd w:id="332"/>
      <w:r>
        <w:rPr>
          <w:b w:val="0"/>
          <w:bCs w:val="0"/>
        </w:rPr>
      </w:r>
      <w:r>
        <w:rPr>
          <w:rFonts w:ascii="Times New Roman" w:hAnsi="Times New Roman" w:cs="Times New Roman" w:eastAsia="Times New Roman" w:hint="default"/>
        </w:rPr>
        <w:t>48</w:t>
      </w:r>
      <w:r>
        <w:rPr/>
        <w:t>、所得税费用</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bookmarkStart w:name="（1）所得税费用表" w:id="333"/>
      <w:bookmarkEnd w:id="33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20,048,674.42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37,335,374.64</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-3,668,938.76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813,051.94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16,379,735.66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38,148,426.58</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2）会计利润与所得税费用调整过程" w:id="334"/>
      <w:bookmarkEnd w:id="33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86,614,842.93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12,992,226.44</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651,005.42</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35,263.98</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-29,991,754.10</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3,906,363.10</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-1,886,491.00</w:t>
            </w:r>
          </w:p>
        </w:tc>
      </w:tr>
      <w:tr>
        <w:trPr>
          <w:trHeight w:val="713"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34,342,060.57</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递延所得税影响数</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-3,668,938.76</w:t>
            </w:r>
          </w:p>
        </w:tc>
      </w:tr>
      <w:tr>
        <w:trPr>
          <w:trHeight w:val="404"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16,379,735.66</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547" w:lineRule="auto" w:before="118"/>
        <w:ind w:left="152" w:right="8857" w:firstLine="0"/>
        <w:jc w:val="left"/>
        <w:rPr>
          <w:rFonts w:ascii="宋体" w:hAnsi="宋体" w:cs="宋体" w:eastAsia="宋体" w:hint="default"/>
          <w:sz w:val="21"/>
          <w:szCs w:val="21"/>
        </w:rPr>
      </w:pPr>
      <w:bookmarkStart w:name="49、其他综合收益" w:id="335"/>
      <w:bookmarkEnd w:id="335"/>
      <w:r>
        <w:rPr/>
      </w: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32</w:t>
      </w:r>
      <w:r>
        <w:rPr>
          <w:rFonts w:ascii="宋体" w:hAnsi="宋体" w:cs="宋体" w:eastAsia="宋体" w:hint="default"/>
          <w:sz w:val="18"/>
          <w:szCs w:val="18"/>
        </w:rPr>
        <w:t>。 </w:t>
      </w:r>
      <w:bookmarkStart w:name="50、现金流量表项目" w:id="336"/>
      <w:bookmarkEnd w:id="336"/>
      <w:r>
        <w:rPr>
          <w:rFonts w:ascii="宋体" w:hAnsi="宋体" w:cs="宋体" w:eastAsia="宋体" w:hint="default"/>
          <w:sz w:val="18"/>
          <w:szCs w:val="18"/>
        </w:rPr>
      </w: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5"/>
        <w:spacing w:line="240" w:lineRule="auto" w:before="23"/>
        <w:ind w:right="1133"/>
        <w:jc w:val="left"/>
        <w:rPr>
          <w:b w:val="0"/>
          <w:bCs w:val="0"/>
        </w:rPr>
      </w:pPr>
      <w:bookmarkStart w:name="（1）收到的其他与经营活动有关的现金" w:id="337"/>
      <w:bookmarkEnd w:id="33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137,166,248.60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89,407,714.16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87,982.57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261,867.68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24,362,729.44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36,108,395.03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1,053,020.02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60,006,264.29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170,459,980.63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187,784,241.16</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pStyle w:val="Heading5"/>
        <w:spacing w:line="240" w:lineRule="auto" w:before="121"/>
        <w:ind w:right="1133"/>
        <w:jc w:val="left"/>
        <w:rPr>
          <w:b w:val="0"/>
          <w:bCs w:val="0"/>
        </w:rPr>
      </w:pPr>
      <w:bookmarkStart w:name="（2）支付的其他与经营活动有关的现金" w:id="338"/>
      <w:bookmarkEnd w:id="33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各项费用合计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122,433,213.21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204,157,637.15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柳河县峰岭大健康产业园有限公司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延边新兴工业区管委会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1,594,992.00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group style="position:absolute;margin-left:223.369995pt;margin-top:669.519958pt;width:151.25pt;height:20.8pt;mso-position-horizontal-relative:page;mso-position-vertical-relative:page;z-index:-1008400" coordorigin="4467,13390" coordsize="3025,416">
            <v:group style="position:absolute;left:4478;top:13401;width:2;height:394" coordorigin="4478,13401" coordsize="2,394">
              <v:shape style="position:absolute;left:4478;top:13401;width:2;height:394" coordorigin="4478,13401" coordsize="0,394" path="m4478,13401l4478,13795e" filled="false" stroked="true" strokeweight="1.08pt" strokecolor="#ffffff">
                <v:path arrowok="t"/>
              </v:shape>
            </v:group>
            <v:group style="position:absolute;left:4489;top:13401;width:3003;height:394" coordorigin="4489,13401" coordsize="3003,394">
              <v:shape style="position:absolute;left:4489;top:13401;width:3003;height:394" coordorigin="4489,13401" coordsize="3003,394" path="m4489,13795l7492,13795,7492,13401,4489,13401,4489,13795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196,133,213.21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210,582,629.15</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bookmarkStart w:name="（3）支付的其他与筹资活动有关的现金" w:id="339"/>
      <w:bookmarkEnd w:id="339"/>
      <w:r>
        <w:rPr>
          <w:b w:val="0"/>
          <w:bCs w:val="0"/>
        </w:rPr>
      </w: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售后回租融资租赁业务偿还本金及利息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93,852,529.18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84,864,141.76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93,852,529.18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84,864,141.76</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pStyle w:val="Heading5"/>
        <w:spacing w:line="240" w:lineRule="auto" w:before="121"/>
        <w:ind w:right="1133"/>
        <w:jc w:val="left"/>
        <w:rPr>
          <w:b w:val="0"/>
          <w:bCs w:val="0"/>
        </w:rPr>
      </w:pPr>
      <w:bookmarkStart w:name="51、现金流量表补充资料" w:id="340"/>
      <w:bookmarkEnd w:id="340"/>
      <w:r>
        <w:rPr>
          <w:b w:val="0"/>
          <w:bCs w:val="0"/>
        </w:rPr>
      </w:r>
      <w:r>
        <w:rPr>
          <w:rFonts w:ascii="Times New Roman" w:hAnsi="Times New Roman" w:cs="Times New Roman" w:eastAsia="Times New Roman" w:hint="default"/>
        </w:rPr>
        <w:t>51</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bookmarkStart w:name="（1）现金流量表补充资料" w:id="341"/>
      <w:bookmarkEnd w:id="34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964"/>
        <w:gridCol w:w="2105"/>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70,235,107.27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173,988,001.25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29,374,174.52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-2,988,473.75</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97,840,797.57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使用权资产折旧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89,634,176.94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13,540,501.99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14,606,880.35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41,136,009.26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530,855.00</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554,044.53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134,201.81</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3,547.76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318,830,006.19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244,773,399.80</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-8,820,000.00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-9,434,140.32</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22" w:right="0"/>
              <w:jc w:val="left"/>
              <w:rPr>
                <w:rFonts w:ascii="Times New Roman" w:hAnsi="Times New Roman" w:cs="Times New Roman" w:eastAsia="Times New Roman" w:hint="default"/>
                <w:sz w:val="18"/>
                <w:szCs w:val="18"/>
              </w:rPr>
            </w:pPr>
            <w:r>
              <w:rPr>
                <w:rFonts w:ascii="Times New Roman"/>
                <w:sz w:val="18"/>
              </w:rPr>
              <w:t>-3,663,910.52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994,702.85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96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890" w:right="0"/>
              <w:jc w:val="left"/>
              <w:rPr>
                <w:rFonts w:ascii="Times New Roman" w:hAnsi="Times New Roman" w:cs="Times New Roman" w:eastAsia="Times New Roman" w:hint="default"/>
                <w:sz w:val="18"/>
                <w:szCs w:val="18"/>
              </w:rPr>
            </w:pPr>
            <w:r>
              <w:rPr>
                <w:rFonts w:ascii="Times New Roman"/>
                <w:sz w:val="18"/>
              </w:rPr>
              <w:t>-646,917,650.50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-1,275,925,134.65</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6,094,655.10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-440,730,291.68</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-241,487,179.52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436,983,703.96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-323,279,896.35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-767,432,118.44</w:t>
            </w:r>
          </w:p>
        </w:tc>
      </w:tr>
      <w:tr>
        <w:trPr>
          <w:trHeight w:val="162"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18,035,011.31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130,109,720.93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130,109,720.93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861,763,621.70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-112,074,709.62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-731,653,900.77</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2）现金和现金等价物的构成" w:id="342"/>
      <w:bookmarkEnd w:id="342"/>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18,035,011.31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130,109,720.93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235,099.65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89,419.63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17,799,911.66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130,020,295.49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18,035,011.31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130,109,720.93</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bookmarkStart w:name="52、政府补助" w:id="343"/>
      <w:bookmarkEnd w:id="343"/>
      <w:r>
        <w:rPr>
          <w:b w:val="0"/>
          <w:bCs w:val="0"/>
        </w:rPr>
      </w:r>
      <w:r>
        <w:rPr>
          <w:rFonts w:ascii="Times New Roman" w:hAnsi="Times New Roman" w:cs="Times New Roman" w:eastAsia="Times New Roman" w:hint="default"/>
        </w:rPr>
        <w:t>52</w:t>
      </w:r>
      <w:r>
        <w:rPr/>
        <w:t>、政府补助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bookmarkStart w:name="（1）政府补助基本情况" w:id="344"/>
      <w:bookmarkEnd w:id="344"/>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递延收益摊销</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8,472,398.62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8,472,398.62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企业扶持资金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28,244,800.00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28,244,800.00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1,168,942.59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1,168,942.59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品牌奖励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税收优惠补助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25,825,462.15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25,825,462.15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企业发展引导资金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创新奖励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1,861,000.00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1,861,000.00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研发合作政府拨付补助</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现代农业发展专项资金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3,627,016.46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3,627,016.46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专利补助资金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财政补助</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123,581.54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123,581.54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吉林紫鑫金桂药业产业园建 设项目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both"/>
              <w:rPr>
                <w:rFonts w:ascii="宋体" w:hAnsi="宋体" w:cs="宋体" w:eastAsia="宋体" w:hint="default"/>
                <w:sz w:val="18"/>
                <w:szCs w:val="18"/>
              </w:rPr>
            </w:pPr>
            <w:r>
              <w:rPr>
                <w:rFonts w:ascii="宋体" w:hAnsi="宋体" w:cs="宋体" w:eastAsia="宋体" w:hint="default"/>
                <w:sz w:val="18"/>
                <w:szCs w:val="18"/>
              </w:rPr>
              <w:t>吉林紫鑫参工堂生物科技有 限公司项目入驻吉林紫鑫梅 河口大健康高科技产业园</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3,565,600.00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省医药健康产业发展专项资 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2）政府补助退回情况" w:id="345"/>
      <w:bookmarkEnd w:id="345"/>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5"/>
        <w:rPr>
          <w:rFonts w:ascii="宋体" w:hAnsi="宋体" w:cs="宋体" w:eastAsia="宋体" w:hint="default"/>
          <w:sz w:val="21"/>
          <w:szCs w:val="21"/>
        </w:rPr>
      </w:pPr>
    </w:p>
    <w:p>
      <w:pPr>
        <w:spacing w:line="487" w:lineRule="auto" w:before="0"/>
        <w:ind w:left="152" w:right="8132" w:firstLine="0"/>
        <w:jc w:val="left"/>
        <w:rPr>
          <w:rFonts w:ascii="宋体" w:hAnsi="宋体" w:cs="宋体" w:eastAsia="宋体" w:hint="default"/>
          <w:sz w:val="21"/>
          <w:szCs w:val="21"/>
        </w:rPr>
      </w:pPr>
      <w:bookmarkStart w:name="53、其他" w:id="346"/>
      <w:bookmarkEnd w:id="346"/>
      <w:r>
        <w:rPr/>
      </w:r>
      <w:r>
        <w:rPr>
          <w:rFonts w:ascii="Times New Roman" w:hAnsi="Times New Roman" w:cs="Times New Roman" w:eastAsia="Times New Roman" w:hint="default"/>
          <w:b/>
          <w:bCs/>
          <w:sz w:val="21"/>
          <w:szCs w:val="21"/>
        </w:rPr>
        <w:t>53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八、合并范围的变更" w:id="347"/>
      <w:bookmarkEnd w:id="347"/>
      <w:r>
        <w:rPr>
          <w:rFonts w:ascii="宋体" w:hAnsi="宋体" w:cs="宋体" w:eastAsia="宋体" w:hint="default"/>
          <w:b/>
          <w:bCs/>
          <w:w w:val="100"/>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其他原因的合并范围变动" w:id="348"/>
      <w:bookmarkEnd w:id="348"/>
      <w:r>
        <w:rPr>
          <w:rFonts w:ascii="宋体" w:hAnsi="宋体" w:cs="宋体" w:eastAsia="宋体" w:hint="default"/>
          <w:b/>
          <w:bCs/>
          <w:w w:val="99"/>
          <w:sz w:val="24"/>
          <w:szCs w:val="24"/>
        </w:rPr>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、其他原因的合并范围变动</w:t>
      </w:r>
      <w:r>
        <w:rPr>
          <w:rFonts w:ascii="宋体" w:hAnsi="宋体" w:cs="宋体" w:eastAsia="宋体" w:hint="default"/>
          <w:spacing w:val="-1"/>
          <w:sz w:val="21"/>
          <w:szCs w:val="21"/>
        </w:rPr>
      </w:r>
    </w:p>
    <w:p>
      <w:pPr>
        <w:spacing w:before="102"/>
        <w:ind w:left="152" w:right="1133"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3"/>
        <w:rPr>
          <w:rFonts w:ascii="宋体" w:hAnsi="宋体" w:cs="宋体" w:eastAsia="宋体" w:hint="default"/>
          <w:sz w:val="13"/>
          <w:szCs w:val="13"/>
        </w:rPr>
      </w:pPr>
    </w:p>
    <w:p>
      <w:pPr>
        <w:pStyle w:val="BodyText"/>
        <w:spacing w:line="240" w:lineRule="auto" w:before="0"/>
        <w:ind w:left="573" w:right="1133"/>
        <w:jc w:val="left"/>
      </w:pPr>
      <w:r>
        <w:rPr/>
        <w:t>本期本公司于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日董事会决议通过设立方式，成立吉林紫鑫汉麻研发有限公司，注册资本</w:t>
      </w:r>
    </w:p>
    <w:p>
      <w:pPr>
        <w:pStyle w:val="BodyText"/>
        <w:spacing w:line="386" w:lineRule="auto" w:before="177"/>
        <w:ind w:left="573" w:right="1133" w:hanging="421"/>
        <w:jc w:val="left"/>
      </w:pPr>
      <w:r>
        <w:rPr>
          <w:rFonts w:ascii="Times New Roman" w:hAnsi="Times New Roman" w:cs="Times New Roman" w:eastAsia="Times New Roman" w:hint="default"/>
        </w:rPr>
        <w:t>1,000</w:t>
      </w:r>
      <w:r>
        <w:rPr/>
        <w:t>万元，于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日办理完工商登记手续。</w:t>
      </w:r>
      <w:r>
        <w:rPr>
          <w:w w:val="100"/>
        </w:rPr>
        <w:t> </w:t>
      </w:r>
      <w:r>
        <w:rPr>
          <w:spacing w:val="-2"/>
        </w:rPr>
        <w:t>本期本公司于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7</w:t>
      </w:r>
      <w:r>
        <w:rPr>
          <w:spacing w:val="-2"/>
        </w:rPr>
        <w:t>日董事会决议通过设立方式，成立吉林紫鑫进出口贸易有限公司，注册资本</w:t>
      </w:r>
    </w:p>
    <w:p>
      <w:pPr>
        <w:pStyle w:val="BodyText"/>
        <w:spacing w:line="386" w:lineRule="auto" w:before="35"/>
        <w:ind w:left="573" w:right="1133" w:hanging="421"/>
        <w:jc w:val="left"/>
      </w:pPr>
      <w:r>
        <w:rPr>
          <w:rFonts w:ascii="Times New Roman" w:hAnsi="Times New Roman" w:cs="Times New Roman" w:eastAsia="Times New Roman" w:hint="default"/>
        </w:rPr>
        <w:t>2,000</w:t>
      </w:r>
      <w:r>
        <w:rPr/>
        <w:t>万元。于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日办理完工商登记手续。</w:t>
      </w:r>
      <w:r>
        <w:rPr>
          <w:w w:val="100"/>
        </w:rPr>
        <w:t> </w:t>
      </w:r>
      <w:r>
        <w:rPr>
          <w:spacing w:val="-2"/>
        </w:rPr>
        <w:t>本期本公司于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日董事会决议通过设立方式，成立吉林紫鑫鑫正医药物流有限公司，注册资</w:t>
      </w:r>
    </w:p>
    <w:p>
      <w:pPr>
        <w:pStyle w:val="BodyText"/>
        <w:spacing w:line="386" w:lineRule="auto" w:before="35"/>
        <w:ind w:left="573" w:right="1133" w:hanging="421"/>
        <w:jc w:val="left"/>
      </w:pPr>
      <w:r>
        <w:rPr/>
        <w:t>本</w:t>
      </w:r>
      <w:r>
        <w:rPr>
          <w:rFonts w:ascii="Times New Roman" w:hAnsi="Times New Roman" w:cs="Times New Roman" w:eastAsia="Times New Roman" w:hint="default"/>
        </w:rPr>
        <w:t>2,000</w:t>
      </w:r>
      <w:r>
        <w:rPr/>
        <w:t>万元。于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日办理完工商登记手续。</w:t>
      </w:r>
      <w:r>
        <w:rPr>
          <w:w w:val="100"/>
        </w:rPr>
        <w:t> </w:t>
      </w:r>
      <w:r>
        <w:rPr>
          <w:spacing w:val="-2"/>
        </w:rPr>
        <w:t>本期本公司于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9</w:t>
      </w:r>
      <w:r>
        <w:rPr>
          <w:spacing w:val="-2"/>
        </w:rPr>
        <w:t>日董事会决议通过设立方式，成立吉林紫鑫医药产业园孵化器管理有限公</w:t>
      </w:r>
    </w:p>
    <w:p>
      <w:pPr>
        <w:pStyle w:val="BodyText"/>
        <w:spacing w:line="386" w:lineRule="auto" w:before="35"/>
        <w:ind w:left="489" w:right="1133" w:hanging="337"/>
        <w:jc w:val="left"/>
      </w:pPr>
      <w:r>
        <w:rPr/>
        <w:t>司，注册资本</w:t>
      </w:r>
      <w:r>
        <w:rPr>
          <w:rFonts w:ascii="Times New Roman" w:hAnsi="Times New Roman" w:cs="Times New Roman" w:eastAsia="Times New Roman" w:hint="default"/>
        </w:rPr>
        <w:t>5,000</w:t>
      </w:r>
      <w:r>
        <w:rPr/>
        <w:t>万元。于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日办理完工商登记手续。</w:t>
      </w:r>
      <w:r>
        <w:rPr>
          <w:w w:val="100"/>
        </w:rPr>
        <w:t> </w:t>
      </w:r>
      <w:r>
        <w:rPr>
          <w:spacing w:val="-3"/>
        </w:rPr>
        <w:t>本期本公司子公司吉林紫鑫般若药业有限公司于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16</w:t>
      </w:r>
      <w:r>
        <w:rPr>
          <w:spacing w:val="-3"/>
        </w:rPr>
        <w:t>日董事会决议通过设立方式，成立磐石紫</w:t>
      </w:r>
    </w:p>
    <w:p>
      <w:pPr>
        <w:pStyle w:val="BodyText"/>
        <w:spacing w:line="240" w:lineRule="auto" w:before="36"/>
        <w:ind w:right="1133"/>
        <w:jc w:val="left"/>
      </w:pPr>
      <w:r>
        <w:rPr/>
        <w:t>鑫医药销售有限公司，注册资本</w:t>
      </w:r>
      <w:r>
        <w:rPr>
          <w:rFonts w:ascii="Times New Roman" w:hAnsi="Times New Roman" w:cs="Times New Roman" w:eastAsia="Times New Roman" w:hint="default"/>
        </w:rPr>
        <w:t>100</w:t>
      </w:r>
      <w:r>
        <w:rPr/>
        <w:t>万元。于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日办理完工商登记手续。</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line="487" w:lineRule="auto" w:before="36"/>
        <w:ind w:left="152" w:right="8104" w:firstLine="0"/>
        <w:jc w:val="left"/>
        <w:rPr>
          <w:rFonts w:ascii="宋体" w:hAnsi="宋体" w:cs="宋体" w:eastAsia="宋体" w:hint="default"/>
          <w:sz w:val="21"/>
          <w:szCs w:val="21"/>
        </w:rPr>
      </w:pPr>
      <w:bookmarkStart w:name="2、其他" w:id="349"/>
      <w:bookmarkEnd w:id="34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九、在其他主体中的权益" w:id="350"/>
      <w:bookmarkEnd w:id="350"/>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351"/>
      <w:bookmarkEnd w:id="35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5"/>
        <w:spacing w:line="240" w:lineRule="auto" w:before="84"/>
        <w:ind w:right="1133"/>
        <w:jc w:val="left"/>
        <w:rPr>
          <w:b w:val="0"/>
          <w:bCs w:val="0"/>
        </w:rPr>
      </w:pPr>
      <w:bookmarkStart w:name="（1）企业集团的构成" w:id="352"/>
      <w:bookmarkEnd w:id="352"/>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吉林草还丹药业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敦化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敦化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药品生产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吉林紫鑫敦化医 药药材有限公司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敦化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敦化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药品销售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吉林紫鑫初元药 业有限公司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延吉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延吉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药品生产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吉林紫鑫般若药 业有限公司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磐石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磐石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药品生产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吉林紫鑫禺拙药 业有限公司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药品生产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吉林紫鑫红石种 养殖有限公司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柳河县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柳河县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中药材种植销售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吉林紫鑫人参销 售有限公司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柳河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人参销售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吉林紫鑫人参研 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人参产品研发及 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吉林紫鑫药物研 究有限公司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药品研发及技术 转让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75"/>
              <w:jc w:val="left"/>
              <w:rPr>
                <w:rFonts w:ascii="宋体" w:hAnsi="宋体" w:cs="宋体" w:eastAsia="宋体" w:hint="default"/>
                <w:sz w:val="18"/>
                <w:szCs w:val="18"/>
              </w:rPr>
            </w:pPr>
            <w:r>
              <w:rPr>
                <w:rFonts w:ascii="宋体" w:hAnsi="宋体" w:cs="宋体" w:eastAsia="宋体" w:hint="default"/>
                <w:sz w:val="18"/>
                <w:szCs w:val="18"/>
              </w:rPr>
              <w:t>吉林中科紫鑫科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研发、设备生产 及销售，专利权 的转让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北方环境能源交 易所有限公司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从事节能减排、 环境保护等方面 的相关交易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96.60%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吉林紫鑫金桂药 业有限公司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药品生产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吉林紫鑫高科技 功能食品有限公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敦化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敦化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保健品生产及销 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Fytagoras</w:t>
            </w:r>
            <w:r>
              <w:rPr>
                <w:rFonts w:ascii="Times New Roman"/>
                <w:spacing w:val="-4"/>
                <w:sz w:val="18"/>
              </w:rPr>
              <w:t> </w:t>
            </w:r>
            <w:r>
              <w:rPr>
                <w:rFonts w:ascii="Times New Roman"/>
                <w:spacing w:val="-6"/>
                <w:sz w:val="18"/>
              </w:rPr>
              <w:t>B.V.</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投资、研发、生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北京中科紫鑫科 技有限责任公司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研发、设备生产 及销售，专利权 的转让</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敦化市中科紫鑫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敦化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敦化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研发、设备生产 及销售，专利权 的转让</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香港中科紫鑫科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投资管理、生产 加工、科技研发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吉林紫鑫参工堂 生物科技有限公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梅河口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梅河口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植物提取物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吉林紫鑫汪清药 业有限公司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汪清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汪清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医药生产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57"/>
              <w:jc w:val="left"/>
              <w:rPr>
                <w:rFonts w:ascii="Times New Roman" w:hAnsi="Times New Roman" w:cs="Times New Roman" w:eastAsia="Times New Roman" w:hint="default"/>
                <w:sz w:val="18"/>
                <w:szCs w:val="18"/>
              </w:rPr>
            </w:pPr>
            <w:r>
              <w:rPr>
                <w:rFonts w:ascii="Times New Roman"/>
                <w:sz w:val="18"/>
              </w:rPr>
              <w:t>Zixin Pharmaceuticals</w:t>
            </w:r>
            <w:r>
              <w:rPr>
                <w:rFonts w:ascii="Times New Roman"/>
                <w:w w:val="99"/>
                <w:sz w:val="18"/>
              </w:rPr>
              <w:t> </w:t>
            </w:r>
            <w:r>
              <w:rPr>
                <w:rFonts w:ascii="Times New Roman"/>
                <w:sz w:val="18"/>
              </w:rPr>
              <w:t>USA</w:t>
            </w:r>
            <w:r>
              <w:rPr>
                <w:rFonts w:ascii="Times New Roman"/>
                <w:spacing w:val="-13"/>
                <w:sz w:val="18"/>
              </w:rPr>
              <w:t> </w:t>
            </w:r>
            <w:r>
              <w:rPr>
                <w:rFonts w:ascii="Times New Roman"/>
                <w:sz w:val="18"/>
              </w:rPr>
              <w:t>CORP</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普罗维登斯市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美国新药及测序 仪投资、开发与 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吉林省众创碳资 产管理有限公司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碳资产管理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吉林紫鑫桂鹤医 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医药销售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吉林紫鑫药业大 药房有限公司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医药销售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吉林紫鑫医药产 业园孵化器管理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梅河口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梅河口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商务服务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吉林紫鑫进出口 贸易有限公司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柳河县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柳河县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批发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吉林紫鑫汉麻研 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柳河县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柳河县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研究和试验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吉林紫鑫鑫正医 药物流有限公司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梅河口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梅河口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道路运输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磐石紫鑫医药销 售有限公司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磐石市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磐石市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批发业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357" w:lineRule="auto" w:before="49"/>
        <w:ind w:left="152" w:right="2834"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57" w:lineRule="auto" w:before="29"/>
        <w:ind w:left="152" w:right="769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after="0" w:line="357"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bookmarkStart w:name="（2）重要的非全资子公司" w:id="353"/>
      <w:bookmarkEnd w:id="353"/>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北方环境能源交易所有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1" w:right="0"/>
              <w:jc w:val="left"/>
              <w:rPr>
                <w:rFonts w:ascii="Times New Roman" w:hAnsi="Times New Roman" w:cs="Times New Roman" w:eastAsia="Times New Roman" w:hint="default"/>
                <w:sz w:val="18"/>
                <w:szCs w:val="18"/>
              </w:rPr>
            </w:pPr>
            <w:r>
              <w:rPr>
                <w:rFonts w:ascii="Times New Roman"/>
                <w:sz w:val="18"/>
              </w:rPr>
              <w:t>-54,756.22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2,825,889.87</w:t>
            </w:r>
          </w:p>
        </w:tc>
      </w:tr>
    </w:tbl>
    <w:p>
      <w:pPr>
        <w:spacing w:line="360" w:lineRule="auto" w:before="49"/>
        <w:ind w:left="152" w:right="643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2"/>
        <w:rPr>
          <w:rFonts w:ascii="宋体" w:hAnsi="宋体" w:cs="宋体" w:eastAsia="宋体" w:hint="default"/>
          <w:sz w:val="18"/>
          <w:szCs w:val="18"/>
        </w:rPr>
      </w:pPr>
    </w:p>
    <w:p>
      <w:pPr>
        <w:pStyle w:val="Heading3"/>
        <w:spacing w:line="240" w:lineRule="auto"/>
        <w:ind w:right="1133"/>
        <w:jc w:val="left"/>
        <w:rPr>
          <w:b w:val="0"/>
          <w:bCs w:val="0"/>
        </w:rPr>
      </w:pPr>
      <w:bookmarkStart w:name="十、关联方及关联交易" w:id="354"/>
      <w:bookmarkEnd w:id="354"/>
      <w:r>
        <w:rPr>
          <w:b w:val="0"/>
          <w:bCs w:val="0"/>
        </w:rPr>
      </w:r>
      <w:r>
        <w:rPr/>
        <w:t>十、关联方及关联交易</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bookmarkStart w:name="1、本企业的母公司情况" w:id="355"/>
      <w:bookmarkEnd w:id="355"/>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敦化市康平投资有 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36.65%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36.65%</w:t>
            </w:r>
          </w:p>
        </w:tc>
      </w:tr>
    </w:tbl>
    <w:p>
      <w:pPr>
        <w:spacing w:line="357" w:lineRule="auto" w:before="49"/>
        <w:ind w:left="152" w:right="7694"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本企业最终控制方是郭春生及其家属。 其他说明：</w:t>
      </w:r>
    </w:p>
    <w:p>
      <w:pPr>
        <w:spacing w:line="240" w:lineRule="auto" w:before="4"/>
        <w:rPr>
          <w:rFonts w:ascii="宋体" w:hAnsi="宋体" w:cs="宋体" w:eastAsia="宋体" w:hint="default"/>
          <w:sz w:val="20"/>
          <w:szCs w:val="20"/>
        </w:rPr>
      </w:pPr>
    </w:p>
    <w:p>
      <w:pPr>
        <w:spacing w:line="547" w:lineRule="auto" w:before="0"/>
        <w:ind w:left="152" w:right="6094" w:firstLine="0"/>
        <w:jc w:val="left"/>
        <w:rPr>
          <w:rFonts w:ascii="宋体" w:hAnsi="宋体" w:cs="宋体" w:eastAsia="宋体" w:hint="default"/>
          <w:sz w:val="21"/>
          <w:szCs w:val="21"/>
        </w:rPr>
      </w:pPr>
      <w:bookmarkStart w:name="2、本企业的子公司情况" w:id="356"/>
      <w:bookmarkEnd w:id="35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七、在其他主体中的权益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3、其他关联方情况" w:id="357"/>
      <w:bookmarkEnd w:id="357"/>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12"/>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长春农村商业银行股份有限公司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其他股权投资</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敦化市华韵工贸有限责任公司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云南金土地医药投资有限责任公司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柳河顺驰医药大健康产业集团有限公司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大股东参与投资超</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嘉兴丰拓股权投资合伙企业（有限合伙）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大股东参与投资超</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深圳中云路达商业保理有限公司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柳河县康顺投资有限责任公司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bookmarkStart w:name="4、关联交易情况" w:id="358"/>
      <w:bookmarkEnd w:id="358"/>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bookmarkStart w:name="（1）关联担保情况" w:id="359"/>
      <w:bookmarkEnd w:id="359"/>
      <w:r>
        <w:rPr>
          <w:b w:val="0"/>
          <w:bCs w:val="0"/>
        </w:rPr>
      </w:r>
      <w:r>
        <w:rPr/>
        <w:t>（</w:t>
      </w:r>
      <w:r>
        <w:rPr>
          <w:rFonts w:ascii="Times New Roman" w:hAnsi="Times New Roman" w:cs="Times New Roman" w:eastAsia="Times New Roman" w:hint="default"/>
        </w:rPr>
        <w:t>1</w:t>
      </w:r>
      <w:r>
        <w:rPr/>
        <w:t>）关联担保情况</w:t>
      </w:r>
      <w:r>
        <w:rPr>
          <w:b w:val="0"/>
          <w:bCs w:val="0"/>
        </w:rPr>
      </w:r>
    </w:p>
    <w:p>
      <w:pPr>
        <w:spacing w:line="240" w:lineRule="auto" w:before="10"/>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敦化市康平投资有限责 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敦化市康平投资有限责 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敦化市康平投资有限责 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敦化市康平投资有限责 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敦化市康平投资有限责 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敦化市康平投资有限责 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289,400,000.00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敦化市康平投资有限责 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敦化市康平投资有限责 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敦化市康平投资有限责 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敦化市康平投资有限责 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敦化市康平投资有限责 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敦化市康平投资有限责 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89,945,000.00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敦化市康平投资有限责 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6"/>
        <w:rPr>
          <w:rFonts w:ascii="宋体" w:hAnsi="宋体" w:cs="宋体" w:eastAsia="宋体" w:hint="default"/>
          <w:sz w:val="19"/>
          <w:szCs w:val="19"/>
        </w:rPr>
      </w:pPr>
    </w:p>
    <w:p>
      <w:pPr>
        <w:pStyle w:val="BodyText"/>
        <w:spacing w:line="240" w:lineRule="auto" w:before="0"/>
        <w:ind w:left="573" w:right="1133"/>
        <w:jc w:val="left"/>
      </w:pPr>
      <w:r>
        <w:rPr/>
        <w:t>敦化市康平投资有限责任公司以其持有的本公司股权</w:t>
      </w:r>
      <w:r>
        <w:rPr>
          <w:rFonts w:ascii="Times New Roman" w:hAnsi="Times New Roman" w:cs="Times New Roman" w:eastAsia="Times New Roman" w:hint="default"/>
        </w:rPr>
        <w:t>8,000</w:t>
      </w:r>
      <w:r>
        <w:rPr/>
        <w:t>万股份份额为本公司银行借款提供质押，</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1133"/>
        <w:jc w:val="left"/>
      </w:pPr>
      <w:r>
        <w:rPr/>
        <w:t>质押期限按照借款实际到期日为准。</w:t>
      </w:r>
    </w:p>
    <w:p>
      <w:pPr>
        <w:spacing w:line="240" w:lineRule="auto" w:before="0"/>
        <w:rPr>
          <w:rFonts w:ascii="宋体" w:hAnsi="宋体" w:cs="宋体" w:eastAsia="宋体" w:hint="default"/>
          <w:sz w:val="20"/>
          <w:szCs w:val="20"/>
        </w:rPr>
      </w:pPr>
    </w:p>
    <w:p>
      <w:pPr>
        <w:pStyle w:val="Heading5"/>
        <w:spacing w:line="240" w:lineRule="auto" w:before="155"/>
        <w:ind w:right="1133"/>
        <w:jc w:val="left"/>
        <w:rPr>
          <w:b w:val="0"/>
          <w:bCs w:val="0"/>
        </w:rPr>
      </w:pPr>
      <w:bookmarkStart w:name="（2）关联方资金拆借" w:id="360"/>
      <w:bookmarkEnd w:id="360"/>
      <w:r>
        <w:rPr>
          <w:b w:val="0"/>
          <w:bCs w:val="0"/>
        </w:rPr>
      </w:r>
      <w:r>
        <w:rPr/>
        <w:t>（</w:t>
      </w:r>
      <w:r>
        <w:rPr>
          <w:rFonts w:ascii="Times New Roman" w:hAnsi="Times New Roman" w:cs="Times New Roman" w:eastAsia="Times New Roman" w:hint="default"/>
        </w:rPr>
        <w:t>2</w:t>
      </w:r>
      <w:r>
        <w:rPr/>
        <w:t>）关联方资金拆借</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吉林聚财实业有限责任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到期已经办理展期</w:t>
            </w:r>
          </w:p>
        </w:tc>
      </w:tr>
      <w:tr>
        <w:trPr>
          <w:trHeight w:val="401"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吉林聚财实业有限责任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3）关联方资产转让、债务重组情况" w:id="361"/>
      <w:bookmarkEnd w:id="361"/>
      <w:r>
        <w:rPr>
          <w:b w:val="0"/>
          <w:bCs w:val="0"/>
        </w:rPr>
      </w:r>
      <w:r>
        <w:rPr/>
        <w:t>（</w:t>
      </w:r>
      <w:r>
        <w:rPr>
          <w:rFonts w:ascii="Times New Roman" w:hAnsi="Times New Roman" w:cs="Times New Roman" w:eastAsia="Times New Roman" w:hint="default"/>
        </w:rPr>
        <w:t>3</w:t>
      </w:r>
      <w:r>
        <w:rPr/>
        <w:t>）关联方资产转让、债务重组情况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4"/>
        <w:gridCol w:w="2392"/>
        <w:gridCol w:w="2381"/>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4）关键管理人员报酬" w:id="362"/>
      <w:bookmarkEnd w:id="362"/>
      <w:r>
        <w:rPr>
          <w:b w:val="0"/>
          <w:bCs w:val="0"/>
        </w:rPr>
      </w:r>
      <w:r>
        <w:rPr/>
        <w:t>（</w:t>
      </w:r>
      <w:r>
        <w:rPr>
          <w:rFonts w:ascii="Times New Roman" w:hAnsi="Times New Roman" w:cs="Times New Roman" w:eastAsia="Times New Roman" w:hint="default"/>
        </w:rPr>
        <w:t>4</w:t>
      </w:r>
      <w:r>
        <w:rPr/>
        <w:t>）关键管理人员报酬</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2,890,770.75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1,610,560.00</w:t>
            </w:r>
          </w:p>
        </w:tc>
      </w:tr>
    </w:tbl>
    <w:p>
      <w:pPr>
        <w:spacing w:line="240" w:lineRule="auto" w:before="3"/>
        <w:rPr>
          <w:rFonts w:ascii="宋体" w:hAnsi="宋体" w:cs="宋体" w:eastAsia="宋体" w:hint="default"/>
          <w:sz w:val="19"/>
          <w:szCs w:val="19"/>
        </w:rPr>
      </w:pPr>
    </w:p>
    <w:p>
      <w:pPr>
        <w:spacing w:line="508" w:lineRule="auto" w:before="36"/>
        <w:ind w:left="152" w:right="5114" w:firstLine="0"/>
        <w:jc w:val="left"/>
        <w:rPr>
          <w:rFonts w:ascii="宋体" w:hAnsi="宋体" w:cs="宋体" w:eastAsia="宋体" w:hint="default"/>
          <w:sz w:val="24"/>
          <w:szCs w:val="24"/>
        </w:rPr>
      </w:pPr>
      <w:bookmarkStart w:name="（5）其他关联交易" w:id="363"/>
      <w:bookmarkEnd w:id="36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）其他关联交易</w:t>
      </w:r>
      <w:r>
        <w:rPr>
          <w:rFonts w:ascii="宋体" w:hAnsi="宋体" w:cs="宋体" w:eastAsia="宋体" w:hint="default"/>
          <w:b/>
          <w:bCs/>
          <w:spacing w:val="-104"/>
          <w:sz w:val="21"/>
          <w:szCs w:val="21"/>
        </w:rPr>
        <w:t> </w:t>
      </w:r>
      <w:r>
        <w:rPr>
          <w:rFonts w:ascii="宋体" w:hAnsi="宋体" w:cs="宋体" w:eastAsia="宋体" w:hint="default"/>
          <w:spacing w:val="-2"/>
          <w:sz w:val="21"/>
          <w:szCs w:val="21"/>
        </w:rPr>
        <w:t>除上述关联交易外，本公司本期不存在其他关联方交易。</w:t>
      </w:r>
      <w:r>
        <w:rPr>
          <w:rFonts w:ascii="宋体" w:hAnsi="宋体" w:cs="宋体" w:eastAsia="宋体" w:hint="default"/>
          <w:spacing w:val="-55"/>
          <w:sz w:val="21"/>
          <w:szCs w:val="21"/>
        </w:rPr>
        <w:t> </w:t>
      </w:r>
      <w:r>
        <w:rPr>
          <w:rFonts w:ascii="宋体" w:hAnsi="宋体" w:cs="宋体" w:eastAsia="宋体" w:hint="default"/>
          <w:spacing w:val="-55"/>
          <w:sz w:val="21"/>
          <w:szCs w:val="21"/>
        </w:rPr>
      </w:r>
      <w:bookmarkStart w:name="十一、承诺及或有事项" w:id="364"/>
      <w:bookmarkEnd w:id="364"/>
      <w:r>
        <w:rPr>
          <w:rFonts w:ascii="宋体" w:hAnsi="宋体" w:cs="宋体" w:eastAsia="宋体" w:hint="default"/>
          <w:spacing w:val="-55"/>
          <w:sz w:val="21"/>
          <w:szCs w:val="21"/>
        </w:rPr>
      </w:r>
      <w:r>
        <w:rPr>
          <w:rFonts w:ascii="宋体" w:hAnsi="宋体" w:cs="宋体" w:eastAsia="宋体" w:hint="default"/>
          <w:b/>
          <w:bCs/>
          <w:sz w:val="24"/>
          <w:szCs w:val="24"/>
        </w:rPr>
        <w:t>十一、承诺及或有事项</w:t>
      </w:r>
      <w:r>
        <w:rPr>
          <w:rFonts w:ascii="宋体" w:hAnsi="宋体" w:cs="宋体" w:eastAsia="宋体" w:hint="default"/>
          <w:sz w:val="24"/>
          <w:szCs w:val="24"/>
        </w:rPr>
      </w:r>
    </w:p>
    <w:p>
      <w:pPr>
        <w:pStyle w:val="Heading5"/>
        <w:spacing w:line="240" w:lineRule="auto" w:before="54"/>
        <w:ind w:right="1133"/>
        <w:jc w:val="left"/>
        <w:rPr>
          <w:b w:val="0"/>
          <w:bCs w:val="0"/>
        </w:rPr>
      </w:pPr>
      <w:bookmarkStart w:name="1、重要承诺事项" w:id="365"/>
      <w:bookmarkEnd w:id="365"/>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5"/>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94"/>
        <w:ind w:left="566" w:right="1133"/>
        <w:jc w:val="left"/>
      </w:pPr>
      <w:r>
        <w:rPr/>
        <w:t>截至本财务报表签发日</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w:t>
      </w:r>
      <w:r>
        <w:rPr>
          <w:rFonts w:ascii="Times New Roman" w:hAnsi="Times New Roman" w:cs="Times New Roman" w:eastAsia="Times New Roman" w:hint="default"/>
        </w:rPr>
        <w:t>)</w:t>
      </w:r>
      <w:r>
        <w:rPr/>
        <w:t>，本公司无影响对本财务报表阅读和理解的重大承诺事项。</w:t>
      </w:r>
    </w:p>
    <w:p>
      <w:pPr>
        <w:spacing w:line="240" w:lineRule="auto" w:before="7"/>
        <w:rPr>
          <w:rFonts w:ascii="宋体" w:hAnsi="宋体" w:cs="宋体" w:eastAsia="宋体" w:hint="default"/>
          <w:sz w:val="24"/>
          <w:szCs w:val="24"/>
        </w:rPr>
      </w:pPr>
    </w:p>
    <w:p>
      <w:pPr>
        <w:pStyle w:val="Heading5"/>
        <w:spacing w:line="240" w:lineRule="auto"/>
        <w:ind w:right="1133"/>
        <w:jc w:val="left"/>
        <w:rPr>
          <w:b w:val="0"/>
          <w:bCs w:val="0"/>
        </w:rPr>
      </w:pPr>
      <w:bookmarkStart w:name="2、或有事项" w:id="366"/>
      <w:bookmarkEnd w:id="36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spacing w:line="506" w:lineRule="auto" w:before="0"/>
        <w:ind w:left="489" w:right="1133" w:hanging="337"/>
        <w:jc w:val="left"/>
        <w:rPr>
          <w:rFonts w:ascii="宋体" w:hAnsi="宋体" w:cs="宋体" w:eastAsia="宋体" w:hint="default"/>
          <w:sz w:val="21"/>
          <w:szCs w:val="21"/>
        </w:rPr>
      </w:pPr>
      <w:bookmarkStart w:name="（1）资产负债表日存在的重要或有事项" w:id="367"/>
      <w:bookmarkEnd w:id="36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100"/>
          <w:sz w:val="21"/>
          <w:szCs w:val="21"/>
        </w:rPr>
        <w:t> </w:t>
      </w:r>
      <w:r>
        <w:rPr>
          <w:rFonts w:ascii="宋体" w:hAnsi="宋体" w:cs="宋体" w:eastAsia="宋体" w:hint="default"/>
          <w:spacing w:val="-2"/>
          <w:sz w:val="21"/>
          <w:szCs w:val="21"/>
        </w:rPr>
        <w:t>截至本财务报表签发日</w:t>
      </w:r>
      <w:r>
        <w:rPr>
          <w:rFonts w:ascii="Times New Roman" w:hAnsi="Times New Roman" w:cs="Times New Roman" w:eastAsia="Times New Roman" w:hint="default"/>
          <w:spacing w:val="-2"/>
          <w:sz w:val="21"/>
          <w:szCs w:val="21"/>
        </w:rPr>
        <w:t>(2020</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29</w:t>
      </w:r>
      <w:r>
        <w:rPr>
          <w:rFonts w:ascii="宋体" w:hAnsi="宋体" w:cs="宋体" w:eastAsia="宋体" w:hint="default"/>
          <w:spacing w:val="-2"/>
          <w:sz w:val="21"/>
          <w:szCs w:val="21"/>
        </w:rPr>
        <w:t>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，本公司无影响对本财务报表阅读和理解的重要或有事项。</w:t>
      </w:r>
    </w:p>
    <w:p>
      <w:pPr>
        <w:spacing w:after="0" w:line="506" w:lineRule="auto"/>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bookmarkStart w:name="（2）公司没有需要披露的重要或有事项，也应予以说明" w:id="368"/>
      <w:bookmarkEnd w:id="368"/>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4" w:lineRule="exact" w:before="55"/>
        <w:ind w:left="152" w:right="7694" w:firstLine="0"/>
        <w:jc w:val="left"/>
        <w:rPr>
          <w:rFonts w:ascii="宋体" w:hAnsi="宋体" w:cs="宋体" w:eastAsia="宋体" w:hint="default"/>
          <w:sz w:val="24"/>
          <w:szCs w:val="24"/>
        </w:rPr>
      </w:pPr>
      <w:r>
        <w:rPr>
          <w:rFonts w:ascii="宋体" w:hAnsi="宋体" w:cs="宋体" w:eastAsia="宋体" w:hint="default"/>
          <w:sz w:val="18"/>
          <w:szCs w:val="18"/>
        </w:rPr>
        <w:t>公司不存在需要披露的重要或有事项。 </w:t>
      </w:r>
      <w:bookmarkStart w:name="3、其他" w:id="369"/>
      <w:bookmarkEnd w:id="369"/>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二、资产负债表日后事项" w:id="370"/>
      <w:bookmarkEnd w:id="370"/>
      <w:r>
        <w:rPr>
          <w:rFonts w:ascii="宋体" w:hAnsi="宋体" w:cs="宋体" w:eastAsia="宋体" w:hint="default"/>
          <w:b/>
          <w:bCs/>
          <w:w w:val="100"/>
          <w:sz w:val="21"/>
          <w:szCs w:val="21"/>
        </w:rPr>
      </w:r>
      <w:r>
        <w:rPr>
          <w:rFonts w:ascii="宋体" w:hAnsi="宋体" w:cs="宋体" w:eastAsia="宋体" w:hint="default"/>
          <w:b/>
          <w:bCs/>
          <w:sz w:val="24"/>
          <w:szCs w:val="24"/>
        </w:rPr>
        <w:t>十二、资产负债表日后事项</w:t>
      </w:r>
      <w:r>
        <w:rPr>
          <w:rFonts w:ascii="宋体" w:hAnsi="宋体" w:cs="宋体" w:eastAsia="宋体" w:hint="default"/>
          <w:sz w:val="24"/>
          <w:szCs w:val="24"/>
        </w:rPr>
      </w:r>
    </w:p>
    <w:p>
      <w:pPr>
        <w:spacing w:line="240" w:lineRule="auto" w:before="12"/>
        <w:rPr>
          <w:rFonts w:ascii="宋体" w:hAnsi="宋体" w:cs="宋体" w:eastAsia="宋体" w:hint="default"/>
          <w:b/>
          <w:bCs/>
          <w:sz w:val="17"/>
          <w:szCs w:val="17"/>
        </w:rPr>
      </w:pPr>
    </w:p>
    <w:p>
      <w:pPr>
        <w:pStyle w:val="Heading5"/>
        <w:spacing w:line="240" w:lineRule="auto"/>
        <w:ind w:right="1133"/>
        <w:jc w:val="left"/>
        <w:rPr>
          <w:b w:val="0"/>
          <w:bCs w:val="0"/>
        </w:rPr>
      </w:pPr>
      <w:bookmarkStart w:name="1、重要的非调整事项" w:id="371"/>
      <w:bookmarkEnd w:id="371"/>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2、利润分配情况" w:id="372"/>
      <w:bookmarkEnd w:id="372"/>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24"/>
          <w:szCs w:val="24"/>
        </w:rPr>
      </w:pPr>
    </w:p>
    <w:p>
      <w:pPr>
        <w:pStyle w:val="Heading5"/>
        <w:spacing w:line="240" w:lineRule="auto" w:before="36"/>
        <w:ind w:right="1133"/>
        <w:jc w:val="left"/>
        <w:rPr>
          <w:b w:val="0"/>
          <w:bCs w:val="0"/>
        </w:rPr>
      </w:pPr>
      <w:bookmarkStart w:name="3、销售退回" w:id="373"/>
      <w:bookmarkEnd w:id="373"/>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spacing w:line="506" w:lineRule="auto" w:before="0"/>
        <w:ind w:left="489" w:right="1133" w:hanging="337"/>
        <w:jc w:val="left"/>
        <w:rPr>
          <w:rFonts w:ascii="宋体" w:hAnsi="宋体" w:cs="宋体" w:eastAsia="宋体" w:hint="default"/>
          <w:sz w:val="21"/>
          <w:szCs w:val="21"/>
        </w:rPr>
      </w:pPr>
      <w:bookmarkStart w:name="4、其他资产负债表日后事项说明" w:id="374"/>
      <w:bookmarkEnd w:id="37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100"/>
          <w:sz w:val="21"/>
          <w:szCs w:val="21"/>
        </w:rPr>
        <w:t> </w:t>
      </w:r>
      <w:r>
        <w:rPr>
          <w:rFonts w:ascii="宋体" w:hAnsi="宋体" w:cs="宋体" w:eastAsia="宋体" w:hint="default"/>
          <w:spacing w:val="-2"/>
          <w:sz w:val="21"/>
          <w:szCs w:val="21"/>
        </w:rPr>
        <w:t>截至本财务报表签发日</w:t>
      </w:r>
      <w:r>
        <w:rPr>
          <w:rFonts w:ascii="Times New Roman" w:hAnsi="Times New Roman" w:cs="Times New Roman" w:eastAsia="Times New Roman" w:hint="default"/>
          <w:spacing w:val="-2"/>
          <w:sz w:val="21"/>
          <w:szCs w:val="21"/>
        </w:rPr>
        <w:t>(2020</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29</w:t>
      </w:r>
      <w:r>
        <w:rPr>
          <w:rFonts w:ascii="宋体" w:hAnsi="宋体" w:cs="宋体" w:eastAsia="宋体" w:hint="default"/>
          <w:spacing w:val="-2"/>
          <w:sz w:val="21"/>
          <w:szCs w:val="21"/>
        </w:rPr>
        <w:t>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，本公司无影响对本财务报表阅读和理解的其他重大事项。</w:t>
      </w:r>
    </w:p>
    <w:p>
      <w:pPr>
        <w:pStyle w:val="Heading3"/>
        <w:spacing w:line="240" w:lineRule="auto" w:before="38"/>
        <w:ind w:right="1133"/>
        <w:jc w:val="left"/>
        <w:rPr>
          <w:b w:val="0"/>
          <w:bCs w:val="0"/>
        </w:rPr>
      </w:pPr>
      <w:bookmarkStart w:name="十三、其他重要事项" w:id="375"/>
      <w:bookmarkEnd w:id="375"/>
      <w:r>
        <w:rPr>
          <w:b w:val="0"/>
          <w:bCs w:val="0"/>
        </w:rPr>
      </w:r>
      <w:r>
        <w:rPr/>
        <w:t>十三、其他重要事项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bookmarkStart w:name="1、其他" w:id="376"/>
      <w:bookmarkEnd w:id="376"/>
      <w:r>
        <w:rPr>
          <w:b w:val="0"/>
          <w:bCs w:val="0"/>
        </w:rPr>
      </w:r>
      <w:r>
        <w:rPr>
          <w:rFonts w:ascii="Times New Roman" w:hAnsi="Times New Roman" w:cs="Times New Roman" w:eastAsia="Times New Roman" w:hint="default"/>
        </w:rPr>
        <w:t>1</w:t>
      </w:r>
      <w:r>
        <w:rPr/>
        <w:t>、其他</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3" w:right="1133"/>
        <w:jc w:val="left"/>
      </w:pPr>
      <w:r>
        <w:rPr/>
        <w:t>截至本财务报表签发日</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w:t>
      </w:r>
      <w:r>
        <w:rPr>
          <w:rFonts w:ascii="Times New Roman" w:hAnsi="Times New Roman" w:cs="Times New Roman" w:eastAsia="Times New Roman" w:hint="default"/>
        </w:rPr>
        <w:t>)</w:t>
      </w:r>
      <w:r>
        <w:rPr/>
        <w:t>，本公司无影响对本财务报表阅读和理解的其他重大事项。</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bookmarkStart w:name="十四、母公司财务报表主要项目注释" w:id="377"/>
      <w:bookmarkEnd w:id="377"/>
      <w:r>
        <w:rPr>
          <w:b w:val="0"/>
          <w:bCs w:val="0"/>
        </w:rPr>
      </w:r>
      <w:r>
        <w:rPr/>
        <w:t>十四、母公司财务报表主要项目注释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bookmarkStart w:name="1、应收账款" w:id="378"/>
      <w:bookmarkEnd w:id="378"/>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bookmarkStart w:name="（1）应收账款分类披露" w:id="379"/>
      <w:bookmarkEnd w:id="37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4"/>
        <w:gridCol w:w="762"/>
        <w:gridCol w:w="764"/>
        <w:gridCol w:w="773"/>
        <w:gridCol w:w="740"/>
        <w:gridCol w:w="801"/>
        <w:gridCol w:w="775"/>
        <w:gridCol w:w="797"/>
        <w:gridCol w:w="800"/>
        <w:gridCol w:w="790"/>
        <w:gridCol w:w="920"/>
      </w:tblGrid>
      <w:tr>
        <w:trPr>
          <w:trHeight w:val="398"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1"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20"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类别</w:t>
            </w: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801"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4" w:type="dxa"/>
            <w:vMerge/>
            <w:tcBorders>
              <w:left w:val="single" w:sz="4" w:space="0" w:color="000000"/>
              <w:bottom w:val="single" w:sz="5"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7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4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76" w:right="92"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3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4" w:type="dxa"/>
            <w:vMerge w:val="restart"/>
            <w:tcBorders>
              <w:top w:val="single" w:sz="5" w:space="0" w:color="FFFFFF"/>
              <w:left w:val="single" w:sz="4" w:space="0" w:color="000000"/>
              <w:right w:val="single" w:sz="4" w:space="0" w:color="000000"/>
            </w:tcBorders>
            <w:shd w:val="clear" w:color="auto" w:fill="D2D2D2"/>
          </w:tcPr>
          <w:p>
            <w:pPr/>
          </w:p>
        </w:tc>
        <w:tc>
          <w:tcPr>
            <w:tcW w:w="762"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40" w:type="dxa"/>
            <w:vMerge/>
            <w:tcBorders>
              <w:left w:val="single" w:sz="4" w:space="0" w:color="000000"/>
              <w:right w:val="single" w:sz="4" w:space="0" w:color="000000"/>
            </w:tcBorders>
            <w:shd w:val="clear" w:color="auto" w:fill="D2D2D2"/>
          </w:tcPr>
          <w:p>
            <w:pPr/>
          </w:p>
        </w:tc>
        <w:tc>
          <w:tcPr>
            <w:tcW w:w="801"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20"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73" w:type="dxa"/>
            <w:vMerge/>
            <w:tcBorders>
              <w:left w:val="single" w:sz="4" w:space="0" w:color="000000"/>
              <w:bottom w:val="nil" w:sz="6" w:space="0" w:color="auto"/>
              <w:right w:val="single" w:sz="4" w:space="0" w:color="000000"/>
            </w:tcBorders>
            <w:shd w:val="clear" w:color="auto" w:fill="D2D2D2"/>
          </w:tcPr>
          <w:p>
            <w:pPr/>
          </w:p>
        </w:tc>
        <w:tc>
          <w:tcPr>
            <w:tcW w:w="740" w:type="dxa"/>
            <w:vMerge/>
            <w:tcBorders>
              <w:left w:val="single" w:sz="4" w:space="0" w:color="000000"/>
              <w:right w:val="single" w:sz="4" w:space="0" w:color="000000"/>
            </w:tcBorders>
            <w:shd w:val="clear" w:color="auto" w:fill="D2D2D2"/>
          </w:tcPr>
          <w:p>
            <w:pPr/>
          </w:p>
        </w:tc>
        <w:tc>
          <w:tcPr>
            <w:tcW w:w="801"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20"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3" w:type="dxa"/>
            <w:tcBorders>
              <w:top w:val="nil" w:sz="6" w:space="0" w:color="auto"/>
              <w:left w:val="single" w:sz="4" w:space="0" w:color="000000"/>
              <w:bottom w:val="single" w:sz="4" w:space="0" w:color="000000"/>
              <w:right w:val="single" w:sz="4" w:space="0" w:color="000000"/>
            </w:tcBorders>
            <w:shd w:val="clear" w:color="auto" w:fill="D2D2D2"/>
          </w:tcPr>
          <w:p>
            <w:pPr/>
          </w:p>
        </w:tc>
        <w:tc>
          <w:tcPr>
            <w:tcW w:w="740" w:type="dxa"/>
            <w:vMerge/>
            <w:tcBorders>
              <w:left w:val="single" w:sz="4" w:space="0" w:color="000000"/>
              <w:bottom w:val="single" w:sz="4" w:space="0" w:color="000000"/>
              <w:right w:val="single" w:sz="4" w:space="0" w:color="000000"/>
            </w:tcBorders>
            <w:shd w:val="clear" w:color="auto" w:fill="D2D2D2"/>
          </w:tcPr>
          <w:p>
            <w:pPr/>
          </w:p>
        </w:tc>
        <w:tc>
          <w:tcPr>
            <w:tcW w:w="80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按组合计提坏账准</w:t>
            </w:r>
          </w:p>
        </w:tc>
        <w:tc>
          <w:tcPr>
            <w:tcW w:w="7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left="92" w:right="0"/>
              <w:jc w:val="left"/>
              <w:rPr>
                <w:rFonts w:ascii="Times New Roman" w:hAnsi="Times New Roman" w:cs="Times New Roman" w:eastAsia="Times New Roman" w:hint="default"/>
                <w:sz w:val="18"/>
                <w:szCs w:val="18"/>
              </w:rPr>
            </w:pPr>
            <w:r>
              <w:rPr>
                <w:rFonts w:ascii="Times New Roman"/>
                <w:sz w:val="18"/>
              </w:rPr>
              <w:t>504,179,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100.00%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8" w:right="0"/>
              <w:jc w:val="left"/>
              <w:rPr>
                <w:rFonts w:ascii="Times New Roman" w:hAnsi="Times New Roman" w:cs="Times New Roman" w:eastAsia="Times New Roman" w:hint="default"/>
                <w:sz w:val="18"/>
                <w:szCs w:val="18"/>
              </w:rPr>
            </w:pPr>
            <w:r>
              <w:rPr>
                <w:rFonts w:ascii="Times New Roman"/>
                <w:sz w:val="18"/>
              </w:rPr>
              <w:t>35,677,0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4" w:right="0"/>
              <w:jc w:val="left"/>
              <w:rPr>
                <w:rFonts w:ascii="Times New Roman" w:hAnsi="Times New Roman" w:cs="Times New Roman" w:eastAsia="Times New Roman" w:hint="default"/>
                <w:sz w:val="18"/>
                <w:szCs w:val="18"/>
              </w:rPr>
            </w:pPr>
            <w:r>
              <w:rPr>
                <w:rFonts w:ascii="Times New Roman"/>
                <w:sz w:val="18"/>
              </w:rPr>
              <w:t>7.08%</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6" w:right="0"/>
              <w:jc w:val="left"/>
              <w:rPr>
                <w:rFonts w:ascii="Times New Roman" w:hAnsi="Times New Roman" w:cs="Times New Roman" w:eastAsia="Times New Roman" w:hint="default"/>
                <w:sz w:val="18"/>
                <w:szCs w:val="18"/>
              </w:rPr>
            </w:pPr>
            <w:r>
              <w:rPr>
                <w:rFonts w:ascii="Times New Roman"/>
                <w:sz w:val="18"/>
              </w:rPr>
              <w:t>468,502,0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4" w:right="0"/>
              <w:jc w:val="left"/>
              <w:rPr>
                <w:rFonts w:ascii="Times New Roman" w:hAnsi="Times New Roman" w:cs="Times New Roman" w:eastAsia="Times New Roman" w:hint="default"/>
                <w:sz w:val="18"/>
                <w:szCs w:val="18"/>
              </w:rPr>
            </w:pPr>
            <w:r>
              <w:rPr>
                <w:rFonts w:ascii="Times New Roman"/>
                <w:sz w:val="18"/>
              </w:rPr>
              <w:t>354,497,4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9" w:right="0"/>
              <w:jc w:val="left"/>
              <w:rPr>
                <w:rFonts w:ascii="Times New Roman" w:hAnsi="Times New Roman" w:cs="Times New Roman" w:eastAsia="Times New Roman" w:hint="default"/>
                <w:sz w:val="18"/>
                <w:szCs w:val="18"/>
              </w:rPr>
            </w:pPr>
            <w:r>
              <w:rPr>
                <w:rFonts w:ascii="Times New Roman"/>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23,819,12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2" w:right="0"/>
              <w:jc w:val="left"/>
              <w:rPr>
                <w:rFonts w:ascii="Times New Roman" w:hAnsi="Times New Roman" w:cs="Times New Roman" w:eastAsia="Times New Roman" w:hint="default"/>
                <w:sz w:val="18"/>
                <w:szCs w:val="18"/>
              </w:rPr>
            </w:pPr>
            <w:r>
              <w:rPr>
                <w:rFonts w:ascii="Times New Roman"/>
                <w:sz w:val="18"/>
              </w:rPr>
              <w:t>6.72%</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8" w:right="0"/>
              <w:jc w:val="left"/>
              <w:rPr>
                <w:rFonts w:ascii="Times New Roman" w:hAnsi="Times New Roman" w:cs="Times New Roman" w:eastAsia="Times New Roman" w:hint="default"/>
                <w:sz w:val="18"/>
                <w:szCs w:val="18"/>
              </w:rPr>
            </w:pPr>
            <w:r>
              <w:rPr>
                <w:rFonts w:ascii="Times New Roman"/>
                <w:sz w:val="18"/>
              </w:rPr>
              <w:t>330,678,36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4"/>
        <w:gridCol w:w="761"/>
        <w:gridCol w:w="763"/>
        <w:gridCol w:w="790"/>
        <w:gridCol w:w="775"/>
        <w:gridCol w:w="797"/>
        <w:gridCol w:w="800"/>
        <w:gridCol w:w="790"/>
        <w:gridCol w:w="931"/>
      </w:tblGrid>
      <w:tr>
        <w:trPr>
          <w:trHeight w:val="363"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30" w:right="0"/>
              <w:jc w:val="left"/>
              <w:rPr>
                <w:rFonts w:ascii="Times New Roman" w:hAnsi="Times New Roman" w:cs="Times New Roman" w:eastAsia="Times New Roman" w:hint="default"/>
                <w:sz w:val="18"/>
                <w:szCs w:val="18"/>
              </w:rPr>
            </w:pPr>
            <w:r>
              <w:rPr>
                <w:rFonts w:ascii="Times New Roman"/>
                <w:sz w:val="18"/>
              </w:rPr>
              <w:t>184.87</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3" w:right="0"/>
              <w:jc w:val="left"/>
              <w:rPr>
                <w:rFonts w:ascii="Times New Roman" w:hAnsi="Times New Roman" w:cs="Times New Roman" w:eastAsia="Times New Roman" w:hint="default"/>
                <w:sz w:val="18"/>
                <w:szCs w:val="18"/>
              </w:rPr>
            </w:pPr>
            <w:r>
              <w:rPr>
                <w:rFonts w:ascii="Times New Roman"/>
                <w:sz w:val="18"/>
              </w:rPr>
              <w:t>97.82</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0" w:right="0"/>
              <w:jc w:val="left"/>
              <w:rPr>
                <w:rFonts w:ascii="Times New Roman" w:hAnsi="Times New Roman" w:cs="Times New Roman" w:eastAsia="Times New Roman" w:hint="default"/>
                <w:sz w:val="18"/>
                <w:szCs w:val="18"/>
              </w:rPr>
            </w:pPr>
            <w:r>
              <w:rPr>
                <w:rFonts w:ascii="Times New Roman"/>
                <w:sz w:val="18"/>
              </w:rPr>
              <w:t>87.05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8" w:right="0"/>
              <w:jc w:val="left"/>
              <w:rPr>
                <w:rFonts w:ascii="Times New Roman" w:hAnsi="Times New Roman" w:cs="Times New Roman" w:eastAsia="Times New Roman" w:hint="default"/>
                <w:sz w:val="18"/>
                <w:szCs w:val="18"/>
              </w:rPr>
            </w:pPr>
            <w:r>
              <w:rPr>
                <w:rFonts w:ascii="Times New Roman"/>
                <w:sz w:val="18"/>
              </w:rPr>
              <w:t>88.65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5.47</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5" w:right="0"/>
              <w:jc w:val="left"/>
              <w:rPr>
                <w:rFonts w:ascii="Times New Roman" w:hAnsi="Times New Roman" w:cs="Times New Roman" w:eastAsia="Times New Roman" w:hint="default"/>
                <w:sz w:val="18"/>
                <w:szCs w:val="18"/>
              </w:rPr>
            </w:pPr>
            <w:r>
              <w:rPr>
                <w:rFonts w:ascii="Times New Roman"/>
                <w:sz w:val="18"/>
              </w:rPr>
              <w:t>3.18</w:t>
            </w:r>
          </w:p>
        </w:tc>
      </w:tr>
      <w:tr>
        <w:trPr>
          <w:trHeight w:val="401"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10" w:space="0" w:color="D2D2D2"/>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504,179,</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184.87</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35,677,0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97.82</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7.08%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468,502,0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87.05</w:t>
            </w:r>
          </w:p>
        </w:tc>
        <w:tc>
          <w:tcPr>
            <w:tcW w:w="775"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354,497,4</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88.65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23,819,12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5.47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6.72%</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330,678,36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3.18</w:t>
            </w:r>
          </w:p>
        </w:tc>
      </w:tr>
      <w:tr>
        <w:trPr>
          <w:trHeight w:val="394"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10" w:space="0" w:color="D2D2D2"/>
              <w:right w:val="single" w:sz="4" w:space="0" w:color="000000"/>
            </w:tcBorders>
          </w:tcPr>
          <w:p>
            <w:pPr/>
          </w:p>
        </w:tc>
        <w:tc>
          <w:tcPr>
            <w:tcW w:w="764"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10" w:space="0" w:color="D2D2D2"/>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57" w:lineRule="auto" w:before="49"/>
        <w:ind w:left="15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line="340" w:lineRule="auto" w:before="29"/>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before="3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282,397,665.34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117,496,882.60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72,834,556.43</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31,450,080.50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22,034,050.03</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8,931,790.92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484,239.55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504,179,184.87</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2）转移应收账款且继续涉入形成的资产、负债金额" w:id="380"/>
      <w:bookmarkEnd w:id="380"/>
      <w:r>
        <w:rPr>
          <w:b w:val="0"/>
          <w:bCs w:val="0"/>
        </w:rPr>
      </w:r>
      <w:r>
        <w:rPr/>
        <w:t>（</w:t>
      </w:r>
      <w:r>
        <w:rPr>
          <w:rFonts w:ascii="Times New Roman" w:hAnsi="Times New Roman" w:cs="Times New Roman" w:eastAsia="Times New Roman" w:hint="default"/>
        </w:rPr>
        <w:t>2</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13"/>
          <w:szCs w:val="13"/>
        </w:rPr>
      </w:pPr>
    </w:p>
    <w:p>
      <w:pPr>
        <w:pStyle w:val="BodyText"/>
        <w:spacing w:line="240" w:lineRule="auto" w:before="0"/>
        <w:ind w:left="573" w:right="1133"/>
        <w:jc w:val="left"/>
      </w:pPr>
      <w:r>
        <w:rPr/>
        <w:t>（</w:t>
      </w:r>
      <w:r>
        <w:rPr>
          <w:rFonts w:ascii="Times New Roman" w:hAnsi="Times New Roman" w:cs="Times New Roman" w:eastAsia="Times New Roman" w:hint="default"/>
        </w:rPr>
        <w:t>1</w:t>
      </w:r>
      <w:r>
        <w:rPr/>
        <w:t>）本期计提坏账准备金额为</w:t>
      </w:r>
      <w:r>
        <w:rPr>
          <w:rFonts w:ascii="Times New Roman" w:hAnsi="Times New Roman" w:cs="Times New Roman" w:eastAsia="Times New Roman" w:hint="default"/>
        </w:rPr>
        <w:t>11,682,810.95</w:t>
      </w:r>
      <w:r>
        <w:rPr/>
        <w:t>元。</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left="573" w:right="1133"/>
        <w:jc w:val="left"/>
      </w:pPr>
      <w:r>
        <w:rPr/>
        <w:t>（</w:t>
      </w:r>
      <w:r>
        <w:rPr>
          <w:rFonts w:ascii="Times New Roman" w:hAnsi="Times New Roman" w:cs="Times New Roman" w:eastAsia="Times New Roman" w:hint="default"/>
        </w:rPr>
        <w:t>2</w:t>
      </w:r>
      <w:r>
        <w:rPr/>
        <w:t>）应收账款期末余额中持有本公司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以上表决权股份的股东或其他关联方之间的欠款。</w:t>
      </w:r>
    </w:p>
    <w:p>
      <w:pPr>
        <w:spacing w:line="240" w:lineRule="auto" w:before="9"/>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21"/>
        <w:gridCol w:w="1380"/>
        <w:gridCol w:w="1620"/>
        <w:gridCol w:w="1507"/>
        <w:gridCol w:w="1800"/>
      </w:tblGrid>
      <w:tr>
        <w:trPr>
          <w:trHeight w:val="662" w:hRule="exact"/>
        </w:trPr>
        <w:tc>
          <w:tcPr>
            <w:tcW w:w="312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8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2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0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800" w:type="dxa"/>
            <w:tcBorders>
              <w:top w:val="single" w:sz="6" w:space="0" w:color="000000"/>
              <w:left w:val="single" w:sz="6" w:space="0" w:color="000000"/>
              <w:bottom w:val="single" w:sz="8" w:space="0" w:color="000000"/>
              <w:right w:val="nil" w:sz="6" w:space="0" w:color="auto"/>
            </w:tcBorders>
          </w:tcPr>
          <w:p>
            <w:pPr>
              <w:pStyle w:val="TableParagraph"/>
              <w:spacing w:line="316" w:lineRule="auto" w:before="17"/>
              <w:ind w:left="667" w:right="89"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 例</w:t>
            </w:r>
            <w:r>
              <w:rPr>
                <w:rFonts w:ascii="Times New Roman" w:hAnsi="Times New Roman" w:cs="Times New Roman" w:eastAsia="Times New Roman" w:hint="default"/>
                <w:sz w:val="18"/>
                <w:szCs w:val="18"/>
              </w:rPr>
              <w:t>(%)</w:t>
            </w:r>
          </w:p>
        </w:tc>
      </w:tr>
      <w:tr>
        <w:trPr>
          <w:trHeight w:val="658" w:hRule="exact"/>
        </w:trPr>
        <w:tc>
          <w:tcPr>
            <w:tcW w:w="312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吉林紫鑫敦化医药药材有限公司</w:t>
            </w:r>
          </w:p>
        </w:tc>
        <w:tc>
          <w:tcPr>
            <w:tcW w:w="138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62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left="4" w:right="0"/>
              <w:jc w:val="center"/>
              <w:rPr>
                <w:rFonts w:ascii="Times New Roman" w:hAnsi="Times New Roman" w:cs="Times New Roman" w:eastAsia="Times New Roman" w:hint="default"/>
                <w:sz w:val="18"/>
                <w:szCs w:val="18"/>
              </w:rPr>
            </w:pPr>
            <w:r>
              <w:rPr>
                <w:rFonts w:ascii="Times New Roman"/>
                <w:sz w:val="18"/>
              </w:rPr>
              <w:t>56,916,091.50</w:t>
            </w:r>
          </w:p>
        </w:tc>
        <w:tc>
          <w:tcPr>
            <w:tcW w:w="1507"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3"/>
              <w:ind w:left="657" w:right="24" w:hanging="632"/>
              <w:jc w:val="left"/>
              <w:rPr>
                <w:rFonts w:ascii="宋体" w:hAnsi="宋体" w:cs="宋体" w:eastAsia="宋体" w:hint="default"/>
                <w:sz w:val="18"/>
                <w:szCs w:val="18"/>
              </w:rPr>
            </w:pPr>
            <w:r>
              <w:rPr>
                <w:rFonts w:ascii="宋体" w:hAnsi="宋体" w:cs="宋体" w:eastAsia="宋体" w:hint="default"/>
                <w:sz w:val="18"/>
                <w:szCs w:val="18"/>
              </w:rPr>
              <w:t>一年以内、一至二 年</w:t>
            </w:r>
          </w:p>
        </w:tc>
        <w:tc>
          <w:tcPr>
            <w:tcW w:w="180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left="615" w:right="0"/>
              <w:jc w:val="left"/>
              <w:rPr>
                <w:rFonts w:ascii="Times New Roman" w:hAnsi="Times New Roman" w:cs="Times New Roman" w:eastAsia="Times New Roman" w:hint="default"/>
                <w:sz w:val="18"/>
                <w:szCs w:val="18"/>
              </w:rPr>
            </w:pPr>
            <w:r>
              <w:rPr>
                <w:rFonts w:ascii="Times New Roman"/>
                <w:sz w:val="18"/>
              </w:rPr>
              <w:t>11.29%</w:t>
            </w:r>
          </w:p>
        </w:tc>
      </w:tr>
      <w:tr>
        <w:trPr>
          <w:trHeight w:val="348" w:hRule="exact"/>
        </w:trPr>
        <w:tc>
          <w:tcPr>
            <w:tcW w:w="312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吉林紫鑫初元药业有限公司</w:t>
            </w:r>
          </w:p>
        </w:tc>
        <w:tc>
          <w:tcPr>
            <w:tcW w:w="138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62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4" w:right="0"/>
              <w:jc w:val="center"/>
              <w:rPr>
                <w:rFonts w:ascii="Times New Roman" w:hAnsi="Times New Roman" w:cs="Times New Roman" w:eastAsia="Times New Roman" w:hint="default"/>
                <w:sz w:val="18"/>
                <w:szCs w:val="18"/>
              </w:rPr>
            </w:pPr>
            <w:r>
              <w:rPr>
                <w:rFonts w:ascii="Times New Roman"/>
                <w:sz w:val="18"/>
              </w:rPr>
              <w:t>17,512,835.14</w:t>
            </w:r>
          </w:p>
        </w:tc>
        <w:tc>
          <w:tcPr>
            <w:tcW w:w="150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80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left="660" w:right="0"/>
              <w:jc w:val="left"/>
              <w:rPr>
                <w:rFonts w:ascii="Times New Roman" w:hAnsi="Times New Roman" w:cs="Times New Roman" w:eastAsia="Times New Roman" w:hint="default"/>
                <w:sz w:val="18"/>
                <w:szCs w:val="18"/>
              </w:rPr>
            </w:pPr>
            <w:r>
              <w:rPr>
                <w:rFonts w:ascii="Times New Roman"/>
                <w:sz w:val="18"/>
              </w:rPr>
              <w:t>3.47%</w:t>
            </w:r>
          </w:p>
        </w:tc>
      </w:tr>
      <w:tr>
        <w:trPr>
          <w:trHeight w:val="348" w:hRule="exact"/>
        </w:trPr>
        <w:tc>
          <w:tcPr>
            <w:tcW w:w="312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380" w:type="dxa"/>
            <w:tcBorders>
              <w:top w:val="single" w:sz="8" w:space="0" w:color="000000"/>
              <w:left w:val="single" w:sz="6" w:space="0" w:color="000000"/>
              <w:bottom w:val="single" w:sz="8" w:space="0" w:color="000000"/>
              <w:right w:val="single" w:sz="6" w:space="0" w:color="000000"/>
            </w:tcBorders>
          </w:tcPr>
          <w:p>
            <w:pPr/>
          </w:p>
        </w:tc>
        <w:tc>
          <w:tcPr>
            <w:tcW w:w="162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left="4" w:right="0"/>
              <w:jc w:val="center"/>
              <w:rPr>
                <w:rFonts w:ascii="Times New Roman" w:hAnsi="Times New Roman" w:cs="Times New Roman" w:eastAsia="Times New Roman" w:hint="default"/>
                <w:sz w:val="18"/>
                <w:szCs w:val="18"/>
              </w:rPr>
            </w:pPr>
            <w:r>
              <w:rPr>
                <w:rFonts w:ascii="Times New Roman"/>
                <w:sz w:val="18"/>
              </w:rPr>
              <w:t>74,428,926.64</w:t>
            </w:r>
          </w:p>
        </w:tc>
        <w:tc>
          <w:tcPr>
            <w:tcW w:w="1507" w:type="dxa"/>
            <w:tcBorders>
              <w:top w:val="single" w:sz="8" w:space="0" w:color="000000"/>
              <w:left w:val="single" w:sz="6" w:space="0" w:color="000000"/>
              <w:bottom w:val="single" w:sz="8" w:space="0" w:color="000000"/>
              <w:right w:val="single" w:sz="6" w:space="0" w:color="000000"/>
            </w:tcBorders>
          </w:tcPr>
          <w:p>
            <w:pPr/>
          </w:p>
        </w:tc>
        <w:tc>
          <w:tcPr>
            <w:tcW w:w="180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left="615" w:right="0"/>
              <w:jc w:val="left"/>
              <w:rPr>
                <w:rFonts w:ascii="Times New Roman" w:hAnsi="Times New Roman" w:cs="Times New Roman" w:eastAsia="Times New Roman" w:hint="default"/>
                <w:sz w:val="18"/>
                <w:szCs w:val="18"/>
              </w:rPr>
            </w:pPr>
            <w:r>
              <w:rPr>
                <w:rFonts w:ascii="Times New Roman"/>
                <w:sz w:val="18"/>
              </w:rPr>
              <w:t>14.76%</w:t>
            </w:r>
          </w:p>
        </w:tc>
      </w:tr>
    </w:tbl>
    <w:p>
      <w:pPr>
        <w:pStyle w:val="BodyText"/>
        <w:spacing w:line="386" w:lineRule="auto" w:before="64"/>
        <w:ind w:left="573" w:right="1133"/>
        <w:jc w:val="left"/>
      </w:pPr>
      <w:r>
        <w:rPr/>
        <w:t>（</w:t>
      </w:r>
      <w:r>
        <w:rPr>
          <w:rFonts w:ascii="Times New Roman" w:hAnsi="Times New Roman" w:cs="Times New Roman" w:eastAsia="Times New Roman" w:hint="default"/>
        </w:rPr>
        <w:t>3</w:t>
      </w:r>
      <w:r>
        <w:rPr/>
        <w:t>）按欠款方归集的期末余额前五名的应收账款情况：</w:t>
      </w:r>
      <w:r>
        <w:rPr>
          <w:w w:val="100"/>
        </w:rPr>
        <w:t> </w:t>
      </w:r>
      <w:r>
        <w:rPr>
          <w:spacing w:val="-3"/>
        </w:rPr>
        <w:t>按欠款方归集的期末余额前五名应收账款汇总金额</w:t>
      </w:r>
      <w:r>
        <w:rPr>
          <w:rFonts w:ascii="Times New Roman" w:hAnsi="Times New Roman" w:cs="Times New Roman" w:eastAsia="Times New Roman" w:hint="default"/>
          <w:spacing w:val="-3"/>
        </w:rPr>
        <w:t>121,803,411.75</w:t>
      </w:r>
      <w:r>
        <w:rPr>
          <w:spacing w:val="-3"/>
        </w:rPr>
        <w:t>元，占应收账款期末余额合计数的比</w:t>
      </w:r>
    </w:p>
    <w:p>
      <w:pPr>
        <w:pStyle w:val="BodyText"/>
        <w:spacing w:line="240" w:lineRule="auto" w:before="35"/>
        <w:ind w:right="1133"/>
        <w:jc w:val="left"/>
      </w:pPr>
      <w:r>
        <w:rPr/>
        <w:t>例</w:t>
      </w:r>
      <w:r>
        <w:rPr>
          <w:rFonts w:ascii="Times New Roman" w:hAnsi="Times New Roman" w:cs="Times New Roman" w:eastAsia="Times New Roman" w:hint="default"/>
        </w:rPr>
        <w:t>24.16%</w:t>
      </w:r>
      <w:r>
        <w:rPr/>
        <w:t>，相应计提的坏账准备期末余额汇总金额</w:t>
      </w:r>
      <w:r>
        <w:rPr>
          <w:rFonts w:ascii="Times New Roman" w:hAnsi="Times New Roman" w:cs="Times New Roman" w:eastAsia="Times New Roman" w:hint="default"/>
        </w:rPr>
        <w:t>8,664,942.63</w:t>
      </w:r>
      <w:r>
        <w:rPr/>
        <w:t>元。</w:t>
      </w:r>
    </w:p>
    <w:p>
      <w:pPr>
        <w:spacing w:line="240" w:lineRule="auto" w:before="9"/>
        <w:rPr>
          <w:rFonts w:ascii="宋体" w:hAnsi="宋体" w:cs="宋体" w:eastAsia="宋体" w:hint="default"/>
          <w:sz w:val="30"/>
          <w:szCs w:val="30"/>
        </w:rPr>
      </w:pPr>
    </w:p>
    <w:p>
      <w:pPr>
        <w:pStyle w:val="Heading5"/>
        <w:spacing w:line="240" w:lineRule="auto"/>
        <w:ind w:right="1133"/>
        <w:jc w:val="left"/>
        <w:rPr>
          <w:b w:val="0"/>
          <w:bCs w:val="0"/>
        </w:rPr>
      </w:pPr>
      <w:bookmarkStart w:name="2、其他应收款" w:id="381"/>
      <w:bookmarkEnd w:id="381"/>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4,420,119,050.02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65,136,748.95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4,420,119,050.02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65,136,748.95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1）其他应收款" w:id="382"/>
      <w:bookmarkEnd w:id="382"/>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3"/>
        <w:jc w:val="left"/>
        <w:rPr>
          <w:b w:val="0"/>
          <w:bCs w:val="0"/>
        </w:rPr>
      </w:pPr>
      <w:bookmarkStart w:name="1）其他应收款按款项性质分类情况" w:id="383"/>
      <w:bookmarkEnd w:id="383"/>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10,306,521.55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30,894,640.23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4,407,214,853.39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4,033,530,096.48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2,304,758.00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2,304,758.00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2,313,176.25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113,270.84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4,422,139,309.19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4,066,842,765.55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减：信用损失准备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2,020,259.17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3,288,301.59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其他应收款净值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4,420,119,050.02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4,063,554,463.96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13,266,417,927.57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12,200,528,296.65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2）坏账准备计提情况" w:id="384"/>
      <w:bookmarkEnd w:id="384"/>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1"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tc>
        <w:tc>
          <w:tcPr>
            <w:tcW w:w="180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36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38" w:lineRule="auto" w:before="117"/>
        <w:ind w:left="152"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427,751,032.79</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1,129,392,247.97</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1,922,816,854.90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942,179,173.53</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519,731,695.16</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401,694,957.82</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20,752,520.55</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4,422,139,309.19</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3）本期计提、收回或转回的坏账准备情况" w:id="385"/>
      <w:bookmarkEnd w:id="385"/>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78"/>
        <w:gridCol w:w="1088"/>
        <w:gridCol w:w="1332"/>
        <w:gridCol w:w="1330"/>
        <w:gridCol w:w="1090"/>
        <w:gridCol w:w="1577"/>
        <w:gridCol w:w="1574"/>
      </w:tblGrid>
      <w:tr>
        <w:trPr>
          <w:trHeight w:val="402" w:hRule="exact"/>
        </w:trPr>
        <w:tc>
          <w:tcPr>
            <w:tcW w:w="15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78"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bl>
    <w:p>
      <w:pPr>
        <w:spacing w:before="50"/>
        <w:ind w:left="152" w:right="1133"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4）本期实际核销的其他应收款情况" w:id="386"/>
      <w:bookmarkEnd w:id="386"/>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bookmarkStart w:name="5）按欠款方归集的期末余额前五名的其他应收款情况" w:id="387"/>
      <w:bookmarkEnd w:id="387"/>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吉林紫鑫红石种养殖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3,768,797,511.97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一年至五年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85.23%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北京中科紫鑫科技有 限责任公司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458,228,428.32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一年至五年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10.36%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吉林紫鑫敦化医药药 材有限公司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95,149,749.04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一年至四年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吉林中科紫鑫科技有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83,672,600.00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一年至五年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柳河县人力资源和社 会保障局监察大队</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2,304,758.00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230,475.80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4,408,153,047.33</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99.68%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230,475.80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6）涉及政府补助的应收款项" w:id="388"/>
      <w:bookmarkEnd w:id="388"/>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34"/>
      </w:tblGrid>
      <w:tr>
        <w:trPr>
          <w:trHeight w:val="716"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7）因金融资产转移而终止确认的其他应收款" w:id="389"/>
      <w:bookmarkEnd w:id="389"/>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bookmarkStart w:name="8）转移其他应收款且继续涉入形成的资产、负债金额" w:id="390"/>
      <w:bookmarkEnd w:id="390"/>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bookmarkStart w:name="3、长期股权投资" w:id="391"/>
      <w:bookmarkEnd w:id="391"/>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3"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1,490,239,519.14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1,490,239,519.14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1,486,315,069.14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1,486,315,069.14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1,490,239,519.14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1,490,239,519.14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1,486,315,069.14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1,486,315,069.14</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1）对子公司投资" w:id="392"/>
      <w:bookmarkEnd w:id="39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2"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4"/>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4"/>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2"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吉林紫鑫般若 药业有限公司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159,890,000.0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159,890,000.00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吉林紫鑫初元 药业有限公司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319,930,000.0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319,930,000.00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吉林草还丹药 业有限公司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293,337,641.4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293,337,641.41</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吉林紫鑫禺拙 药业有限公司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299,540,000.0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299,540,000.00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吉林紫鑫敦化 医药药材有限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1,000,000.00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吉林紫鑫红石 种养殖有限公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吉林紫鑫人参 销售有限公司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50,000,000.00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吉林紫鑫药物 研究有限公司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2,000,000.00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吉林紫鑫人参 研发有限公司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2,000,000.00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吉林中科紫鑫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20,000,000.00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北方环境能源 交易所有限公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96,000,000.00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吉林紫鑫金桂 药业有限公司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Fytagoras</w:t>
            </w:r>
            <w:r>
              <w:rPr>
                <w:rFonts w:ascii="Times New Roman"/>
                <w:spacing w:val="-4"/>
                <w:sz w:val="18"/>
              </w:rPr>
              <w:t> </w:t>
            </w:r>
            <w:r>
              <w:rPr>
                <w:rFonts w:ascii="Times New Roman"/>
                <w:spacing w:val="-6"/>
                <w:sz w:val="18"/>
              </w:rPr>
              <w:t>B.V.</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19,855,927.73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3,770,150.00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23,626,077.73</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吉林紫鑫高科 技功能食品有 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40,500,000.00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吉林紫鑫参工 堂生物科技有 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50,000,000.00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吉林紫鑫汪清 药业有限公司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1,422,000.00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104,300.00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1,526,300.00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4" w:right="0"/>
              <w:jc w:val="left"/>
              <w:rPr>
                <w:rFonts w:ascii="Times New Roman" w:hAnsi="Times New Roman" w:cs="Times New Roman" w:eastAsia="Times New Roman" w:hint="default"/>
                <w:sz w:val="18"/>
                <w:szCs w:val="18"/>
              </w:rPr>
            </w:pPr>
            <w:r>
              <w:rPr>
                <w:rFonts w:ascii="Times New Roman"/>
                <w:sz w:val="18"/>
              </w:rPr>
              <w:t>Zixin</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19,039,500.00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19,039,500.00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67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4" w:right="54"/>
              <w:jc w:val="left"/>
              <w:rPr>
                <w:rFonts w:ascii="Times New Roman" w:hAnsi="Times New Roman" w:cs="Times New Roman" w:eastAsia="Times New Roman" w:hint="default"/>
                <w:sz w:val="18"/>
                <w:szCs w:val="18"/>
              </w:rPr>
            </w:pPr>
            <w:r>
              <w:rPr>
                <w:rFonts w:ascii="Times New Roman"/>
                <w:sz w:val="18"/>
              </w:rPr>
              <w:t>Pharmaceuticals</w:t>
            </w:r>
            <w:r>
              <w:rPr>
                <w:rFonts w:ascii="Times New Roman"/>
                <w:w w:val="99"/>
                <w:sz w:val="18"/>
              </w:rPr>
              <w:t> </w:t>
            </w:r>
            <w:r>
              <w:rPr>
                <w:rFonts w:ascii="Times New Roman"/>
                <w:sz w:val="18"/>
              </w:rPr>
              <w:t>USA</w:t>
            </w:r>
            <w:r>
              <w:rPr>
                <w:rFonts w:ascii="Times New Roman"/>
                <w:spacing w:val="-13"/>
                <w:sz w:val="18"/>
              </w:rPr>
              <w:t> </w:t>
            </w:r>
            <w:r>
              <w:rPr>
                <w:rFonts w:ascii="Times New Roman"/>
                <w:sz w:val="18"/>
              </w:rPr>
              <w:t>CORP</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吉林紫鑫桂鹤 医药有限公司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1,800,000.00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吉林紫鑫医药 产业园孵化器 管理有限公司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1,486,315,069.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3,924,450.00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1,490,239,519.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14</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33"/>
        <w:jc w:val="left"/>
        <w:rPr>
          <w:b w:val="0"/>
          <w:bCs w:val="0"/>
        </w:rPr>
      </w:pPr>
      <w:bookmarkStart w:name="4、营业收入和营业成本" w:id="393"/>
      <w:bookmarkEnd w:id="393"/>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501,436,981.31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126,137,025.99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687,118,983.82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384,015,546.04</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640,222.28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605,501.60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3,147,164.52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578,571.96</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502,077,203.59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126,742,527.59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690,266,148.34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384,594,118.00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38" w:lineRule="auto" w:before="117"/>
        <w:ind w:left="152" w:right="93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其他说明：</w:t>
      </w:r>
    </w:p>
    <w:p>
      <w:pPr>
        <w:spacing w:line="240" w:lineRule="auto" w:before="8"/>
        <w:rPr>
          <w:rFonts w:ascii="宋体" w:hAnsi="宋体" w:cs="宋体" w:eastAsia="宋体" w:hint="default"/>
          <w:sz w:val="21"/>
          <w:szCs w:val="21"/>
        </w:rPr>
      </w:pPr>
    </w:p>
    <w:p>
      <w:pPr>
        <w:pStyle w:val="Heading5"/>
        <w:spacing w:line="240" w:lineRule="auto"/>
        <w:ind w:right="1133"/>
        <w:jc w:val="left"/>
        <w:rPr>
          <w:b w:val="0"/>
          <w:bCs w:val="0"/>
        </w:rPr>
      </w:pPr>
      <w:bookmarkStart w:name="5、投资收益" w:id="394"/>
      <w:bookmarkEnd w:id="394"/>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其他权益工具投资在持有期间取得的股利 收入</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8,820,000.00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8,820,000.00</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8,820,000.00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bookmarkStart w:name="6、其他" w:id="395"/>
      <w:bookmarkEnd w:id="395"/>
      <w:r>
        <w:rPr>
          <w:b w:val="0"/>
          <w:bCs w:val="0"/>
        </w:rPr>
      </w:r>
      <w:r>
        <w:rPr>
          <w:rFonts w:ascii="Times New Roman" w:hAnsi="Times New Roman" w:cs="Times New Roman" w:eastAsia="Times New Roman" w:hint="default"/>
        </w:rPr>
        <w:t>6</w:t>
      </w:r>
      <w:r>
        <w:rPr/>
        <w:t>、其他</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1133"/>
        <w:jc w:val="left"/>
        <w:rPr>
          <w:b w:val="0"/>
          <w:bCs w:val="0"/>
        </w:rPr>
      </w:pPr>
      <w:bookmarkStart w:name="十五、补充资料" w:id="396"/>
      <w:bookmarkEnd w:id="396"/>
      <w:r>
        <w:rPr>
          <w:b w:val="0"/>
          <w:bCs w:val="0"/>
        </w:rPr>
      </w:r>
      <w:r>
        <w:rPr/>
        <w:t>十五、补充资料</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3"/>
        <w:jc w:val="left"/>
        <w:rPr>
          <w:b w:val="0"/>
          <w:bCs w:val="0"/>
        </w:rPr>
      </w:pPr>
      <w:bookmarkStart w:name="1、当期非经常性损益明细表" w:id="397"/>
      <w:bookmarkEnd w:id="39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-554,044.53</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1025"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126,609,201.36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-3,444,638.74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17,620,636.07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27.67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104,989,854.35</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0"/>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5"/>
        <w:spacing w:line="240" w:lineRule="auto"/>
        <w:ind w:right="1133"/>
        <w:jc w:val="left"/>
        <w:rPr>
          <w:b w:val="0"/>
          <w:bCs w:val="0"/>
        </w:rPr>
      </w:pPr>
      <w:bookmarkStart w:name="2、净资产收益率及每股收益" w:id="398"/>
      <w:bookmarkEnd w:id="39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3"/>
        <w:gridCol w:w="3082"/>
        <w:gridCol w:w="1913"/>
        <w:gridCol w:w="1913"/>
      </w:tblGrid>
      <w:tr>
        <w:trPr>
          <w:trHeight w:val="204"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0.05</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-0.03</w:t>
            </w: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bookmarkStart w:name="3、其他" w:id="399"/>
      <w:bookmarkEnd w:id="399"/>
      <w:r>
        <w:rPr>
          <w:b w:val="0"/>
          <w:bCs w:val="0"/>
        </w:rPr>
      </w:r>
      <w:r>
        <w:rPr>
          <w:rFonts w:ascii="Times New Roman" w:hAnsi="Times New Roman" w:cs="Times New Roman" w:eastAsia="Times New Roman" w:hint="default"/>
        </w:rPr>
        <w:t>3</w:t>
      </w:r>
      <w:r>
        <w:rPr/>
        <w:t>、其他</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573" w:right="1133"/>
        <w:jc w:val="left"/>
      </w:pPr>
      <w:r>
        <w:rPr/>
        <w:t>加权平均净资产收益率的计算过程</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5817"/>
        <w:gridCol w:w="1800"/>
        <w:gridCol w:w="1853"/>
      </w:tblGrid>
      <w:tr>
        <w:trPr>
          <w:trHeight w:val="355" w:hRule="exact"/>
        </w:trPr>
        <w:tc>
          <w:tcPr>
            <w:tcW w:w="5817" w:type="dxa"/>
            <w:tcBorders>
              <w:top w:val="single" w:sz="6" w:space="0" w:color="000000"/>
              <w:left w:val="single" w:sz="6" w:space="0" w:color="000000"/>
              <w:bottom w:val="single" w:sz="12" w:space="0" w:color="000000"/>
              <w:right w:val="single" w:sz="6" w:space="0" w:color="000000"/>
            </w:tcBorders>
          </w:tcPr>
          <w:p>
            <w:pPr>
              <w:pStyle w:val="TableParagraph"/>
              <w:tabs>
                <w:tab w:pos="470" w:val="left" w:leader="none"/>
              </w:tabs>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5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46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5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归属于本公司普通股股东的净利润</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70,289,863.49</w:t>
            </w:r>
          </w:p>
        </w:tc>
        <w:tc>
          <w:tcPr>
            <w:tcW w:w="18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174,072,146.42</w:t>
            </w:r>
          </w:p>
        </w:tc>
      </w:tr>
      <w:tr>
        <w:trPr>
          <w:trHeight w:val="353" w:hRule="exact"/>
        </w:trPr>
        <w:tc>
          <w:tcPr>
            <w:tcW w:w="5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归属于本公司普通股股东的期初净资产</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4,306,688,036.06</w:t>
            </w:r>
          </w:p>
        </w:tc>
        <w:tc>
          <w:tcPr>
            <w:tcW w:w="18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4,130,820,879.57</w:t>
            </w:r>
          </w:p>
        </w:tc>
      </w:tr>
      <w:tr>
        <w:trPr>
          <w:trHeight w:val="353" w:hRule="exact"/>
        </w:trPr>
        <w:tc>
          <w:tcPr>
            <w:tcW w:w="5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报告期新增的归属于本公司普通股股东的净资产</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3"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5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其中：发行新股</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3"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5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37" w:right="0"/>
              <w:jc w:val="left"/>
              <w:rPr>
                <w:rFonts w:ascii="宋体" w:hAnsi="宋体" w:cs="宋体" w:eastAsia="宋体" w:hint="default"/>
                <w:sz w:val="18"/>
                <w:szCs w:val="18"/>
              </w:rPr>
            </w:pPr>
            <w:r>
              <w:rPr>
                <w:rFonts w:ascii="宋体" w:hAnsi="宋体" w:cs="宋体" w:eastAsia="宋体" w:hint="default"/>
                <w:sz w:val="18"/>
                <w:szCs w:val="18"/>
              </w:rPr>
              <w:t>债转股</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3"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5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37" w:right="0"/>
              <w:jc w:val="left"/>
              <w:rPr>
                <w:rFonts w:ascii="宋体" w:hAnsi="宋体" w:cs="宋体" w:eastAsia="宋体" w:hint="default"/>
                <w:sz w:val="18"/>
                <w:szCs w:val="18"/>
              </w:rPr>
            </w:pPr>
            <w:r>
              <w:rPr>
                <w:rFonts w:ascii="宋体" w:hAnsi="宋体" w:cs="宋体" w:eastAsia="宋体" w:hint="default"/>
                <w:sz w:val="18"/>
                <w:szCs w:val="18"/>
              </w:rPr>
              <w:t>其他增加</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3"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5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本期增加净资产月份</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3"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5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其中：发行新股</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3"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5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37" w:right="0"/>
              <w:jc w:val="left"/>
              <w:rPr>
                <w:rFonts w:ascii="宋体" w:hAnsi="宋体" w:cs="宋体" w:eastAsia="宋体" w:hint="default"/>
                <w:sz w:val="18"/>
                <w:szCs w:val="18"/>
              </w:rPr>
            </w:pPr>
            <w:r>
              <w:rPr>
                <w:rFonts w:ascii="宋体" w:hAnsi="宋体" w:cs="宋体" w:eastAsia="宋体" w:hint="default"/>
                <w:sz w:val="18"/>
                <w:szCs w:val="18"/>
              </w:rPr>
              <w:t>债转股</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3"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5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37" w:right="0"/>
              <w:jc w:val="left"/>
              <w:rPr>
                <w:rFonts w:ascii="宋体" w:hAnsi="宋体" w:cs="宋体" w:eastAsia="宋体" w:hint="default"/>
                <w:sz w:val="18"/>
                <w:szCs w:val="18"/>
              </w:rPr>
            </w:pPr>
            <w:r>
              <w:rPr>
                <w:rFonts w:ascii="宋体" w:hAnsi="宋体" w:cs="宋体" w:eastAsia="宋体" w:hint="default"/>
                <w:sz w:val="18"/>
                <w:szCs w:val="18"/>
              </w:rPr>
              <w:t>其他增加</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3"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5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报告期减少的归属于本公司普通股股东的净资产</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3"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5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其中：回购</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3"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5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545" w:right="0"/>
              <w:jc w:val="left"/>
              <w:rPr>
                <w:rFonts w:ascii="宋体" w:hAnsi="宋体" w:cs="宋体" w:eastAsia="宋体" w:hint="default"/>
                <w:sz w:val="18"/>
                <w:szCs w:val="18"/>
              </w:rPr>
            </w:pPr>
            <w:r>
              <w:rPr>
                <w:rFonts w:ascii="宋体" w:hAnsi="宋体" w:cs="宋体" w:eastAsia="宋体" w:hint="default"/>
                <w:sz w:val="18"/>
                <w:szCs w:val="18"/>
              </w:rPr>
              <w:t>现金分红</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3"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5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45"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3"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5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本期较少净资产月份</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3"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5817"/>
        <w:gridCol w:w="1800"/>
        <w:gridCol w:w="1853"/>
      </w:tblGrid>
      <w:tr>
        <w:trPr>
          <w:trHeight w:val="356" w:hRule="exact"/>
        </w:trPr>
        <w:tc>
          <w:tcPr>
            <w:tcW w:w="58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其中：回购</w:t>
            </w:r>
          </w:p>
        </w:tc>
        <w:tc>
          <w:tcPr>
            <w:tcW w:w="1800" w:type="dxa"/>
            <w:tcBorders>
              <w:top w:val="single" w:sz="6" w:space="0" w:color="000000"/>
              <w:left w:val="single" w:sz="6" w:space="0" w:color="000000"/>
              <w:bottom w:val="single" w:sz="12" w:space="0" w:color="000000"/>
              <w:right w:val="single" w:sz="6" w:space="0" w:color="000000"/>
            </w:tcBorders>
          </w:tcPr>
          <w:p>
            <w:pPr/>
          </w:p>
        </w:tc>
        <w:tc>
          <w:tcPr>
            <w:tcW w:w="1853" w:type="dxa"/>
            <w:tcBorders>
              <w:top w:val="single" w:sz="6" w:space="0" w:color="000000"/>
              <w:left w:val="single" w:sz="6" w:space="0" w:color="000000"/>
              <w:bottom w:val="single" w:sz="12" w:space="0" w:color="000000"/>
              <w:right w:val="nil" w:sz="6" w:space="0" w:color="auto"/>
            </w:tcBorders>
          </w:tcPr>
          <w:p>
            <w:pPr/>
          </w:p>
        </w:tc>
      </w:tr>
      <w:tr>
        <w:trPr>
          <w:trHeight w:val="350" w:hRule="exact"/>
        </w:trPr>
        <w:tc>
          <w:tcPr>
            <w:tcW w:w="5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545" w:right="0"/>
              <w:jc w:val="left"/>
              <w:rPr>
                <w:rFonts w:ascii="宋体" w:hAnsi="宋体" w:cs="宋体" w:eastAsia="宋体" w:hint="default"/>
                <w:sz w:val="18"/>
                <w:szCs w:val="18"/>
              </w:rPr>
            </w:pPr>
            <w:r>
              <w:rPr>
                <w:rFonts w:ascii="宋体" w:hAnsi="宋体" w:cs="宋体" w:eastAsia="宋体" w:hint="default"/>
                <w:sz w:val="18"/>
                <w:szCs w:val="18"/>
              </w:rPr>
              <w:t>现金分红</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3"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5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45"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3"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5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因其他交易或事项引起的归属于公司普通股股东的净资产增减变动</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3"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5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因其他交易或事项引起的归属于公司普通股股东的净资产增减变动月份</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3"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5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当期净资产加权平均数</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4,341,832,967.81</w:t>
            </w:r>
          </w:p>
        </w:tc>
        <w:tc>
          <w:tcPr>
            <w:tcW w:w="18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4,217,856,952.78</w:t>
            </w:r>
          </w:p>
        </w:tc>
      </w:tr>
      <w:tr>
        <w:trPr>
          <w:trHeight w:val="353" w:hRule="exact"/>
        </w:trPr>
        <w:tc>
          <w:tcPr>
            <w:tcW w:w="5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1.62%</w:t>
            </w:r>
          </w:p>
        </w:tc>
        <w:tc>
          <w:tcPr>
            <w:tcW w:w="18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4.13%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7"/>
        <w:ind w:left="3285" w:right="1133"/>
        <w:jc w:val="left"/>
        <w:rPr>
          <w:b w:val="0"/>
          <w:bCs w:val="0"/>
        </w:rPr>
      </w:pPr>
      <w:bookmarkStart w:name="第十三节 备查文件目录" w:id="400"/>
      <w:bookmarkEnd w:id="400"/>
      <w:r>
        <w:rPr>
          <w:b w:val="0"/>
          <w:bCs w:val="0"/>
        </w:rPr>
      </w:r>
      <w:bookmarkStart w:name="_bookmark12" w:id="401"/>
      <w:bookmarkEnd w:id="401"/>
      <w:r>
        <w:rPr>
          <w:b w:val="0"/>
          <w:bCs w:val="0"/>
        </w:rPr>
      </w:r>
      <w:r>
        <w:rPr/>
        <w:t>第十三节</w:t>
      </w:r>
      <w:r>
        <w:rPr>
          <w:spacing w:val="-6"/>
        </w:rPr>
        <w:t> </w:t>
      </w:r>
      <w:r>
        <w:rPr/>
        <w:t>备查文件目录</w:t>
      </w:r>
      <w:r>
        <w:rPr>
          <w:b w:val="0"/>
          <w:bCs w:val="0"/>
        </w:rPr>
      </w:r>
    </w:p>
    <w:p>
      <w:pPr>
        <w:spacing w:line="240" w:lineRule="auto" w:before="10"/>
        <w:rPr>
          <w:rFonts w:ascii="宋体" w:hAnsi="宋体" w:cs="宋体" w:eastAsia="宋体" w:hint="default"/>
          <w:b/>
          <w:bCs/>
          <w:sz w:val="46"/>
          <w:szCs w:val="46"/>
        </w:rPr>
      </w:pPr>
    </w:p>
    <w:p>
      <w:pPr>
        <w:pStyle w:val="BodyText"/>
        <w:spacing w:line="408" w:lineRule="auto" w:before="0"/>
        <w:ind w:right="1133" w:firstLine="420"/>
        <w:jc w:val="left"/>
      </w:pPr>
      <w:r>
        <w:rPr>
          <w:spacing w:val="-2"/>
        </w:rPr>
        <w:t>（一）载有公司负责人、主管会计工作负责人、会计机构负责人（会计主管人员）签名并盖章的财务</w:t>
      </w:r>
      <w:r>
        <w:rPr>
          <w:w w:val="100"/>
        </w:rPr>
        <w:t> </w:t>
      </w:r>
      <w:r>
        <w:rPr/>
        <w:t>报表。</w:t>
      </w:r>
    </w:p>
    <w:p>
      <w:pPr>
        <w:pStyle w:val="BodyText"/>
        <w:spacing w:line="240" w:lineRule="auto"/>
        <w:ind w:left="573" w:right="1133"/>
        <w:jc w:val="left"/>
      </w:pPr>
      <w:r>
        <w:rPr/>
        <w:t>（二）报告期内在中国证监会指定报纸上公开披露过的所有公司文件的正本的原稿。</w:t>
      </w:r>
    </w:p>
    <w:p>
      <w:pPr>
        <w:spacing w:line="240" w:lineRule="auto" w:before="10"/>
        <w:rPr>
          <w:rFonts w:ascii="宋体" w:hAnsi="宋体" w:cs="宋体" w:eastAsia="宋体" w:hint="default"/>
          <w:sz w:val="14"/>
          <w:szCs w:val="14"/>
        </w:rPr>
      </w:pPr>
    </w:p>
    <w:p>
      <w:pPr>
        <w:pStyle w:val="BodyText"/>
        <w:spacing w:line="240" w:lineRule="auto" w:before="0"/>
        <w:ind w:left="573" w:right="1133"/>
        <w:jc w:val="left"/>
      </w:pPr>
      <w:r>
        <w:rPr/>
        <w:t>（三）以上备查文件的备置地点：公司董事会秘书办公室。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537" w:lineRule="auto" w:before="155"/>
        <w:ind w:left="6874" w:right="1512" w:hanging="360"/>
        <w:jc w:val="left"/>
      </w:pPr>
      <w:r>
        <w:rPr/>
        <w:t>吉林紫鑫药业股份有限公司 董事长：封有顺</w:t>
      </w:r>
    </w:p>
    <w:p>
      <w:pPr>
        <w:pStyle w:val="Heading4"/>
        <w:spacing w:line="240" w:lineRule="auto" w:before="94"/>
        <w:ind w:left="6994" w:right="1133"/>
        <w:jc w:val="left"/>
      </w:pPr>
      <w:r>
        <w:rPr>
          <w:rFonts w:ascii="宋体" w:hAnsi="宋体" w:cs="宋体" w:eastAsia="宋体" w:hint="default"/>
        </w:rPr>
        <w:t>2020</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w:t>
      </w:r>
    </w:p>
    <w:sectPr>
      <w:pgSz w:w="11910" w:h="16840"/>
      <w:pgMar w:header="745"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08760" type="#_x0000_t75" stroked="false">
          <v:imagedata r:id="rId1" o:title=""/>
        </v:shape>
      </w:pict>
    </w:r>
    <w:r>
      <w:rPr/>
      <w:pict>
        <v:shape style="position:absolute;margin-left:533.099976pt;margin-top:795.637939pt;width:6.5pt;height:11pt;mso-position-horizontal-relative:page;mso-position-vertical-relative:page;z-index:-10087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08712" type="#_x0000_t75" stroked="false">
          <v:imagedata r:id="rId1" o:title=""/>
        </v:shape>
      </w:pict>
    </w:r>
    <w:r>
      <w:rPr/>
      <w:pict>
        <v:shape style="position:absolute;margin-left:527.659973pt;margin-top:781.933899pt;width:13.15pt;height:11pt;mso-position-horizontal-relative:page;mso-position-vertical-relative:page;z-index:-1008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08664" type="#_x0000_t75" stroked="false">
          <v:imagedata r:id="rId1" o:title=""/>
        </v:shape>
      </w:pict>
    </w:r>
    <w:r>
      <w:rPr/>
      <w:pict>
        <v:shape style="position:absolute;margin-left:524.099976pt;margin-top:781.933899pt;width:15.7pt;height:11pt;mso-position-horizontal-relative:page;mso-position-vertical-relative:page;z-index:-10086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08616" type="#_x0000_t75" stroked="false">
          <v:imagedata r:id="rId1" o:title=""/>
        </v:shape>
      </w:pict>
    </w:r>
    <w:r>
      <w:rPr/>
      <w:pict>
        <v:shape style="position:absolute;margin-left:523.099976pt;margin-top:781.933899pt;width:17.7pt;height:11pt;mso-position-horizontal-relative:page;mso-position-vertical-relative:page;z-index:-1008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08568" type="#_x0000_t75" stroked="false">
          <v:imagedata r:id="rId1" o:title=""/>
        </v:shape>
      </w:pict>
    </w:r>
    <w:r>
      <w:rPr/>
      <w:pict>
        <v:shape style="position:absolute;margin-left:523.460022pt;margin-top:781.933899pt;width:17.3pt;height:11pt;mso-position-horizontal-relative:page;mso-position-vertical-relative:page;z-index:-1008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08520" type="#_x0000_t75" stroked="false">
          <v:imagedata r:id="rId1" o:title=""/>
        </v:shape>
      </w:pict>
    </w:r>
    <w:r>
      <w:rPr/>
      <w:pict>
        <v:shape style="position:absolute;margin-left:523.099976pt;margin-top:781.933899pt;width:17.7pt;height:11pt;mso-position-horizontal-relative:page;mso-position-vertical-relative:page;z-index:-1008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5pt;mso-position-horizontal-relative:page;mso-position-vertical-relative:page;z-index:-10087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0"/>
      <w:ind w:left="152"/>
    </w:pPr>
    <w:rPr>
      <w:rFonts w:ascii="宋体" w:hAnsi="宋体" w:eastAsia="宋体"/>
      <w:b/>
      <w:bCs/>
      <w:sz w:val="24"/>
      <w:szCs w:val="24"/>
    </w:rPr>
  </w:style>
  <w:style w:styleId="BodyText" w:type="paragraph">
    <w:name w:val="Body Text"/>
    <w:basedOn w:val="Normal"/>
    <w:uiPriority w:val="1"/>
    <w:qFormat/>
    <w:pPr>
      <w:spacing w:before="46"/>
      <w:ind w:left="152"/>
    </w:pPr>
    <w:rPr>
      <w:rFonts w:ascii="宋体" w:hAnsi="宋体" w:eastAsia="宋体"/>
      <w:sz w:val="21"/>
      <w:szCs w:val="21"/>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Times New Roman" w:hAnsi="Times New Roman" w:eastAsia="Times New Roman"/>
      <w:sz w:val="28"/>
      <w:szCs w:val="28"/>
    </w:rPr>
  </w:style>
  <w:style w:styleId="Heading3" w:type="paragraph">
    <w:name w:val="Heading 3"/>
    <w:basedOn w:val="Normal"/>
    <w:uiPriority w:val="1"/>
    <w:qFormat/>
    <w:pPr>
      <w:ind w:left="152"/>
      <w:outlineLvl w:val="3"/>
    </w:pPr>
    <w:rPr>
      <w:rFonts w:ascii="宋体" w:hAnsi="宋体" w:eastAsia="宋体"/>
      <w:b/>
      <w:bCs/>
      <w:sz w:val="24"/>
      <w:szCs w:val="24"/>
    </w:rPr>
  </w:style>
  <w:style w:styleId="Heading4" w:type="paragraph">
    <w:name w:val="Heading 4"/>
    <w:basedOn w:val="Normal"/>
    <w:uiPriority w:val="1"/>
    <w:qFormat/>
    <w:pPr>
      <w:ind w:left="152"/>
      <w:outlineLvl w:val="4"/>
    </w:pPr>
    <w:rPr>
      <w:rFonts w:ascii="宋体" w:hAnsi="宋体" w:eastAsia="宋体"/>
      <w:sz w:val="24"/>
      <w:szCs w:val="24"/>
    </w:rPr>
  </w:style>
  <w:style w:styleId="Heading5" w:type="paragraph">
    <w:name w:val="Heading 5"/>
    <w:basedOn w:val="Normal"/>
    <w:uiPriority w:val="1"/>
    <w:qFormat/>
    <w:pPr>
      <w:ind w:left="152"/>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jilinzixin.com.cn/" TargetMode="External"/><Relationship Id="rId10" Type="http://schemas.openxmlformats.org/officeDocument/2006/relationships/hyperlink" Target="mailto:zixin@zxpc.cc" TargetMode="External"/><Relationship Id="rId11" Type="http://schemas.openxmlformats.org/officeDocument/2006/relationships/hyperlink" Target="http://www.cninfo.com.cn/" TargetMode="External"/><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吉林紫鑫药业股份有限公司</dc:creator>
  <dc:title>吉林紫鑫药业股份有限公司2019年年度报告全文</dc:title>
  <dcterms:created xsi:type="dcterms:W3CDTF">2020-05-19T22:48:54Z</dcterms:created>
  <dcterms:modified xsi:type="dcterms:W3CDTF">2020-05-19T22:48:54Z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Microsoft® Office Word 2007</vt:lpwstr>
  </property>
  <property fmtid="{D5CDD505-2E9C-101B-9397-08002B2CF9AE}" pid="4" name="LastSaved">
    <vt:filetime>2020-05-19T00:00:00Z</vt:filetime>
  </property>
</Properties>
</file>