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620" w:lineRule="exact" w:before="0"/>
        <w:ind w:left="1132" w:right="1132" w:firstLine="0"/>
        <w:jc w:val="center"/>
        <w:rPr>
          <w:rFonts w:ascii="黑体" w:hAnsi="黑体" w:cs="黑体" w:eastAsia="黑体" w:hint="default"/>
          <w:sz w:val="52"/>
          <w:szCs w:val="52"/>
        </w:rPr>
      </w:pPr>
      <w:r>
        <w:rPr>
          <w:rFonts w:ascii="黑体" w:hAnsi="黑体" w:cs="黑体" w:eastAsia="黑体" w:hint="default"/>
          <w:sz w:val="52"/>
          <w:szCs w:val="52"/>
        </w:rPr>
        <w:t>荣信电力电子股份有限公司</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
        <w:rPr>
          <w:rFonts w:ascii="黑体" w:hAnsi="黑体" w:cs="黑体" w:eastAsia="黑体" w:hint="default"/>
          <w:sz w:val="46"/>
          <w:szCs w:val="46"/>
        </w:rPr>
      </w:pPr>
    </w:p>
    <w:p>
      <w:pPr>
        <w:spacing w:before="0"/>
        <w:ind w:left="1132" w:right="1130" w:firstLine="0"/>
        <w:jc w:val="center"/>
        <w:rPr>
          <w:rFonts w:ascii="黑体" w:hAnsi="黑体" w:cs="黑体" w:eastAsia="黑体" w:hint="default"/>
          <w:sz w:val="72"/>
          <w:szCs w:val="72"/>
        </w:rPr>
      </w:pPr>
      <w:r>
        <w:rPr>
          <w:rFonts w:ascii="黑体" w:hAnsi="黑体" w:cs="黑体" w:eastAsia="黑体" w:hint="default"/>
          <w:sz w:val="72"/>
          <w:szCs w:val="72"/>
        </w:rPr>
        <w:t>2007</w:t>
      </w:r>
      <w:r>
        <w:rPr>
          <w:rFonts w:ascii="黑体" w:hAnsi="黑体" w:cs="黑体" w:eastAsia="黑体" w:hint="default"/>
          <w:spacing w:val="-180"/>
          <w:sz w:val="72"/>
          <w:szCs w:val="72"/>
        </w:rPr>
        <w:t> </w:t>
      </w:r>
      <w:r>
        <w:rPr>
          <w:rFonts w:ascii="黑体" w:hAnsi="黑体" w:cs="黑体" w:eastAsia="黑体" w:hint="default"/>
          <w:sz w:val="72"/>
          <w:szCs w:val="72"/>
        </w:rPr>
        <w:t>年年度报告</w:t>
      </w: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8"/>
        <w:rPr>
          <w:rFonts w:ascii="黑体" w:hAnsi="黑体" w:cs="黑体" w:eastAsia="黑体" w:hint="default"/>
          <w:sz w:val="65"/>
          <w:szCs w:val="65"/>
        </w:rPr>
      </w:pPr>
    </w:p>
    <w:p>
      <w:pPr>
        <w:spacing w:line="379" w:lineRule="auto" w:before="0"/>
        <w:ind w:left="2871" w:right="1741" w:firstLine="0"/>
        <w:jc w:val="left"/>
        <w:rPr>
          <w:rFonts w:ascii="黑体" w:hAnsi="黑体" w:cs="黑体" w:eastAsia="黑体" w:hint="default"/>
          <w:sz w:val="32"/>
          <w:szCs w:val="32"/>
        </w:rPr>
      </w:pPr>
      <w:r>
        <w:rPr>
          <w:rFonts w:ascii="黑体" w:hAnsi="黑体" w:cs="黑体" w:eastAsia="黑体" w:hint="default"/>
          <w:sz w:val="32"/>
          <w:szCs w:val="32"/>
        </w:rPr>
        <w:t>证券代码：002123</w:t>
      </w:r>
      <w:r>
        <w:rPr>
          <w:rFonts w:ascii="黑体" w:hAnsi="黑体" w:cs="黑体" w:eastAsia="黑体" w:hint="default"/>
          <w:spacing w:val="-1"/>
          <w:w w:val="100"/>
          <w:sz w:val="32"/>
          <w:szCs w:val="32"/>
        </w:rPr>
        <w:t> </w:t>
      </w:r>
      <w:r>
        <w:rPr>
          <w:rFonts w:ascii="黑体" w:hAnsi="黑体" w:cs="黑体" w:eastAsia="黑体" w:hint="default"/>
          <w:sz w:val="32"/>
          <w:szCs w:val="32"/>
        </w:rPr>
        <w:t>证券简称：荣信股份</w:t>
      </w:r>
      <w:r>
        <w:rPr>
          <w:rFonts w:ascii="黑体" w:hAnsi="黑体" w:cs="黑体" w:eastAsia="黑体" w:hint="default"/>
          <w:spacing w:val="-1"/>
          <w:w w:val="100"/>
          <w:sz w:val="32"/>
          <w:szCs w:val="32"/>
        </w:rPr>
        <w:t> </w:t>
      </w:r>
      <w:r>
        <w:rPr>
          <w:rFonts w:ascii="黑体" w:hAnsi="黑体" w:cs="黑体" w:eastAsia="黑体" w:hint="default"/>
          <w:sz w:val="32"/>
          <w:szCs w:val="32"/>
        </w:rPr>
        <w:t>披露时间：2008</w:t>
      </w:r>
      <w:r>
        <w:rPr>
          <w:rFonts w:ascii="黑体" w:hAnsi="黑体" w:cs="黑体" w:eastAsia="黑体" w:hint="default"/>
          <w:spacing w:val="-82"/>
          <w:sz w:val="32"/>
          <w:szCs w:val="32"/>
        </w:rPr>
        <w:t> </w:t>
      </w:r>
      <w:r>
        <w:rPr>
          <w:rFonts w:ascii="黑体" w:hAnsi="黑体" w:cs="黑体" w:eastAsia="黑体" w:hint="default"/>
          <w:sz w:val="32"/>
          <w:szCs w:val="32"/>
        </w:rPr>
        <w:t>年</w:t>
      </w:r>
      <w:r>
        <w:rPr>
          <w:rFonts w:ascii="黑体" w:hAnsi="黑体" w:cs="黑体" w:eastAsia="黑体" w:hint="default"/>
          <w:spacing w:val="-82"/>
          <w:sz w:val="32"/>
          <w:szCs w:val="32"/>
        </w:rPr>
        <w:t> </w:t>
      </w:r>
      <w:r>
        <w:rPr>
          <w:rFonts w:ascii="黑体" w:hAnsi="黑体" w:cs="黑体" w:eastAsia="黑体" w:hint="default"/>
          <w:sz w:val="32"/>
          <w:szCs w:val="32"/>
        </w:rPr>
        <w:t>4</w:t>
      </w:r>
      <w:r>
        <w:rPr>
          <w:rFonts w:ascii="黑体" w:hAnsi="黑体" w:cs="黑体" w:eastAsia="黑体" w:hint="default"/>
          <w:spacing w:val="-82"/>
          <w:sz w:val="32"/>
          <w:szCs w:val="32"/>
        </w:rPr>
        <w:t> </w:t>
      </w:r>
      <w:r>
        <w:rPr>
          <w:rFonts w:ascii="黑体" w:hAnsi="黑体" w:cs="黑体" w:eastAsia="黑体" w:hint="default"/>
          <w:sz w:val="32"/>
          <w:szCs w:val="32"/>
        </w:rPr>
        <w:t>月</w:t>
      </w:r>
      <w:r>
        <w:rPr>
          <w:rFonts w:ascii="黑体" w:hAnsi="黑体" w:cs="黑体" w:eastAsia="黑体" w:hint="default"/>
          <w:spacing w:val="-82"/>
          <w:sz w:val="32"/>
          <w:szCs w:val="32"/>
        </w:rPr>
        <w:t> </w:t>
      </w:r>
      <w:r>
        <w:rPr>
          <w:rFonts w:ascii="黑体" w:hAnsi="黑体" w:cs="黑体" w:eastAsia="黑体" w:hint="default"/>
          <w:sz w:val="32"/>
          <w:szCs w:val="32"/>
        </w:rPr>
        <w:t>9</w:t>
      </w:r>
      <w:r>
        <w:rPr>
          <w:rFonts w:ascii="黑体" w:hAnsi="黑体" w:cs="黑体" w:eastAsia="黑体" w:hint="default"/>
          <w:spacing w:val="-80"/>
          <w:sz w:val="32"/>
          <w:szCs w:val="32"/>
        </w:rPr>
        <w:t> </w:t>
      </w:r>
      <w:r>
        <w:rPr>
          <w:rFonts w:ascii="黑体" w:hAnsi="黑体" w:cs="黑体" w:eastAsia="黑体" w:hint="default"/>
          <w:sz w:val="32"/>
          <w:szCs w:val="32"/>
        </w:rPr>
        <w:t>日</w:t>
      </w:r>
    </w:p>
    <w:p>
      <w:pPr>
        <w:spacing w:after="0" w:line="379" w:lineRule="auto"/>
        <w:jc w:val="left"/>
        <w:rPr>
          <w:rFonts w:ascii="黑体" w:hAnsi="黑体" w:cs="黑体" w:eastAsia="黑体" w:hint="default"/>
          <w:sz w:val="32"/>
          <w:szCs w:val="32"/>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before="7"/>
        <w:ind w:left="512" w:right="0" w:firstLine="0"/>
        <w:jc w:val="center"/>
        <w:rPr>
          <w:rFonts w:ascii="黑体" w:hAnsi="黑体" w:cs="黑体" w:eastAsia="黑体" w:hint="default"/>
          <w:sz w:val="30"/>
          <w:szCs w:val="30"/>
        </w:rPr>
      </w:pPr>
      <w:r>
        <w:rPr>
          <w:rFonts w:ascii="黑体" w:hAnsi="黑体" w:cs="黑体" w:eastAsia="黑体" w:hint="default"/>
          <w:b/>
          <w:bCs/>
          <w:spacing w:val="-3"/>
          <w:sz w:val="30"/>
          <w:szCs w:val="30"/>
        </w:rPr>
        <w:t>重要提示</w:t>
      </w:r>
      <w:r>
        <w:rPr>
          <w:rFonts w:ascii="黑体" w:hAnsi="黑体" w:cs="黑体" w:eastAsia="黑体" w:hint="default"/>
          <w:sz w:val="30"/>
          <w:szCs w:val="30"/>
        </w:rPr>
      </w:r>
    </w:p>
    <w:p>
      <w:pPr>
        <w:spacing w:line="240" w:lineRule="auto" w:before="6"/>
        <w:rPr>
          <w:rFonts w:ascii="黑体" w:hAnsi="黑体" w:cs="黑体" w:eastAsia="黑体" w:hint="default"/>
          <w:b/>
          <w:bCs/>
          <w:sz w:val="42"/>
          <w:szCs w:val="42"/>
        </w:rPr>
      </w:pPr>
    </w:p>
    <w:p>
      <w:pPr>
        <w:pStyle w:val="BodyText"/>
        <w:spacing w:line="357" w:lineRule="auto"/>
        <w:ind w:right="148" w:firstLine="480"/>
        <w:jc w:val="both"/>
      </w:pPr>
      <w:r>
        <w:rPr/>
        <w:t>本公司董事会、监事会及其董事、监事、高级管理人员保证本报告所载资料不存在任何</w:t>
      </w:r>
      <w:r>
        <w:rPr>
          <w:spacing w:val="1"/>
        </w:rPr>
        <w:t> </w:t>
      </w:r>
      <w:r>
        <w:rPr/>
        <w:t>虚假记载、误导性陈述或者重大遗漏，并对其内容的真实性、准确性和完整性负个别及连带</w:t>
      </w:r>
      <w:r>
        <w:rPr>
          <w:spacing w:val="-83"/>
        </w:rPr>
        <w:t> </w:t>
      </w:r>
      <w:r>
        <w:rPr>
          <w:spacing w:val="-83"/>
        </w:rPr>
      </w:r>
      <w:r>
        <w:rPr/>
        <w:t>责任。</w:t>
      </w:r>
    </w:p>
    <w:p>
      <w:pPr>
        <w:pStyle w:val="BodyText"/>
        <w:spacing w:line="357" w:lineRule="auto" w:before="74"/>
        <w:ind w:right="151" w:firstLine="480"/>
        <w:jc w:val="both"/>
      </w:pPr>
      <w:r>
        <w:rPr>
          <w:spacing w:val="-4"/>
        </w:rPr>
        <w:t>没有董事、监事、高级管理人员对</w:t>
      </w:r>
      <w:r>
        <w:rPr>
          <w:spacing w:val="-72"/>
        </w:rPr>
        <w:t> </w:t>
      </w:r>
      <w:r>
        <w:rPr/>
        <w:t>2007</w:t>
      </w:r>
      <w:r>
        <w:rPr>
          <w:spacing w:val="-72"/>
        </w:rPr>
        <w:t> </w:t>
      </w:r>
      <w:r>
        <w:rPr/>
        <w:t>年年度报告内容的真实性、准确性和完整性无法</w:t>
      </w:r>
      <w:r>
        <w:rPr/>
        <w:t> 保证或存在异议。</w:t>
      </w:r>
    </w:p>
    <w:p>
      <w:pPr>
        <w:pStyle w:val="BodyText"/>
        <w:spacing w:line="386" w:lineRule="auto" w:before="76"/>
        <w:ind w:left="633" w:right="0"/>
        <w:jc w:val="left"/>
      </w:pPr>
      <w:r>
        <w:rPr/>
        <w:t>公司全体董事出席了本次审议</w:t>
      </w:r>
      <w:r>
        <w:rPr>
          <w:spacing w:val="-60"/>
        </w:rPr>
        <w:t> </w:t>
      </w:r>
      <w:r>
        <w:rPr/>
        <w:t>2007</w:t>
      </w:r>
      <w:r>
        <w:rPr>
          <w:spacing w:val="-60"/>
        </w:rPr>
        <w:t> </w:t>
      </w:r>
      <w:r>
        <w:rPr/>
        <w:t>年年度报告的董事会。</w:t>
      </w:r>
      <w:r>
        <w:rPr/>
        <w:t> 开元信德会计师事务所有限公司为本公司出具了标准无保留意见的审计报告。 公司负责人左强、主管会计工作负责人龙浩及会计机构负责人（会计主管人员）吴彩霞</w:t>
      </w:r>
    </w:p>
    <w:p>
      <w:pPr>
        <w:pStyle w:val="BodyText"/>
        <w:spacing w:line="240" w:lineRule="auto" w:before="6"/>
        <w:ind w:right="0"/>
        <w:jc w:val="left"/>
      </w:pPr>
      <w:r>
        <w:rPr/>
        <w:t>声明：保证半年度报告中财务报告的真实、完整。</w:t>
      </w:r>
    </w:p>
    <w:p>
      <w:pPr>
        <w:spacing w:after="0" w:line="240" w:lineRule="auto"/>
        <w:jc w:val="left"/>
        <w:sectPr>
          <w:headerReference w:type="default" r:id="rId5"/>
          <w:footerReference w:type="default" r:id="rId6"/>
          <w:pgSz w:w="11910" w:h="16840"/>
          <w:pgMar w:header="747" w:footer="669" w:top="980" w:bottom="860" w:left="980" w:right="980"/>
          <w:pgNumType w:start="1"/>
        </w:sectPr>
      </w:pPr>
    </w:p>
    <w:p>
      <w:pPr>
        <w:spacing w:line="240" w:lineRule="auto" w:before="0"/>
        <w:rPr>
          <w:rFonts w:ascii="宋体" w:hAnsi="宋体" w:cs="宋体" w:eastAsia="宋体" w:hint="default"/>
          <w:sz w:val="20"/>
          <w:szCs w:val="20"/>
        </w:rPr>
      </w:pPr>
    </w:p>
    <w:p>
      <w:pPr>
        <w:tabs>
          <w:tab w:pos="1769" w:val="left" w:leader="none"/>
        </w:tabs>
        <w:spacing w:before="137"/>
        <w:ind w:left="643"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1" w:val="right" w:leader="dot"/>
            </w:tabs>
            <w:spacing w:line="240" w:lineRule="auto" w:before="577"/>
            <w:ind w:right="0"/>
            <w:jc w:val="left"/>
          </w:pPr>
          <w:hyperlink w:history="true" w:anchor="_bookmark0">
            <w:r>
              <w:rPr/>
              <w:t>第一节 公司基本情况简介</w:t>
            </w:r>
            <w:r>
              <w:rPr>
                <w:rFonts w:ascii="Times New Roman" w:hAnsi="Times New Roman" w:cs="Times New Roman" w:eastAsia="Times New Roman" w:hint="default"/>
              </w:rPr>
              <w:tab/>
            </w:r>
            <w:r>
              <w:rPr/>
              <w:t>3</w:t>
            </w:r>
          </w:hyperlink>
        </w:p>
        <w:p>
          <w:pPr>
            <w:pStyle w:val="TOC1"/>
            <w:tabs>
              <w:tab w:pos="9781" w:val="right" w:leader="dot"/>
            </w:tabs>
            <w:spacing w:line="240" w:lineRule="auto"/>
            <w:ind w:right="0"/>
            <w:jc w:val="left"/>
          </w:pPr>
          <w:hyperlink w:history="true" w:anchor="_bookmark1">
            <w:r>
              <w:rPr>
                <w:spacing w:val="4"/>
              </w:rPr>
              <w:t>第二节</w:t>
            </w:r>
            <w:r>
              <w:rPr>
                <w:spacing w:val="15"/>
              </w:rPr>
              <w:t> </w:t>
            </w:r>
            <w:r>
              <w:rPr>
                <w:spacing w:val="7"/>
              </w:rPr>
              <w:t>会计数据和业务数据摘要</w:t>
            </w:r>
            <w:r>
              <w:rPr>
                <w:rFonts w:ascii="Times New Roman" w:hAnsi="Times New Roman" w:cs="Times New Roman" w:eastAsia="Times New Roman" w:hint="default"/>
                <w:spacing w:val="7"/>
              </w:rPr>
              <w:tab/>
            </w:r>
            <w:r>
              <w:rPr/>
              <w:t>5</w:t>
            </w:r>
          </w:hyperlink>
        </w:p>
        <w:p>
          <w:pPr>
            <w:pStyle w:val="TOC1"/>
            <w:tabs>
              <w:tab w:pos="9781" w:val="right" w:leader="dot"/>
            </w:tabs>
            <w:spacing w:line="240" w:lineRule="auto" w:before="358"/>
            <w:ind w:right="0"/>
            <w:jc w:val="left"/>
          </w:pPr>
          <w:hyperlink w:history="true" w:anchor="_bookmark2">
            <w:r>
              <w:rPr/>
              <w:t>第三节 股本变动及股东情况</w:t>
            </w:r>
            <w:r>
              <w:rPr>
                <w:rFonts w:ascii="Times New Roman" w:hAnsi="Times New Roman" w:cs="Times New Roman" w:eastAsia="Times New Roman" w:hint="default"/>
              </w:rPr>
              <w:tab/>
            </w:r>
            <w:r>
              <w:rPr/>
              <w:t>7</w:t>
            </w:r>
          </w:hyperlink>
        </w:p>
        <w:p>
          <w:pPr>
            <w:pStyle w:val="TOC1"/>
            <w:tabs>
              <w:tab w:pos="1113" w:val="left" w:leader="none"/>
              <w:tab w:pos="9781" w:val="right" w:leader="dot"/>
            </w:tabs>
            <w:spacing w:line="240" w:lineRule="auto"/>
            <w:ind w:right="0"/>
            <w:jc w:val="left"/>
          </w:pPr>
          <w:hyperlink w:history="true" w:anchor="_bookmark3">
            <w:r>
              <w:rPr/>
              <w:t>第四节</w:t>
              <w:tab/>
              <w:t>董事、监事、高级管理人员和员工情况</w:t>
            </w:r>
            <w:r>
              <w:rPr>
                <w:rFonts w:ascii="Times New Roman" w:hAnsi="Times New Roman" w:cs="Times New Roman" w:eastAsia="Times New Roman" w:hint="default"/>
              </w:rPr>
              <w:tab/>
            </w:r>
            <w:r>
              <w:rPr/>
              <w:t>12</w:t>
            </w:r>
          </w:hyperlink>
        </w:p>
        <w:p>
          <w:pPr>
            <w:pStyle w:val="TOC1"/>
            <w:tabs>
              <w:tab w:pos="9781" w:val="right" w:leader="dot"/>
            </w:tabs>
            <w:spacing w:line="240" w:lineRule="auto"/>
            <w:ind w:right="0"/>
            <w:jc w:val="left"/>
          </w:pPr>
          <w:hyperlink w:history="true" w:anchor="_bookmark4">
            <w:r>
              <w:rPr/>
              <w:t>第五节 公司治理结构</w:t>
            </w:r>
            <w:r>
              <w:rPr>
                <w:rFonts w:ascii="Times New Roman" w:hAnsi="Times New Roman" w:cs="Times New Roman" w:eastAsia="Times New Roman" w:hint="default"/>
              </w:rPr>
              <w:tab/>
            </w:r>
            <w:r>
              <w:rPr/>
              <w:t>17</w:t>
            </w:r>
          </w:hyperlink>
        </w:p>
        <w:p>
          <w:pPr>
            <w:pStyle w:val="TOC1"/>
            <w:tabs>
              <w:tab w:pos="9781" w:val="right" w:leader="dot"/>
            </w:tabs>
            <w:spacing w:line="240" w:lineRule="auto" w:before="358"/>
            <w:ind w:right="0"/>
            <w:jc w:val="left"/>
          </w:pPr>
          <w:hyperlink w:history="true" w:anchor="_bookmark5">
            <w:r>
              <w:rPr/>
              <w:t>第六节 股东大会情况简介</w:t>
            </w:r>
            <w:r>
              <w:rPr>
                <w:rFonts w:ascii="Times New Roman" w:hAnsi="Times New Roman" w:cs="Times New Roman" w:eastAsia="Times New Roman" w:hint="default"/>
              </w:rPr>
              <w:tab/>
            </w:r>
            <w:r>
              <w:rPr/>
              <w:t>24</w:t>
            </w:r>
          </w:hyperlink>
        </w:p>
        <w:p>
          <w:pPr>
            <w:pStyle w:val="TOC1"/>
            <w:tabs>
              <w:tab w:pos="9781" w:val="right" w:leader="dot"/>
            </w:tabs>
            <w:spacing w:line="240" w:lineRule="auto"/>
            <w:ind w:right="0"/>
            <w:jc w:val="left"/>
          </w:pPr>
          <w:hyperlink w:history="true" w:anchor="_bookmark6">
            <w:r>
              <w:rPr/>
              <w:t>第七节 董事会报告</w:t>
            </w:r>
            <w:r>
              <w:rPr>
                <w:rFonts w:ascii="Times New Roman" w:hAnsi="Times New Roman" w:cs="Times New Roman" w:eastAsia="Times New Roman" w:hint="default"/>
              </w:rPr>
              <w:tab/>
            </w:r>
            <w:r>
              <w:rPr/>
              <w:t>25</w:t>
            </w:r>
          </w:hyperlink>
        </w:p>
        <w:p>
          <w:pPr>
            <w:pStyle w:val="TOC1"/>
            <w:tabs>
              <w:tab w:pos="9781" w:val="right" w:leader="dot"/>
            </w:tabs>
            <w:spacing w:line="240" w:lineRule="auto"/>
            <w:ind w:right="0"/>
            <w:jc w:val="left"/>
          </w:pPr>
          <w:hyperlink w:history="true" w:anchor="_bookmark7">
            <w:r>
              <w:rPr/>
              <w:t>第八节 监事会报告</w:t>
            </w:r>
            <w:r>
              <w:rPr>
                <w:rFonts w:ascii="Times New Roman" w:hAnsi="Times New Roman" w:cs="Times New Roman" w:eastAsia="Times New Roman" w:hint="default"/>
              </w:rPr>
              <w:tab/>
            </w:r>
            <w:r>
              <w:rPr/>
              <w:t>40</w:t>
            </w:r>
          </w:hyperlink>
        </w:p>
        <w:p>
          <w:pPr>
            <w:pStyle w:val="TOC1"/>
            <w:tabs>
              <w:tab w:pos="9781" w:val="right" w:leader="dot"/>
            </w:tabs>
            <w:spacing w:line="240" w:lineRule="auto" w:before="358"/>
            <w:ind w:right="0"/>
            <w:jc w:val="left"/>
          </w:pPr>
          <w:hyperlink w:history="true" w:anchor="_bookmark8">
            <w:r>
              <w:rPr/>
              <w:t>第九节 重要事项</w:t>
            </w:r>
            <w:r>
              <w:rPr>
                <w:rFonts w:ascii="Times New Roman" w:hAnsi="Times New Roman" w:cs="Times New Roman" w:eastAsia="Times New Roman" w:hint="default"/>
              </w:rPr>
              <w:tab/>
            </w:r>
            <w:r>
              <w:rPr/>
              <w:t>42</w:t>
            </w:r>
          </w:hyperlink>
        </w:p>
        <w:p>
          <w:pPr>
            <w:pStyle w:val="TOC1"/>
            <w:tabs>
              <w:tab w:pos="9781" w:val="right" w:leader="dot"/>
            </w:tabs>
            <w:spacing w:line="240" w:lineRule="auto"/>
            <w:ind w:right="0"/>
            <w:jc w:val="left"/>
          </w:pPr>
          <w:hyperlink w:history="true" w:anchor="_bookmark9">
            <w:r>
              <w:rPr/>
              <w:t>第十节 财务报告</w:t>
            </w:r>
            <w:r>
              <w:rPr>
                <w:rFonts w:ascii="Times New Roman" w:hAnsi="Times New Roman" w:cs="Times New Roman" w:eastAsia="Times New Roman" w:hint="default"/>
              </w:rPr>
              <w:tab/>
            </w:r>
            <w:r>
              <w:rPr/>
              <w:t>46</w:t>
            </w:r>
          </w:hyperlink>
        </w:p>
        <w:p>
          <w:pPr>
            <w:pStyle w:val="TOC1"/>
            <w:tabs>
              <w:tab w:pos="9781" w:val="right" w:leader="dot"/>
            </w:tabs>
            <w:spacing w:line="240" w:lineRule="auto" w:before="358"/>
            <w:ind w:right="0"/>
            <w:jc w:val="left"/>
          </w:pPr>
          <w:hyperlink w:history="true" w:anchor="_bookmark10">
            <w:r>
              <w:rPr/>
              <w:t>第十一节 备查文件</w:t>
            </w:r>
            <w:r>
              <w:rPr>
                <w:rFonts w:ascii="Times New Roman" w:hAnsi="Times New Roman" w:cs="Times New Roman" w:eastAsia="Times New Roman" w:hint="default"/>
              </w:rPr>
              <w:tab/>
            </w:r>
            <w:r>
              <w:rPr/>
              <w:t>101</w:t>
            </w:r>
          </w:hyperlink>
        </w:p>
      </w:sdtContent>
    </w:sdt>
    <w:p>
      <w:pPr>
        <w:spacing w:after="0" w:line="240" w:lineRule="auto"/>
        <w:jc w:val="left"/>
        <w:sectPr>
          <w:pgSz w:w="11910" w:h="16840"/>
          <w:pgMar w:header="747" w:footer="669" w:top="980" w:bottom="860" w:left="980" w:right="980"/>
        </w:sectPr>
      </w:pPr>
    </w:p>
    <w:p>
      <w:pPr>
        <w:pStyle w:val="Heading1"/>
        <w:spacing w:line="240" w:lineRule="auto" w:before="701"/>
        <w:ind w:left="3241" w:right="1410"/>
        <w:jc w:val="left"/>
        <w:rPr>
          <w:b w:val="0"/>
          <w:bCs w:val="0"/>
        </w:rPr>
      </w:pPr>
      <w:bookmarkStart w:name="第一节 公司基本情况简介" w:id="1"/>
      <w:bookmarkEnd w:id="1"/>
      <w:r>
        <w:rPr>
          <w:b w:val="0"/>
          <w:bCs w:val="0"/>
        </w:rPr>
      </w:r>
      <w:bookmarkStart w:name="_bookmark0" w:id="2"/>
      <w:bookmarkEnd w:id="2"/>
      <w:r>
        <w:rPr>
          <w:b w:val="0"/>
          <w:bCs w:val="0"/>
        </w:rPr>
      </w:r>
      <w:r>
        <w:rPr/>
        <w:t>第一节</w:t>
      </w:r>
      <w:r>
        <w:rPr>
          <w:spacing w:val="-2"/>
        </w:rPr>
        <w:t> </w:t>
      </w:r>
      <w:r>
        <w:rPr/>
        <w:t>公司基本情况简介</w:t>
      </w:r>
      <w:r>
        <w:rPr>
          <w:b w:val="0"/>
          <w:bCs w:val="0"/>
        </w:rPr>
      </w:r>
    </w:p>
    <w:p>
      <w:pPr>
        <w:spacing w:line="240" w:lineRule="auto" w:before="0"/>
        <w:rPr>
          <w:rFonts w:ascii="黑体" w:hAnsi="黑体" w:cs="黑体" w:eastAsia="黑体" w:hint="default"/>
          <w:b/>
          <w:bCs/>
          <w:sz w:val="28"/>
          <w:szCs w:val="28"/>
        </w:rPr>
      </w:pPr>
    </w:p>
    <w:p>
      <w:pPr>
        <w:spacing w:line="240" w:lineRule="auto" w:before="3"/>
        <w:rPr>
          <w:rFonts w:ascii="黑体" w:hAnsi="黑体" w:cs="黑体" w:eastAsia="黑体" w:hint="default"/>
          <w:b/>
          <w:bCs/>
          <w:sz w:val="39"/>
          <w:szCs w:val="39"/>
        </w:rPr>
      </w:pPr>
    </w:p>
    <w:p>
      <w:pPr>
        <w:pStyle w:val="Heading3"/>
        <w:spacing w:line="240" w:lineRule="auto"/>
        <w:ind w:left="154" w:right="1410"/>
        <w:jc w:val="left"/>
      </w:pPr>
      <w:r>
        <w:rPr/>
        <w:t>一、公司基本情况</w:t>
      </w:r>
    </w:p>
    <w:p>
      <w:pPr>
        <w:spacing w:line="240" w:lineRule="auto" w:before="6"/>
        <w:rPr>
          <w:rFonts w:ascii="黑体" w:hAnsi="黑体" w:cs="黑体" w:eastAsia="黑体" w:hint="default"/>
          <w:sz w:val="35"/>
          <w:szCs w:val="35"/>
        </w:rPr>
      </w:pPr>
    </w:p>
    <w:p>
      <w:pPr>
        <w:pStyle w:val="BodyText"/>
        <w:tabs>
          <w:tab w:pos="5673" w:val="left" w:leader="none"/>
        </w:tabs>
        <w:spacing w:line="352" w:lineRule="auto"/>
        <w:ind w:left="1354" w:right="3468" w:hanging="720"/>
        <w:jc w:val="left"/>
      </w:pPr>
      <w:r>
        <w:rPr/>
        <w:t>（一）中文名称：荣信电力电子股份有限公司 英文名称：RONGXIN POWER ELECTRONIC</w:t>
        <w:tab/>
        <w:t>CO.,LTD.</w:t>
      </w:r>
    </w:p>
    <w:p>
      <w:pPr>
        <w:pStyle w:val="BodyText"/>
        <w:spacing w:line="367" w:lineRule="auto" w:before="53"/>
        <w:ind w:left="1354" w:right="6570"/>
        <w:jc w:val="left"/>
      </w:pPr>
      <w:r>
        <w:rPr/>
        <w:t>中文简称：荣信股份 英文简称：RXPE</w:t>
      </w:r>
    </w:p>
    <w:p>
      <w:pPr>
        <w:pStyle w:val="BodyText"/>
        <w:spacing w:line="241" w:lineRule="exact"/>
        <w:ind w:left="634" w:right="1410"/>
        <w:jc w:val="left"/>
      </w:pPr>
      <w:r>
        <w:rPr/>
        <w:t>（二）法定代表人：左强</w:t>
      </w:r>
    </w:p>
    <w:p>
      <w:pPr>
        <w:pStyle w:val="BodyText"/>
        <w:spacing w:line="240" w:lineRule="auto" w:before="152"/>
        <w:ind w:left="634" w:right="1410"/>
        <w:jc w:val="left"/>
      </w:pPr>
      <w:r>
        <w:rPr/>
        <w:t>（三）公司联系和联系方式</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29"/>
        <w:gridCol w:w="2496"/>
        <w:gridCol w:w="2496"/>
        <w:gridCol w:w="2496"/>
      </w:tblGrid>
      <w:tr>
        <w:trPr>
          <w:trHeight w:val="323"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投资者关系管理负责人</w:t>
            </w:r>
          </w:p>
        </w:tc>
      </w:tr>
      <w:tr>
        <w:trPr>
          <w:trHeight w:val="36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姓名</w:t>
            </w:r>
          </w:p>
        </w:tc>
        <w:tc>
          <w:tcPr>
            <w:tcW w:w="24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赵殿波</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张洪涛</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赵殿波</w:t>
            </w:r>
          </w:p>
        </w:tc>
      </w:tr>
      <w:tr>
        <w:trPr>
          <w:trHeight w:val="161" w:hRule="exact"/>
        </w:trPr>
        <w:tc>
          <w:tcPr>
            <w:tcW w:w="2329" w:type="dxa"/>
            <w:tcBorders>
              <w:top w:val="single" w:sz="4" w:space="0" w:color="000000"/>
              <w:left w:val="single" w:sz="4" w:space="0" w:color="000000"/>
              <w:bottom w:val="nil" w:sz="6" w:space="0" w:color="auto"/>
              <w:right w:val="single" w:sz="4" w:space="0" w:color="000000"/>
            </w:tcBorders>
            <w:shd w:val="clear" w:color="auto" w:fill="DCDCDC"/>
          </w:tcPr>
          <w:p>
            <w:pPr/>
          </w:p>
        </w:tc>
        <w:tc>
          <w:tcPr>
            <w:tcW w:w="2496" w:type="dxa"/>
            <w:vMerge w:val="restart"/>
            <w:tcBorders>
              <w:top w:val="single" w:sz="4" w:space="0" w:color="000000"/>
              <w:left w:val="single" w:sz="10" w:space="0" w:color="DCDCDC"/>
              <w:right w:val="single" w:sz="4" w:space="0" w:color="000000"/>
            </w:tcBorders>
          </w:tcPr>
          <w:p>
            <w:pPr>
              <w:pStyle w:val="TableParagraph"/>
              <w:spacing w:line="240" w:lineRule="auto" w:before="5"/>
              <w:ind w:left="15" w:right="21"/>
              <w:jc w:val="left"/>
              <w:rPr>
                <w:rFonts w:ascii="宋体" w:hAnsi="宋体" w:cs="宋体" w:eastAsia="宋体" w:hint="default"/>
                <w:sz w:val="21"/>
                <w:szCs w:val="21"/>
              </w:rPr>
            </w:pPr>
            <w:r>
              <w:rPr>
                <w:rFonts w:ascii="宋体" w:hAnsi="宋体" w:cs="宋体" w:eastAsia="宋体" w:hint="default"/>
                <w:spacing w:val="11"/>
                <w:sz w:val="21"/>
                <w:szCs w:val="21"/>
              </w:rPr>
              <w:t>鞍山经济开发区联谊路</w:t>
            </w:r>
            <w:r>
              <w:rPr>
                <w:rFonts w:ascii="宋体" w:hAnsi="宋体" w:cs="宋体" w:eastAsia="宋体" w:hint="default"/>
                <w:spacing w:val="16"/>
                <w:sz w:val="21"/>
                <w:szCs w:val="21"/>
              </w:rPr>
              <w:t> </w:t>
            </w:r>
            <w:r>
              <w:rPr>
                <w:rFonts w:ascii="宋体" w:hAnsi="宋体" w:cs="宋体" w:eastAsia="宋体" w:hint="default"/>
                <w:sz w:val="21"/>
                <w:szCs w:val="21"/>
              </w:rPr>
              <w:t>5</w:t>
            </w:r>
            <w:r>
              <w:rPr>
                <w:rFonts w:ascii="宋体" w:hAnsi="宋体" w:cs="宋体" w:eastAsia="宋体" w:hint="default"/>
                <w:sz w:val="21"/>
                <w:szCs w:val="21"/>
              </w:rPr>
              <w:t> 号</w:t>
            </w:r>
          </w:p>
        </w:tc>
        <w:tc>
          <w:tcPr>
            <w:tcW w:w="2496" w:type="dxa"/>
            <w:vMerge w:val="restart"/>
            <w:tcBorders>
              <w:top w:val="single" w:sz="4" w:space="0" w:color="000000"/>
              <w:left w:val="single" w:sz="4" w:space="0" w:color="000000"/>
              <w:right w:val="single" w:sz="4" w:space="0" w:color="000000"/>
            </w:tcBorders>
          </w:tcPr>
          <w:p>
            <w:pPr>
              <w:pStyle w:val="TableParagraph"/>
              <w:spacing w:line="240" w:lineRule="auto" w:before="5"/>
              <w:ind w:left="22" w:right="21"/>
              <w:jc w:val="left"/>
              <w:rPr>
                <w:rFonts w:ascii="宋体" w:hAnsi="宋体" w:cs="宋体" w:eastAsia="宋体" w:hint="default"/>
                <w:sz w:val="21"/>
                <w:szCs w:val="21"/>
              </w:rPr>
            </w:pPr>
            <w:r>
              <w:rPr>
                <w:rFonts w:ascii="宋体" w:hAnsi="宋体" w:cs="宋体" w:eastAsia="宋体" w:hint="default"/>
                <w:spacing w:val="11"/>
                <w:sz w:val="21"/>
                <w:szCs w:val="21"/>
              </w:rPr>
              <w:t>鞍山经济开发区联谊路</w:t>
            </w:r>
            <w:r>
              <w:rPr>
                <w:rFonts w:ascii="宋体" w:hAnsi="宋体" w:cs="宋体" w:eastAsia="宋体" w:hint="default"/>
                <w:spacing w:val="16"/>
                <w:sz w:val="21"/>
                <w:szCs w:val="21"/>
              </w:rPr>
              <w:t> </w:t>
            </w:r>
            <w:r>
              <w:rPr>
                <w:rFonts w:ascii="宋体" w:hAnsi="宋体" w:cs="宋体" w:eastAsia="宋体" w:hint="default"/>
                <w:sz w:val="21"/>
                <w:szCs w:val="21"/>
              </w:rPr>
              <w:t>5</w:t>
            </w:r>
            <w:r>
              <w:rPr>
                <w:rFonts w:ascii="宋体" w:hAnsi="宋体" w:cs="宋体" w:eastAsia="宋体" w:hint="default"/>
                <w:sz w:val="21"/>
                <w:szCs w:val="21"/>
              </w:rPr>
              <w:t> 号</w:t>
            </w:r>
          </w:p>
        </w:tc>
        <w:tc>
          <w:tcPr>
            <w:tcW w:w="2496" w:type="dxa"/>
            <w:vMerge w:val="restart"/>
            <w:tcBorders>
              <w:top w:val="single" w:sz="4" w:space="0" w:color="000000"/>
              <w:left w:val="single" w:sz="4" w:space="0" w:color="000000"/>
              <w:right w:val="single" w:sz="4" w:space="0" w:color="000000"/>
            </w:tcBorders>
          </w:tcPr>
          <w:p>
            <w:pPr>
              <w:pStyle w:val="TableParagraph"/>
              <w:spacing w:line="240" w:lineRule="auto" w:before="5"/>
              <w:ind w:left="22" w:right="21"/>
              <w:jc w:val="left"/>
              <w:rPr>
                <w:rFonts w:ascii="宋体" w:hAnsi="宋体" w:cs="宋体" w:eastAsia="宋体" w:hint="default"/>
                <w:sz w:val="21"/>
                <w:szCs w:val="21"/>
              </w:rPr>
            </w:pPr>
            <w:r>
              <w:rPr>
                <w:rFonts w:ascii="宋体" w:hAnsi="宋体" w:cs="宋体" w:eastAsia="宋体" w:hint="default"/>
                <w:spacing w:val="11"/>
                <w:sz w:val="21"/>
                <w:szCs w:val="21"/>
              </w:rPr>
              <w:t>鞍山经济开发区联谊路</w:t>
            </w:r>
            <w:r>
              <w:rPr>
                <w:rFonts w:ascii="宋体" w:hAnsi="宋体" w:cs="宋体" w:eastAsia="宋体" w:hint="default"/>
                <w:spacing w:val="16"/>
                <w:sz w:val="21"/>
                <w:szCs w:val="21"/>
              </w:rPr>
              <w:t> </w:t>
            </w:r>
            <w:r>
              <w:rPr>
                <w:rFonts w:ascii="宋体" w:hAnsi="宋体" w:cs="宋体" w:eastAsia="宋体" w:hint="default"/>
                <w:sz w:val="21"/>
                <w:szCs w:val="21"/>
              </w:rPr>
              <w:t>5</w:t>
            </w:r>
            <w:r>
              <w:rPr>
                <w:rFonts w:ascii="宋体" w:hAnsi="宋体" w:cs="宋体" w:eastAsia="宋体" w:hint="default"/>
                <w:sz w:val="21"/>
                <w:szCs w:val="21"/>
              </w:rPr>
              <w:t> 号</w:t>
            </w:r>
          </w:p>
        </w:tc>
      </w:tr>
      <w:tr>
        <w:trPr>
          <w:trHeight w:val="314" w:hRule="exact"/>
        </w:trPr>
        <w:tc>
          <w:tcPr>
            <w:tcW w:w="23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2496" w:type="dxa"/>
            <w:vMerge/>
            <w:tcBorders>
              <w:left w:val="single" w:sz="10" w:space="0" w:color="DCDCDC"/>
              <w:right w:val="single" w:sz="4" w:space="0" w:color="000000"/>
            </w:tcBorders>
          </w:tcPr>
          <w:p>
            <w:pPr/>
          </w:p>
        </w:tc>
        <w:tc>
          <w:tcPr>
            <w:tcW w:w="2496" w:type="dxa"/>
            <w:vMerge/>
            <w:tcBorders>
              <w:left w:val="single" w:sz="4" w:space="0" w:color="000000"/>
              <w:right w:val="single" w:sz="4" w:space="0" w:color="000000"/>
            </w:tcBorders>
          </w:tcPr>
          <w:p>
            <w:pPr/>
          </w:p>
        </w:tc>
        <w:tc>
          <w:tcPr>
            <w:tcW w:w="2496" w:type="dxa"/>
            <w:vMerge/>
            <w:tcBorders>
              <w:left w:val="single" w:sz="4" w:space="0" w:color="000000"/>
              <w:right w:val="single" w:sz="4" w:space="0" w:color="000000"/>
            </w:tcBorders>
          </w:tcPr>
          <w:p>
            <w:pPr/>
          </w:p>
        </w:tc>
      </w:tr>
      <w:tr>
        <w:trPr>
          <w:trHeight w:val="160" w:hRule="exact"/>
        </w:trPr>
        <w:tc>
          <w:tcPr>
            <w:tcW w:w="2329" w:type="dxa"/>
            <w:tcBorders>
              <w:top w:val="nil" w:sz="6" w:space="0" w:color="auto"/>
              <w:left w:val="single" w:sz="4" w:space="0" w:color="000000"/>
              <w:bottom w:val="single" w:sz="4" w:space="0" w:color="000000"/>
              <w:right w:val="single" w:sz="4" w:space="0" w:color="000000"/>
            </w:tcBorders>
            <w:shd w:val="clear" w:color="auto" w:fill="DCDCDC"/>
          </w:tcPr>
          <w:p>
            <w:pPr/>
          </w:p>
        </w:tc>
        <w:tc>
          <w:tcPr>
            <w:tcW w:w="2496" w:type="dxa"/>
            <w:vMerge/>
            <w:tcBorders>
              <w:left w:val="single" w:sz="10" w:space="0" w:color="DCDCDC"/>
              <w:bottom w:val="single" w:sz="4" w:space="0" w:color="000000"/>
              <w:right w:val="single" w:sz="4" w:space="0" w:color="000000"/>
            </w:tcBorders>
          </w:tcPr>
          <w:p>
            <w:pPr/>
          </w:p>
        </w:tc>
        <w:tc>
          <w:tcPr>
            <w:tcW w:w="2496" w:type="dxa"/>
            <w:vMerge/>
            <w:tcBorders>
              <w:left w:val="single" w:sz="4" w:space="0" w:color="000000"/>
              <w:bottom w:val="single" w:sz="4" w:space="0" w:color="000000"/>
              <w:right w:val="single" w:sz="4" w:space="0" w:color="000000"/>
            </w:tcBorders>
          </w:tcPr>
          <w:p>
            <w:pPr/>
          </w:p>
        </w:tc>
        <w:tc>
          <w:tcPr>
            <w:tcW w:w="2496" w:type="dxa"/>
            <w:vMerge/>
            <w:tcBorders>
              <w:left w:val="single" w:sz="4" w:space="0" w:color="000000"/>
              <w:bottom w:val="single" w:sz="4" w:space="0" w:color="000000"/>
              <w:right w:val="single" w:sz="4" w:space="0" w:color="000000"/>
            </w:tcBorders>
          </w:tcPr>
          <w:p>
            <w:pPr/>
          </w:p>
        </w:tc>
      </w:tr>
      <w:tr>
        <w:trPr>
          <w:trHeight w:val="36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电话</w:t>
            </w:r>
          </w:p>
        </w:tc>
        <w:tc>
          <w:tcPr>
            <w:tcW w:w="24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sz w:val="21"/>
              </w:rPr>
              <w:t>0412-8223908</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0412-8223908</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0412-8223908</w:t>
            </w:r>
          </w:p>
        </w:tc>
      </w:tr>
      <w:tr>
        <w:trPr>
          <w:trHeight w:val="36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传真</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0412-8239366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0412-8239366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0412-8239366</w:t>
            </w:r>
          </w:p>
        </w:tc>
      </w:tr>
      <w:tr>
        <w:trPr>
          <w:trHeight w:val="36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8">
              <w:r>
                <w:rPr>
                  <w:rFonts w:ascii="宋体"/>
                  <w:sz w:val="21"/>
                </w:rPr>
                <w:t>zht@rxpe.com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r>
    </w:tbl>
    <w:p>
      <w:pPr>
        <w:spacing w:line="240" w:lineRule="auto" w:before="5"/>
        <w:rPr>
          <w:rFonts w:ascii="宋体" w:hAnsi="宋体" w:cs="宋体" w:eastAsia="宋体" w:hint="default"/>
          <w:sz w:val="16"/>
          <w:szCs w:val="16"/>
        </w:rPr>
      </w:pPr>
    </w:p>
    <w:p>
      <w:pPr>
        <w:pStyle w:val="BodyText"/>
        <w:spacing w:line="357" w:lineRule="auto" w:before="26"/>
        <w:ind w:left="1354" w:right="4170" w:hanging="720"/>
        <w:jc w:val="left"/>
      </w:pPr>
      <w:r>
        <w:rPr/>
        <w:t>（四）公司注册地址：鞍山高新区鞍千路261号 公司办公地址：鞍山经济开发区联谊路</w:t>
      </w:r>
      <w:r>
        <w:rPr>
          <w:spacing w:val="-60"/>
        </w:rPr>
        <w:t> </w:t>
      </w:r>
      <w:r>
        <w:rPr/>
        <w:t>5</w:t>
      </w:r>
      <w:r>
        <w:rPr>
          <w:spacing w:val="-60"/>
        </w:rPr>
        <w:t> </w:t>
      </w:r>
      <w:r>
        <w:rPr/>
        <w:t>号</w:t>
      </w:r>
      <w:r>
        <w:rPr/>
        <w:t> 邮编：114041</w:t>
      </w:r>
    </w:p>
    <w:p>
      <w:pPr>
        <w:pStyle w:val="BodyText"/>
        <w:spacing w:line="357" w:lineRule="auto" w:before="35"/>
        <w:ind w:left="1354" w:right="5970"/>
        <w:jc w:val="left"/>
      </w:pPr>
      <w:r>
        <w:rPr/>
        <w:t>公司网址：</w:t>
      </w:r>
      <w:r>
        <w:rPr>
          <w:color w:val="0000FF"/>
        </w:rPr>
      </w:r>
      <w:hyperlink r:id="rId9">
        <w:r>
          <w:rPr>
            <w:color w:val="0000FF"/>
            <w:u w:val="single" w:color="0000FF"/>
          </w:rPr>
          <w:t>www.rxpe.com</w:t>
        </w:r>
        <w:r>
          <w:rPr>
            <w:color w:val="0000FF"/>
          </w:rPr>
        </w:r>
      </w:hyperlink>
      <w:r>
        <w:rPr>
          <w:color w:val="0000FF"/>
        </w:rPr>
        <w:t> </w:t>
      </w:r>
      <w:hyperlink r:id="rId10">
        <w:r>
          <w:rPr/>
          <w:t>电子信箱：rxpe@rxpe.com</w:t>
        </w:r>
      </w:hyperlink>
    </w:p>
    <w:p>
      <w:pPr>
        <w:pStyle w:val="BodyText"/>
        <w:spacing w:line="357" w:lineRule="auto" w:before="35"/>
        <w:ind w:left="1354" w:right="1410" w:hanging="720"/>
        <w:jc w:val="left"/>
      </w:pPr>
      <w:r>
        <w:rPr/>
        <w:t>（五）公司选定的信息披露报纸：《证券时报》 登载半年度报告的网站网址：</w:t>
      </w:r>
      <w:r>
        <w:rPr>
          <w:color w:val="0000FF"/>
        </w:rPr>
      </w:r>
      <w:hyperlink r:id="rId11">
        <w:r>
          <w:rPr>
            <w:color w:val="0000FF"/>
            <w:u w:val="single" w:color="0000FF"/>
          </w:rPr>
          <w:t>http://www.cninfo.com.cn</w:t>
        </w:r>
        <w:r>
          <w:rPr>
            <w:color w:val="0000FF"/>
          </w:rPr>
        </w:r>
      </w:hyperlink>
      <w:r>
        <w:rPr>
          <w:color w:val="0000FF"/>
        </w:rPr>
        <w:t> </w:t>
      </w:r>
      <w:r>
        <w:rPr/>
        <w:t>公司半年度报告备置地点：鞍山经济开发区联谊路5号公司证券事务部</w:t>
      </w:r>
    </w:p>
    <w:p>
      <w:pPr>
        <w:pStyle w:val="BodyText"/>
        <w:spacing w:line="357" w:lineRule="auto" w:before="35"/>
        <w:ind w:left="1353" w:right="4651" w:hanging="720"/>
        <w:jc w:val="left"/>
      </w:pPr>
      <w:r>
        <w:rPr/>
        <w:t>（六）公司股票上市交易所：深圳证券交易所 股票简称：荣信股份</w:t>
      </w:r>
    </w:p>
    <w:p>
      <w:pPr>
        <w:pStyle w:val="BodyText"/>
        <w:spacing w:line="240" w:lineRule="auto" w:before="35"/>
        <w:ind w:left="1353" w:right="1410"/>
        <w:jc w:val="left"/>
      </w:pPr>
      <w:r>
        <w:rPr/>
        <w:t>股票代码：002123</w:t>
      </w:r>
    </w:p>
    <w:p>
      <w:pPr>
        <w:pStyle w:val="BodyText"/>
        <w:spacing w:line="240" w:lineRule="auto" w:before="154"/>
        <w:ind w:left="633" w:right="1410"/>
        <w:jc w:val="left"/>
      </w:pPr>
      <w:r>
        <w:rPr/>
        <w:t>（七） 其它有关资料</w:t>
      </w:r>
    </w:p>
    <w:p>
      <w:pPr>
        <w:pStyle w:val="BodyText"/>
        <w:spacing w:line="240" w:lineRule="auto" w:before="152"/>
        <w:ind w:left="1353" w:right="1410"/>
        <w:jc w:val="left"/>
      </w:pPr>
      <w:r>
        <w:rPr/>
        <w:t>公司首次注册登记日期：1998年11月19日</w:t>
      </w:r>
    </w:p>
    <w:p>
      <w:pPr>
        <w:spacing w:after="0" w:line="240"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414" w:right="2288" w:hanging="60"/>
        <w:jc w:val="left"/>
      </w:pPr>
      <w:r>
        <w:rPr/>
        <w:t>公司最近一次变更登记日期：2007年7月11日 注册登记地点：辽宁省工商行政管理局 公司企业法人营业执照注册号：2100001050674 公司税务登记证号码：210301118887313 公司组织机构代码：11888731-3 公司聘请的会计师事务所：开元信德会计师事务所有限公司</w:t>
      </w:r>
    </w:p>
    <w:p>
      <w:pPr>
        <w:pStyle w:val="BodyText"/>
        <w:spacing w:line="240" w:lineRule="auto" w:before="35"/>
        <w:ind w:left="1414" w:right="0"/>
        <w:jc w:val="left"/>
      </w:pPr>
      <w:r>
        <w:rPr/>
        <w:t>会计师事务所的办公地址：深圳市福田区滨河大厦5020号证券大厦1501、十六层</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044" w:right="0"/>
        <w:jc w:val="left"/>
        <w:rPr>
          <w:b w:val="0"/>
          <w:bCs w:val="0"/>
        </w:rPr>
      </w:pPr>
      <w:bookmarkStart w:name="_bookmark1" w:id="3"/>
      <w:bookmarkEnd w:id="3"/>
      <w:r>
        <w:rPr>
          <w:b w:val="0"/>
          <w:bCs w:val="0"/>
        </w:rPr>
      </w:r>
      <w:r>
        <w:rPr>
          <w:spacing w:val="6"/>
        </w:rPr>
        <w:t>第二节</w:t>
      </w:r>
      <w:r>
        <w:rPr>
          <w:spacing w:val="-1"/>
        </w:rPr>
        <w:t> </w:t>
      </w:r>
      <w:r>
        <w:rPr>
          <w:spacing w:val="9"/>
        </w:rPr>
        <w:t>会计数据和业务数据摘要</w:t>
      </w:r>
      <w:r>
        <w:rPr>
          <w:b w:val="0"/>
          <w:bCs w:val="0"/>
        </w:rPr>
      </w:r>
    </w:p>
    <w:p>
      <w:pPr>
        <w:spacing w:line="240" w:lineRule="auto" w:before="5"/>
        <w:rPr>
          <w:rFonts w:ascii="黑体" w:hAnsi="黑体" w:cs="黑体" w:eastAsia="黑体" w:hint="default"/>
          <w:b/>
          <w:bCs/>
          <w:sz w:val="21"/>
          <w:szCs w:val="21"/>
        </w:rPr>
      </w:pPr>
    </w:p>
    <w:p>
      <w:pPr>
        <w:pStyle w:val="Heading3"/>
        <w:spacing w:line="240" w:lineRule="auto"/>
        <w:ind w:left="774" w:right="0"/>
        <w:jc w:val="left"/>
      </w:pPr>
      <w:r>
        <w:rPr/>
        <w:t>一、主要财务数据和指标</w:t>
      </w:r>
    </w:p>
    <w:p>
      <w:pPr>
        <w:spacing w:line="240" w:lineRule="auto" w:before="7"/>
        <w:rPr>
          <w:rFonts w:ascii="黑体" w:hAnsi="黑体" w:cs="黑体" w:eastAsia="黑体" w:hint="default"/>
          <w:sz w:val="35"/>
          <w:szCs w:val="35"/>
        </w:rPr>
      </w:pPr>
    </w:p>
    <w:p>
      <w:pPr>
        <w:pStyle w:val="BodyText"/>
        <w:spacing w:line="240" w:lineRule="auto"/>
        <w:ind w:left="684" w:right="0"/>
        <w:jc w:val="left"/>
        <w:rPr>
          <w:rFonts w:ascii="黑体" w:hAnsi="黑体" w:cs="黑体" w:eastAsia="黑体" w:hint="default"/>
        </w:rPr>
      </w:pPr>
      <w:r>
        <w:rPr>
          <w:rFonts w:ascii="黑体" w:hAnsi="黑体" w:cs="黑体" w:eastAsia="黑体" w:hint="default"/>
        </w:rPr>
        <w:t>主要会计数据和财务指标</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3"/>
          <w:szCs w:val="13"/>
        </w:rPr>
      </w:pPr>
    </w:p>
    <w:p>
      <w:pPr>
        <w:spacing w:before="0"/>
        <w:ind w:left="0" w:right="67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48"/>
        <w:gridCol w:w="4706"/>
      </w:tblGrid>
      <w:tr>
        <w:trPr>
          <w:trHeight w:val="419" w:hRule="exact"/>
        </w:trPr>
        <w:tc>
          <w:tcPr>
            <w:tcW w:w="5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项目指标</w:t>
            </w:r>
          </w:p>
        </w:tc>
        <w:tc>
          <w:tcPr>
            <w:tcW w:w="4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51,112,109.00</w:t>
            </w:r>
          </w:p>
        </w:tc>
      </w:tr>
      <w:tr>
        <w:trPr>
          <w:trHeight w:val="418"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86,249,505.64</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83,321,753.39</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72,933,960.29</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12,721,648.94</w:t>
            </w:r>
          </w:p>
        </w:tc>
      </w:tr>
    </w:tbl>
    <w:p>
      <w:pPr>
        <w:spacing w:line="240" w:lineRule="auto" w:before="5"/>
        <w:rPr>
          <w:rFonts w:ascii="宋体" w:hAnsi="宋体" w:cs="宋体" w:eastAsia="宋体" w:hint="default"/>
          <w:sz w:val="16"/>
          <w:szCs w:val="16"/>
        </w:rPr>
      </w:pPr>
    </w:p>
    <w:p>
      <w:pPr>
        <w:pStyle w:val="BodyText"/>
        <w:spacing w:line="240" w:lineRule="auto" w:before="26"/>
        <w:ind w:left="684" w:right="0"/>
        <w:jc w:val="left"/>
        <w:rPr>
          <w:rFonts w:ascii="黑体" w:hAnsi="黑体" w:cs="黑体" w:eastAsia="黑体" w:hint="default"/>
        </w:rPr>
      </w:pPr>
      <w:r>
        <w:rPr>
          <w:rFonts w:ascii="黑体" w:hAnsi="黑体" w:cs="黑体" w:eastAsia="黑体" w:hint="default"/>
        </w:rPr>
        <w:t>非经常性损益项目</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200"/>
        <w:gridCol w:w="4628"/>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630,941.86</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10,235,000.00</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除上述项目之外的其他营业外收支净额</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25,058.13</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中国证监会认定其他非经常性损益项目</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502,314.82</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所得税影响金额</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-1,005,521.71</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10,387,793.10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3"/>
        <w:ind w:left="762" w:right="0"/>
        <w:jc w:val="left"/>
        <w:rPr>
          <w:b w:val="0"/>
          <w:bCs w:val="0"/>
        </w:rPr>
      </w:pPr>
      <w:r>
        <w:rPr>
          <w:rFonts w:ascii="黑体" w:hAnsi="黑体" w:cs="黑体" w:eastAsia="黑体" w:hint="default"/>
          <w:b w:val="0"/>
          <w:bCs w:val="0"/>
        </w:rPr>
        <w:t>二</w:t>
      </w:r>
      <w:r>
        <w:rPr/>
        <w:t>、截止报告期末公司前三年的主要会计数据和财务指标</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669" w:top="980" w:bottom="860" w:left="920" w:right="820"/>
        </w:sectPr>
      </w:pPr>
    </w:p>
    <w:p>
      <w:pPr>
        <w:pStyle w:val="Heading4"/>
        <w:spacing w:line="240" w:lineRule="auto" w:before="203"/>
        <w:ind w:left="696" w:right="-19"/>
        <w:jc w:val="left"/>
        <w:rPr>
          <w:b w:val="0"/>
          <w:bCs w:val="0"/>
        </w:rPr>
      </w:pPr>
      <w:r>
        <w:rPr>
          <w:rFonts w:ascii="Times New Roman" w:hAnsi="Times New Roman" w:cs="Times New Roman" w:eastAsia="Times New Roman" w:hint="default"/>
        </w:rPr>
        <w:t>1</w:t>
      </w:r>
      <w:r>
        <w:rPr/>
        <w:t>、</w:t>
      </w:r>
      <w:r>
        <w:rPr>
          <w:spacing w:val="-1"/>
        </w:rPr>
        <w:t> </w:t>
      </w:r>
      <w:r>
        <w:rPr/>
        <w:t>主要会计数据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20" w:right="820"/>
          <w:cols w:num="2" w:equalWidth="0">
            <w:col w:w="2624" w:space="5002"/>
            <w:col w:w="2544"/>
          </w:cols>
        </w:sectPr>
      </w:pPr>
    </w:p>
    <w:p>
      <w:pPr>
        <w:spacing w:line="240" w:lineRule="auto" w:before="2"/>
        <w:rPr>
          <w:rFonts w:ascii="宋体" w:hAnsi="宋体" w:cs="宋体" w:eastAsia="宋体" w:hint="default"/>
          <w:sz w:val="10"/>
          <w:szCs w:val="10"/>
        </w:rPr>
      </w:pPr>
    </w:p>
    <w:tbl>
      <w:tblPr>
        <w:tblW w:w="0" w:type="auto"/>
        <w:jc w:val="left"/>
        <w:tblInd w:w="220" w:type="dxa"/>
        <w:tblLayout w:type="fixed"/>
        <w:tblCellMar>
          <w:top w:w="0" w:type="dxa"/>
          <w:left w:w="0" w:type="dxa"/>
          <w:bottom w:w="0" w:type="dxa"/>
          <w:right w:w="0" w:type="dxa"/>
        </w:tblCellMar>
        <w:tblLook w:val="01E0"/>
      </w:tblPr>
      <w:tblGrid>
        <w:gridCol w:w="1407"/>
        <w:gridCol w:w="1572"/>
        <w:gridCol w:w="1560"/>
        <w:gridCol w:w="1560"/>
        <w:gridCol w:w="974"/>
        <w:gridCol w:w="1301"/>
        <w:gridCol w:w="1429"/>
      </w:tblGrid>
      <w:tr>
        <w:trPr>
          <w:trHeight w:val="43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32"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8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37"/>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57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367,156,976.76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234,493,689.51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241,375,439.23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52.11%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164,114,581.49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167,082,833.80</w:t>
            </w:r>
          </w:p>
        </w:tc>
      </w:tr>
      <w:tr>
        <w:trPr>
          <w:trHeight w:val="32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37"/>
              <w:jc w:val="right"/>
              <w:rPr>
                <w:rFonts w:ascii="宋体" w:hAnsi="宋体" w:cs="宋体" w:eastAsia="宋体" w:hint="default"/>
                <w:sz w:val="18"/>
                <w:szCs w:val="18"/>
              </w:rPr>
            </w:pPr>
            <w:r>
              <w:rPr>
                <w:rFonts w:ascii="宋体" w:hAnsi="宋体" w:cs="宋体" w:eastAsia="宋体" w:hint="default"/>
                <w:sz w:val="18"/>
                <w:szCs w:val="18"/>
              </w:rPr>
              <w:t>利润总额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86,249,505.64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53,740,805.33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53,740,805.33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38,489,940.06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38,489,940.06</w:t>
            </w:r>
          </w:p>
        </w:tc>
      </w:tr>
      <w:tr>
        <w:trPr>
          <w:trHeight w:val="55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7" w:right="67" w:hanging="90"/>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83,321,753.39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50,412,655.92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50,743,678.06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35,428,825.50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35,515,113.61</w:t>
            </w:r>
          </w:p>
        </w:tc>
      </w:tr>
      <w:tr>
        <w:trPr>
          <w:trHeight w:val="51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left"/>
              <w:rPr>
                <w:rFonts w:ascii="宋体" w:hAnsi="宋体" w:cs="宋体" w:eastAsia="宋体" w:hint="default"/>
                <w:sz w:val="18"/>
                <w:szCs w:val="18"/>
              </w:rPr>
            </w:pPr>
            <w:r>
              <w:rPr>
                <w:rFonts w:ascii="宋体" w:hAnsi="宋体" w:cs="宋体" w:eastAsia="宋体" w:hint="default"/>
                <w:sz w:val="18"/>
                <w:szCs w:val="18"/>
              </w:rPr>
              <w:t>归属于上市公司 股东的扣除非经</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72,933,960.29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50,336,905.86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50,667,928.00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43.95%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35,609,751.00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35,696,039.11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18"/>
        <w:gridCol w:w="1572"/>
        <w:gridCol w:w="1560"/>
        <w:gridCol w:w="1571"/>
        <w:gridCol w:w="963"/>
        <w:gridCol w:w="1301"/>
        <w:gridCol w:w="1429"/>
      </w:tblGrid>
      <w:tr>
        <w:trPr>
          <w:trHeight w:val="517"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常性损益的净利</w:t>
            </w:r>
          </w:p>
          <w:p>
            <w:pPr>
              <w:pStyle w:val="TableParagraph"/>
              <w:spacing w:line="235" w:lineRule="exact"/>
              <w:ind w:left="9"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72"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69" w:right="67" w:hanging="90"/>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12,721,648.94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42,302,725.31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42,302,725.31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-69.93%</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28,775,918.15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28,775,918.15</w:t>
            </w:r>
          </w:p>
        </w:tc>
      </w:tr>
      <w:tr>
        <w:trPr>
          <w:trHeight w:val="245"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6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20" w:right="30"/>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33" w:lineRule="exact"/>
              <w:ind w:right="9"/>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1"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63"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4"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3"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7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730,438,849.48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260,928,513.72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Times New Roman"/>
                <w:spacing w:val="-1"/>
                <w:sz w:val="18"/>
              </w:rPr>
              <w:t>261,659,330.35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179.16%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217,116,387.22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217,634,322.71</w:t>
            </w:r>
          </w:p>
        </w:tc>
      </w:tr>
      <w:tr>
        <w:trPr>
          <w:trHeight w:val="558"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49" w:right="10" w:hanging="327"/>
              <w:jc w:val="left"/>
              <w:rPr>
                <w:rFonts w:ascii="宋体" w:hAnsi="宋体" w:cs="宋体" w:eastAsia="宋体" w:hint="default"/>
                <w:sz w:val="18"/>
                <w:szCs w:val="18"/>
              </w:rPr>
            </w:pPr>
            <w:r>
              <w:rPr>
                <w:rFonts w:ascii="宋体" w:hAnsi="宋体" w:cs="宋体" w:eastAsia="宋体" w:hint="default"/>
                <w:spacing w:val="-9"/>
                <w:sz w:val="18"/>
                <w:szCs w:val="18"/>
              </w:rPr>
              <w:t>所有者权益（或股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东权益）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518,084,626.95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148,146,973.93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148,877,790.56</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247.99%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111,487,219.90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112,005,155.39</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64,000,000.00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48,000,000.00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669" w:top="980" w:bottom="860" w:left="980" w:right="820"/>
        </w:sectPr>
      </w:pPr>
    </w:p>
    <w:p>
      <w:pPr>
        <w:pStyle w:val="Heading4"/>
        <w:spacing w:line="240" w:lineRule="auto"/>
        <w:ind w:right="-19"/>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2444" w:space="5182"/>
            <w:col w:w="2484"/>
          </w:cols>
        </w:sectPr>
      </w:pPr>
    </w:p>
    <w:p>
      <w:pPr>
        <w:spacing w:line="240" w:lineRule="auto" w:before="2"/>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407"/>
        <w:gridCol w:w="1572"/>
        <w:gridCol w:w="1560"/>
        <w:gridCol w:w="1573"/>
        <w:gridCol w:w="974"/>
        <w:gridCol w:w="1300"/>
        <w:gridCol w:w="1430"/>
      </w:tblGrid>
      <w:tr>
        <w:trPr>
          <w:trHeight w:val="43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8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7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18"/>
                <w:szCs w:val="18"/>
              </w:rPr>
            </w:pPr>
            <w:r>
              <w:rPr>
                <w:rFonts w:ascii="Times New Roman"/>
                <w:sz w:val="18"/>
              </w:rPr>
              <w:t>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w:t>
            </w: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center"/>
              <w:rPr>
                <w:rFonts w:ascii="宋体" w:hAnsi="宋体" w:cs="宋体" w:eastAsia="宋体" w:hint="default"/>
                <w:sz w:val="18"/>
                <w:szCs w:val="18"/>
              </w:rPr>
            </w:pPr>
            <w:r>
              <w:rPr>
                <w:rFonts w:ascii="宋体" w:hAnsi="宋体" w:cs="宋体" w:eastAsia="宋体" w:hint="default"/>
                <w:sz w:val="18"/>
                <w:szCs w:val="18"/>
              </w:rPr>
              <w:t>扣除非经常性损 益后的基本每股 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r>
      <w:tr>
        <w:trPr>
          <w:trHeight w:val="55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27" w:right="67" w:hanging="360"/>
              <w:jc w:val="left"/>
              <w:rPr>
                <w:rFonts w:ascii="宋体" w:hAnsi="宋体" w:cs="宋体" w:eastAsia="宋体" w:hint="default"/>
                <w:sz w:val="18"/>
                <w:szCs w:val="18"/>
              </w:rPr>
            </w:pPr>
            <w:r>
              <w:rPr>
                <w:rFonts w:ascii="宋体" w:hAnsi="宋体" w:cs="宋体" w:eastAsia="宋体" w:hint="default"/>
                <w:sz w:val="18"/>
                <w:szCs w:val="18"/>
              </w:rPr>
              <w:t>全面摊薄净资产 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16.08%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34.03%</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34.08%</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31.78%</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31.71%</w:t>
            </w:r>
            <w:r>
              <w:rPr>
                <w:rFonts w:ascii="Times New Roman"/>
                <w:sz w:val="18"/>
              </w:rPr>
            </w:r>
          </w:p>
        </w:tc>
      </w:tr>
      <w:tr>
        <w:trPr>
          <w:trHeight w:val="55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27" w:right="67"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20.58%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40.82%</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39.19%</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43.54%</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43.43%</w:t>
            </w:r>
            <w:r>
              <w:rPr>
                <w:rFonts w:ascii="Times New Roman"/>
                <w:sz w:val="18"/>
              </w:rPr>
            </w: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center"/>
              <w:rPr>
                <w:rFonts w:ascii="宋体" w:hAnsi="宋体" w:cs="宋体" w:eastAsia="宋体" w:hint="default"/>
                <w:sz w:val="18"/>
                <w:szCs w:val="18"/>
              </w:rPr>
            </w:pPr>
            <w:r>
              <w:rPr>
                <w:rFonts w:ascii="宋体" w:hAnsi="宋体" w:cs="宋体" w:eastAsia="宋体" w:hint="default"/>
                <w:sz w:val="18"/>
                <w:szCs w:val="18"/>
              </w:rPr>
              <w:t>扣除非经常性损 益后全面摊薄净 资产收益率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14.08%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33.98%</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34.03%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31.94%</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31.87%</w:t>
            </w:r>
            <w:r>
              <w:rPr>
                <w:rFonts w:ascii="Times New Roman"/>
                <w:sz w:val="18"/>
              </w:rPr>
            </w:r>
          </w:p>
        </w:tc>
      </w:tr>
      <w:tr>
        <w:trPr>
          <w:trHeight w:val="79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7" w:right="67"/>
              <w:jc w:val="both"/>
              <w:rPr>
                <w:rFonts w:ascii="宋体" w:hAnsi="宋体" w:cs="宋体" w:eastAsia="宋体" w:hint="default"/>
                <w:sz w:val="18"/>
                <w:szCs w:val="18"/>
              </w:rPr>
            </w:pPr>
            <w:r>
              <w:rPr>
                <w:rFonts w:ascii="宋体" w:hAnsi="宋体" w:cs="宋体" w:eastAsia="宋体" w:hint="default"/>
                <w:sz w:val="18"/>
                <w:szCs w:val="18"/>
              </w:rPr>
              <w:t>扣除非经常性损 益后的加权平均 净资产收益率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18.01%</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40.76%</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39.13%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-21.12%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43.76%</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43.65%</w:t>
            </w:r>
            <w:r>
              <w:rPr>
                <w:rFonts w:ascii="Times New Roman"/>
                <w:sz w:val="18"/>
              </w:rPr>
            </w: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center"/>
              <w:rPr>
                <w:rFonts w:ascii="宋体" w:hAnsi="宋体" w:cs="宋体" w:eastAsia="宋体" w:hint="default"/>
                <w:sz w:val="18"/>
                <w:szCs w:val="18"/>
              </w:rPr>
            </w:pPr>
            <w:r>
              <w:rPr>
                <w:rFonts w:ascii="宋体" w:hAnsi="宋体" w:cs="宋体" w:eastAsia="宋体" w:hint="default"/>
                <w:sz w:val="18"/>
                <w:szCs w:val="18"/>
              </w:rPr>
              <w:t>每股经营活动产 生的现金流量净 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-77.27%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r>
      <w:tr>
        <w:trPr>
          <w:trHeight w:val="245"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2" w:right="30"/>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0"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3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4"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4"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7" w:right="67"/>
              <w:jc w:val="center"/>
              <w:rPr>
                <w:rFonts w:ascii="宋体" w:hAnsi="宋体" w:cs="宋体" w:eastAsia="宋体" w:hint="default"/>
                <w:sz w:val="18"/>
                <w:szCs w:val="18"/>
              </w:rPr>
            </w:pPr>
            <w:r>
              <w:rPr>
                <w:rFonts w:ascii="宋体" w:hAnsi="宋体" w:cs="宋体" w:eastAsia="宋体" w:hint="default"/>
                <w:sz w:val="18"/>
                <w:szCs w:val="18"/>
              </w:rPr>
              <w:t>归属于上市公司 股东的每股净资 产</w:t>
            </w:r>
          </w:p>
        </w:tc>
        <w:tc>
          <w:tcPr>
            <w:tcW w:w="157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161.29%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820"/>
        </w:sectPr>
      </w:pPr>
    </w:p>
    <w:p>
      <w:pPr>
        <w:spacing w:line="240" w:lineRule="auto" w:before="0"/>
        <w:rPr>
          <w:rFonts w:ascii="宋体" w:hAnsi="宋体" w:cs="宋体" w:eastAsia="宋体" w:hint="default"/>
          <w:sz w:val="20"/>
          <w:szCs w:val="20"/>
        </w:rPr>
      </w:pPr>
    </w:p>
    <w:p>
      <w:pPr>
        <w:pStyle w:val="Heading1"/>
        <w:spacing w:line="240" w:lineRule="auto" w:before="140"/>
        <w:ind w:left="3090" w:right="1410"/>
        <w:jc w:val="left"/>
        <w:rPr>
          <w:b w:val="0"/>
          <w:bCs w:val="0"/>
        </w:rPr>
      </w:pPr>
      <w:bookmarkStart w:name="第三节 股本变动及股东情况" w:id="4"/>
      <w:bookmarkEnd w:id="4"/>
      <w:r>
        <w:rPr>
          <w:b w:val="0"/>
          <w:bCs w:val="0"/>
        </w:rPr>
      </w:r>
      <w:bookmarkStart w:name="_bookmark2" w:id="5"/>
      <w:bookmarkEnd w:id="5"/>
      <w:r>
        <w:rPr>
          <w:b w:val="0"/>
          <w:bCs w:val="0"/>
        </w:rPr>
      </w:r>
      <w:r>
        <w:rPr/>
        <w:t>第三节</w:t>
      </w:r>
      <w:r>
        <w:rPr>
          <w:spacing w:val="-3"/>
        </w:rPr>
        <w:t> </w:t>
      </w:r>
      <w:r>
        <w:rPr/>
        <w:t>股本变动及股东情况</w:t>
      </w:r>
      <w:r>
        <w:rPr>
          <w:b w:val="0"/>
          <w:bCs w:val="0"/>
        </w:rPr>
      </w:r>
    </w:p>
    <w:p>
      <w:pPr>
        <w:spacing w:line="240" w:lineRule="auto" w:before="4"/>
        <w:rPr>
          <w:rFonts w:ascii="黑体" w:hAnsi="黑体" w:cs="黑体" w:eastAsia="黑体" w:hint="default"/>
          <w:b/>
          <w:bCs/>
          <w:sz w:val="36"/>
          <w:szCs w:val="36"/>
        </w:rPr>
      </w:pPr>
    </w:p>
    <w:p>
      <w:pPr>
        <w:pStyle w:val="Heading3"/>
        <w:spacing w:line="240" w:lineRule="auto"/>
        <w:ind w:right="1410"/>
        <w:jc w:val="left"/>
      </w:pPr>
      <w:r>
        <w:rPr/>
        <w:t>一、</w:t>
      </w:r>
      <w:r>
        <w:rPr>
          <w:spacing w:val="1"/>
        </w:rPr>
        <w:t> </w:t>
      </w:r>
      <w:r>
        <w:rPr/>
        <w:t>股份变动情况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747" w:footer="669" w:top="980" w:bottom="860" w:left="980" w:right="820"/>
        </w:sectPr>
      </w:pPr>
    </w:p>
    <w:p>
      <w:pPr>
        <w:pStyle w:val="Heading4"/>
        <w:spacing w:line="240" w:lineRule="auto" w:before="202"/>
        <w:ind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3048" w:space="5388"/>
            <w:col w:w="1674"/>
          </w:cols>
        </w:sectPr>
      </w:pPr>
    </w:p>
    <w:p>
      <w:pPr>
        <w:spacing w:line="240" w:lineRule="auto" w:before="2"/>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829"/>
        <w:gridCol w:w="1017"/>
        <w:gridCol w:w="715"/>
        <w:gridCol w:w="967"/>
        <w:gridCol w:w="772"/>
        <w:gridCol w:w="902"/>
        <w:gridCol w:w="824"/>
        <w:gridCol w:w="979"/>
        <w:gridCol w:w="983"/>
        <w:gridCol w:w="694"/>
      </w:tblGrid>
      <w:tr>
        <w:trPr>
          <w:trHeight w:val="244"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4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6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7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829" w:type="dxa"/>
            <w:vMerge w:val="restart"/>
            <w:tcBorders>
              <w:top w:val="nil" w:sz="6" w:space="0" w:color="auto"/>
              <w:left w:val="single" w:sz="4" w:space="0" w:color="000000"/>
              <w:right w:val="single" w:sz="4" w:space="0" w:color="000000"/>
            </w:tcBorders>
            <w:shd w:val="clear" w:color="auto" w:fill="DCDCDC"/>
          </w:tcPr>
          <w:p>
            <w:pPr/>
          </w:p>
        </w:tc>
        <w:tc>
          <w:tcPr>
            <w:tcW w:w="1017" w:type="dxa"/>
            <w:tcBorders>
              <w:top w:val="single" w:sz="4" w:space="0" w:color="000000"/>
              <w:left w:val="single" w:sz="4" w:space="0" w:color="000000"/>
              <w:bottom w:val="nil" w:sz="6" w:space="0" w:color="auto"/>
              <w:right w:val="single" w:sz="4" w:space="0" w:color="000000"/>
            </w:tcBorders>
            <w:shd w:val="clear" w:color="auto" w:fill="DCDCDC"/>
          </w:tcPr>
          <w:p>
            <w:pPr/>
          </w:p>
        </w:tc>
        <w:tc>
          <w:tcPr>
            <w:tcW w:w="7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67" w:type="dxa"/>
            <w:tcBorders>
              <w:top w:val="single" w:sz="4" w:space="0" w:color="000000"/>
              <w:left w:val="single" w:sz="4" w:space="0" w:color="000000"/>
              <w:bottom w:val="nil" w:sz="6" w:space="0" w:color="auto"/>
              <w:right w:val="single" w:sz="4" w:space="0" w:color="000000"/>
            </w:tcBorders>
            <w:shd w:val="clear" w:color="auto" w:fill="DCDCDC"/>
          </w:tcPr>
          <w:p>
            <w:pPr/>
          </w:p>
        </w:tc>
        <w:tc>
          <w:tcPr>
            <w:tcW w:w="77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2"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66"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266"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824" w:type="dxa"/>
            <w:tcBorders>
              <w:top w:val="single" w:sz="4" w:space="0" w:color="000000"/>
              <w:left w:val="single" w:sz="4" w:space="0" w:color="000000"/>
              <w:bottom w:val="nil" w:sz="6" w:space="0" w:color="auto"/>
              <w:right w:val="single" w:sz="4" w:space="0" w:color="000000"/>
            </w:tcBorders>
            <w:shd w:val="clear" w:color="auto" w:fill="DCDCDC"/>
          </w:tcPr>
          <w:p>
            <w:pPr/>
          </w:p>
        </w:tc>
        <w:tc>
          <w:tcPr>
            <w:tcW w:w="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69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06" w:hRule="exact"/>
        </w:trPr>
        <w:tc>
          <w:tcPr>
            <w:tcW w:w="1829" w:type="dxa"/>
            <w:vMerge/>
            <w:tcBorders>
              <w:left w:val="single" w:sz="4" w:space="0" w:color="000000"/>
              <w:bottom w:val="nil" w:sz="6" w:space="0" w:color="auto"/>
              <w:right w:val="single" w:sz="4" w:space="0" w:color="000000"/>
            </w:tcBorders>
            <w:shd w:val="clear" w:color="auto" w:fill="DCDCDC"/>
          </w:tcPr>
          <w:p>
            <w:pPr/>
          </w:p>
        </w:tc>
        <w:tc>
          <w:tcPr>
            <w:tcW w:w="1017"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7"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7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02" w:type="dxa"/>
            <w:vMerge/>
            <w:tcBorders>
              <w:left w:val="single" w:sz="4" w:space="0" w:color="000000"/>
              <w:right w:val="single" w:sz="4" w:space="0" w:color="000000"/>
            </w:tcBorders>
            <w:shd w:val="clear" w:color="auto" w:fill="DCDCDC"/>
          </w:tcPr>
          <w:p>
            <w:pPr/>
          </w:p>
        </w:tc>
        <w:tc>
          <w:tcPr>
            <w:tcW w:w="82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9"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3"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9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1"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17" w:type="dxa"/>
            <w:vMerge/>
            <w:tcBorders>
              <w:left w:val="single" w:sz="4" w:space="0" w:color="000000"/>
              <w:bottom w:val="single" w:sz="4" w:space="0" w:color="000000"/>
              <w:right w:val="single" w:sz="4" w:space="0" w:color="000000"/>
            </w:tcBorders>
            <w:shd w:val="clear" w:color="auto" w:fill="DCDCDC"/>
          </w:tcPr>
          <w:p>
            <w:pPr/>
          </w:p>
        </w:tc>
        <w:tc>
          <w:tcPr>
            <w:tcW w:w="715" w:type="dxa"/>
            <w:vMerge/>
            <w:tcBorders>
              <w:left w:val="single" w:sz="4" w:space="0" w:color="000000"/>
              <w:bottom w:val="single" w:sz="4" w:space="0" w:color="000000"/>
              <w:right w:val="single" w:sz="4" w:space="0" w:color="000000"/>
            </w:tcBorders>
            <w:shd w:val="clear" w:color="auto" w:fill="DCDCDC"/>
          </w:tcPr>
          <w:p>
            <w:pPr/>
          </w:p>
        </w:tc>
        <w:tc>
          <w:tcPr>
            <w:tcW w:w="967" w:type="dxa"/>
            <w:vMerge/>
            <w:tcBorders>
              <w:left w:val="single" w:sz="4" w:space="0" w:color="000000"/>
              <w:bottom w:val="single" w:sz="4" w:space="0" w:color="000000"/>
              <w:right w:val="single" w:sz="4" w:space="0" w:color="000000"/>
            </w:tcBorders>
            <w:shd w:val="clear" w:color="auto" w:fill="DCDCDC"/>
          </w:tcPr>
          <w:p>
            <w:pPr/>
          </w:p>
        </w:tc>
        <w:tc>
          <w:tcPr>
            <w:tcW w:w="772" w:type="dxa"/>
            <w:vMerge/>
            <w:tcBorders>
              <w:left w:val="single" w:sz="4" w:space="0" w:color="000000"/>
              <w:bottom w:val="single" w:sz="4" w:space="0" w:color="000000"/>
              <w:right w:val="single" w:sz="4" w:space="0" w:color="000000"/>
            </w:tcBorders>
            <w:shd w:val="clear" w:color="auto" w:fill="DCDCDC"/>
          </w:tcPr>
          <w:p>
            <w:pPr/>
          </w:p>
        </w:tc>
        <w:tc>
          <w:tcPr>
            <w:tcW w:w="902" w:type="dxa"/>
            <w:vMerge/>
            <w:tcBorders>
              <w:left w:val="single" w:sz="4" w:space="0" w:color="000000"/>
              <w:bottom w:val="single" w:sz="4" w:space="0" w:color="000000"/>
              <w:right w:val="single" w:sz="4" w:space="0" w:color="000000"/>
            </w:tcBorders>
            <w:shd w:val="clear" w:color="auto" w:fill="DCDCDC"/>
          </w:tcPr>
          <w:p>
            <w:pPr/>
          </w:p>
        </w:tc>
        <w:tc>
          <w:tcPr>
            <w:tcW w:w="824" w:type="dxa"/>
            <w:vMerge/>
            <w:tcBorders>
              <w:left w:val="single" w:sz="4" w:space="0" w:color="000000"/>
              <w:bottom w:val="single" w:sz="4" w:space="0" w:color="000000"/>
              <w:right w:val="single" w:sz="4" w:space="0" w:color="000000"/>
            </w:tcBorders>
            <w:shd w:val="clear" w:color="auto" w:fill="DCDCDC"/>
          </w:tcPr>
          <w:p>
            <w:pPr/>
          </w:p>
        </w:tc>
        <w:tc>
          <w:tcPr>
            <w:tcW w:w="979" w:type="dxa"/>
            <w:vMerge/>
            <w:tcBorders>
              <w:left w:val="single" w:sz="4" w:space="0" w:color="000000"/>
              <w:bottom w:val="single" w:sz="4" w:space="0" w:color="000000"/>
              <w:right w:val="single" w:sz="4" w:space="0" w:color="000000"/>
            </w:tcBorders>
            <w:shd w:val="clear" w:color="auto" w:fill="DCDCDC"/>
          </w:tcPr>
          <w:p>
            <w:pPr/>
          </w:p>
        </w:tc>
        <w:tc>
          <w:tcPr>
            <w:tcW w:w="983" w:type="dxa"/>
            <w:vMerge/>
            <w:tcBorders>
              <w:left w:val="single" w:sz="4" w:space="0" w:color="000000"/>
              <w:bottom w:val="single" w:sz="4" w:space="0" w:color="000000"/>
              <w:right w:val="single" w:sz="4" w:space="0" w:color="000000"/>
            </w:tcBorders>
            <w:shd w:val="clear" w:color="auto" w:fill="DCDCDC"/>
          </w:tcPr>
          <w:p>
            <w:pPr/>
          </w:p>
        </w:tc>
        <w:tc>
          <w:tcPr>
            <w:tcW w:w="694" w:type="dxa"/>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17" w:type="dxa"/>
            <w:tcBorders>
              <w:top w:val="single" w:sz="47" w:space="0" w:color="DCDCDC"/>
              <w:left w:val="single" w:sz="9" w:space="0" w:color="DCDCDC"/>
              <w:bottom w:val="single" w:sz="4" w:space="0" w:color="000000"/>
              <w:right w:val="single" w:sz="4" w:space="0" w:color="000000"/>
            </w:tcBorders>
          </w:tcPr>
          <w:p>
            <w:pPr>
              <w:pStyle w:val="TableParagraph"/>
              <w:spacing w:line="210" w:lineRule="exact"/>
              <w:ind w:left="55" w:right="0"/>
              <w:jc w:val="center"/>
              <w:rPr>
                <w:rFonts w:ascii="宋体" w:hAnsi="宋体" w:cs="宋体" w:eastAsia="宋体" w:hint="default"/>
                <w:sz w:val="18"/>
                <w:szCs w:val="18"/>
              </w:rPr>
            </w:pPr>
            <w:r>
              <w:rPr>
                <w:rFonts w:ascii="宋体"/>
                <w:sz w:val="18"/>
              </w:rPr>
              <w:t>48,000,000</w:t>
            </w:r>
          </w:p>
        </w:tc>
        <w:tc>
          <w:tcPr>
            <w:tcW w:w="715" w:type="dxa"/>
            <w:tcBorders>
              <w:top w:val="single" w:sz="47" w:space="0" w:color="DCDCDC"/>
              <w:left w:val="single" w:sz="4" w:space="0" w:color="000000"/>
              <w:bottom w:val="single" w:sz="4" w:space="0" w:color="000000"/>
              <w:right w:val="single" w:sz="4" w:space="0" w:color="000000"/>
            </w:tcBorders>
          </w:tcPr>
          <w:p>
            <w:pPr>
              <w:pStyle w:val="TableParagraph"/>
              <w:spacing w:line="210" w:lineRule="exact"/>
              <w:ind w:left="30" w:right="0"/>
              <w:jc w:val="center"/>
              <w:rPr>
                <w:rFonts w:ascii="宋体" w:hAnsi="宋体" w:cs="宋体" w:eastAsia="宋体" w:hint="default"/>
                <w:sz w:val="18"/>
                <w:szCs w:val="18"/>
              </w:rPr>
            </w:pPr>
            <w:r>
              <w:rPr>
                <w:rFonts w:ascii="宋体"/>
                <w:sz w:val="18"/>
              </w:rPr>
              <w:t>100.00%</w:t>
            </w:r>
          </w:p>
        </w:tc>
        <w:tc>
          <w:tcPr>
            <w:tcW w:w="967" w:type="dxa"/>
            <w:tcBorders>
              <w:top w:val="single" w:sz="47" w:space="0" w:color="DCDCDC"/>
              <w:left w:val="single" w:sz="4" w:space="0" w:color="000000"/>
              <w:bottom w:val="single" w:sz="4" w:space="0" w:color="000000"/>
              <w:right w:val="single" w:sz="4" w:space="0" w:color="000000"/>
            </w:tcBorders>
          </w:tcPr>
          <w:p>
            <w:pPr/>
          </w:p>
        </w:tc>
        <w:tc>
          <w:tcPr>
            <w:tcW w:w="772" w:type="dxa"/>
            <w:tcBorders>
              <w:top w:val="single" w:sz="47" w:space="0" w:color="DCDCDC"/>
              <w:left w:val="single" w:sz="4" w:space="0" w:color="000000"/>
              <w:bottom w:val="single" w:sz="4" w:space="0" w:color="000000"/>
              <w:right w:val="single" w:sz="10" w:space="0" w:color="DCDCDC"/>
            </w:tcBorders>
          </w:tcPr>
          <w:p>
            <w:pPr/>
          </w:p>
        </w:tc>
        <w:tc>
          <w:tcPr>
            <w:tcW w:w="902" w:type="dxa"/>
            <w:tcBorders>
              <w:top w:val="single" w:sz="4" w:space="0" w:color="000000"/>
              <w:left w:val="single" w:sz="10" w:space="0" w:color="DCDCDC"/>
              <w:bottom w:val="single" w:sz="4" w:space="0" w:color="000000"/>
              <w:right w:val="single" w:sz="13" w:space="0" w:color="DCDCDC"/>
            </w:tcBorders>
          </w:tcPr>
          <w:p>
            <w:pPr/>
          </w:p>
        </w:tc>
        <w:tc>
          <w:tcPr>
            <w:tcW w:w="824" w:type="dxa"/>
            <w:tcBorders>
              <w:top w:val="single" w:sz="47" w:space="0" w:color="DCDCDC"/>
              <w:left w:val="single" w:sz="13" w:space="0" w:color="DCDCDC"/>
              <w:bottom w:val="single" w:sz="4" w:space="0" w:color="000000"/>
              <w:right w:val="single" w:sz="4" w:space="0" w:color="000000"/>
            </w:tcBorders>
          </w:tcPr>
          <w:p>
            <w:pPr/>
          </w:p>
        </w:tc>
        <w:tc>
          <w:tcPr>
            <w:tcW w:w="979" w:type="dxa"/>
            <w:tcBorders>
              <w:top w:val="single" w:sz="47" w:space="0" w:color="DCDCDC"/>
              <w:left w:val="single" w:sz="4" w:space="0" w:color="000000"/>
              <w:bottom w:val="single" w:sz="4" w:space="0" w:color="000000"/>
              <w:right w:val="single" w:sz="4" w:space="0" w:color="000000"/>
            </w:tcBorders>
          </w:tcPr>
          <w:p>
            <w:pPr/>
          </w:p>
        </w:tc>
        <w:tc>
          <w:tcPr>
            <w:tcW w:w="983" w:type="dxa"/>
            <w:tcBorders>
              <w:top w:val="single" w:sz="47" w:space="0" w:color="DCDCDC"/>
              <w:left w:val="single" w:sz="4" w:space="0" w:color="000000"/>
              <w:bottom w:val="single" w:sz="4" w:space="0" w:color="000000"/>
              <w:right w:val="single" w:sz="4" w:space="0" w:color="000000"/>
            </w:tcBorders>
          </w:tcPr>
          <w:p>
            <w:pPr>
              <w:pStyle w:val="TableParagraph"/>
              <w:spacing w:line="210" w:lineRule="exact"/>
              <w:ind w:right="20"/>
              <w:jc w:val="right"/>
              <w:rPr>
                <w:rFonts w:ascii="宋体" w:hAnsi="宋体" w:cs="宋体" w:eastAsia="宋体" w:hint="default"/>
                <w:sz w:val="18"/>
                <w:szCs w:val="18"/>
              </w:rPr>
            </w:pPr>
            <w:r>
              <w:rPr>
                <w:rFonts w:ascii="宋体"/>
                <w:sz w:val="18"/>
              </w:rPr>
              <w:t>48,000,000</w:t>
            </w:r>
          </w:p>
        </w:tc>
        <w:tc>
          <w:tcPr>
            <w:tcW w:w="694" w:type="dxa"/>
            <w:tcBorders>
              <w:top w:val="single" w:sz="47" w:space="0" w:color="DCDCDC"/>
              <w:left w:val="single" w:sz="4" w:space="0" w:color="000000"/>
              <w:bottom w:val="single" w:sz="4" w:space="0" w:color="000000"/>
              <w:right w:val="single" w:sz="4" w:space="0" w:color="000000"/>
            </w:tcBorders>
          </w:tcPr>
          <w:p>
            <w:pPr>
              <w:pStyle w:val="TableParagraph"/>
              <w:spacing w:line="210" w:lineRule="exact"/>
              <w:ind w:right="20"/>
              <w:jc w:val="right"/>
              <w:rPr>
                <w:rFonts w:ascii="宋体" w:hAnsi="宋体" w:cs="宋体" w:eastAsia="宋体" w:hint="default"/>
                <w:sz w:val="18"/>
                <w:szCs w:val="18"/>
              </w:rPr>
            </w:pPr>
            <w:r>
              <w:rPr>
                <w:rFonts w:ascii="宋体"/>
                <w:sz w:val="18"/>
              </w:rPr>
              <w:t>75.00%</w:t>
            </w: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17" w:type="dxa"/>
            <w:tcBorders>
              <w:top w:val="single" w:sz="4" w:space="0" w:color="000000"/>
              <w:left w:val="single" w:sz="9" w:space="0" w:color="DCDCDC"/>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48,000,000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100.00%</w:t>
            </w: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48,000,000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75.00%</w:t>
            </w:r>
          </w:p>
        </w:tc>
      </w:tr>
      <w:tr>
        <w:trPr>
          <w:trHeight w:val="478"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其中：境内非国有法</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01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6"/>
              <w:ind w:left="55" w:right="0"/>
              <w:jc w:val="center"/>
              <w:rPr>
                <w:rFonts w:ascii="宋体" w:hAnsi="宋体" w:cs="宋体" w:eastAsia="宋体" w:hint="default"/>
                <w:sz w:val="18"/>
                <w:szCs w:val="18"/>
              </w:rPr>
            </w:pPr>
            <w:r>
              <w:rPr>
                <w:rFonts w:ascii="宋体"/>
                <w:sz w:val="18"/>
              </w:rPr>
              <w:t>27,105,071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0" w:right="0"/>
              <w:jc w:val="center"/>
              <w:rPr>
                <w:rFonts w:ascii="宋体" w:hAnsi="宋体" w:cs="宋体" w:eastAsia="宋体" w:hint="default"/>
                <w:sz w:val="18"/>
                <w:szCs w:val="18"/>
              </w:rPr>
            </w:pPr>
            <w:r>
              <w:rPr>
                <w:rFonts w:ascii="宋体"/>
                <w:sz w:val="18"/>
              </w:rPr>
              <w:t>56.47%</w:t>
            </w: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27,105,071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42.35%</w:t>
            </w: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17" w:type="dxa"/>
            <w:tcBorders>
              <w:top w:val="single" w:sz="4" w:space="0" w:color="000000"/>
              <w:left w:val="single" w:sz="9" w:space="0" w:color="DCDCDC"/>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20,894,929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center"/>
              <w:rPr>
                <w:rFonts w:ascii="宋体" w:hAnsi="宋体" w:cs="宋体" w:eastAsia="宋体" w:hint="default"/>
                <w:sz w:val="18"/>
                <w:szCs w:val="18"/>
              </w:rPr>
            </w:pPr>
            <w:r>
              <w:rPr>
                <w:rFonts w:ascii="宋体"/>
                <w:sz w:val="18"/>
              </w:rPr>
              <w:t>43.53%</w:t>
            </w: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20,894,929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32.65%</w:t>
            </w: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16,000,000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16,000,000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16,000,000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25.00%</w:t>
            </w: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16,000,000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16,000,000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16,000,000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25.00%</w:t>
            </w: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17" w:type="dxa"/>
            <w:tcBorders>
              <w:top w:val="single" w:sz="4" w:space="0" w:color="000000"/>
              <w:left w:val="single" w:sz="9" w:space="0" w:color="DCDCDC"/>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17" w:type="dxa"/>
            <w:tcBorders>
              <w:top w:val="single" w:sz="4" w:space="0" w:color="000000"/>
              <w:left w:val="single" w:sz="9" w:space="0" w:color="DCDCDC"/>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48,000,000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16,000,000</w:t>
            </w:r>
          </w:p>
        </w:tc>
        <w:tc>
          <w:tcPr>
            <w:tcW w:w="77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16,000,000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64,000,000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980" w:right="820"/>
        </w:sectPr>
      </w:pPr>
    </w:p>
    <w:p>
      <w:pPr>
        <w:pStyle w:val="Heading4"/>
        <w:spacing w:line="240" w:lineRule="auto"/>
        <w:ind w:right="-19"/>
        <w:jc w:val="left"/>
        <w:rPr>
          <w:b w:val="0"/>
          <w:bCs w:val="0"/>
        </w:rPr>
      </w:pPr>
      <w:r>
        <w:rPr/>
        <w:t>（二）限售股份变动情况表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3529" w:space="4907"/>
            <w:col w:w="1674"/>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6"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11,518,037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11,518,037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9,728,435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9,728,435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深圳市天图创业 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河南新纪元防腐 绝热工程有限公 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3,625,848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3,625,848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09"/>
              <w:jc w:val="left"/>
              <w:rPr>
                <w:rFonts w:ascii="宋体" w:hAnsi="宋体" w:cs="宋体" w:eastAsia="宋体" w:hint="default"/>
                <w:sz w:val="18"/>
                <w:szCs w:val="18"/>
              </w:rPr>
            </w:pPr>
            <w:r>
              <w:rPr>
                <w:rFonts w:ascii="宋体" w:hAnsi="宋体" w:cs="宋体" w:eastAsia="宋体" w:hint="default"/>
                <w:sz w:val="18"/>
                <w:szCs w:val="18"/>
              </w:rPr>
              <w:t>北京天成天信投 资顾问有限公司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2,961,186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2,961,186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贺建文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2,594,127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2,594,127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深圳市延宁发展 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张新华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1,475,727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1,475,727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上海九观投资咨 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600" w:bottom="28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孙景顺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1,170,000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1,060,514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1,060,514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贺峤</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774,800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774,800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516,531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516,531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508,892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508,892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王立生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505,903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505,903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张银山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48,000,000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48,000,000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13"/>
        <w:ind w:right="110"/>
        <w:jc w:val="left"/>
      </w:pPr>
      <w:r>
        <w:rPr/>
        <w:t>二、 股票发行与上市情况</w:t>
      </w:r>
    </w:p>
    <w:p>
      <w:pPr>
        <w:spacing w:line="240" w:lineRule="auto" w:before="6"/>
        <w:rPr>
          <w:rFonts w:ascii="黑体" w:hAnsi="黑体" w:cs="黑体" w:eastAsia="黑体" w:hint="default"/>
          <w:sz w:val="35"/>
          <w:szCs w:val="35"/>
        </w:rPr>
      </w:pPr>
    </w:p>
    <w:p>
      <w:pPr>
        <w:pStyle w:val="BodyText"/>
        <w:spacing w:line="357" w:lineRule="auto"/>
        <w:ind w:right="329" w:firstLine="480"/>
        <w:jc w:val="both"/>
        <w:rPr>
          <w:rFonts w:ascii="宋体" w:hAnsi="宋体" w:cs="宋体" w:eastAsia="宋体" w:hint="default"/>
        </w:rPr>
      </w:pPr>
      <w:r>
        <w:rPr/>
        <w:t>1、经中国证券监督管理委员会证监发行字［2007］47</w:t>
      </w:r>
      <w:r>
        <w:rPr>
          <w:spacing w:val="11"/>
        </w:rPr>
        <w:t> </w:t>
      </w:r>
      <w:r>
        <w:rPr/>
        <w:t>号文核准，公司首次向社会公开</w:t>
      </w:r>
      <w:r>
        <w:rPr/>
        <w:t> 发行人民币普通股股票</w:t>
      </w:r>
      <w:r>
        <w:rPr>
          <w:spacing w:val="-60"/>
        </w:rPr>
        <w:t> </w:t>
      </w:r>
      <w:r>
        <w:rPr/>
        <w:t>1600</w:t>
      </w:r>
      <w:r>
        <w:rPr>
          <w:spacing w:val="-60"/>
        </w:rPr>
        <w:t> </w:t>
      </w:r>
      <w:r>
        <w:rPr>
          <w:spacing w:val="-3"/>
        </w:rPr>
        <w:t>万股，本次发行采用网下向询价对象询价配售（以下简称“网下</w:t>
      </w:r>
      <w:r>
        <w:rPr/>
        <w:t> </w:t>
      </w:r>
      <w:r>
        <w:rPr>
          <w:spacing w:val="-6"/>
        </w:rPr>
        <w:t>配售”）与网上资金申购定价发行（以下简称“网上发行”）相结合的方式，其中，网下配售</w:t>
      </w:r>
      <w:r>
        <w:rPr>
          <w:spacing w:val="-111"/>
        </w:rPr>
        <w:t> </w:t>
      </w:r>
      <w:r>
        <w:rPr>
          <w:spacing w:val="-111"/>
        </w:rPr>
      </w:r>
      <w:r>
        <w:rPr/>
        <w:t>320</w:t>
      </w:r>
      <w:r>
        <w:rPr>
          <w:spacing w:val="-61"/>
        </w:rPr>
        <w:t> </w:t>
      </w:r>
      <w:r>
        <w:rPr/>
        <w:t>万股，网上定价发行</w:t>
      </w:r>
      <w:r>
        <w:rPr>
          <w:spacing w:val="-61"/>
        </w:rPr>
        <w:t> </w:t>
      </w:r>
      <w:r>
        <w:rPr/>
        <w:t>1,280</w:t>
      </w:r>
      <w:r>
        <w:rPr>
          <w:spacing w:val="-61"/>
        </w:rPr>
        <w:t> </w:t>
      </w:r>
      <w:r>
        <w:rPr/>
        <w:t>万股</w:t>
      </w:r>
      <w:r>
        <w:rPr>
          <w:rFonts w:ascii="宋体" w:hAnsi="宋体" w:cs="宋体" w:eastAsia="宋体" w:hint="default"/>
          <w:b/>
          <w:bCs/>
        </w:rPr>
        <w:t>。</w:t>
      </w:r>
      <w:r>
        <w:rPr>
          <w:rFonts w:ascii="宋体" w:hAnsi="宋体" w:cs="宋体" w:eastAsia="宋体" w:hint="default"/>
        </w:rPr>
      </w:r>
    </w:p>
    <w:p>
      <w:pPr>
        <w:pStyle w:val="BodyText"/>
        <w:spacing w:line="357" w:lineRule="auto" w:before="76"/>
        <w:ind w:right="331" w:firstLine="480"/>
        <w:jc w:val="both"/>
      </w:pPr>
      <w:r>
        <w:rPr>
          <w:spacing w:val="-3"/>
        </w:rPr>
        <w:t>2、经深圳证券交易所《关于辽宁荣信电力电子股份有限公司人民币普通股股票上市的通</w:t>
      </w:r>
      <w:r>
        <w:rPr/>
        <w:t> 知》（深证上［2007］34号文）同意，本公司发行的人民币普通股股票在深圳证券交易所上 </w:t>
      </w:r>
      <w:r>
        <w:rPr>
          <w:spacing w:val="-3"/>
        </w:rPr>
        <w:t>市，其中：本次公开发行中网上定价发行的1,280万股股票于2007</w:t>
      </w:r>
      <w:r>
        <w:rPr>
          <w:spacing w:val="15"/>
        </w:rPr>
        <w:t> </w:t>
      </w:r>
      <w:r>
        <w:rPr/>
        <w:t>年3月28日起在深圳证券交</w:t>
      </w:r>
      <w:r>
        <w:rPr/>
        <w:t> 易所上市交易，网下配售320万股股票于2007年6月28日锁定三个月期满上市交易。</w:t>
      </w:r>
    </w:p>
    <w:p>
      <w:pPr>
        <w:spacing w:line="554" w:lineRule="auto" w:before="35"/>
        <w:ind w:left="714" w:right="6590" w:hanging="81"/>
        <w:jc w:val="left"/>
        <w:rPr>
          <w:rFonts w:ascii="黑体" w:hAnsi="黑体" w:cs="黑体" w:eastAsia="黑体" w:hint="default"/>
          <w:sz w:val="28"/>
          <w:szCs w:val="28"/>
        </w:rPr>
      </w:pPr>
      <w:r>
        <w:rPr>
          <w:rFonts w:ascii="宋体" w:hAnsi="宋体" w:cs="宋体" w:eastAsia="宋体" w:hint="default"/>
          <w:sz w:val="24"/>
          <w:szCs w:val="24"/>
        </w:rPr>
        <w:t>3、无内部职工股。 </w:t>
      </w:r>
      <w:r>
        <w:rPr>
          <w:rFonts w:ascii="黑体" w:hAnsi="黑体" w:cs="黑体" w:eastAsia="黑体" w:hint="default"/>
          <w:sz w:val="28"/>
          <w:szCs w:val="28"/>
        </w:rPr>
        <w:t>三、报告期末股东情况</w:t>
      </w:r>
      <w:r>
        <w:rPr>
          <w:rFonts w:ascii="黑体" w:hAnsi="黑体" w:cs="黑体" w:eastAsia="黑体" w:hint="default"/>
          <w:w w:val="99"/>
          <w:sz w:val="28"/>
          <w:szCs w:val="28"/>
        </w:rPr>
        <w:t> </w:t>
      </w:r>
      <w:r>
        <w:rPr>
          <w:rFonts w:ascii="黑体" w:hAnsi="黑体" w:cs="黑体" w:eastAsia="黑体" w:hint="default"/>
          <w:sz w:val="28"/>
          <w:szCs w:val="28"/>
        </w:rPr>
        <w:t>股东数量和持股情况</w:t>
      </w:r>
    </w:p>
    <w:p>
      <w:pPr>
        <w:spacing w:before="106"/>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23"/>
        <w:gridCol w:w="1306"/>
        <w:gridCol w:w="1301"/>
        <w:gridCol w:w="1311"/>
        <w:gridCol w:w="1808"/>
        <w:gridCol w:w="1768"/>
      </w:tblGrid>
      <w:tr>
        <w:trPr>
          <w:trHeight w:val="323" w:hRule="exact"/>
        </w:trPr>
        <w:tc>
          <w:tcPr>
            <w:tcW w:w="23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4"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6,405</w:t>
            </w:r>
          </w:p>
        </w:tc>
      </w:tr>
      <w:tr>
        <w:trPr>
          <w:trHeight w:val="382" w:hRule="exact"/>
        </w:trPr>
        <w:tc>
          <w:tcPr>
            <w:tcW w:w="9817"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0" w:hRule="exact"/>
        </w:trPr>
        <w:tc>
          <w:tcPr>
            <w:tcW w:w="23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356" w:hRule="exact"/>
        </w:trPr>
        <w:tc>
          <w:tcPr>
            <w:tcW w:w="2323"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5"/>
              <w:ind w:right="128"/>
              <w:jc w:val="center"/>
              <w:rPr>
                <w:rFonts w:ascii="宋体" w:hAnsi="宋体" w:cs="宋体" w:eastAsia="宋体" w:hint="default"/>
                <w:sz w:val="18"/>
                <w:szCs w:val="18"/>
              </w:rPr>
            </w:pPr>
            <w:r>
              <w:rPr>
                <w:rFonts w:ascii="宋体" w:hAnsi="宋体" w:cs="宋体" w:eastAsia="宋体" w:hint="default"/>
                <w:sz w:val="18"/>
                <w:szCs w:val="18"/>
              </w:rPr>
              <w:t>深圳市深港产学研创业投资</w:t>
            </w:r>
          </w:p>
        </w:tc>
        <w:tc>
          <w:tcPr>
            <w:tcW w:w="130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tc>
        <w:tc>
          <w:tcPr>
            <w:tcW w:w="1301"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36"/>
              <w:ind w:left="712" w:right="0"/>
              <w:jc w:val="left"/>
              <w:rPr>
                <w:rFonts w:ascii="Times New Roman" w:hAnsi="Times New Roman" w:cs="Times New Roman" w:eastAsia="Times New Roman" w:hint="default"/>
                <w:sz w:val="18"/>
                <w:szCs w:val="18"/>
              </w:rPr>
            </w:pPr>
            <w:r>
              <w:rPr>
                <w:rFonts w:ascii="Times New Roman"/>
                <w:sz w:val="18"/>
              </w:rPr>
              <w:t>18.00%</w:t>
            </w:r>
          </w:p>
        </w:tc>
        <w:tc>
          <w:tcPr>
            <w:tcW w:w="1311"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36"/>
              <w:ind w:left="463" w:right="0"/>
              <w:jc w:val="left"/>
              <w:rPr>
                <w:rFonts w:ascii="Times New Roman" w:hAnsi="Times New Roman" w:cs="Times New Roman" w:eastAsia="Times New Roman" w:hint="default"/>
                <w:sz w:val="18"/>
                <w:szCs w:val="18"/>
              </w:rPr>
            </w:pPr>
            <w:r>
              <w:rPr>
                <w:rFonts w:ascii="Times New Roman"/>
                <w:sz w:val="18"/>
              </w:rPr>
              <w:t>11,518,037</w:t>
            </w:r>
          </w:p>
        </w:tc>
        <w:tc>
          <w:tcPr>
            <w:tcW w:w="1808"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4"/>
              <w:ind w:left="959" w:right="0"/>
              <w:jc w:val="left"/>
              <w:rPr>
                <w:rFonts w:ascii="Times New Roman" w:hAnsi="Times New Roman" w:cs="Times New Roman" w:eastAsia="Times New Roman" w:hint="default"/>
                <w:sz w:val="18"/>
                <w:szCs w:val="18"/>
              </w:rPr>
            </w:pPr>
            <w:r>
              <w:rPr>
                <w:rFonts w:ascii="Times New Roman"/>
                <w:sz w:val="18"/>
              </w:rPr>
              <w:t>11,518,037</w:t>
            </w: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1301"/>
        <w:gridCol w:w="1300"/>
        <w:gridCol w:w="520"/>
        <w:gridCol w:w="1301"/>
        <w:gridCol w:w="1768"/>
      </w:tblGrid>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15.20%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9,728,435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9,728,435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深圳市天图创业投资有限公 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6,000,000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河南新纪元防腐绝热工程有 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3,625,848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3,625,848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北京天成天信投资顾问有限 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2,961,186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2,961,186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贺建文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4.05%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2,594,127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2,594,127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深圳市延宁发展有限公司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1,800,000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张新华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2.31%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1,475,727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1,475,727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中国建设银行－中信红利精 选股票型证券投资基金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1,442,309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中国银行－嘉实主题精选混 合型证券投资基金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1,415,386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中国建设银行－中信红利精选股票型证券投 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1,442,309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 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1,415,386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674,279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中国太保集团股份有限公司－本级－集团自 有资金</w:t>
            </w:r>
            <w:r>
              <w:rPr>
                <w:rFonts w:ascii="Times New Roman" w:hAnsi="Times New Roman" w:cs="Times New Roman" w:eastAsia="Times New Roman" w:hint="default"/>
                <w:sz w:val="18"/>
                <w:szCs w:val="18"/>
              </w:rPr>
              <w:t>-012G-ZY001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288,731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中国建设银行－泰达荷银效率优选混合型证 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179,214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中泰信托投资有限责任公司－塔晶犀牛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168,550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姚寅之</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海通－中行－富通银行</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144,954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85"/>
              <w:jc w:val="left"/>
              <w:rPr>
                <w:rFonts w:ascii="宋体" w:hAnsi="宋体" w:cs="宋体" w:eastAsia="宋体" w:hint="default"/>
                <w:sz w:val="18"/>
                <w:szCs w:val="18"/>
              </w:rPr>
            </w:pPr>
            <w:r>
              <w:rPr>
                <w:rFonts w:ascii="宋体" w:hAnsi="宋体" w:cs="宋体" w:eastAsia="宋体" w:hint="default"/>
                <w:sz w:val="18"/>
                <w:szCs w:val="18"/>
              </w:rPr>
              <w:t>中国农业银行－华夏平稳增长混合型证券投 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139,988</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 数基金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117,629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01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04"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3"/>
              <w:jc w:val="both"/>
              <w:rPr>
                <w:rFonts w:ascii="宋体" w:hAnsi="宋体" w:cs="宋体" w:eastAsia="宋体" w:hint="default"/>
                <w:sz w:val="18"/>
                <w:szCs w:val="18"/>
              </w:rPr>
            </w:pPr>
            <w:r>
              <w:rPr>
                <w:rFonts w:ascii="宋体" w:hAnsi="宋体" w:cs="宋体" w:eastAsia="宋体" w:hint="default"/>
                <w:sz w:val="18"/>
                <w:szCs w:val="18"/>
              </w:rPr>
              <w:t>公司股东深圳市深港产学研创业投资有限公司、深圳市延宁发展有限公司的控股股东均为崔京 涛女士，是一致行动人。除此之外，公司控股股东左强和深圳市深港产学研创业投资有限公司 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名无限售条件股东之间不存在关联关系，也不属于《上市公司股东持股 变动信息披露管理办法》中规定的一致行动人；</w:t>
            </w:r>
          </w:p>
          <w:p>
            <w:pPr>
              <w:pStyle w:val="TableParagraph"/>
              <w:spacing w:line="230" w:lineRule="auto" w:before="47"/>
              <w:ind w:left="22" w:right="23"/>
              <w:jc w:val="both"/>
              <w:rPr>
                <w:rFonts w:ascii="宋体" w:hAnsi="宋体" w:cs="宋体" w:eastAsia="宋体" w:hint="default"/>
                <w:sz w:val="18"/>
                <w:szCs w:val="18"/>
              </w:rPr>
            </w:pPr>
            <w:r>
              <w:rPr>
                <w:rFonts w:ascii="宋体" w:hAnsi="宋体" w:cs="宋体" w:eastAsia="宋体" w:hint="default"/>
                <w:sz w:val="18"/>
                <w:szCs w:val="18"/>
              </w:rPr>
              <w:t>未知以上无限售条件股东之间是否存在关联关系，未知以上无限售条件股东与上述前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 之间是否存在关联关系，也未知以上无限售条件股东是否属于《上市公司股东持股变动信息披 露管理办法》中规定的一致行动人。</w:t>
            </w:r>
          </w:p>
        </w:tc>
      </w:tr>
    </w:tbl>
    <w:p>
      <w:pPr>
        <w:spacing w:after="0" w:line="230" w:lineRule="auto"/>
        <w:jc w:val="both"/>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6"/>
        <w:ind w:right="214"/>
        <w:jc w:val="left"/>
      </w:pPr>
      <w:r>
        <w:rPr/>
        <w:t>四、公司控股股东情况</w:t>
      </w:r>
    </w:p>
    <w:p>
      <w:pPr>
        <w:spacing w:line="240" w:lineRule="auto" w:before="6"/>
        <w:rPr>
          <w:rFonts w:ascii="黑体" w:hAnsi="黑体" w:cs="黑体" w:eastAsia="黑体" w:hint="default"/>
          <w:sz w:val="35"/>
          <w:szCs w:val="35"/>
        </w:rPr>
      </w:pPr>
    </w:p>
    <w:p>
      <w:pPr>
        <w:pStyle w:val="BodyText"/>
        <w:spacing w:line="376" w:lineRule="auto"/>
        <w:ind w:left="634" w:right="214"/>
        <w:jc w:val="left"/>
      </w:pPr>
      <w:r>
        <w:rPr>
          <w:rFonts w:ascii="Times New Roman" w:hAnsi="Times New Roman" w:cs="Times New Roman" w:eastAsia="Times New Roman" w:hint="default"/>
        </w:rPr>
        <w:t>1</w:t>
      </w:r>
      <w:r>
        <w:rPr/>
        <w:t>、控股股东 报告期内，公司控股股东未发生变化，为左强和深圳市深港产学研创业投资有限公司 左强，男，中国国籍，</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年出生，清华大学机械工程系本科毕业，清华大学高级工商</w:t>
      </w:r>
    </w:p>
    <w:p>
      <w:pPr>
        <w:pStyle w:val="BodyText"/>
        <w:spacing w:line="315" w:lineRule="exact"/>
        <w:ind w:left="154" w:right="100"/>
        <w:jc w:val="left"/>
      </w:pPr>
      <w:r>
        <w:rPr/>
        <w:t>管理学硕</w:t>
      </w:r>
      <w:r>
        <w:rPr>
          <w:spacing w:val="-15"/>
        </w:rPr>
        <w:t>士</w:t>
      </w:r>
      <w:r>
        <w:rPr/>
        <w:t>（</w:t>
      </w:r>
      <w:r>
        <w:rPr>
          <w:rFonts w:ascii="Times New Roman" w:hAnsi="Times New Roman" w:cs="Times New Roman" w:eastAsia="Times New Roman" w:hint="default"/>
          <w:spacing w:val="-1"/>
          <w:w w:val="99"/>
        </w:rPr>
        <w:t>EMBA</w:t>
      </w:r>
      <w:r>
        <w:rPr>
          <w:spacing w:val="-119"/>
        </w:rPr>
        <w:t>）</w:t>
      </w:r>
      <w:r>
        <w:rPr>
          <w:spacing w:val="-15"/>
        </w:rPr>
        <w:t>，</w:t>
      </w:r>
      <w:r>
        <w:rPr/>
        <w:t>高级工程师</w:t>
      </w:r>
      <w:r>
        <w:rPr>
          <w:spacing w:val="-15"/>
        </w:rPr>
        <w:t>，</w:t>
      </w:r>
      <w:r>
        <w:rPr/>
        <w:t>本公司主要创始人</w:t>
      </w:r>
      <w:r>
        <w:rPr>
          <w:spacing w:val="-15"/>
        </w:rPr>
        <w:t>，</w:t>
      </w:r>
      <w:r>
        <w:rPr/>
        <w:t>我国第一套具有完全自主知识产权</w:t>
      </w:r>
    </w:p>
    <w:p>
      <w:pPr>
        <w:pStyle w:val="BodyText"/>
        <w:spacing w:line="338" w:lineRule="auto" w:before="134"/>
        <w:ind w:left="154" w:right="211"/>
        <w:jc w:val="left"/>
      </w:pPr>
      <w:r>
        <w:rPr/>
        <w:t>的</w:t>
      </w:r>
      <w:r>
        <w:rPr>
          <w:spacing w:val="-94"/>
        </w:rPr>
        <w:t> </w:t>
      </w:r>
      <w:r>
        <w:rPr>
          <w:rFonts w:ascii="Times New Roman" w:hAnsi="Times New Roman" w:cs="Times New Roman" w:eastAsia="Times New Roman" w:hint="default"/>
        </w:rPr>
        <w:t>SVC</w:t>
      </w:r>
      <w:r>
        <w:rPr>
          <w:rFonts w:ascii="Times New Roman" w:hAnsi="Times New Roman" w:cs="Times New Roman" w:eastAsia="Times New Roman" w:hint="default"/>
          <w:spacing w:val="-34"/>
        </w:rPr>
        <w:t> </w:t>
      </w:r>
      <w:r>
        <w:rPr/>
        <w:t>的主要设计者，多项国家重大高技术产业化项目的主要领导者，多项专利技术的主要 </w:t>
      </w:r>
      <w:r>
        <w:rPr>
          <w:spacing w:val="-3"/>
        </w:rPr>
        <w:t>发明人，发起制订了我国第一部</w:t>
      </w:r>
      <w:r>
        <w:rPr>
          <w:spacing w:val="-7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6"/>
        </w:rPr>
        <w:t> </w:t>
      </w:r>
      <w:r>
        <w:rPr/>
        <w:t>国家标准，全国电压电流等级和频率标准化技术委员会</w:t>
      </w:r>
    </w:p>
    <w:p>
      <w:pPr>
        <w:pStyle w:val="BodyText"/>
        <w:spacing w:line="338" w:lineRule="auto" w:before="25"/>
        <w:ind w:right="214"/>
        <w:jc w:val="left"/>
      </w:pPr>
      <w:r>
        <w:rPr>
          <w:spacing w:val="-3"/>
        </w:rPr>
        <w:t>（</w:t>
      </w:r>
      <w:r>
        <w:rPr>
          <w:rFonts w:ascii="Times New Roman" w:hAnsi="Times New Roman" w:cs="Times New Roman" w:eastAsia="Times New Roman" w:hint="default"/>
          <w:spacing w:val="-3"/>
        </w:rPr>
        <w:t>SAC/TC1</w:t>
      </w:r>
      <w:r>
        <w:rPr>
          <w:spacing w:val="-3"/>
        </w:rPr>
        <w:t>）委员，自</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spacing w:val="-3"/>
        </w:rPr>
        <w:t>年起任公司董事、总经理，诚和伟业（北京）科技发展有限公司</w:t>
      </w:r>
      <w:r>
        <w:rPr>
          <w:spacing w:val="-118"/>
        </w:rPr>
        <w:t> </w:t>
      </w:r>
      <w:r>
        <w:rPr>
          <w:spacing w:val="-118"/>
        </w:rPr>
      </w:r>
      <w:r>
        <w:rPr/>
        <w:t>执行董事，北京荣信电通科技发展有限公司董事。</w:t>
      </w:r>
    </w:p>
    <w:p>
      <w:pPr>
        <w:pStyle w:val="BodyText"/>
        <w:spacing w:line="364" w:lineRule="auto" w:before="95"/>
        <w:ind w:left="633" w:right="215"/>
        <w:jc w:val="left"/>
      </w:pPr>
      <w:r>
        <w:rPr/>
        <w:t>左强目前持有公司</w:t>
      </w:r>
      <w:r>
        <w:rPr>
          <w:spacing w:val="-60"/>
        </w:rPr>
        <w:t> </w:t>
      </w:r>
      <w:r>
        <w:rPr>
          <w:rFonts w:ascii="Times New Roman" w:hAnsi="Times New Roman" w:cs="Times New Roman" w:eastAsia="Times New Roman" w:hint="default"/>
        </w:rPr>
        <w:t>15.20%</w:t>
      </w:r>
      <w:r>
        <w:rPr/>
        <w:t>的股份，为本公司第二大股东。 深圳市深港产学研创业投资有限公司成立于</w:t>
      </w:r>
      <w:r>
        <w:rPr>
          <w:spacing w:val="-49"/>
        </w:rPr>
        <w:t> </w:t>
      </w:r>
      <w:r>
        <w:rPr>
          <w:spacing w:val="33"/>
        </w:rPr>
        <w:t>1996年9月4</w:t>
      </w:r>
      <w:r>
        <w:rPr>
          <w:spacing w:val="-49"/>
        </w:rPr>
        <w:t> </w:t>
      </w:r>
      <w:r>
        <w:rPr>
          <w:spacing w:val="-10"/>
        </w:rPr>
        <w:t>日，注册资本（实收资本）：</w:t>
      </w:r>
    </w:p>
    <w:p>
      <w:pPr>
        <w:pStyle w:val="BodyText"/>
        <w:spacing w:line="240" w:lineRule="auto" w:before="28"/>
        <w:ind w:right="100"/>
        <w:jc w:val="left"/>
      </w:pPr>
      <w:r>
        <w:rPr/>
        <w:t>15,000 万元，法定代表人：厉伟，注册地址：深圳市福田区深南中路 3039</w:t>
      </w:r>
      <w:r>
        <w:rPr>
          <w:spacing w:val="-84"/>
        </w:rPr>
        <w:t> </w:t>
      </w:r>
      <w:r>
        <w:rPr/>
        <w:t>号国际文化大厦</w:t>
      </w:r>
    </w:p>
    <w:p>
      <w:pPr>
        <w:pStyle w:val="BodyText"/>
        <w:spacing w:line="379" w:lineRule="auto" w:before="152"/>
        <w:ind w:left="633" w:right="1871" w:hanging="480"/>
        <w:jc w:val="left"/>
      </w:pPr>
      <w:r>
        <w:rPr/>
        <w:t>2805A、2805B</w:t>
      </w:r>
      <w:r>
        <w:rPr>
          <w:spacing w:val="-60"/>
        </w:rPr>
        <w:t> </w:t>
      </w:r>
      <w:r>
        <w:rPr/>
        <w:t>室，主营业务：直接投资高新技术产业和其他技术创新产业。</w:t>
      </w:r>
      <w:r>
        <w:rPr/>
        <w:t> 深港产学研目前持有本公司</w:t>
      </w:r>
      <w:r>
        <w:rPr>
          <w:spacing w:val="-60"/>
        </w:rPr>
        <w:t> </w:t>
      </w:r>
      <w:r>
        <w:rPr/>
        <w:t>18%的股份，为本公司第一大股东。</w:t>
      </w:r>
      <w:r>
        <w:rPr/>
        <w:t> </w:t>
      </w:r>
      <w:r>
        <w:rPr>
          <w:rFonts w:ascii="Times New Roman" w:hAnsi="Times New Roman" w:cs="Times New Roman" w:eastAsia="Times New Roman" w:hint="default"/>
        </w:rPr>
        <w:t>2</w:t>
      </w:r>
      <w:r>
        <w:rPr/>
        <w:t>、实际控制人 报告期内，公司实际控制人未发生变化，为左强、崔京涛与厉伟。</w:t>
      </w:r>
    </w:p>
    <w:p>
      <w:pPr>
        <w:pStyle w:val="BodyText"/>
        <w:spacing w:line="357" w:lineRule="auto" w:before="54"/>
        <w:ind w:right="100" w:firstLine="480"/>
        <w:jc w:val="left"/>
      </w:pPr>
      <w:r>
        <w:rPr/>
        <w:t>崔京涛与厉伟系夫妻，通过其控制的深圳市深港产学研创业投资有限公司和深圳市延宁</w:t>
      </w:r>
      <w:r>
        <w:rPr>
          <w:spacing w:val="1"/>
        </w:rPr>
        <w:t> </w:t>
      </w:r>
      <w:r>
        <w:rPr>
          <w:spacing w:val="-3"/>
        </w:rPr>
        <w:t>发展有限公司持有本公司股份，为本公司第一大持股人，左强为本公司第二大持股人，左强、</w:t>
      </w:r>
      <w:r>
        <w:rPr>
          <w:spacing w:val="-81"/>
        </w:rPr>
        <w:t> </w:t>
      </w:r>
      <w:r>
        <w:rPr>
          <w:spacing w:val="-81"/>
        </w:rPr>
      </w:r>
      <w:r>
        <w:rPr/>
        <w:t>崔京涛和厉伟合并持有本公司</w:t>
      </w:r>
      <w:r>
        <w:rPr>
          <w:spacing w:val="-60"/>
        </w:rPr>
        <w:t> </w:t>
      </w:r>
      <w:r>
        <w:rPr/>
        <w:t>36.01%股份，共同为本公司实际控制人。</w:t>
      </w:r>
    </w:p>
    <w:p>
      <w:pPr>
        <w:pStyle w:val="BodyText"/>
        <w:spacing w:line="357" w:lineRule="auto" w:before="74"/>
        <w:ind w:right="191" w:firstLine="480"/>
        <w:jc w:val="left"/>
      </w:pPr>
      <w:r>
        <w:rPr/>
        <w:t>崔京涛，中国国籍，1967</w:t>
      </w:r>
      <w:r>
        <w:rPr>
          <w:spacing w:val="-60"/>
        </w:rPr>
        <w:t> </w:t>
      </w:r>
      <w:r>
        <w:rPr/>
        <w:t>年出生，北京大学毕业，硕士，曾任职于北京海淀职工大学、</w:t>
      </w:r>
      <w:r>
        <w:rPr/>
        <w:t> 中国工商银行深圳信托投资公司，现任深圳延宁董事长。</w:t>
      </w:r>
    </w:p>
    <w:p>
      <w:pPr>
        <w:pStyle w:val="BodyText"/>
        <w:spacing w:line="357" w:lineRule="auto" w:before="76"/>
        <w:ind w:right="228" w:firstLine="480"/>
        <w:jc w:val="both"/>
      </w:pPr>
      <w:r>
        <w:rPr/>
        <w:t>厉伟，男，中国国籍，1963</w:t>
      </w:r>
      <w:r>
        <w:rPr>
          <w:spacing w:val="-80"/>
        </w:rPr>
        <w:t> </w:t>
      </w:r>
      <w:r>
        <w:rPr/>
        <w:t>年出生，北京大学理学士，经济学硕士。现任深圳市深港产</w:t>
      </w:r>
      <w:r>
        <w:rPr/>
        <w:t> 学研创业投资有限公司董事长、深圳创业投资同业公会副会长、深圳天使投资人俱乐部副主</w:t>
      </w:r>
      <w:r>
        <w:rPr>
          <w:spacing w:val="-83"/>
        </w:rPr>
        <w:t> </w:t>
      </w:r>
      <w:r>
        <w:rPr>
          <w:spacing w:val="-83"/>
        </w:rPr>
      </w:r>
      <w:r>
        <w:rPr/>
        <w:t>席、深圳国际高新技术产权交易所独立董事，自</w:t>
      </w:r>
      <w:r>
        <w:rPr>
          <w:spacing w:val="-60"/>
        </w:rPr>
        <w:t> </w:t>
      </w:r>
      <w:r>
        <w:rPr/>
        <w:t>2000</w:t>
      </w:r>
      <w:r>
        <w:rPr>
          <w:spacing w:val="-60"/>
        </w:rPr>
        <w:t> </w:t>
      </w:r>
      <w:r>
        <w:rPr/>
        <w:t>年</w:t>
      </w:r>
      <w:r>
        <w:rPr>
          <w:spacing w:val="-60"/>
        </w:rPr>
        <w:t> </w:t>
      </w:r>
      <w:r>
        <w:rPr/>
        <w:t>11</w:t>
      </w:r>
      <w:r>
        <w:rPr>
          <w:spacing w:val="-60"/>
        </w:rPr>
        <w:t> </w:t>
      </w:r>
      <w:r>
        <w:rPr/>
        <w:t>月起任本公司董事。</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t>公司控制关系和控制链条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5374" w:val="left" w:leader="none"/>
        </w:tabs>
        <w:spacing w:line="560" w:lineRule="exact"/>
        <w:ind w:left="1230" w:right="0" w:firstLine="0"/>
        <w:rPr>
          <w:rFonts w:ascii="宋体" w:hAnsi="宋体" w:cs="宋体" w:eastAsia="宋体" w:hint="default"/>
          <w:sz w:val="20"/>
          <w:szCs w:val="20"/>
        </w:rPr>
      </w:pPr>
      <w:r>
        <w:rPr>
          <w:rFonts w:ascii="宋体"/>
          <w:position w:val="-7"/>
          <w:sz w:val="20"/>
        </w:rPr>
        <w:pict>
          <v:shape style="width:99pt;height:26.55pt;mso-position-horizontal-relative:char;mso-position-vertical-relative:line" type="#_x0000_t202" filled="false" stroked="true" strokeweight=".75pt" strokecolor="#000000">
            <w10:anchorlock/>
            <v:textbox inset="0,0,0,0">
              <w:txbxContent>
                <w:p>
                  <w:pPr>
                    <w:spacing w:before="141"/>
                    <w:ind w:left="2" w:right="0" w:firstLine="0"/>
                    <w:jc w:val="center"/>
                    <w:rPr>
                      <w:rFonts w:ascii="宋体" w:hAnsi="宋体" w:cs="宋体" w:eastAsia="宋体" w:hint="default"/>
                      <w:sz w:val="18"/>
                      <w:szCs w:val="18"/>
                    </w:rPr>
                  </w:pPr>
                  <w:r>
                    <w:rPr>
                      <w:rFonts w:ascii="宋体" w:hAnsi="宋体" w:cs="宋体" w:eastAsia="宋体" w:hint="default"/>
                      <w:sz w:val="18"/>
                      <w:szCs w:val="18"/>
                    </w:rPr>
                    <w:t>崔京涛</w:t>
                  </w:r>
                </w:p>
              </w:txbxContent>
            </v:textbox>
          </v:shape>
        </w:pict>
      </w:r>
      <w:r>
        <w:rPr>
          <w:rFonts w:ascii="宋体"/>
          <w:position w:val="-7"/>
          <w:sz w:val="20"/>
        </w:rPr>
      </w:r>
      <w:r>
        <w:rPr>
          <w:rFonts w:ascii="宋体"/>
          <w:position w:val="-7"/>
          <w:sz w:val="20"/>
        </w:rPr>
        <w:tab/>
      </w:r>
      <w:r>
        <w:rPr>
          <w:rFonts w:ascii="宋体"/>
          <w:position w:val="-10"/>
          <w:sz w:val="20"/>
        </w:rPr>
        <w:pict>
          <v:shape style="width:99pt;height:26.55pt;mso-position-horizontal-relative:char;mso-position-vertical-relative:line" type="#_x0000_t202" filled="false" stroked="true" strokeweight=".75pt" strokecolor="#000000">
            <w10:anchorlock/>
            <v:textbox inset="0,0,0,0">
              <w:txbxContent>
                <w:p>
                  <w:pPr>
                    <w:spacing w:before="141"/>
                    <w:ind w:left="2" w:right="0" w:firstLine="0"/>
                    <w:jc w:val="center"/>
                    <w:rPr>
                      <w:rFonts w:ascii="宋体" w:hAnsi="宋体" w:cs="宋体" w:eastAsia="宋体" w:hint="default"/>
                      <w:sz w:val="18"/>
                      <w:szCs w:val="18"/>
                    </w:rPr>
                  </w:pPr>
                  <w:r>
                    <w:rPr>
                      <w:rFonts w:ascii="宋体" w:hAnsi="宋体" w:cs="宋体" w:eastAsia="宋体" w:hint="default"/>
                      <w:sz w:val="18"/>
                      <w:szCs w:val="18"/>
                    </w:rPr>
                    <w:t>崔京涛</w:t>
                  </w:r>
                </w:p>
              </w:txbxContent>
            </v:textbox>
          </v:shape>
        </w:pict>
      </w:r>
      <w:r>
        <w:rPr>
          <w:rFonts w:ascii="宋体"/>
          <w:position w:val="-10"/>
          <w:sz w:val="20"/>
        </w:rPr>
      </w:r>
    </w:p>
    <w:p>
      <w:pPr>
        <w:spacing w:line="240" w:lineRule="auto" w:before="3"/>
        <w:rPr>
          <w:rFonts w:ascii="宋体" w:hAnsi="宋体" w:cs="宋体" w:eastAsia="宋体" w:hint="default"/>
          <w:sz w:val="15"/>
          <w:szCs w:val="15"/>
        </w:rPr>
      </w:pPr>
    </w:p>
    <w:p>
      <w:pPr>
        <w:tabs>
          <w:tab w:pos="6597" w:val="left" w:leader="none"/>
        </w:tabs>
        <w:spacing w:before="48"/>
        <w:ind w:left="2277" w:right="0" w:firstLine="0"/>
        <w:jc w:val="left"/>
        <w:rPr>
          <w:rFonts w:ascii="宋体" w:hAnsi="宋体" w:cs="宋体" w:eastAsia="宋体" w:hint="default"/>
          <w:sz w:val="18"/>
          <w:szCs w:val="18"/>
        </w:rPr>
      </w:pPr>
      <w:r>
        <w:rPr/>
        <w:pict>
          <v:group style="position:absolute;margin-left:152.699997pt;margin-top:-11.148004pt;width:6pt;height:39.4pt;mso-position-horizontal-relative:page;mso-position-vertical-relative:paragraph;z-index:1168" coordorigin="3054,-223" coordsize="120,788">
            <v:shape style="position:absolute;left:3054;top:-223;width:120;height:788" coordorigin="3054,-223" coordsize="120,788" path="m3107,444l3054,444,3114,564,3160,472,3114,472,3109,469,3107,463,3107,444xe" filled="true" fillcolor="#000000" stroked="false">
              <v:path arrowok="t"/>
              <v:fill type="solid"/>
            </v:shape>
            <v:shape style="position:absolute;left:3054;top:-223;width:120;height:788" coordorigin="3054,-223" coordsize="120,788" path="m3114,-223l3109,-222,3107,-216,3107,463,3109,469,3114,472,3119,469,3121,463,3121,-216,3119,-222,3114,-223xe" filled="true" fillcolor="#000000" stroked="false">
              <v:path arrowok="t"/>
              <v:fill type="solid"/>
            </v:shape>
            <v:shape style="position:absolute;left:3054;top:-223;width:120;height:788" coordorigin="3054,-223" coordsize="120,788" path="m3174,444l3121,444,3121,463,3119,469,3114,472,3160,472,3174,444xe" filled="true" fillcolor="#000000" stroked="false">
              <v:path arrowok="t"/>
              <v:fill type="solid"/>
            </v:shape>
            <w10:wrap type="none"/>
          </v:group>
        </w:pict>
      </w:r>
      <w:r>
        <w:rPr/>
        <w:pict>
          <v:group style="position:absolute;margin-left:368.700012pt;margin-top:-10.068017pt;width:6pt;height:39.4pt;mso-position-horizontal-relative:page;mso-position-vertical-relative:paragraph;z-index:-509392" coordorigin="7374,-201" coordsize="120,788">
            <v:shape style="position:absolute;left:7374;top:-201;width:120;height:788" coordorigin="7374,-201" coordsize="120,788" path="m7427,466l7374,466,7434,586,7480,493,7434,493,7429,491,7427,486,7427,466xe" filled="true" fillcolor="#000000" stroked="false">
              <v:path arrowok="t"/>
              <v:fill type="solid"/>
            </v:shape>
            <v:shape style="position:absolute;left:7374;top:-201;width:120;height:788" coordorigin="7374,-201" coordsize="120,788" path="m7434,-201l7429,-199,7427,-194,7427,486,7429,491,7434,493,7439,491,7441,486,7441,-194,7439,-199,7434,-201xe" filled="true" fillcolor="#000000" stroked="false">
              <v:path arrowok="t"/>
              <v:fill type="solid"/>
            </v:shape>
            <v:shape style="position:absolute;left:7374;top:-201;width:120;height:788" coordorigin="7374,-201" coordsize="120,788" path="m7494,466l7441,466,7441,486,7439,491,7434,493,7480,493,7494,466xe" filled="true" fillcolor="#000000" stroked="false">
              <v:path arrowok="t"/>
              <v:fill type="solid"/>
            </v:shape>
            <w10:wrap type="none"/>
          </v:group>
        </w:pict>
      </w:r>
      <w:r>
        <w:rPr>
          <w:rFonts w:ascii="宋体"/>
          <w:sz w:val="18"/>
        </w:rPr>
        <w:t>62%</w:t>
        <w:tab/>
        <w:t>70%</w:t>
      </w:r>
    </w:p>
    <w:p>
      <w:pPr>
        <w:spacing w:line="240" w:lineRule="auto" w:before="12"/>
        <w:rPr>
          <w:rFonts w:ascii="宋体" w:hAnsi="宋体" w:cs="宋体" w:eastAsia="宋体" w:hint="default"/>
          <w:sz w:val="22"/>
          <w:szCs w:val="22"/>
        </w:rPr>
      </w:pPr>
    </w:p>
    <w:p>
      <w:pPr>
        <w:spacing w:line="535" w:lineRule="exact"/>
        <w:ind w:left="154" w:right="0" w:firstLine="0"/>
        <w:rPr>
          <w:rFonts w:ascii="宋体" w:hAnsi="宋体" w:cs="宋体" w:eastAsia="宋体" w:hint="default"/>
          <w:sz w:val="20"/>
          <w:szCs w:val="20"/>
        </w:rPr>
      </w:pPr>
      <w:r>
        <w:rPr>
          <w:rFonts w:ascii="宋体"/>
          <w:position w:val="-10"/>
          <w:sz w:val="20"/>
        </w:rPr>
        <w:pict>
          <v:shape style="width:189pt;height:26.5pt;mso-position-horizontal-relative:char;mso-position-vertical-relative:line" type="#_x0000_t202" filled="false" stroked="true" strokeweight=".75pt" strokecolor="#000000">
            <w10:anchorlock/>
            <v:textbox inset="0,0,0,0">
              <w:txbxContent>
                <w:p>
                  <w:pPr>
                    <w:spacing w:before="141"/>
                    <w:ind w:left="284" w:right="0" w:firstLine="0"/>
                    <w:jc w:val="left"/>
                    <w:rPr>
                      <w:rFonts w:ascii="宋体" w:hAnsi="宋体" w:cs="宋体" w:eastAsia="宋体" w:hint="default"/>
                      <w:sz w:val="18"/>
                      <w:szCs w:val="18"/>
                    </w:rPr>
                  </w:pPr>
                  <w:r>
                    <w:rPr>
                      <w:rFonts w:ascii="宋体" w:hAnsi="宋体" w:cs="宋体" w:eastAsia="宋体" w:hint="default"/>
                      <w:spacing w:val="18"/>
                      <w:sz w:val="18"/>
                      <w:szCs w:val="18"/>
                    </w:rPr>
                    <w:t>深圳市深港产学研创业投资有限公司</w:t>
                  </w:r>
                  <w:r>
                    <w:rPr>
                      <w:rFonts w:ascii="宋体" w:hAnsi="宋体" w:cs="宋体" w:eastAsia="宋体" w:hint="default"/>
                      <w:spacing w:val="-70"/>
                      <w:sz w:val="18"/>
                      <w:szCs w:val="18"/>
                    </w:rPr>
                    <w:t> </w:t>
                  </w:r>
                  <w:r>
                    <w:rPr>
                      <w:rFonts w:ascii="宋体" w:hAnsi="宋体" w:cs="宋体" w:eastAsia="宋体" w:hint="default"/>
                      <w:sz w:val="18"/>
                      <w:szCs w:val="18"/>
                    </w:rPr>
                  </w:r>
                </w:p>
              </w:txbxContent>
            </v:textbox>
          </v:shape>
        </w:pict>
      </w:r>
      <w:r>
        <w:rPr>
          <w:rFonts w:ascii="宋体"/>
          <w:position w:val="-10"/>
          <w:sz w:val="20"/>
        </w:rPr>
      </w:r>
      <w:r>
        <w:rPr>
          <w:rFonts w:ascii="Times New Roman"/>
          <w:spacing w:val="125"/>
          <w:position w:val="-10"/>
          <w:sz w:val="20"/>
        </w:rPr>
        <w:t> </w:t>
      </w:r>
      <w:r>
        <w:rPr>
          <w:rFonts w:ascii="宋体"/>
          <w:spacing w:val="125"/>
          <w:position w:val="-9"/>
          <w:sz w:val="20"/>
        </w:rPr>
        <w:pict>
          <v:shape style="width:63pt;height:26.5pt;mso-position-horizontal-relative:char;mso-position-vertical-relative:line" type="#_x0000_t202" filled="false" stroked="true" strokeweight=".75pt" strokecolor="#000000">
            <w10:anchorlock/>
            <v:textbox inset="0,0,0,0">
              <w:txbxContent>
                <w:p>
                  <w:pPr>
                    <w:spacing w:before="141"/>
                    <w:ind w:left="2" w:right="0" w:firstLine="0"/>
                    <w:jc w:val="center"/>
                    <w:rPr>
                      <w:rFonts w:ascii="宋体" w:hAnsi="宋体" w:cs="宋体" w:eastAsia="宋体" w:hint="default"/>
                      <w:sz w:val="18"/>
                      <w:szCs w:val="18"/>
                    </w:rPr>
                  </w:pPr>
                  <w:r>
                    <w:rPr>
                      <w:rFonts w:ascii="宋体" w:hAnsi="宋体" w:cs="宋体" w:eastAsia="宋体" w:hint="default"/>
                      <w:sz w:val="18"/>
                      <w:szCs w:val="18"/>
                    </w:rPr>
                    <w:t>左强</w:t>
                  </w:r>
                </w:p>
              </w:txbxContent>
            </v:textbox>
          </v:shape>
        </w:pict>
      </w:r>
      <w:r>
        <w:rPr>
          <w:rFonts w:ascii="宋体"/>
          <w:spacing w:val="125"/>
          <w:position w:val="-9"/>
          <w:sz w:val="20"/>
        </w:rPr>
      </w:r>
      <w:r>
        <w:rPr>
          <w:rFonts w:ascii="Times New Roman"/>
          <w:spacing w:val="125"/>
          <w:position w:val="-9"/>
          <w:sz w:val="20"/>
        </w:rPr>
        <w:t> </w:t>
      </w:r>
      <w:r>
        <w:rPr>
          <w:rFonts w:ascii="宋体"/>
          <w:spacing w:val="125"/>
          <w:position w:val="-10"/>
          <w:sz w:val="20"/>
        </w:rPr>
        <w:pict>
          <v:shape style="width:135pt;height:26.5pt;mso-position-horizontal-relative:char;mso-position-vertical-relative:line" type="#_x0000_t202" filled="false" stroked="true" strokeweight=".75pt" strokecolor="#000000">
            <w10:anchorlock/>
            <v:textbox inset="0,0,0,0">
              <w:txbxContent>
                <w:p>
                  <w:pPr>
                    <w:spacing w:before="141"/>
                    <w:ind w:left="353" w:right="0" w:firstLine="0"/>
                    <w:jc w:val="left"/>
                    <w:rPr>
                      <w:rFonts w:ascii="宋体" w:hAnsi="宋体" w:cs="宋体" w:eastAsia="宋体" w:hint="default"/>
                      <w:sz w:val="18"/>
                      <w:szCs w:val="18"/>
                    </w:rPr>
                  </w:pPr>
                  <w:r>
                    <w:rPr>
                      <w:rFonts w:ascii="宋体" w:hAnsi="宋体" w:cs="宋体" w:eastAsia="宋体" w:hint="default"/>
                      <w:sz w:val="18"/>
                      <w:szCs w:val="18"/>
                    </w:rPr>
                    <w:t>深圳市延宁发展有限公司</w:t>
                  </w:r>
                </w:p>
              </w:txbxContent>
            </v:textbox>
          </v:shape>
        </w:pict>
      </w:r>
      <w:r>
        <w:rPr>
          <w:rFonts w:ascii="宋体"/>
          <w:spacing w:val="125"/>
          <w:position w:val="-10"/>
          <w:sz w:val="20"/>
        </w:rPr>
      </w:r>
    </w:p>
    <w:p>
      <w:pPr>
        <w:spacing w:line="240" w:lineRule="auto" w:before="12"/>
        <w:rPr>
          <w:rFonts w:ascii="宋体" w:hAnsi="宋体" w:cs="宋体" w:eastAsia="宋体" w:hint="default"/>
          <w:sz w:val="21"/>
          <w:szCs w:val="21"/>
        </w:rPr>
      </w:pPr>
    </w:p>
    <w:p>
      <w:pPr>
        <w:tabs>
          <w:tab w:pos="1439" w:val="left" w:leader="none"/>
          <w:tab w:pos="2699" w:val="left" w:leader="none"/>
        </w:tabs>
        <w:spacing w:before="44"/>
        <w:ind w:left="0" w:right="76" w:firstLine="0"/>
        <w:jc w:val="center"/>
        <w:rPr>
          <w:rFonts w:ascii="宋体" w:hAnsi="宋体" w:cs="宋体" w:eastAsia="宋体" w:hint="default"/>
          <w:sz w:val="18"/>
          <w:szCs w:val="18"/>
        </w:rPr>
      </w:pPr>
      <w:r>
        <w:rPr/>
        <w:pict>
          <v:group style="position:absolute;margin-left:280.200012pt;margin-top:-13.867962pt;width:6pt;height:39.4pt;mso-position-horizontal-relative:page;mso-position-vertical-relative:paragraph;z-index:-509368" coordorigin="5604,-277" coordsize="120,788">
            <v:shape style="position:absolute;left:5604;top:-277;width:120;height:788" coordorigin="5604,-277" coordsize="120,788" path="m5657,390l5604,390,5664,510,5710,417,5664,417,5659,416,5657,410,5657,390xe" filled="true" fillcolor="#000000" stroked="false">
              <v:path arrowok="t"/>
              <v:fill type="solid"/>
            </v:shape>
            <v:shape style="position:absolute;left:5604;top:-277;width:120;height:788" coordorigin="5604,-277" coordsize="120,788" path="m5664,-277l5659,-275,5657,-270,5657,410,5659,416,5664,417,5669,416,5671,410,5671,-270,5669,-275,5664,-277xe" filled="true" fillcolor="#000000" stroked="false">
              <v:path arrowok="t"/>
              <v:fill type="solid"/>
            </v:shape>
            <v:shape style="position:absolute;left:5604;top:-277;width:120;height:788" coordorigin="5604,-277" coordsize="120,788" path="m5724,390l5671,390,5671,410,5669,416,5664,417,5710,417,5724,390xe" filled="true" fillcolor="#000000" stroked="false">
              <v:path arrowok="t"/>
              <v:fill type="solid"/>
            </v:shape>
            <w10:wrap type="none"/>
          </v:group>
        </w:pict>
      </w:r>
      <w:r>
        <w:rPr/>
        <w:pict>
          <v:group style="position:absolute;margin-left:212.699997pt;margin-top:-13.087963pt;width:6pt;height:39.4pt;mso-position-horizontal-relative:page;mso-position-vertical-relative:paragraph;z-index:-509344" coordorigin="4254,-262" coordsize="120,788">
            <v:shape style="position:absolute;left:4254;top:-262;width:120;height:788" coordorigin="4254,-262" coordsize="120,788" path="m4307,405l4254,405,4314,525,4360,433,4314,433,4309,431,4307,426,4307,405xe" filled="true" fillcolor="#000000" stroked="false">
              <v:path arrowok="t"/>
              <v:fill type="solid"/>
            </v:shape>
            <v:shape style="position:absolute;left:4254;top:-262;width:120;height:788" coordorigin="4254,-262" coordsize="120,788" path="m4314,-262l4309,-259,4307,-255,4307,426,4309,431,4314,433,4319,431,4321,426,4321,-255,4319,-259,4314,-262xe" filled="true" fillcolor="#000000" stroked="false">
              <v:path arrowok="t"/>
              <v:fill type="solid"/>
            </v:shape>
            <v:shape style="position:absolute;left:4254;top:-262;width:120;height:788" coordorigin="4254,-262" coordsize="120,788" path="m4374,405l4321,405,4321,426,4319,431,4314,433,4360,433,4374,405xe" filled="true" fillcolor="#000000" stroked="false">
              <v:path arrowok="t"/>
              <v:fill type="solid"/>
            </v:shape>
            <w10:wrap type="none"/>
          </v:group>
        </w:pict>
      </w:r>
      <w:r>
        <w:rPr/>
        <w:pict>
          <v:group style="position:absolute;margin-left:341.700012pt;margin-top:-13.087963pt;width:6pt;height:39.4pt;mso-position-horizontal-relative:page;mso-position-vertical-relative:paragraph;z-index:-509320" coordorigin="6834,-262" coordsize="120,788">
            <v:shape style="position:absolute;left:6834;top:-262;width:120;height:788" coordorigin="6834,-262" coordsize="120,788" path="m6887,405l6834,405,6894,525,6940,433,6894,433,6889,431,6887,426,6887,405xe" filled="true" fillcolor="#000000" stroked="false">
              <v:path arrowok="t"/>
              <v:fill type="solid"/>
            </v:shape>
            <v:shape style="position:absolute;left:6834;top:-262;width:120;height:788" coordorigin="6834,-262" coordsize="120,788" path="m6894,-262l6889,-259,6887,-255,6887,426,6889,431,6894,433,6899,431,6901,426,6901,-255,6899,-259,6894,-262xe" filled="true" fillcolor="#000000" stroked="false">
              <v:path arrowok="t"/>
              <v:fill type="solid"/>
            </v:shape>
            <v:shape style="position:absolute;left:6834;top:-262;width:120;height:788" coordorigin="6834,-262" coordsize="120,788" path="m6954,405l6901,405,6901,426,6899,431,6894,433,6940,433,6954,405xe" filled="true" fillcolor="#000000" stroked="false">
              <v:path arrowok="t"/>
              <v:fill type="solid"/>
            </v:shape>
            <w10:wrap type="none"/>
          </v:group>
        </w:pict>
      </w:r>
      <w:r>
        <w:rPr>
          <w:rFonts w:ascii="宋体"/>
          <w:sz w:val="18"/>
        </w:rPr>
        <w:t>18%</w:t>
        <w:tab/>
        <w:t>15.2%</w:t>
        <w:tab/>
        <w:t>2.81%</w:t>
      </w:r>
    </w:p>
    <w:p>
      <w:pPr>
        <w:spacing w:line="240" w:lineRule="auto" w:before="1"/>
        <w:rPr>
          <w:rFonts w:ascii="宋体" w:hAnsi="宋体" w:cs="宋体" w:eastAsia="宋体" w:hint="default"/>
          <w:sz w:val="19"/>
          <w:szCs w:val="19"/>
        </w:rPr>
      </w:pPr>
    </w:p>
    <w:p>
      <w:pPr>
        <w:spacing w:line="530" w:lineRule="exact"/>
        <w:ind w:left="247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18.3pt;height:26.55pt;mso-position-horizontal-relative:char;mso-position-vertical-relative:line" type="#_x0000_t202" filled="false" stroked="true" strokeweight=".75pt" strokecolor="#000000">
            <w10:anchorlock/>
            <v:textbox inset="0,0,0,0">
              <w:txbxContent>
                <w:p>
                  <w:pPr>
                    <w:spacing w:before="141"/>
                    <w:ind w:left="1095"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pStyle w:val="BodyText"/>
        <w:spacing w:line="240" w:lineRule="auto" w:before="164"/>
        <w:ind w:left="634" w:right="0"/>
        <w:jc w:val="left"/>
      </w:pPr>
      <w:r>
        <w:rPr>
          <w:rFonts w:ascii="Times New Roman" w:hAnsi="Times New Roman" w:cs="Times New Roman" w:eastAsia="Times New Roman" w:hint="default"/>
        </w:rPr>
        <w:t>3</w:t>
      </w:r>
      <w:r>
        <w:rPr/>
        <w:t>、公司无其他持股在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 。</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3015" w:val="left" w:leader="none"/>
        </w:tabs>
        <w:spacing w:line="240" w:lineRule="auto" w:before="140"/>
        <w:ind w:left="1810" w:right="1410"/>
        <w:jc w:val="left"/>
        <w:rPr>
          <w:b w:val="0"/>
          <w:bCs w:val="0"/>
        </w:rPr>
      </w:pPr>
      <w:bookmarkStart w:name="_bookmark3" w:id="6"/>
      <w:bookmarkEnd w:id="6"/>
      <w:r>
        <w:rPr>
          <w:b w:val="0"/>
          <w:bCs w:val="0"/>
        </w:rPr>
      </w:r>
      <w:r>
        <w:rPr>
          <w:w w:val="95"/>
        </w:rPr>
        <w:t>第四节</w:t>
        <w:tab/>
      </w:r>
      <w:r>
        <w:rPr/>
        <w:t>董事、监事、高级管理人员和员工情况</w:t>
      </w:r>
      <w:r>
        <w:rPr>
          <w:b w:val="0"/>
          <w:bCs w:val="0"/>
        </w:rPr>
      </w:r>
    </w:p>
    <w:p>
      <w:pPr>
        <w:spacing w:line="240" w:lineRule="auto" w:before="6"/>
        <w:rPr>
          <w:rFonts w:ascii="黑体" w:hAnsi="黑体" w:cs="黑体" w:eastAsia="黑体" w:hint="default"/>
          <w:b/>
          <w:bCs/>
          <w:sz w:val="21"/>
          <w:szCs w:val="21"/>
        </w:rPr>
      </w:pPr>
    </w:p>
    <w:p>
      <w:pPr>
        <w:pStyle w:val="Heading3"/>
        <w:spacing w:line="240" w:lineRule="auto"/>
        <w:ind w:right="1410"/>
        <w:jc w:val="left"/>
      </w:pPr>
      <w:r>
        <w:rPr/>
        <w:t>一、董事、监事和高级管理人员情况</w:t>
      </w:r>
    </w:p>
    <w:p>
      <w:pPr>
        <w:spacing w:line="240" w:lineRule="auto" w:before="12"/>
        <w:rPr>
          <w:rFonts w:ascii="黑体" w:hAnsi="黑体" w:cs="黑体" w:eastAsia="黑体" w:hint="default"/>
          <w:sz w:val="34"/>
          <w:szCs w:val="34"/>
        </w:rPr>
      </w:pPr>
    </w:p>
    <w:p>
      <w:pPr>
        <w:pStyle w:val="Heading3"/>
        <w:spacing w:line="240" w:lineRule="auto"/>
        <w:ind w:right="1410"/>
        <w:jc w:val="left"/>
        <w:rPr>
          <w:rFonts w:ascii="宋体" w:hAnsi="宋体" w:cs="宋体" w:eastAsia="宋体" w:hint="default"/>
        </w:rPr>
      </w:pPr>
      <w:r>
        <w:rPr>
          <w:rFonts w:ascii="宋体" w:hAnsi="宋体" w:cs="宋体" w:eastAsia="宋体" w:hint="default"/>
        </w:rPr>
        <w:t>（一）董事、监事和高级管理人员基本情况</w:t>
      </w:r>
    </w:p>
    <w:p>
      <w:pPr>
        <w:spacing w:line="240" w:lineRule="auto" w:before="5"/>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1256"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任职起始日期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1" w:right="8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59" w:right="89"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9" w:right="6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马成家</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左强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9,728,435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9,728,435</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龙浩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6" w:right="0"/>
              <w:jc w:val="left"/>
              <w:rPr>
                <w:rFonts w:ascii="宋体" w:hAnsi="宋体" w:cs="宋体" w:eastAsia="宋体" w:hint="default"/>
                <w:sz w:val="18"/>
                <w:szCs w:val="18"/>
              </w:rPr>
            </w:pPr>
            <w:r>
              <w:rPr>
                <w:rFonts w:ascii="宋体"/>
                <w:sz w:val="18"/>
              </w:rPr>
              <w:t>508,892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4" w:right="0"/>
              <w:jc w:val="left"/>
              <w:rPr>
                <w:rFonts w:ascii="宋体" w:hAnsi="宋体" w:cs="宋体" w:eastAsia="宋体" w:hint="default"/>
                <w:sz w:val="18"/>
                <w:szCs w:val="18"/>
              </w:rPr>
            </w:pPr>
            <w:r>
              <w:rPr>
                <w:rFonts w:ascii="宋体"/>
                <w:sz w:val="18"/>
              </w:rPr>
              <w:t>508,892</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王永华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周爱勤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梅志明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郝智明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贾莉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王泽全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陈诗君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杨贵发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赵殿波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董秘 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516,531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516,531</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焦东亮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500,000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450,000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450,000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王岱岩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360,000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right"/>
              <w:rPr>
                <w:rFonts w:ascii="宋体" w:hAnsi="宋体" w:cs="宋体" w:eastAsia="宋体" w:hint="default"/>
                <w:sz w:val="18"/>
                <w:szCs w:val="18"/>
              </w:rPr>
            </w:pPr>
            <w:r>
              <w:rPr>
                <w:rFonts w:ascii="宋体"/>
                <w:sz w:val="18"/>
              </w:rPr>
              <w:t>360,000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Times New Roman" w:hAnsi="Times New Roman" w:cs="Times New Roman" w:eastAsia="Times New Roman" w:hint="default"/>
                <w:sz w:val="18"/>
                <w:szCs w:val="18"/>
              </w:rPr>
            </w:pPr>
            <w:r>
              <w:rPr>
                <w:rFonts w:ascii="Times New Roman"/>
                <w:sz w:val="18"/>
              </w:rPr>
              <w:t>12,063,858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right"/>
              <w:rPr>
                <w:rFonts w:ascii="Times New Roman" w:hAnsi="Times New Roman" w:cs="Times New Roman" w:eastAsia="Times New Roman" w:hint="default"/>
                <w:sz w:val="18"/>
                <w:szCs w:val="18"/>
              </w:rPr>
            </w:pPr>
            <w:r>
              <w:rPr>
                <w:rFonts w:ascii="Times New Roman"/>
                <w:sz w:val="18"/>
              </w:rPr>
              <w:t>12,063,858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188.4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16"/>
          <w:szCs w:val="16"/>
        </w:rPr>
      </w:pPr>
    </w:p>
    <w:p>
      <w:pPr>
        <w:pStyle w:val="BodyText"/>
        <w:spacing w:line="240" w:lineRule="auto" w:before="26"/>
        <w:ind w:left="624" w:right="1410"/>
        <w:jc w:val="left"/>
      </w:pPr>
      <w:r>
        <w:rPr/>
        <w:t>报告期内公司董事、监事、高级管理人员持有公司股票数量未发生变化。</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Heading3"/>
        <w:spacing w:line="364" w:lineRule="exact"/>
        <w:ind w:left="156" w:right="303" w:firstLine="559"/>
        <w:jc w:val="left"/>
      </w:pPr>
      <w:r>
        <w:rPr/>
        <w:t>（二）现任董事、监事、高级管理人员最近 5</w:t>
      </w:r>
      <w:r>
        <w:rPr>
          <w:spacing w:val="-34"/>
        </w:rPr>
        <w:t> </w:t>
      </w:r>
      <w:r>
        <w:rPr/>
        <w:t>年的主要工作经历和在股东</w:t>
      </w:r>
      <w:r>
        <w:rPr>
          <w:w w:val="99"/>
        </w:rPr>
        <w:t> </w:t>
      </w:r>
      <w:r>
        <w:rPr/>
        <w:t>单位及其他单位的任职或兼职情况</w:t>
      </w:r>
    </w:p>
    <w:p>
      <w:pPr>
        <w:pStyle w:val="BodyText"/>
        <w:spacing w:line="357" w:lineRule="auto" w:before="166"/>
        <w:ind w:left="154" w:right="180" w:firstLine="600"/>
        <w:jc w:val="left"/>
      </w:pPr>
      <w:r>
        <w:rPr>
          <w:spacing w:val="-3"/>
        </w:rPr>
        <w:t>左强，男，中国国籍，1970年出生，清华大学机械工程系本科毕业，清华大学高级工商</w:t>
      </w:r>
      <w:r>
        <w:rPr/>
        <w:t> </w:t>
      </w:r>
      <w:r>
        <w:rPr>
          <w:spacing w:val="-2"/>
        </w:rPr>
        <w:t>管理学硕士（EMBA），高级工程师，自1998年起任公司董事、总经理，兼任诚和伟业（北京）</w:t>
      </w:r>
      <w:r>
        <w:rPr>
          <w:spacing w:val="-113"/>
        </w:rPr>
        <w:t> </w:t>
      </w:r>
      <w:r>
        <w:rPr>
          <w:spacing w:val="-113"/>
        </w:rPr>
      </w:r>
      <w:r>
        <w:rPr/>
        <w:t>科技发展有限公司执行董事，北京荣信电通科技发展有限公司董事。</w:t>
      </w:r>
    </w:p>
    <w:p>
      <w:pPr>
        <w:spacing w:line="240" w:lineRule="auto" w:before="0"/>
        <w:rPr>
          <w:rFonts w:ascii="宋体" w:hAnsi="宋体" w:cs="宋体" w:eastAsia="宋体" w:hint="default"/>
          <w:sz w:val="24"/>
          <w:szCs w:val="24"/>
        </w:rPr>
      </w:pPr>
    </w:p>
    <w:p>
      <w:pPr>
        <w:pStyle w:val="BodyText"/>
        <w:spacing w:line="240" w:lineRule="auto" w:before="190"/>
        <w:ind w:left="754" w:right="180"/>
        <w:jc w:val="left"/>
      </w:pPr>
      <w:r>
        <w:rPr/>
        <w:t>马成家，男，中国国籍，1954年出生，吉林大学本科毕业。1980年7月-1989年11月任鞍</w:t>
      </w:r>
    </w:p>
    <w:p>
      <w:pPr>
        <w:spacing w:after="0" w:line="240" w:lineRule="auto"/>
        <w:jc w:val="left"/>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54" w:right="268"/>
        <w:jc w:val="left"/>
      </w:pPr>
      <w:r>
        <w:rPr/>
        <w:t>山市半导体器件总厂技改办副主任，1989年11月-1994年1月任鞍山市半导体器件总厂厂长， 1994年1月-2004年6月任鞍山市电子电力公司副总经理、总经理、党委副书记，自1998年11 月起担任本公司董事长。</w:t>
      </w:r>
    </w:p>
    <w:p>
      <w:pPr>
        <w:spacing w:line="240" w:lineRule="auto" w:before="8"/>
        <w:rPr>
          <w:rFonts w:ascii="宋体" w:hAnsi="宋体" w:cs="宋体" w:eastAsia="宋体" w:hint="default"/>
          <w:sz w:val="26"/>
          <w:szCs w:val="26"/>
        </w:rPr>
      </w:pPr>
    </w:p>
    <w:p>
      <w:pPr>
        <w:pStyle w:val="BodyText"/>
        <w:spacing w:line="357" w:lineRule="auto"/>
        <w:ind w:left="154" w:right="228" w:firstLine="480"/>
        <w:jc w:val="both"/>
      </w:pPr>
      <w:r>
        <w:rPr>
          <w:spacing w:val="-4"/>
        </w:rPr>
        <w:t>厉伟，男，中国国籍，1963</w:t>
      </w:r>
      <w:r>
        <w:rPr>
          <w:spacing w:val="-67"/>
        </w:rPr>
        <w:t> </w:t>
      </w:r>
      <w:r>
        <w:rPr/>
        <w:t>年出生，北京大学理学士，经济学硕士。2000</w:t>
      </w:r>
      <w:r>
        <w:rPr>
          <w:spacing w:val="-67"/>
        </w:rPr>
        <w:t> </w:t>
      </w:r>
      <w:r>
        <w:rPr/>
        <w:t>年</w:t>
      </w:r>
      <w:r>
        <w:rPr>
          <w:spacing w:val="-67"/>
        </w:rPr>
        <w:t> </w:t>
      </w:r>
      <w:r>
        <w:rPr/>
        <w:t>7</w:t>
      </w:r>
      <w:r>
        <w:rPr>
          <w:spacing w:val="-67"/>
        </w:rPr>
        <w:t> </w:t>
      </w:r>
      <w:r>
        <w:rPr/>
        <w:t>月至今任</w:t>
      </w:r>
      <w:r>
        <w:rPr/>
        <w:t> 本公司控股股东深圳市深港产学研创业投资有限公司董事长、兼任深圳创业投资同业公会副</w:t>
      </w:r>
      <w:r>
        <w:rPr>
          <w:spacing w:val="-83"/>
        </w:rPr>
        <w:t> </w:t>
      </w:r>
      <w:r>
        <w:rPr>
          <w:spacing w:val="-83"/>
        </w:rPr>
      </w:r>
      <w:r>
        <w:rPr/>
        <w:t>会长、深圳天使投资人俱乐部副主席、深圳国际高新技术产权交易所独立董事。自 2000</w:t>
      </w:r>
      <w:r>
        <w:rPr>
          <w:spacing w:val="25"/>
        </w:rPr>
        <w:t> </w:t>
      </w:r>
      <w:r>
        <w:rPr/>
        <w:t>年</w:t>
      </w:r>
    </w:p>
    <w:p>
      <w:pPr>
        <w:pStyle w:val="BodyText"/>
        <w:spacing w:line="240" w:lineRule="auto" w:before="35"/>
        <w:ind w:right="214"/>
        <w:jc w:val="left"/>
      </w:pPr>
      <w:r>
        <w:rPr/>
        <w:t>11</w:t>
      </w:r>
      <w:r>
        <w:rPr>
          <w:spacing w:val="-60"/>
        </w:rPr>
        <w:t> </w:t>
      </w:r>
      <w:r>
        <w:rPr/>
        <w:t>月起任本公司董事。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BodyText"/>
        <w:spacing w:line="240" w:lineRule="auto"/>
        <w:ind w:left="633" w:right="100"/>
        <w:jc w:val="left"/>
      </w:pPr>
      <w:r>
        <w:rPr/>
        <w:t>龙浩，男，中国国籍，</w:t>
      </w:r>
      <w:r>
        <w:rPr>
          <w:rFonts w:ascii="Times New Roman" w:hAnsi="Times New Roman" w:cs="Times New Roman" w:eastAsia="Times New Roman" w:hint="default"/>
        </w:rPr>
        <w:t>1966  </w:t>
      </w:r>
      <w:r>
        <w:rPr/>
        <w:t>年出生，东北财经大学 </w:t>
      </w:r>
      <w:r>
        <w:rPr>
          <w:rFonts w:ascii="Times New Roman" w:hAnsi="Times New Roman" w:cs="Times New Roman" w:eastAsia="Times New Roman" w:hint="default"/>
        </w:rPr>
        <w:t>EMBA</w:t>
      </w:r>
      <w:r>
        <w:rPr/>
        <w:t>，中国注册评估师。</w:t>
      </w:r>
      <w:r>
        <w:rPr>
          <w:rFonts w:ascii="Times New Roman" w:hAnsi="Times New Roman" w:cs="Times New Roman" w:eastAsia="Times New Roman" w:hint="default"/>
        </w:rPr>
        <w:t>1998 </w:t>
      </w:r>
      <w:r>
        <w:rPr/>
        <w:t>年</w:t>
      </w:r>
    </w:p>
    <w:p>
      <w:pPr>
        <w:pStyle w:val="BodyText"/>
        <w:spacing w:line="240" w:lineRule="auto" w:before="134"/>
        <w:ind w:left="154" w:right="214"/>
        <w:jc w:val="left"/>
      </w:pP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月至今任本公司财务总监，自</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月开始任本公司董事。</w:t>
      </w:r>
    </w:p>
    <w:p>
      <w:pPr>
        <w:spacing w:line="240" w:lineRule="auto" w:before="3"/>
        <w:rPr>
          <w:rFonts w:ascii="宋体" w:hAnsi="宋体" w:cs="宋体" w:eastAsia="宋体" w:hint="default"/>
          <w:sz w:val="25"/>
          <w:szCs w:val="25"/>
        </w:rPr>
      </w:pPr>
    </w:p>
    <w:p>
      <w:pPr>
        <w:pStyle w:val="BodyText"/>
        <w:spacing w:line="357" w:lineRule="auto"/>
        <w:ind w:left="154" w:right="231" w:firstLine="600"/>
        <w:jc w:val="both"/>
      </w:pPr>
      <w:r>
        <w:rPr>
          <w:spacing w:val="-2"/>
        </w:rPr>
        <w:t>周爱勤，女，中国国籍，1954年出生，大学文化，中级会计师、经济师。1998年至今任</w:t>
      </w:r>
      <w:r>
        <w:rPr/>
        <w:t> 本公司股东河南新纪元防腐绝热工程有限公司副总经理，自2000年11月起任本公司董事。</w:t>
      </w:r>
    </w:p>
    <w:p>
      <w:pPr>
        <w:spacing w:line="240" w:lineRule="auto" w:before="0"/>
        <w:rPr>
          <w:rFonts w:ascii="宋体" w:hAnsi="宋体" w:cs="宋体" w:eastAsia="宋体" w:hint="default"/>
          <w:sz w:val="24"/>
          <w:szCs w:val="24"/>
        </w:rPr>
      </w:pPr>
    </w:p>
    <w:p>
      <w:pPr>
        <w:pStyle w:val="BodyText"/>
        <w:spacing w:line="338" w:lineRule="auto" w:before="191"/>
        <w:ind w:right="228" w:firstLine="600"/>
        <w:jc w:val="both"/>
      </w:pPr>
      <w:r>
        <w:rPr/>
        <w:t>王永华，男，中国国籍，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21"/>
        </w:rPr>
        <w:t> </w:t>
      </w:r>
      <w:r>
        <w:rPr/>
        <w:t>年出生，中国人民银行研究生院经济学硕士，曾任南方</w:t>
      </w:r>
      <w:r>
        <w:rPr>
          <w:spacing w:val="1"/>
        </w:rPr>
        <w:t> </w:t>
      </w:r>
      <w:r>
        <w:rPr/>
        <w:t>基金管理有限公司副总经理，</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月至今任本公司股东深圳市天图创业投资有限公司总 经理，自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5 </w:t>
      </w:r>
      <w:r>
        <w:rPr/>
        <w:t>月起任本公司董事。</w:t>
      </w:r>
    </w:p>
    <w:p>
      <w:pPr>
        <w:spacing w:line="240" w:lineRule="auto" w:before="13"/>
        <w:rPr>
          <w:rFonts w:ascii="宋体" w:hAnsi="宋体" w:cs="宋体" w:eastAsia="宋体" w:hint="default"/>
          <w:sz w:val="16"/>
          <w:szCs w:val="16"/>
        </w:rPr>
      </w:pPr>
    </w:p>
    <w:p>
      <w:pPr>
        <w:pStyle w:val="BodyText"/>
        <w:spacing w:line="357" w:lineRule="auto"/>
        <w:ind w:left="154" w:right="100" w:firstLine="600"/>
        <w:jc w:val="left"/>
      </w:pPr>
      <w:r>
        <w:rPr/>
        <w:t>梅志明，男，美国国籍，1972年出生，美国西北Kellog商学院/香港科技大学商学院工 商管理硕士，现任普洛斯项目管理咨询有限公司中国区总裁，深国投商用置业有限公司副董 </w:t>
      </w:r>
      <w:r>
        <w:rPr>
          <w:spacing w:val="-3"/>
        </w:rPr>
        <w:t>事长、投资委员会主席，深圳源胜利管理有限公司董事长，北京慧点科技有限公司副董事长，</w:t>
      </w:r>
      <w:r>
        <w:rPr>
          <w:spacing w:val="-81"/>
        </w:rPr>
        <w:t> </w:t>
      </w:r>
      <w:r>
        <w:rPr>
          <w:spacing w:val="-81"/>
        </w:rPr>
      </w:r>
      <w:r>
        <w:rPr/>
        <w:t>自2007年5月起任本公司独立董事。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ind w:left="154" w:right="230" w:firstLine="600"/>
        <w:jc w:val="both"/>
      </w:pPr>
      <w:r>
        <w:rPr>
          <w:spacing w:val="-3"/>
        </w:rPr>
        <w:t>郝智明，男，中国国籍，1967年出生，毕业于中国人民银行研究生部，具有律师、中国</w:t>
      </w:r>
      <w:r>
        <w:rPr>
          <w:spacing w:val="-1"/>
        </w:rPr>
        <w:t> </w:t>
      </w:r>
      <w:r>
        <w:rPr/>
        <w:t>注册会计师资格，现任中银国际证券有限责任公司投资银行部执行总经理，中铁铁龙集装箱</w:t>
      </w:r>
      <w:r>
        <w:rPr/>
        <w:t> 物流股份有限公司独立董事，自2006年7月任本公司独立董事。</w:t>
      </w:r>
    </w:p>
    <w:p>
      <w:pPr>
        <w:spacing w:line="240" w:lineRule="auto" w:before="0"/>
        <w:rPr>
          <w:rFonts w:ascii="宋体" w:hAnsi="宋体" w:cs="宋体" w:eastAsia="宋体" w:hint="default"/>
          <w:sz w:val="24"/>
          <w:szCs w:val="24"/>
        </w:rPr>
      </w:pPr>
    </w:p>
    <w:p>
      <w:pPr>
        <w:pStyle w:val="BodyText"/>
        <w:spacing w:line="338" w:lineRule="auto" w:before="190"/>
        <w:ind w:left="156" w:right="228" w:firstLine="480"/>
        <w:jc w:val="both"/>
      </w:pPr>
      <w:r>
        <w:rPr/>
        <w:t>贾莉，女，中国国籍，</w:t>
      </w:r>
      <w:r>
        <w:rPr>
          <w:rFonts w:ascii="Times New Roman" w:hAnsi="Times New Roman" w:cs="Times New Roman" w:eastAsia="Times New Roman" w:hint="default"/>
        </w:rPr>
        <w:t>1972</w:t>
      </w:r>
      <w:r>
        <w:rPr>
          <w:rFonts w:ascii="Times New Roman" w:hAnsi="Times New Roman" w:cs="Times New Roman" w:eastAsia="Times New Roman" w:hint="default"/>
          <w:spacing w:val="-22"/>
        </w:rPr>
        <w:t> </w:t>
      </w:r>
      <w:r>
        <w:rPr/>
        <w:t>年出生，毕业于清华大学精密仪器系，工学学士，加拿大多 伦多大学工程系应用科学硕士学位。曾任清华大学校团委宣传部部长，宁波 </w:t>
      </w:r>
      <w:r>
        <w:rPr>
          <w:rFonts w:ascii="Times New Roman" w:hAnsi="Times New Roman" w:cs="Times New Roman" w:eastAsia="Times New Roman" w:hint="default"/>
        </w:rPr>
        <w:t>GreenTunnel</w:t>
      </w:r>
      <w:r>
        <w:rPr>
          <w:rFonts w:ascii="Times New Roman" w:hAnsi="Times New Roman" w:cs="Times New Roman" w:eastAsia="Times New Roman" w:hint="default"/>
          <w:spacing w:val="28"/>
        </w:rPr>
        <w:t> </w:t>
      </w:r>
      <w:r>
        <w:rPr/>
        <w:t>科</w:t>
      </w:r>
    </w:p>
    <w:p>
      <w:pPr>
        <w:spacing w:after="0" w:line="338"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38" w:lineRule="auto" w:before="26"/>
        <w:ind w:left="156" w:right="142"/>
        <w:jc w:val="left"/>
      </w:pPr>
      <w:r>
        <w:rPr/>
        <w:t>技有限公司市场总监。现任清华大学经济管理学院</w:t>
      </w:r>
      <w:r>
        <w:rPr>
          <w:spacing w:val="-51"/>
        </w:rPr>
        <w:t> </w:t>
      </w:r>
      <w:r>
        <w:rPr>
          <w:rFonts w:ascii="Times New Roman" w:hAnsi="Times New Roman" w:cs="Times New Roman" w:eastAsia="Times New Roman" w:hint="default"/>
        </w:rPr>
        <w:t>EMBA</w:t>
      </w:r>
      <w:r>
        <w:rPr>
          <w:rFonts w:ascii="Times New Roman" w:hAnsi="Times New Roman" w:cs="Times New Roman" w:eastAsia="Times New Roman" w:hint="default"/>
          <w:spacing w:val="9"/>
        </w:rPr>
        <w:t> </w:t>
      </w:r>
      <w:r>
        <w:rPr/>
        <w:t>教学管理部总监，自</w:t>
      </w:r>
      <w:r>
        <w:rPr>
          <w:spacing w:val="-51"/>
        </w:rPr>
        <w:t> </w:t>
      </w:r>
      <w:r>
        <w:rPr/>
        <w:t>2006</w:t>
      </w:r>
      <w:r>
        <w:rPr>
          <w:spacing w:val="-51"/>
        </w:rPr>
        <w:t> </w:t>
      </w:r>
      <w:r>
        <w:rPr/>
        <w:t>年</w:t>
      </w:r>
      <w:r>
        <w:rPr>
          <w:spacing w:val="-52"/>
        </w:rPr>
        <w:t> </w:t>
      </w:r>
      <w:r>
        <w:rPr/>
        <w:t>7</w:t>
      </w:r>
      <w:r>
        <w:rPr>
          <w:spacing w:val="-51"/>
        </w:rPr>
        <w:t> </w:t>
      </w:r>
      <w:r>
        <w:rPr/>
        <w:t>月</w:t>
      </w:r>
      <w:r>
        <w:rPr/>
        <w:t> 任本公司独立董事。</w:t>
      </w:r>
    </w:p>
    <w:p>
      <w:pPr>
        <w:spacing w:line="240" w:lineRule="auto" w:before="1"/>
        <w:rPr>
          <w:rFonts w:ascii="宋体" w:hAnsi="宋体" w:cs="宋体" w:eastAsia="宋体" w:hint="default"/>
          <w:sz w:val="19"/>
          <w:szCs w:val="19"/>
        </w:rPr>
      </w:pPr>
    </w:p>
    <w:p>
      <w:pPr>
        <w:pStyle w:val="BodyText"/>
        <w:spacing w:line="357" w:lineRule="auto"/>
        <w:ind w:right="188" w:firstLine="600"/>
        <w:jc w:val="both"/>
      </w:pPr>
      <w:r>
        <w:rPr/>
        <w:t>王泽全，男，中国国籍，1946年出生，大专学历，1971年3月-2004年6月先后任职于营 口市通风机械厂、鞍山市半导体器件总厂和鞍山市电子电力公司，曾任鞍山市电子电力公司 副总经济师、总经济师，自2000年11月起任本公司监事。</w:t>
      </w:r>
    </w:p>
    <w:p>
      <w:pPr>
        <w:spacing w:line="240" w:lineRule="auto" w:before="0"/>
        <w:rPr>
          <w:rFonts w:ascii="宋体" w:hAnsi="宋体" w:cs="宋体" w:eastAsia="宋体" w:hint="default"/>
          <w:sz w:val="24"/>
          <w:szCs w:val="24"/>
        </w:rPr>
      </w:pPr>
    </w:p>
    <w:p>
      <w:pPr>
        <w:pStyle w:val="BodyText"/>
        <w:spacing w:line="348" w:lineRule="auto" w:before="191"/>
        <w:ind w:left="156" w:right="146" w:firstLine="480"/>
        <w:jc w:val="both"/>
      </w:pPr>
      <w:r>
        <w:rPr>
          <w:spacing w:val="-3"/>
        </w:rPr>
        <w:t>陈诗君，男，中国国籍，</w:t>
      </w:r>
      <w:r>
        <w:rPr>
          <w:rFonts w:ascii="Times New Roman" w:hAnsi="Times New Roman" w:cs="Times New Roman" w:eastAsia="Times New Roman" w:hint="default"/>
          <w:spacing w:val="-3"/>
        </w:rPr>
        <w:t>1954 </w:t>
      </w:r>
      <w:r>
        <w:rPr/>
        <w:t>年出生，西北工业大学本科毕业，高级工程师。</w:t>
      </w:r>
      <w:r>
        <w:rPr>
          <w:rFonts w:ascii="Times New Roman" w:hAnsi="Times New Roman" w:cs="Times New Roman" w:eastAsia="Times New Roman" w:hint="default"/>
        </w:rPr>
        <w:t>2002</w:t>
      </w:r>
      <w:r>
        <w:rPr>
          <w:rFonts w:ascii="Times New Roman" w:hAnsi="Times New Roman" w:cs="Times New Roman" w:eastAsia="Times New Roman" w:hint="default"/>
          <w:spacing w:val="-35"/>
        </w:rPr>
        <w:t> </w:t>
      </w:r>
      <w:r>
        <w:rPr/>
        <w:t>年至</w:t>
      </w:r>
      <w:r>
        <w:rPr>
          <w:spacing w:val="1"/>
        </w:rPr>
        <w:t> </w:t>
      </w:r>
      <w:r>
        <w:rPr/>
        <w:t>今任本公司控股股东深圳市深港产学研创业投资有限公司投资管理部负责人、兼任深港产学</w:t>
      </w:r>
      <w:r>
        <w:rPr>
          <w:spacing w:val="-83"/>
        </w:rPr>
        <w:t> </w:t>
      </w:r>
      <w:r>
        <w:rPr>
          <w:spacing w:val="-83"/>
        </w:rPr>
      </w:r>
      <w:r>
        <w:rPr/>
        <w:t>研数码科技有限公司董事长，自</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t>月任本公司监事。</w:t>
      </w:r>
    </w:p>
    <w:p>
      <w:pPr>
        <w:pStyle w:val="BodyText"/>
        <w:spacing w:line="338" w:lineRule="auto" w:before="55"/>
        <w:ind w:left="156" w:right="148" w:firstLine="480"/>
        <w:jc w:val="both"/>
      </w:pPr>
      <w:r>
        <w:rPr/>
        <w:t>杨贵发，男，中国国籍，</w:t>
      </w:r>
      <w:r>
        <w:rPr>
          <w:rFonts w:ascii="Times New Roman" w:hAnsi="Times New Roman" w:cs="Times New Roman" w:eastAsia="Times New Roman" w:hint="default"/>
        </w:rPr>
        <w:t>1971</w:t>
      </w:r>
      <w:r>
        <w:rPr>
          <w:rFonts w:ascii="Times New Roman" w:hAnsi="Times New Roman" w:cs="Times New Roman" w:eastAsia="Times New Roman" w:hint="default"/>
          <w:spacing w:val="-4"/>
        </w:rPr>
        <w:t> </w:t>
      </w:r>
      <w:r>
        <w:rPr/>
        <w:t>年出生，本科学历，工程师。自</w:t>
      </w:r>
      <w:r>
        <w:rPr>
          <w:spacing w:val="-64"/>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月起在本公司 从事瓦斯排放结构设计、电气设计、调试工作，现任本公司瓦斯排放部部长，</w:t>
      </w:r>
      <w:r>
        <w:rPr>
          <w:rFonts w:ascii="Times New Roman" w:hAnsi="Times New Roman" w:cs="Times New Roman" w:eastAsia="Times New Roman" w:hint="default"/>
        </w:rPr>
        <w:t>2005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 起任本公司职工监事。</w:t>
      </w:r>
    </w:p>
    <w:p>
      <w:pPr>
        <w:spacing w:line="240" w:lineRule="auto" w:before="1"/>
        <w:rPr>
          <w:rFonts w:ascii="宋体" w:hAnsi="宋体" w:cs="宋体" w:eastAsia="宋体" w:hint="default"/>
          <w:sz w:val="19"/>
          <w:szCs w:val="19"/>
        </w:rPr>
      </w:pPr>
    </w:p>
    <w:p>
      <w:pPr>
        <w:pStyle w:val="BodyText"/>
        <w:spacing w:line="357" w:lineRule="auto"/>
        <w:ind w:left="154" w:right="151" w:firstLine="600"/>
        <w:jc w:val="both"/>
      </w:pPr>
      <w:r>
        <w:rPr>
          <w:spacing w:val="-3"/>
        </w:rPr>
        <w:t>焦东亮，男，中国国籍，1965年出生，毕业于包头钢铁学院自动化专业，中国人民大学</w:t>
      </w:r>
      <w:r>
        <w:rPr/>
        <w:t> </w:t>
      </w:r>
      <w:r>
        <w:rPr>
          <w:spacing w:val="-2"/>
        </w:rPr>
        <w:t>EMBA，SVC系统设计专家。1999年至今任本公司副总经理，兼任上海清方荣信电子有限公司执</w:t>
      </w:r>
      <w:r>
        <w:rPr>
          <w:spacing w:val="-112"/>
        </w:rPr>
        <w:t> </w:t>
      </w:r>
      <w:r>
        <w:rPr>
          <w:spacing w:val="-112"/>
        </w:rPr>
      </w:r>
      <w:r>
        <w:rPr/>
        <w:t>行董事。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ind w:left="154" w:right="151" w:firstLine="600"/>
        <w:jc w:val="both"/>
      </w:pPr>
      <w:r>
        <w:rPr>
          <w:spacing w:val="-8"/>
        </w:rPr>
        <w:t>赵殿波，男，中国国籍，1969年出生，毕业于清华大学机械工程系，复旦大学EMBA，1998</w:t>
      </w:r>
      <w:r>
        <w:rPr/>
        <w:t> 年11月至今，历任本公司研发工程师、部长、总经理助理，现任本公司董事会秘书、副总经 理，鞍山荣信科技有限公司董事长。</w:t>
      </w:r>
    </w:p>
    <w:p>
      <w:pPr>
        <w:spacing w:line="240" w:lineRule="auto" w:before="0"/>
        <w:rPr>
          <w:rFonts w:ascii="宋体" w:hAnsi="宋体" w:cs="宋体" w:eastAsia="宋体" w:hint="default"/>
          <w:sz w:val="24"/>
          <w:szCs w:val="24"/>
        </w:rPr>
      </w:pPr>
    </w:p>
    <w:p>
      <w:pPr>
        <w:pStyle w:val="BodyText"/>
        <w:spacing w:line="357" w:lineRule="auto" w:before="191"/>
        <w:ind w:left="154" w:right="148" w:firstLine="480"/>
        <w:jc w:val="both"/>
      </w:pPr>
      <w:r>
        <w:rPr/>
        <w:t>王强，男，中国国籍，1969 年出生，毕业于清华大学机械工程系，本科学历。1999</w:t>
      </w:r>
      <w:r>
        <w:rPr>
          <w:spacing w:val="35"/>
        </w:rPr>
        <w:t> </w:t>
      </w:r>
      <w:r>
        <w:rPr/>
        <w:t>年</w:t>
      </w:r>
      <w:r>
        <w:rPr/>
        <w:t> 12</w:t>
      </w:r>
      <w:r>
        <w:rPr>
          <w:spacing w:val="-48"/>
        </w:rPr>
        <w:t> </w:t>
      </w:r>
      <w:r>
        <w:rPr>
          <w:spacing w:val="-7"/>
        </w:rPr>
        <w:t>月至今任本公司销售总监，兼任诚和伟业（北京）科技发展有限公司总经理，荣信嘉时（北</w:t>
      </w:r>
      <w:r>
        <w:rPr>
          <w:spacing w:val="-118"/>
        </w:rPr>
        <w:t> </w:t>
      </w:r>
      <w:r>
        <w:rPr>
          <w:spacing w:val="-118"/>
        </w:rPr>
      </w:r>
      <w:r>
        <w:rPr/>
        <w:t>京）科技发展有限公司董事、北京荣信电通科技发展有限公司监事。</w:t>
      </w:r>
    </w:p>
    <w:p>
      <w:pPr>
        <w:pStyle w:val="BodyText"/>
        <w:spacing w:line="357" w:lineRule="auto" w:before="76"/>
        <w:ind w:left="156" w:right="148" w:firstLine="480"/>
        <w:jc w:val="both"/>
      </w:pPr>
      <w:r>
        <w:rPr/>
        <w:t>王岱岩，男，中国国籍，1963</w:t>
      </w:r>
      <w:r>
        <w:rPr>
          <w:spacing w:val="-95"/>
        </w:rPr>
        <w:t> </w:t>
      </w:r>
      <w:r>
        <w:rPr/>
        <w:t>年出生，毕业于东北大学自动化控制系，本科学历。2001</w:t>
      </w:r>
      <w:r>
        <w:rPr>
          <w:spacing w:val="-1"/>
        </w:rPr>
        <w:t> </w:t>
      </w:r>
      <w:r>
        <w:rPr/>
        <w:t>年至今任本公司市场部销售总监。</w:t>
      </w:r>
    </w:p>
    <w:p>
      <w:pPr>
        <w:spacing w:line="240" w:lineRule="auto" w:before="2"/>
        <w:rPr>
          <w:rFonts w:ascii="宋体" w:hAnsi="宋体" w:cs="宋体" w:eastAsia="宋体" w:hint="default"/>
          <w:sz w:val="32"/>
          <w:szCs w:val="32"/>
        </w:rPr>
      </w:pPr>
    </w:p>
    <w:p>
      <w:pPr>
        <w:pStyle w:val="Heading3"/>
        <w:spacing w:line="240" w:lineRule="auto"/>
        <w:ind w:left="694" w:right="0"/>
        <w:jc w:val="left"/>
      </w:pPr>
      <w:r>
        <w:rPr/>
        <w:t>（三）董事、监事、高级管理人员报酬情况</w:t>
      </w:r>
    </w:p>
    <w:p>
      <w:pPr>
        <w:pStyle w:val="BodyText"/>
        <w:spacing w:line="240" w:lineRule="auto" w:before="224"/>
        <w:ind w:left="634" w:right="0"/>
        <w:jc w:val="left"/>
      </w:pPr>
      <w:r>
        <w:rPr>
          <w:rFonts w:ascii="Times New Roman" w:hAnsi="Times New Roman" w:cs="Times New Roman" w:eastAsia="Times New Roman" w:hint="default"/>
        </w:rPr>
        <w:t>1</w:t>
      </w:r>
      <w:r>
        <w:rPr/>
        <w:t>、董事、监事、高级管理人员报酬决策程序</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38" w:lineRule="auto" w:before="26"/>
        <w:ind w:left="154" w:right="214" w:firstLine="480"/>
        <w:jc w:val="left"/>
      </w:pPr>
      <w:r>
        <w:rPr>
          <w:spacing w:val="-3"/>
        </w:rPr>
        <w:t>公司部分董事薪酬、独立董事津贴由董事会薪酬与考核委员制定并经</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年度股东大会 审议批准。</w:t>
      </w:r>
    </w:p>
    <w:p>
      <w:pPr>
        <w:pStyle w:val="BodyText"/>
        <w:spacing w:line="357" w:lineRule="auto" w:before="94"/>
        <w:ind w:left="154" w:right="214" w:firstLine="480"/>
        <w:jc w:val="left"/>
      </w:pPr>
      <w:r>
        <w:rPr/>
        <w:t>公司高级管理人员薪酬由董事会薪酬与考核委员制定与考核并经董事会三届一次会议审</w:t>
      </w:r>
      <w:r>
        <w:rPr>
          <w:spacing w:val="1"/>
        </w:rPr>
        <w:t> </w:t>
      </w:r>
      <w:r>
        <w:rPr/>
        <w:t>议批准。</w:t>
      </w:r>
    </w:p>
    <w:p>
      <w:pPr>
        <w:pStyle w:val="BodyText"/>
        <w:spacing w:line="364" w:lineRule="auto" w:before="74"/>
        <w:ind w:left="634" w:right="214"/>
        <w:jc w:val="left"/>
      </w:pPr>
      <w:r>
        <w:rPr>
          <w:rFonts w:ascii="Times New Roman" w:hAnsi="Times New Roman" w:cs="Times New Roman" w:eastAsia="Times New Roman" w:hint="default"/>
        </w:rPr>
        <w:t>2</w:t>
      </w:r>
      <w:r>
        <w:rPr/>
        <w:t>、董事、监事、高级管理人员报酬确定依据 公司董事会薪酬与考核委员会依据公司主要经济指标和管理指标的完成情况对董事、监</w:t>
      </w:r>
    </w:p>
    <w:p>
      <w:pPr>
        <w:pStyle w:val="BodyText"/>
        <w:spacing w:line="240" w:lineRule="auto" w:before="28"/>
        <w:ind w:left="154" w:right="214"/>
        <w:jc w:val="left"/>
      </w:pPr>
      <w:r>
        <w:rPr/>
        <w:t>事和高级管理人员的业绩、工作能力、履职情况进行考评，制定薪酬方案。</w:t>
      </w:r>
    </w:p>
    <w:p>
      <w:pPr>
        <w:pStyle w:val="BodyText"/>
        <w:spacing w:line="338" w:lineRule="auto" w:before="193"/>
        <w:ind w:left="156" w:right="226" w:firstLine="460"/>
        <w:jc w:val="left"/>
      </w:pPr>
      <w:r>
        <w:rPr>
          <w:rFonts w:ascii="Times New Roman" w:hAnsi="Times New Roman" w:cs="Times New Roman" w:eastAsia="Times New Roman" w:hint="default"/>
          <w:spacing w:val="-2"/>
        </w:rPr>
        <w:t>3</w:t>
      </w:r>
      <w:r>
        <w:rPr>
          <w:spacing w:val="-2"/>
        </w:rPr>
        <w:t>、董事、监事、高级管理人员从公司获得的报酬情况见本节“一、董事、监事、高级管</w:t>
      </w:r>
      <w:r>
        <w:rPr/>
        <w:t> 理人员情况”之“（一）董事、监事、高级管理人员基本情况”。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spacing w:line="357" w:lineRule="auto"/>
        <w:ind w:left="156" w:right="223" w:firstLine="537"/>
        <w:jc w:val="left"/>
      </w:pPr>
      <w:r>
        <w:rPr>
          <w:spacing w:val="4"/>
        </w:rPr>
        <w:t>（四）报告期内被选举或离任的董事和监事及聘任或解聘的高级管理人员</w:t>
      </w:r>
      <w:r>
        <w:rPr>
          <w:spacing w:val="4"/>
          <w:w w:val="99"/>
        </w:rPr>
        <w:t> </w:t>
      </w:r>
      <w:r>
        <w:rPr/>
        <w:t>情况</w:t>
      </w:r>
    </w:p>
    <w:p>
      <w:pPr>
        <w:pStyle w:val="BodyText"/>
        <w:spacing w:line="240" w:lineRule="auto" w:before="88"/>
        <w:ind w:left="634" w:right="214"/>
        <w:jc w:val="left"/>
      </w:pPr>
      <w:r>
        <w:rPr>
          <w:spacing w:val="-3"/>
        </w:rPr>
        <w:t>1、鉴于公司第二届董事会全体董事成员任期届满，经公司第二届董事会提名，并经公司</w:t>
      </w:r>
    </w:p>
    <w:p>
      <w:pPr>
        <w:pStyle w:val="BodyText"/>
        <w:spacing w:line="357" w:lineRule="auto" w:before="152"/>
        <w:ind w:left="154" w:right="100"/>
        <w:jc w:val="left"/>
      </w:pPr>
      <w:r>
        <w:rPr/>
        <w:t>2006</w:t>
      </w:r>
      <w:r>
        <w:rPr>
          <w:spacing w:val="-60"/>
        </w:rPr>
        <w:t> </w:t>
      </w:r>
      <w:r>
        <w:rPr/>
        <w:t>年度股东大会审议通过，选举马成家、左强、厉伟、龙浩、周爱勤、王永华、郝智明、</w:t>
      </w:r>
      <w:r>
        <w:rPr/>
        <w:t> </w:t>
      </w:r>
      <w:r>
        <w:rPr>
          <w:spacing w:val="-5"/>
        </w:rPr>
        <w:t>梅志明、贾莉为公司第三届董事会董事，任期三年，其中,郝智明、梅志明、贾莉为独立董事。</w:t>
      </w:r>
    </w:p>
    <w:p>
      <w:pPr>
        <w:pStyle w:val="BodyText"/>
        <w:spacing w:line="240" w:lineRule="auto" w:before="35"/>
        <w:ind w:left="634" w:right="214"/>
        <w:jc w:val="left"/>
      </w:pPr>
      <w:r>
        <w:rPr>
          <w:spacing w:val="-3"/>
        </w:rPr>
        <w:t>2、鉴于公司第二届监事会全体监事成员任期届满，经公司第二届监事会提名，并经公司</w:t>
      </w:r>
    </w:p>
    <w:p>
      <w:pPr>
        <w:pStyle w:val="BodyText"/>
        <w:spacing w:line="357" w:lineRule="auto" w:before="152"/>
        <w:ind w:left="154" w:right="211"/>
        <w:jc w:val="left"/>
      </w:pPr>
      <w:r>
        <w:rPr/>
        <w:t>2006</w:t>
      </w:r>
      <w:r>
        <w:rPr>
          <w:spacing w:val="-81"/>
        </w:rPr>
        <w:t> </w:t>
      </w:r>
      <w:r>
        <w:rPr/>
        <w:t>年度股东大会审议通过，选举王泽全、陈诗君为公司第三届监事会非职工代表监事，任</w:t>
      </w:r>
      <w:r>
        <w:rPr/>
        <w:t> 期三年。</w:t>
      </w:r>
    </w:p>
    <w:p>
      <w:pPr>
        <w:pStyle w:val="BodyText"/>
        <w:spacing w:line="357" w:lineRule="auto" w:before="35"/>
        <w:ind w:left="154" w:right="231" w:firstLine="480"/>
        <w:jc w:val="both"/>
      </w:pPr>
      <w:r>
        <w:rPr>
          <w:spacing w:val="-3"/>
        </w:rPr>
        <w:t>3、鉴于公司第二届监事会任期届满，为保证监事会的正常运作，根据《公司法》、《公</w:t>
      </w:r>
      <w:r>
        <w:rPr/>
        <w:t> </w:t>
      </w:r>
      <w:r>
        <w:rPr>
          <w:spacing w:val="-2"/>
        </w:rPr>
        <w:t>司章程》等有关规定，公司于2007年5月11日召开职工代表大会，会议经过认真讨论，一致同</w:t>
      </w:r>
      <w:r>
        <w:rPr>
          <w:spacing w:val="-116"/>
        </w:rPr>
        <w:t> </w:t>
      </w:r>
      <w:r>
        <w:rPr>
          <w:spacing w:val="-116"/>
        </w:rPr>
      </w:r>
      <w:r>
        <w:rPr/>
        <w:t>意选举杨贵发先生为公司第三届监事会职工代表监事，与公司2006年度股东大会选举产生的 两名非职工代表监事共同组成公司第三届监事会，任期三年。</w:t>
      </w:r>
    </w:p>
    <w:p>
      <w:pPr>
        <w:pStyle w:val="BodyText"/>
        <w:spacing w:line="357" w:lineRule="auto" w:before="74"/>
        <w:ind w:left="154" w:right="100" w:firstLine="480"/>
        <w:jc w:val="left"/>
      </w:pPr>
      <w:r>
        <w:rPr>
          <w:spacing w:val="-9"/>
        </w:rPr>
        <w:t>4、公司于</w:t>
      </w:r>
      <w:r>
        <w:rPr>
          <w:spacing w:val="-67"/>
        </w:rPr>
        <w:t> </w:t>
      </w:r>
      <w:r>
        <w:rPr>
          <w:spacing w:val="25"/>
        </w:rPr>
        <w:t>2007年5月</w:t>
      </w:r>
      <w:r>
        <w:rPr>
          <w:spacing w:val="-67"/>
        </w:rPr>
        <w:t> </w:t>
      </w:r>
      <w:r>
        <w:rPr/>
        <w:t>12</w:t>
      </w:r>
      <w:r>
        <w:rPr>
          <w:spacing w:val="-67"/>
        </w:rPr>
        <w:t> </w:t>
      </w:r>
      <w:r>
        <w:rPr/>
        <w:t>日在公司会议室召开了第三届董事会第一次会议，会议审议通</w:t>
      </w:r>
      <w:r>
        <w:rPr/>
        <w:t> 过了选举马成家为公司第三届董事会董事长，任期三年；聘任左强先生担任公司总经理，任</w:t>
      </w:r>
      <w:r>
        <w:rPr>
          <w:spacing w:val="-83"/>
        </w:rPr>
        <w:t> </w:t>
      </w:r>
      <w:r>
        <w:rPr>
          <w:spacing w:val="-83"/>
        </w:rPr>
      </w:r>
      <w:r>
        <w:rPr/>
        <w:t>期三年，并根据公司修改后的章程规定出任公司法定代表人；聘任赵殿波先生、焦东亮先生</w:t>
      </w:r>
      <w:r>
        <w:rPr>
          <w:spacing w:val="-83"/>
        </w:rPr>
        <w:t> </w:t>
      </w:r>
      <w:r>
        <w:rPr>
          <w:spacing w:val="-83"/>
        </w:rPr>
      </w:r>
      <w:r>
        <w:rPr>
          <w:spacing w:val="-3"/>
        </w:rPr>
        <w:t>担任公司副总经理，任期三年；聘任龙浩先生担任公司财务总监，任期三年；聘任王强先生、</w:t>
      </w:r>
      <w:r>
        <w:rPr>
          <w:spacing w:val="-81"/>
        </w:rPr>
        <w:t> </w:t>
      </w:r>
      <w:r>
        <w:rPr>
          <w:spacing w:val="-81"/>
        </w:rPr>
      </w:r>
      <w:r>
        <w:rPr/>
        <w:t>王岱岩先生担任公司销售总监，任期三年；聘任赵殿波先生担任董事会秘书，任期三年。</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pStyle w:val="Heading3"/>
        <w:spacing w:line="240" w:lineRule="auto" w:before="144"/>
        <w:ind w:right="0"/>
        <w:jc w:val="left"/>
      </w:pPr>
      <w:r>
        <w:rPr/>
        <w:t>二、员工情况</w:t>
      </w:r>
    </w:p>
    <w:p>
      <w:pPr>
        <w:spacing w:line="240" w:lineRule="auto" w:before="6"/>
        <w:rPr>
          <w:rFonts w:ascii="黑体" w:hAnsi="黑体" w:cs="黑体" w:eastAsia="黑体" w:hint="default"/>
          <w:sz w:val="35"/>
          <w:szCs w:val="35"/>
        </w:rPr>
      </w:pPr>
    </w:p>
    <w:p>
      <w:pPr>
        <w:pStyle w:val="BodyText"/>
        <w:spacing w:line="348" w:lineRule="auto"/>
        <w:ind w:left="154" w:right="188" w:firstLine="480"/>
        <w:jc w:val="both"/>
      </w:pP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日，公司共有在职员工</w:t>
      </w:r>
      <w:r>
        <w:rPr>
          <w:rFonts w:ascii="Times New Roman" w:hAnsi="Times New Roman" w:cs="Times New Roman" w:eastAsia="Times New Roman" w:hint="default"/>
        </w:rPr>
        <w:t>485</w:t>
      </w:r>
      <w:r>
        <w:rPr/>
        <w:t>人。其中：生产人员104人，占员工总数的 21.44%；销售人员97人，占员工总数的20%；技术人员223人，占员工总数的45.98%；管理人 员61人，占员工总数的12.58%。</w:t>
      </w:r>
    </w:p>
    <w:p>
      <w:pPr>
        <w:pStyle w:val="BodyText"/>
        <w:spacing w:line="357" w:lineRule="auto" w:before="44"/>
        <w:ind w:left="154" w:right="151" w:firstLine="480"/>
        <w:jc w:val="both"/>
      </w:pPr>
      <w:r>
        <w:rPr>
          <w:spacing w:val="-2"/>
        </w:rPr>
        <w:t>员工受教育程度如下：本科以上308人，占员工总数的63.51%；大专76人，占员工总数的</w:t>
      </w:r>
      <w:r>
        <w:rPr/>
        <w:t> 15.67%；大专以下101人，占员工总数的20.82%。</w:t>
      </w:r>
    </w:p>
    <w:p>
      <w:pPr>
        <w:spacing w:line="240" w:lineRule="auto" w:before="2"/>
        <w:rPr>
          <w:rFonts w:ascii="宋体" w:hAnsi="宋体" w:cs="宋体" w:eastAsia="宋体" w:hint="default"/>
          <w:sz w:val="24"/>
          <w:szCs w:val="24"/>
        </w:rPr>
      </w:pPr>
    </w:p>
    <w:p>
      <w:pPr>
        <w:pStyle w:val="BodyText"/>
        <w:spacing w:line="240" w:lineRule="auto"/>
        <w:ind w:left="624" w:right="0"/>
        <w:jc w:val="left"/>
      </w:pPr>
      <w:r>
        <w:rPr/>
        <w:t>公司没有需要承担费用的离退休职工。</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77"/>
        <w:jc w:val="center"/>
        <w:rPr>
          <w:b w:val="0"/>
          <w:bCs w:val="0"/>
        </w:rPr>
      </w:pPr>
      <w:bookmarkStart w:name="第五节公司治理结构" w:id="7"/>
      <w:bookmarkEnd w:id="7"/>
      <w:r>
        <w:rPr>
          <w:b w:val="0"/>
          <w:bCs w:val="0"/>
        </w:rPr>
      </w:r>
      <w:bookmarkStart w:name="_bookmark4" w:id="8"/>
      <w:bookmarkEnd w:id="8"/>
      <w:r>
        <w:rPr>
          <w:b w:val="0"/>
          <w:bCs w:val="0"/>
        </w:rPr>
      </w:r>
      <w:r>
        <w:rPr/>
        <w:t>第五节公司治理结构</w:t>
      </w:r>
      <w:r>
        <w:rPr>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pStyle w:val="Heading3"/>
        <w:spacing w:line="240" w:lineRule="auto" w:before="13"/>
        <w:ind w:right="214"/>
        <w:jc w:val="left"/>
      </w:pPr>
      <w:r>
        <w:rPr/>
        <w:t>一、公司治理情况</w:t>
      </w:r>
    </w:p>
    <w:p>
      <w:pPr>
        <w:pStyle w:val="BodyText"/>
        <w:spacing w:line="357" w:lineRule="auto" w:before="185"/>
        <w:ind w:right="228" w:firstLine="480"/>
        <w:jc w:val="both"/>
      </w:pPr>
      <w:r>
        <w:rPr/>
        <w:t>公司严格按照《公司法》、《证券法》、《上市公司治理准则》及中国证监会、深圳证</w:t>
      </w:r>
      <w:r>
        <w:rPr>
          <w:spacing w:val="1"/>
        </w:rPr>
        <w:t> </w:t>
      </w:r>
      <w:r>
        <w:rPr/>
        <w:t>券交易所发布的有关上市公司治理的规范性文件要求，不断完善公司法人治理结构，规范公</w:t>
      </w:r>
      <w:r>
        <w:rPr>
          <w:spacing w:val="-83"/>
        </w:rPr>
        <w:t> </w:t>
      </w:r>
      <w:r>
        <w:rPr>
          <w:spacing w:val="-83"/>
        </w:rPr>
      </w:r>
      <w:r>
        <w:rPr/>
        <w:t>司运作。比照中国证监会发布的有关上市公司治理的规范性文件，公司法人治理结构的实际</w:t>
      </w:r>
      <w:r>
        <w:rPr>
          <w:spacing w:val="-83"/>
        </w:rPr>
        <w:t> </w:t>
      </w:r>
      <w:r>
        <w:rPr>
          <w:spacing w:val="-83"/>
        </w:rPr>
      </w:r>
      <w:r>
        <w:rPr/>
        <w:t>情况基本符合《上市公司治理准则》的要求。</w:t>
      </w:r>
    </w:p>
    <w:p>
      <w:pPr>
        <w:pStyle w:val="BodyText"/>
        <w:spacing w:line="240" w:lineRule="auto" w:before="35"/>
        <w:ind w:left="633" w:right="100"/>
        <w:jc w:val="left"/>
      </w:pPr>
      <w:r>
        <w:rPr>
          <w:spacing w:val="-6"/>
        </w:rPr>
        <w:t>1、关于股东与股东大会：公司能够按照《上市公司股东大会规范意见》、《公司章程》、</w:t>
      </w:r>
    </w:p>
    <w:p>
      <w:pPr>
        <w:pStyle w:val="BodyText"/>
        <w:spacing w:line="357" w:lineRule="auto" w:before="152"/>
        <w:ind w:right="251"/>
        <w:jc w:val="left"/>
      </w:pPr>
      <w:r>
        <w:rPr/>
        <w:t>《公司股东大会议事规则》等规定，规范地召集、召开股东大会；公司能够确保所有股东享 有平等地位，确保所有股东能够充分行使自己的权利，不存在损害中小股东利益的情形。</w:t>
      </w:r>
    </w:p>
    <w:p>
      <w:pPr>
        <w:pStyle w:val="BodyText"/>
        <w:spacing w:line="357" w:lineRule="auto" w:before="35"/>
        <w:ind w:right="231" w:firstLine="480"/>
        <w:jc w:val="both"/>
      </w:pPr>
      <w:r>
        <w:rPr>
          <w:spacing w:val="-9"/>
        </w:rPr>
        <w:t>2、关于公司与控股股东：公司与控股股东在人员、资产、财务、机构和业务方面实行“三</w:t>
      </w:r>
      <w:r>
        <w:rPr/>
        <w:t> 分开”、“两独立”，公司拥有独立完整的业务和自主经营能力；公司董事会、监事会及其 他内部机构独立运作。公司控股股东没有超越股东大会直接或间接干预公司的决策及依法开 展的生产经营活动，不存在控股股东占用公司资金的现象，公司也无为控股股东及其子公司 提供担保的情形。</w:t>
      </w:r>
    </w:p>
    <w:p>
      <w:pPr>
        <w:pStyle w:val="BodyText"/>
        <w:spacing w:line="357" w:lineRule="auto" w:before="35"/>
        <w:ind w:right="229" w:firstLine="480"/>
        <w:jc w:val="both"/>
      </w:pPr>
      <w:r>
        <w:rPr>
          <w:spacing w:val="-3"/>
        </w:rPr>
        <w:t>3、关于董事和董事会：公司严格按照《公司章程》规定的董事选聘程序选举董事；公司</w:t>
      </w:r>
      <w:r>
        <w:rPr/>
        <w:t> 董事会的人数及人员构成符合有关法律、法规的要求。各位董事能够遵照《深圳证券交易所 中小企业板块上市公司董事行为指引》、《公司董事会议事规则》、《公司独立董事工作制 度》的要求忠实、诚信、勤勉地履行职责。</w:t>
      </w:r>
    </w:p>
    <w:p>
      <w:pPr>
        <w:pStyle w:val="BodyText"/>
        <w:spacing w:line="357" w:lineRule="auto" w:before="35"/>
        <w:ind w:right="100" w:firstLine="480"/>
        <w:jc w:val="left"/>
      </w:pPr>
      <w:r>
        <w:rPr>
          <w:spacing w:val="-3"/>
        </w:rPr>
        <w:t>4、关于监事和监事会：公司监事会设监事3名，其中职工监事1名，监事会的人数和构成</w:t>
      </w:r>
      <w:r>
        <w:rPr/>
        <w:t> </w:t>
      </w:r>
      <w:r>
        <w:rPr>
          <w:spacing w:val="-3"/>
        </w:rPr>
        <w:t>符合有关法律、法规的要求；公司监事能够本着对股东负责的态度，严格按照《公司章程》、</w:t>
      </w:r>
    </w:p>
    <w:p>
      <w:pPr>
        <w:pStyle w:val="BodyText"/>
        <w:spacing w:line="357" w:lineRule="auto" w:before="35"/>
        <w:ind w:left="633" w:right="214" w:hanging="480"/>
        <w:jc w:val="left"/>
      </w:pPr>
      <w:r>
        <w:rPr/>
        <w:t>《公司监事会议事规则》等制度要求，认真履行自己的职责。 </w:t>
      </w:r>
      <w:r>
        <w:rPr>
          <w:spacing w:val="-3"/>
        </w:rPr>
        <w:t>5、关于绩效评价与激励约束机制：公司已建立有效的绩效评价激励体系，董事、监事以</w:t>
      </w:r>
    </w:p>
    <w:p>
      <w:pPr>
        <w:pStyle w:val="BodyText"/>
        <w:spacing w:line="357" w:lineRule="auto" w:before="35"/>
        <w:ind w:right="251"/>
        <w:jc w:val="left"/>
      </w:pPr>
      <w:r>
        <w:rPr/>
        <w:t>及高级管理人员的薪酬与公司绩效和个人业绩挂钩；高级管理人员的聘任公开、透明，严格 遵循《公司章程》及有关法律、法规的规定。</w:t>
      </w:r>
    </w:p>
    <w:p>
      <w:pPr>
        <w:pStyle w:val="BodyText"/>
        <w:spacing w:line="357" w:lineRule="auto" w:before="35"/>
        <w:ind w:right="231" w:firstLine="480"/>
        <w:jc w:val="both"/>
      </w:pPr>
      <w:r>
        <w:rPr>
          <w:spacing w:val="-3"/>
        </w:rPr>
        <w:t>6、关于信息披露与透明度：公司指定董事会秘书负责公司信息披露工作，协调公司与投</w:t>
      </w:r>
      <w:r>
        <w:rPr/>
        <w:t> 资者的关系,接待股东来访,回答投资者咨询；公司能够严格按照有关法律、法规和《公司章 程》、《公司信息披露管理制度》、《公司投资者关系管理办法》的要求，真实、准确、及 时、完整地披露有关信息，确保公司所有股东能够以平等的机会获得信息。</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00" w:firstLine="480"/>
        <w:jc w:val="left"/>
      </w:pPr>
      <w:r>
        <w:rPr>
          <w:spacing w:val="-3"/>
        </w:rPr>
        <w:t>7、关于相关利益者：公司具有较强的社会责任感，能够充分尊重和维护相关利益者的合</w:t>
      </w:r>
      <w:r>
        <w:rPr/>
        <w:t> </w:t>
      </w:r>
      <w:r>
        <w:rPr>
          <w:spacing w:val="-3"/>
        </w:rPr>
        <w:t>法权益，实现公司、股东、员工、社会等各方利益的协调平衡，能够与利益相关者积极合作，</w:t>
      </w:r>
      <w:r>
        <w:rPr>
          <w:spacing w:val="-81"/>
        </w:rPr>
        <w:t> </w:t>
      </w:r>
      <w:r>
        <w:rPr>
          <w:spacing w:val="-81"/>
        </w:rPr>
      </w:r>
      <w:r>
        <w:rPr/>
        <w:t>共同推动公司持续、健康的发展。</w:t>
      </w:r>
    </w:p>
    <w:p>
      <w:pPr>
        <w:spacing w:line="240" w:lineRule="auto" w:before="8"/>
        <w:rPr>
          <w:rFonts w:ascii="宋体" w:hAnsi="宋体" w:cs="宋体" w:eastAsia="宋体" w:hint="default"/>
          <w:sz w:val="23"/>
          <w:szCs w:val="23"/>
        </w:rPr>
      </w:pPr>
    </w:p>
    <w:p>
      <w:pPr>
        <w:pStyle w:val="Heading3"/>
        <w:spacing w:line="240" w:lineRule="auto"/>
        <w:ind w:left="193" w:right="0"/>
        <w:jc w:val="both"/>
      </w:pPr>
      <w:bookmarkStart w:name="二、公司治理专项活动情况" w:id="9"/>
      <w:bookmarkEnd w:id="9"/>
      <w:r>
        <w:rPr/>
      </w:r>
      <w:r>
        <w:rPr/>
        <w:t>二</w:t>
      </w:r>
      <w:r>
        <w:rPr>
          <w:rFonts w:ascii="黑体" w:hAnsi="黑体" w:cs="黑体" w:eastAsia="黑体" w:hint="default"/>
          <w:b/>
          <w:bCs/>
        </w:rPr>
        <w:t>、</w:t>
      </w:r>
      <w:r>
        <w:rPr/>
        <w:t>公司治理专项活动情况</w:t>
      </w:r>
    </w:p>
    <w:p>
      <w:pPr>
        <w:spacing w:line="240" w:lineRule="auto" w:before="7"/>
        <w:rPr>
          <w:rFonts w:ascii="黑体" w:hAnsi="黑体" w:cs="黑体" w:eastAsia="黑体" w:hint="default"/>
          <w:sz w:val="35"/>
          <w:szCs w:val="35"/>
        </w:rPr>
      </w:pPr>
    </w:p>
    <w:p>
      <w:pPr>
        <w:pStyle w:val="BodyText"/>
        <w:spacing w:line="240" w:lineRule="auto"/>
        <w:ind w:left="634" w:right="100"/>
        <w:jc w:val="left"/>
      </w:pPr>
      <w:r>
        <w:rPr>
          <w:spacing w:val="-3"/>
        </w:rPr>
        <w:t>报告期内，公司根据中国证监会《关于开展加强上市公司治理专项活动有关事项的通知》</w:t>
      </w:r>
    </w:p>
    <w:p>
      <w:pPr>
        <w:pStyle w:val="BodyText"/>
        <w:spacing w:line="357" w:lineRule="auto" w:before="152"/>
        <w:ind w:left="154" w:right="231"/>
        <w:jc w:val="both"/>
      </w:pPr>
      <w:r>
        <w:rPr/>
        <w:t>（证监公司字[2007]28</w:t>
      </w:r>
      <w:r>
        <w:rPr>
          <w:spacing w:val="16"/>
        </w:rPr>
        <w:t> </w:t>
      </w:r>
      <w:r>
        <w:rPr>
          <w:spacing w:val="-3"/>
        </w:rPr>
        <w:t>号）、中国证监会辽宁监管局辽证监上市字[2007]35号《关于进一步</w:t>
      </w:r>
      <w:r>
        <w:rPr/>
        <w:t> 做好“加强上市公司治理专项活动”有关事项的通知》和深圳证券交易所《关于做好加强上 市公司治理专项活动有关工作的通知》（深证上[2007]39 号文）的要求,公司特成立了公司 治理专项活动领导小组和工作组,由董事长作为第一负责人,全面开展加强上市公司治理专项 活动。</w:t>
      </w:r>
    </w:p>
    <w:p>
      <w:pPr>
        <w:pStyle w:val="BodyText"/>
        <w:spacing w:line="357" w:lineRule="auto" w:before="74"/>
        <w:ind w:left="154" w:right="231" w:firstLine="480"/>
        <w:jc w:val="both"/>
      </w:pPr>
      <w:r>
        <w:rPr>
          <w:spacing w:val="-3"/>
        </w:rPr>
        <w:t>按照工作计划的安排,本公司及时组织董事、监事、高级管理人员及有关部门认真学习了</w:t>
      </w:r>
      <w:r>
        <w:rPr/>
        <w:t> </w:t>
      </w:r>
      <w:r>
        <w:rPr>
          <w:spacing w:val="-3"/>
        </w:rPr>
        <w:t>公司治理有关文件，本着实事求是的原则,严格对照《公司法》、《证券法》、《上市公司治</w:t>
      </w:r>
      <w:r>
        <w:rPr>
          <w:spacing w:val="-83"/>
        </w:rPr>
        <w:t> </w:t>
      </w:r>
      <w:r>
        <w:rPr>
          <w:spacing w:val="-83"/>
        </w:rPr>
      </w:r>
      <w:r>
        <w:rPr/>
        <w:t>理准则》等有关法律法规,以及《公司章程》等内部规章制度,对公司治理情况进行了认真自 查，形成了《关于“加强上市公司治理专项活动”的自查报告》和《关于加强上市公司治理 专项活动自查报告和整改计划》，经第三届董事会第三次会议审议通过，同时公司公布了专 门的电话、传真和邮箱，并在公司网站专门开设了公司治理专项活动板块，接受广大投资者 和社会公众广泛地参与公司治理情况的公众评议。</w:t>
      </w:r>
    </w:p>
    <w:p>
      <w:pPr>
        <w:pStyle w:val="BodyText"/>
        <w:spacing w:line="357" w:lineRule="auto" w:before="74"/>
        <w:ind w:right="228" w:firstLine="480"/>
        <w:jc w:val="both"/>
      </w:pPr>
      <w:r>
        <w:rPr/>
        <w:t>中国证监会辽宁监管局综合评价意见认为：公司在信息披露、股东大会及董事会运作和</w:t>
      </w:r>
      <w:r>
        <w:rPr>
          <w:spacing w:val="1"/>
        </w:rPr>
        <w:t> </w:t>
      </w:r>
      <w:r>
        <w:rPr/>
        <w:t>内部控制制度建设方面基本符合中国证监会有关上市公司规范性文件的规定，未发现严重违</w:t>
      </w:r>
      <w:r>
        <w:rPr>
          <w:spacing w:val="-83"/>
        </w:rPr>
        <w:t> </w:t>
      </w:r>
      <w:r>
        <w:rPr>
          <w:spacing w:val="-83"/>
        </w:rPr>
      </w:r>
      <w:r>
        <w:rPr/>
        <w:t>规行为。但公司需继续强化独立董事、董事会各专业委员会以及监事会、内部审计部门的职</w:t>
      </w:r>
      <w:r>
        <w:rPr>
          <w:spacing w:val="-83"/>
        </w:rPr>
        <w:t> </w:t>
      </w:r>
      <w:r>
        <w:rPr>
          <w:spacing w:val="-83"/>
        </w:rPr>
      </w:r>
      <w:r>
        <w:rPr/>
        <w:t>能，加强相关人员学习培训，增强规范运作意识，不断提高公司治理水平。</w:t>
      </w:r>
    </w:p>
    <w:p>
      <w:pPr>
        <w:pStyle w:val="BodyText"/>
        <w:spacing w:line="357" w:lineRule="auto" w:before="74"/>
        <w:ind w:right="268" w:firstLine="480"/>
        <w:jc w:val="both"/>
      </w:pPr>
      <w:r>
        <w:rPr/>
        <w:t>深圳证券交易所综合评价意见认为：公司治理机构较健全，三会运作、信息披露等方面 未发现严重违规行为，公司治理状况及提出的整改计划基本符合《关于做好加强上市公司治 理专项活动有关工作的通知》等相关规定的要求，但应进一步建立健全内控制度，加强相关 制度的执行力，独立董事、董事会各专业委员会以及监事会、内部审计部门的职能需继续强 化。</w:t>
      </w:r>
    </w:p>
    <w:p>
      <w:pPr>
        <w:pStyle w:val="BodyText"/>
        <w:spacing w:line="357" w:lineRule="auto" w:before="74"/>
        <w:ind w:right="228" w:firstLine="480"/>
        <w:jc w:val="both"/>
      </w:pPr>
      <w:r>
        <w:rPr/>
        <w:t>针对公司在自查过程中发现的问题以及中国证监会辽宁监管局关于公司治理状况的综合</w:t>
      </w:r>
      <w:r>
        <w:rPr>
          <w:spacing w:val="1"/>
        </w:rPr>
        <w:t> </w:t>
      </w:r>
      <w:r>
        <w:rPr/>
        <w:t>评价意见、深圳证券交易所提出的公司治理状况综合评价意见、投资者和社会公众对公司治</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理状况的评议，公司董事会高度重视，制定了及时进行了整改，具体情况如下：</w:t>
      </w:r>
    </w:p>
    <w:p>
      <w:pPr>
        <w:pStyle w:val="BodyText"/>
        <w:spacing w:line="386" w:lineRule="auto" w:before="152"/>
        <w:ind w:left="634" w:right="250"/>
        <w:jc w:val="left"/>
      </w:pPr>
      <w:r>
        <w:rPr/>
        <w:t>（一）进一步发挥董事会下设委员会作用，提高决策效率 整改情况：公司组织董事会各专门委员会委员，重新学习专门委员会议事规则，进一步</w:t>
      </w:r>
    </w:p>
    <w:p>
      <w:pPr>
        <w:pStyle w:val="BodyText"/>
        <w:spacing w:line="357" w:lineRule="auto" w:before="7"/>
        <w:ind w:left="154" w:right="268"/>
        <w:jc w:val="both"/>
      </w:pPr>
      <w:r>
        <w:rPr/>
        <w:t>梳理和细化了专门委员会的议事流程。各专门委员会成员通过重新学习，强化了充分发挥作 用的意识，为各专门委员会日后工作的规范和深化打下了良好的基础。各专门委员会委员充 分发挥专业特长，为公司董事会决策提供依据。公司为董事会专门委员会切实履行职责创造 条件，向专门委员会提供全面、准确和完整的资料、信息，使专门委员会对公司重大事项能 够做到完整的事前分析，有效的事中监控和全面的事后评价。</w:t>
      </w:r>
    </w:p>
    <w:p>
      <w:pPr>
        <w:pStyle w:val="BodyText"/>
        <w:spacing w:line="357" w:lineRule="auto" w:before="74"/>
        <w:ind w:left="154" w:right="250" w:firstLine="480"/>
        <w:jc w:val="left"/>
      </w:pPr>
      <w:r>
        <w:rPr/>
        <w:t>今后，公司将结合实际发展情况，注重实效，切实推动各专门委员会工作的有效开展， 充分发挥独立董事在公司决策方面的专业作用，提高公司的规范运作水平。</w:t>
      </w:r>
    </w:p>
    <w:p>
      <w:pPr>
        <w:pStyle w:val="BodyText"/>
        <w:spacing w:line="386" w:lineRule="auto" w:before="76"/>
        <w:ind w:left="634" w:right="214" w:firstLine="60"/>
        <w:jc w:val="left"/>
      </w:pPr>
      <w:r>
        <w:rPr/>
        <w:t>（二）加强相关人员学习培训，增强规范运作意识 整改情况：公司董事会秘书采取现场、通讯等方式组织全体董事、监事、高级管理人员</w:t>
      </w:r>
    </w:p>
    <w:p>
      <w:pPr>
        <w:pStyle w:val="BodyText"/>
        <w:spacing w:line="357" w:lineRule="auto" w:before="6"/>
        <w:ind w:right="228"/>
        <w:jc w:val="both"/>
      </w:pPr>
      <w:r>
        <w:rPr/>
        <w:t>学习各项规章制度，并及时解答在学习过程中提出的问题，督促公司高管按时参加监管部门</w:t>
      </w:r>
      <w:r>
        <w:rPr>
          <w:spacing w:val="-83"/>
        </w:rPr>
        <w:t> </w:t>
      </w:r>
      <w:r>
        <w:rPr>
          <w:spacing w:val="-83"/>
        </w:rPr>
      </w:r>
      <w:r>
        <w:rPr>
          <w:spacing w:val="-1"/>
        </w:rPr>
        <w:t>举办的培训班，按照</w:t>
      </w:r>
      <w:r>
        <w:rPr>
          <w:spacing w:val="-1"/>
          <w:sz w:val="30"/>
          <w:szCs w:val="30"/>
        </w:rPr>
        <w:t>《</w:t>
      </w:r>
      <w:r>
        <w:rPr>
          <w:spacing w:val="-1"/>
        </w:rPr>
        <w:t>上市公司高级管理人员培训工作指引》及其实施细则的要求完成后续</w:t>
      </w:r>
      <w:r>
        <w:rPr>
          <w:spacing w:val="-103"/>
        </w:rPr>
        <w:t> </w:t>
      </w:r>
      <w:r>
        <w:rPr>
          <w:spacing w:val="-103"/>
        </w:rPr>
      </w:r>
      <w:r>
        <w:rPr/>
        <w:t>教育学习，公司将长期保持这种定期和不定期的培训制度，保证董事、监事、高级管理人员</w:t>
      </w:r>
      <w:r>
        <w:rPr>
          <w:spacing w:val="-83"/>
        </w:rPr>
        <w:t> </w:t>
      </w:r>
      <w:r>
        <w:rPr>
          <w:spacing w:val="-83"/>
        </w:rPr>
      </w:r>
      <w:r>
        <w:rPr/>
        <w:t>熟知各项规章制度，不断增强规范运作意识，提高公司治理水平。</w:t>
      </w:r>
    </w:p>
    <w:p>
      <w:pPr>
        <w:pStyle w:val="BodyText"/>
        <w:spacing w:line="386" w:lineRule="auto" w:before="74"/>
        <w:ind w:left="633" w:right="251" w:firstLine="60"/>
        <w:jc w:val="left"/>
      </w:pPr>
      <w:r>
        <w:rPr/>
        <w:t>（三）部分公司管理制度需根据最新法律法规加以完善 整改情况：公司根据中国证监会《关于进一步规范上市公司募集资金使用的通知》及深</w:t>
      </w:r>
    </w:p>
    <w:p>
      <w:pPr>
        <w:pStyle w:val="BodyText"/>
        <w:spacing w:line="357" w:lineRule="auto" w:before="6"/>
        <w:ind w:right="231"/>
        <w:jc w:val="both"/>
      </w:pPr>
      <w:r>
        <w:rPr>
          <w:spacing w:val="-5"/>
        </w:rPr>
        <w:t>圳证券叫交易所2007年修订的《中小企业板上市公司募集资金管理细则》，并结合本公司的实</w:t>
      </w:r>
      <w:r>
        <w:rPr>
          <w:spacing w:val="-107"/>
        </w:rPr>
        <w:t> </w:t>
      </w:r>
      <w:r>
        <w:rPr>
          <w:spacing w:val="-107"/>
        </w:rPr>
      </w:r>
      <w:r>
        <w:rPr>
          <w:spacing w:val="-5"/>
        </w:rPr>
        <w:t>际情况，对《募集资金管理办法》进行了修改完善，并经公司第三届董事会第二次会议和2007</w:t>
      </w:r>
      <w:r>
        <w:rPr>
          <w:spacing w:val="-109"/>
        </w:rPr>
        <w:t> </w:t>
      </w:r>
      <w:r>
        <w:rPr>
          <w:spacing w:val="-109"/>
        </w:rPr>
      </w:r>
      <w:r>
        <w:rPr/>
        <w:t>年第二次临时股东大会审议通过。</w:t>
      </w:r>
    </w:p>
    <w:p>
      <w:pPr>
        <w:pStyle w:val="BodyText"/>
        <w:spacing w:line="357" w:lineRule="auto" w:before="74"/>
        <w:ind w:right="231" w:firstLine="480"/>
        <w:jc w:val="both"/>
      </w:pPr>
      <w:r>
        <w:rPr/>
        <w:t>公司根据中国证监会[2007]40</w:t>
      </w:r>
      <w:r>
        <w:rPr>
          <w:spacing w:val="14"/>
        </w:rPr>
        <w:t> </w:t>
      </w:r>
      <w:r>
        <w:rPr>
          <w:spacing w:val="-4"/>
        </w:rPr>
        <w:t>号文《上市公司信息披露管理办法》的有关规定，并根据</w:t>
      </w:r>
      <w:r>
        <w:rPr/>
        <w:t> </w:t>
      </w:r>
      <w:r>
        <w:rPr>
          <w:spacing w:val="-2"/>
        </w:rPr>
        <w:t>深圳证券交易所2007年5月31日发布的《中小企业板信息披露业务备忘录第8号-信息披露事务</w:t>
      </w:r>
      <w:r>
        <w:rPr>
          <w:spacing w:val="-112"/>
        </w:rPr>
        <w:t> </w:t>
      </w:r>
      <w:r>
        <w:rPr>
          <w:spacing w:val="-112"/>
        </w:rPr>
      </w:r>
      <w:r>
        <w:rPr/>
        <w:t>管理制度相关要求》的规定，并结合本公司的实际情况，对公司《信息披露事务管理制度》 进行了修改完善,并经公司第三届董事会第二次会议审议通过。</w:t>
      </w:r>
    </w:p>
    <w:p>
      <w:pPr>
        <w:pStyle w:val="BodyText"/>
        <w:spacing w:line="357" w:lineRule="auto" w:before="74"/>
        <w:ind w:right="94" w:firstLine="480"/>
        <w:jc w:val="left"/>
      </w:pPr>
      <w:r>
        <w:rPr/>
        <w:t>同时公司将在今后工作中严格执行公司制定的各项内控制度，确保 “三会”</w:t>
      </w:r>
      <w:r>
        <w:rPr>
          <w:spacing w:val="-83"/>
        </w:rPr>
        <w:t> </w:t>
      </w:r>
      <w:r>
        <w:rPr/>
        <w:t>规范运作，</w:t>
      </w:r>
      <w:r>
        <w:rPr/>
        <w:t> 进一步提高公司信息披露质量，加强募集资金管理，并通过经常开展对董事、监事和高级管 理人员等有关人员的培训，强化勤勉尽责意识，提高制度执行力，进一步发挥独立董事、董 事会各专业委员会、监事会和内审部门的作用，提高公司治理水平。</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310" w:firstLine="480"/>
        <w:jc w:val="both"/>
      </w:pPr>
      <w:r>
        <w:rPr/>
        <w:t>公司《关于加强上市公司治理专项活动的整改报告》已经第三届董事会第七次会议审议</w:t>
      </w:r>
      <w:r>
        <w:rPr>
          <w:spacing w:val="1"/>
        </w:rPr>
        <w:t> </w:t>
      </w:r>
      <w:r>
        <w:rPr/>
        <w:t>通过。</w:t>
      </w:r>
    </w:p>
    <w:p>
      <w:pPr>
        <w:pStyle w:val="BodyText"/>
        <w:spacing w:line="357" w:lineRule="auto" w:before="74"/>
        <w:ind w:right="308" w:firstLine="480"/>
        <w:jc w:val="both"/>
      </w:pPr>
      <w:r>
        <w:rPr/>
        <w:t>通过此次公司治理专项活动，公司对于自身的治理状况有了更加全面和细致的认识，发</w:t>
      </w:r>
      <w:r>
        <w:rPr>
          <w:spacing w:val="1"/>
        </w:rPr>
        <w:t> </w:t>
      </w:r>
      <w:r>
        <w:rPr/>
        <w:t>现了公司治理过程中存在的问题。通过对存在问题的切实整改，公司日常运作的规范程度进</w:t>
      </w:r>
      <w:r>
        <w:rPr>
          <w:spacing w:val="-83"/>
        </w:rPr>
        <w:t> </w:t>
      </w:r>
      <w:r>
        <w:rPr>
          <w:spacing w:val="-83"/>
        </w:rPr>
      </w:r>
      <w:r>
        <w:rPr/>
        <w:t>一步提高，公司与广大投资者和社会公众的沟通也得到了加强。公司在今后的工作中将切实</w:t>
      </w:r>
      <w:r>
        <w:rPr>
          <w:spacing w:val="-83"/>
        </w:rPr>
        <w:t> </w:t>
      </w:r>
      <w:r>
        <w:rPr>
          <w:spacing w:val="-83"/>
        </w:rPr>
      </w:r>
      <w:r>
        <w:rPr/>
        <w:t>贯彻好在本次专项活动中建立的长效机制，从而进一步推动公司的发展。</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3"/>
        <w:spacing w:line="240" w:lineRule="auto"/>
        <w:ind w:right="1410"/>
        <w:jc w:val="left"/>
      </w:pPr>
      <w:r>
        <w:rPr/>
        <w:t>三、董事长、独立董事及其他董事履行职责情况</w:t>
      </w:r>
    </w:p>
    <w:p>
      <w:pPr>
        <w:pStyle w:val="BodyText"/>
        <w:spacing w:line="357" w:lineRule="auto" w:before="185"/>
        <w:ind w:left="154" w:right="308" w:firstLine="480"/>
        <w:jc w:val="both"/>
      </w:pPr>
      <w:r>
        <w:rPr>
          <w:spacing w:val="-3"/>
        </w:rPr>
        <w:t>1、报告期内，公司全体董事严格按照《公司法》、《中小企业板块上市公司董事行为指</w:t>
      </w:r>
      <w:r>
        <w:rPr>
          <w:spacing w:val="-1"/>
        </w:rPr>
        <w:t> </w:t>
      </w:r>
      <w:r>
        <w:rPr/>
        <w:t>引》及《公司章程》的规定和要求，履行董事职责，遵守董事行为规范，积极参加深圳交易</w:t>
      </w:r>
      <w:r>
        <w:rPr/>
        <w:t> 所、辽宁证监局组织的相关培训，提高规范运作水平。董事在董事会会议投票表决或决定其 他对公司有重大影响的事项时，严格遵循公司董事会议事规则的有关规定，审慎决策，切实 保护公司和投资者的利益。</w:t>
      </w:r>
    </w:p>
    <w:p>
      <w:pPr>
        <w:pStyle w:val="BodyText"/>
        <w:spacing w:line="357" w:lineRule="auto" w:before="35"/>
        <w:ind w:left="154" w:right="210" w:firstLine="480"/>
        <w:jc w:val="left"/>
      </w:pPr>
      <w:r>
        <w:rPr/>
        <w:t>2、公司董事长积极推动公司各项内控制度的制订和完善，加强董事会建设，依法召集、 主持董事会会议，严格董事会集体决策机制，全力执行股东大会决议，积极督促董事会决议 的执行，并积极将有关情况告知独立董事和其他董事，为其履行职责创造了良好条件。</w:t>
      </w:r>
    </w:p>
    <w:p>
      <w:pPr>
        <w:pStyle w:val="BodyText"/>
        <w:spacing w:line="357" w:lineRule="auto" w:before="36"/>
        <w:ind w:left="154" w:right="348" w:firstLine="540"/>
        <w:jc w:val="both"/>
      </w:pPr>
      <w:r>
        <w:rPr/>
        <w:t>3、公司独立董事能够严格按照有关法律、法规和《公司章程》的规定，勤勉尽责、忠 实履行职责，按时出席公司董事会会议，认真审议各项议案。报告期内独立董事对公司聘任 董事、高管人员、审计机构以及股权激励计划、关联交易、对外担保、资金往来等有关事项 均发表了独立、客观、公正的意见，为公司的生产经营管理出谋划策，对董事会的科学决策 及公司的良性发展发挥了积极的作用，切实维护公司及股东特别是社会公众股股东的利益。 报告期内，公司独立董事未对董事会审议的各项议案及其他非董事会议案事项提出异议。</w:t>
      </w:r>
    </w:p>
    <w:p>
      <w:pPr>
        <w:pStyle w:val="BodyText"/>
        <w:spacing w:line="240" w:lineRule="auto" w:before="35"/>
        <w:ind w:left="634" w:right="1410"/>
        <w:jc w:val="left"/>
      </w:pPr>
      <w:r>
        <w:rPr/>
        <w:t>4、公司董事出席董事会的情况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90"/>
        <w:gridCol w:w="1691"/>
        <w:gridCol w:w="1300"/>
        <w:gridCol w:w="1300"/>
        <w:gridCol w:w="1301"/>
        <w:gridCol w:w="1300"/>
        <w:gridCol w:w="1248"/>
      </w:tblGrid>
      <w:tr>
        <w:trPr>
          <w:trHeight w:val="790"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亲自出席次数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王永华</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90"/>
        <w:gridCol w:w="1691"/>
        <w:gridCol w:w="1300"/>
        <w:gridCol w:w="1300"/>
        <w:gridCol w:w="1301"/>
        <w:gridCol w:w="1300"/>
        <w:gridCol w:w="1248"/>
      </w:tblGrid>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郝智明</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贾莉</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1" w:lineRule="exact" w:before="0"/>
        <w:ind w:left="574" w:right="1410" w:firstLine="0"/>
        <w:jc w:val="left"/>
        <w:rPr>
          <w:rFonts w:ascii="宋体" w:hAnsi="宋体" w:cs="宋体" w:eastAsia="宋体" w:hint="default"/>
          <w:sz w:val="21"/>
          <w:szCs w:val="21"/>
        </w:rPr>
      </w:pPr>
      <w:r>
        <w:rPr>
          <w:rFonts w:ascii="宋体" w:hAnsi="宋体" w:cs="宋体" w:eastAsia="宋体" w:hint="default"/>
          <w:sz w:val="21"/>
          <w:szCs w:val="21"/>
        </w:rPr>
        <w:t>报告期内，公司独立董事对公司本年度董事会各项议案及公司其他事项没有提出异议。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2"/>
        <w:ind w:right="303"/>
        <w:jc w:val="left"/>
      </w:pPr>
      <w:r>
        <w:rPr/>
        <w:t>四、公司与控股股东在业务、人员、资产、机构、财务等方面的情况</w:t>
      </w:r>
    </w:p>
    <w:p>
      <w:pPr>
        <w:pStyle w:val="BodyText"/>
        <w:spacing w:line="357" w:lineRule="auto" w:before="185"/>
        <w:ind w:left="154" w:right="330" w:firstLine="480"/>
        <w:jc w:val="left"/>
      </w:pPr>
      <w:r>
        <w:rPr/>
        <w:t>在业务、人员、资产、机构、财务等方面与控股股东完全分开，具有独立、完整的资产 和业务及自主经营的能力。</w:t>
      </w:r>
    </w:p>
    <w:p>
      <w:pPr>
        <w:pStyle w:val="BodyText"/>
        <w:spacing w:line="357" w:lineRule="auto" w:before="35"/>
        <w:ind w:left="154" w:right="180" w:firstLine="480"/>
        <w:jc w:val="left"/>
      </w:pPr>
      <w:r>
        <w:rPr>
          <w:spacing w:val="-6"/>
        </w:rPr>
        <w:t>1、业务：公司业务结构完整，所需材料设备的采购及客户群、市场均不依赖于控股股东，</w:t>
      </w:r>
      <w:r>
        <w:rPr/>
        <w:t> 具有独立的产供销系统，具备独立面向市场并自主经营的业务能力，与控股股东之间无同业 竞争，控股股东不存在直接或间接干预公司经营的情形。</w:t>
      </w:r>
    </w:p>
    <w:p>
      <w:pPr>
        <w:pStyle w:val="BodyText"/>
        <w:spacing w:line="357" w:lineRule="auto" w:before="35"/>
        <w:ind w:left="154" w:right="303" w:firstLine="480"/>
        <w:jc w:val="left"/>
      </w:pPr>
      <w:r>
        <w:rPr>
          <w:spacing w:val="-3"/>
        </w:rPr>
        <w:t>2、人员：公司人员、劳动、人事、工资完全独立；公司高管人员未在控股股东及其下属</w:t>
      </w:r>
      <w:r>
        <w:rPr/>
        <w:t> 企业担任除董事、监事以外的任何职务，也未在控股股东及其下属企业领薪。</w:t>
      </w:r>
    </w:p>
    <w:p>
      <w:pPr>
        <w:pStyle w:val="BodyText"/>
        <w:spacing w:line="357" w:lineRule="auto" w:before="35"/>
        <w:ind w:left="154" w:right="311" w:firstLine="480"/>
        <w:jc w:val="both"/>
      </w:pPr>
      <w:r>
        <w:rPr>
          <w:spacing w:val="-3"/>
        </w:rPr>
        <w:t>3、资产：公司拥有独立的生产经营场所和完整的资产结构，拥有生产经营活动所必须的</w:t>
      </w:r>
      <w:r>
        <w:rPr/>
        <w:t> 生产系统、辅助生产系统和配套设施，公司专利权以及商标、土地、房屋等资产拥有完全的 控制权和支配权。</w:t>
      </w:r>
    </w:p>
    <w:p>
      <w:pPr>
        <w:pStyle w:val="BodyText"/>
        <w:spacing w:line="357" w:lineRule="auto" w:before="35"/>
        <w:ind w:left="154" w:right="210" w:firstLine="480"/>
        <w:jc w:val="left"/>
      </w:pPr>
      <w:r>
        <w:rPr/>
        <w:t>4、机构：公司设有健全的组织机构体系，股东大会、董事会、监事会、经理层、生产、 技术等部门独立运作，并制定了相应的内部管理和控制制度，使各部门之间分工明确、各司 其职、相互配合，从而构成了一个有机的整体，保证了公司的依法运作，不存在与控股股东 职能部门之间的从属关系。</w:t>
      </w:r>
    </w:p>
    <w:p>
      <w:pPr>
        <w:pStyle w:val="BodyText"/>
        <w:spacing w:line="357" w:lineRule="auto" w:before="35"/>
        <w:ind w:left="154" w:right="330" w:firstLine="480"/>
        <w:jc w:val="left"/>
      </w:pPr>
      <w:r>
        <w:rPr/>
        <w:t>（五）财务：公司设有独立的财务管理部门，建立了独立的会计核算体系和财务管理制 度以及内部审计制度，独立进行财务决策，独立开设银行帐户，独立纳税。</w:t>
      </w:r>
    </w:p>
    <w:p>
      <w:pPr>
        <w:spacing w:line="240" w:lineRule="auto" w:before="0"/>
        <w:rPr>
          <w:rFonts w:ascii="宋体" w:hAnsi="宋体" w:cs="宋体" w:eastAsia="宋体" w:hint="default"/>
          <w:sz w:val="24"/>
          <w:szCs w:val="24"/>
        </w:rPr>
      </w:pPr>
    </w:p>
    <w:p>
      <w:pPr>
        <w:pStyle w:val="Heading3"/>
        <w:spacing w:line="357" w:lineRule="auto" w:before="180"/>
        <w:ind w:left="154" w:right="303" w:firstLine="560"/>
        <w:jc w:val="left"/>
      </w:pPr>
      <w:r>
        <w:rPr>
          <w:w w:val="95"/>
        </w:rPr>
        <w:t>五、报告期内对高级管理人员的考评及激励机制、相关奖励制度的建立及</w:t>
      </w:r>
      <w:r>
        <w:rPr>
          <w:w w:val="99"/>
        </w:rPr>
        <w:t> </w:t>
      </w:r>
      <w:r>
        <w:rPr/>
        <w:t>实施情况。</w:t>
      </w:r>
    </w:p>
    <w:p>
      <w:pPr>
        <w:pStyle w:val="BodyText"/>
        <w:spacing w:line="357" w:lineRule="auto" w:before="48"/>
        <w:ind w:left="154" w:right="348" w:firstLine="480"/>
        <w:jc w:val="both"/>
      </w:pPr>
      <w:r>
        <w:rPr/>
        <w:t>公司建立了完善的绩效考评体系，高级管理人员的工作绩效与其收入直接挂钩。公司董 事会薪酬与考核委员会负责根据公司主要经济指标和管理指标的完成情况对高级管理人员的 业绩、工作能力、履职情况进行考评，制定薪酬方案报公司董事会审批。</w:t>
      </w:r>
    </w:p>
    <w:p>
      <w:pPr>
        <w:pStyle w:val="BodyText"/>
        <w:spacing w:line="357" w:lineRule="auto" w:before="74"/>
        <w:ind w:right="303" w:firstLine="480"/>
        <w:jc w:val="left"/>
      </w:pPr>
      <w:r>
        <w:rPr/>
        <w:t>公司已实现了高级管理人员持股计划，初步建立了高管层股权激励机制，公司还将根据</w:t>
      </w:r>
      <w:r>
        <w:rPr>
          <w:spacing w:val="1"/>
        </w:rPr>
        <w:t> </w:t>
      </w:r>
      <w:r>
        <w:rPr/>
        <w:t>中国证监会和深圳证券交易所有关规定，进一步完善骨干层的股权和期权激励机制。</w:t>
      </w:r>
    </w:p>
    <w:p>
      <w:pPr>
        <w:spacing w:after="0" w:line="357"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54" w:right="151" w:firstLine="480"/>
        <w:jc w:val="both"/>
      </w:pPr>
      <w:r>
        <w:rPr/>
        <w:t>公司继续推行美国</w:t>
      </w:r>
      <w:r>
        <w:rPr>
          <w:spacing w:val="-28"/>
        </w:rPr>
        <w:t> </w:t>
      </w:r>
      <w:r>
        <w:rPr/>
        <w:t>GE</w:t>
      </w:r>
      <w:r>
        <w:rPr>
          <w:spacing w:val="-28"/>
        </w:rPr>
        <w:t> </w:t>
      </w:r>
      <w:r>
        <w:rPr/>
        <w:t>公司的</w:t>
      </w:r>
      <w:r>
        <w:rPr>
          <w:spacing w:val="-28"/>
        </w:rPr>
        <w:t> </w:t>
      </w:r>
      <w:r>
        <w:rPr/>
        <w:t>20%-70%-10% 绩效考核制度，制定了详尽的工作量化标准</w:t>
      </w:r>
      <w:r>
        <w:rPr/>
        <w:t> </w:t>
      </w:r>
      <w:r>
        <w:rPr>
          <w:spacing w:val="-3"/>
        </w:rPr>
        <w:t>和奖惩制度，每年评选</w:t>
      </w:r>
      <w:r>
        <w:rPr>
          <w:spacing w:val="-67"/>
        </w:rPr>
        <w:t> </w:t>
      </w:r>
      <w:r>
        <w:rPr/>
        <w:t>20%的优秀员工、70%的合格员工，保持每年</w:t>
      </w:r>
      <w:r>
        <w:rPr>
          <w:spacing w:val="-67"/>
        </w:rPr>
        <w:t> </w:t>
      </w:r>
      <w:r>
        <w:rPr/>
        <w:t>10%</w:t>
      </w:r>
      <w:r>
        <w:rPr>
          <w:spacing w:val="-13"/>
        </w:rPr>
        <w:t> </w:t>
      </w:r>
      <w:r>
        <w:rPr>
          <w:spacing w:val="-3"/>
        </w:rPr>
        <w:t>的人员更新率，确立</w:t>
      </w:r>
      <w:r>
        <w:rPr/>
        <w:t> 建设卓越团队的基础管理体系。</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pStyle w:val="Heading3"/>
        <w:spacing w:line="240" w:lineRule="auto"/>
        <w:ind w:right="0"/>
        <w:jc w:val="left"/>
      </w:pPr>
      <w:r>
        <w:rPr/>
        <w:t>六、公司内部控制制度的建立健全情况</w:t>
      </w:r>
    </w:p>
    <w:p>
      <w:pPr>
        <w:pStyle w:val="BodyText"/>
        <w:spacing w:line="357" w:lineRule="auto" w:before="184"/>
        <w:ind w:left="154" w:right="188" w:firstLine="480"/>
        <w:jc w:val="both"/>
      </w:pPr>
      <w:r>
        <w:rPr/>
        <w:t>公司成立以来，一直致力于内部控制制度的制定和完善，建立了一套完整、合法、有效 的内部控制制度，主要包括：</w:t>
      </w:r>
    </w:p>
    <w:p>
      <w:pPr>
        <w:pStyle w:val="BodyText"/>
        <w:spacing w:line="240" w:lineRule="auto" w:before="35"/>
        <w:ind w:left="634" w:right="0"/>
        <w:jc w:val="left"/>
      </w:pPr>
      <w:r>
        <w:rPr/>
        <w:t>1、以《公司章程》及三会议事规则为核心的公司治理制度；</w:t>
      </w:r>
    </w:p>
    <w:p>
      <w:pPr>
        <w:pStyle w:val="BodyText"/>
        <w:spacing w:line="357" w:lineRule="auto" w:before="152"/>
        <w:ind w:left="994" w:right="0" w:hanging="360"/>
        <w:jc w:val="left"/>
      </w:pPr>
      <w:r>
        <w:rPr>
          <w:spacing w:val="-3"/>
        </w:rPr>
        <w:t>2、以行政管理制度、人力资源管理制度、信息管理控制度、内部控制监督检查管理办法</w:t>
      </w:r>
      <w:r>
        <w:rPr>
          <w:spacing w:val="-87"/>
        </w:rPr>
        <w:t> </w:t>
      </w:r>
      <w:r>
        <w:rPr>
          <w:spacing w:val="-87"/>
        </w:rPr>
      </w:r>
      <w:r>
        <w:rPr/>
        <w:t>为组成的公司日常管理制度；</w:t>
      </w:r>
    </w:p>
    <w:p>
      <w:pPr>
        <w:pStyle w:val="BodyText"/>
        <w:spacing w:line="357" w:lineRule="auto" w:before="35"/>
        <w:ind w:left="994" w:right="0" w:hanging="360"/>
        <w:jc w:val="left"/>
      </w:pPr>
      <w:r>
        <w:rPr>
          <w:spacing w:val="-3"/>
        </w:rPr>
        <w:t>3、按照财政部发布的《企业会计准则》及有关补充规定制定的会计核算制度和财务管理</w:t>
      </w:r>
      <w:r>
        <w:rPr>
          <w:spacing w:val="-85"/>
        </w:rPr>
        <w:t> </w:t>
      </w:r>
      <w:r>
        <w:rPr>
          <w:spacing w:val="-85"/>
        </w:rPr>
      </w:r>
      <w:r>
        <w:rPr/>
        <w:t>制度；</w:t>
      </w:r>
    </w:p>
    <w:p>
      <w:pPr>
        <w:pStyle w:val="BodyText"/>
        <w:spacing w:line="357" w:lineRule="auto" w:before="35"/>
        <w:ind w:left="694" w:right="148" w:hanging="60"/>
        <w:jc w:val="left"/>
      </w:pPr>
      <w:r>
        <w:rPr/>
        <w:t>4、以ISO9001质量管理体系为核心的业务控制制度。 </w:t>
      </w:r>
      <w:r>
        <w:rPr>
          <w:spacing w:val="-1"/>
        </w:rPr>
        <w:t>公司设立内部审计部为公司董事会对公司进行稽核监督的机构。内部审计部按照有利于</w:t>
      </w:r>
    </w:p>
    <w:p>
      <w:pPr>
        <w:pStyle w:val="BodyText"/>
        <w:spacing w:line="357" w:lineRule="auto" w:before="35"/>
        <w:ind w:left="154" w:right="188"/>
        <w:jc w:val="both"/>
      </w:pPr>
      <w:r>
        <w:rPr/>
        <w:t>事前、事中和事后监督的原则，对公司及控制子公司的经营活动和内部控制制度的建立和执 行情况进行检查监督，并对每次检查对象和内容进行评价，提出改进建议和处理意见，确保 内部控制的贯彻实施和生产经营活动的正常进行。</w:t>
      </w:r>
    </w:p>
    <w:p>
      <w:pPr>
        <w:pStyle w:val="BodyText"/>
        <w:spacing w:line="357" w:lineRule="auto" w:before="35"/>
        <w:ind w:left="154" w:right="151" w:firstLine="540"/>
        <w:jc w:val="both"/>
      </w:pPr>
      <w:r>
        <w:rPr>
          <w:spacing w:val="-1"/>
        </w:rPr>
        <w:t>公司管理层认为，公司现有的内部控制制度是针对公司的实际情况而制订的，涵盖了公</w:t>
      </w:r>
      <w:r>
        <w:rPr/>
        <w:t> 司研发、生产、营销、投资决策、预算控制、成本管理、人力资源、文件档案等各个管理环 节。内部控制制度有力地保证了公司经营业务的有效进行，保护了资产的安全和完整，能够 防止并及时发现、纠正错误，保证了公司财务资料的真实、合法、完整，促进了公司经营效 率的提高和经营目标的实现，符合公司发展的要求，在完整性、有效性和合理性方面不存在 重大缺陷。公司内控制度得到完整、合理和有效的执行。今后，公司将根据公司业务发展和 内部机构调整的需要，及时完善和补充内部控制制度，提高内部控制制度的可操作性，以使 内部控制制度在公司的经营管理中发挥更大的作用，促进公司持续、稳健、高速发展。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right="0"/>
        <w:jc w:val="left"/>
      </w:pPr>
      <w:r>
        <w:rPr/>
        <w:t>七、公司内部审计制度的建立和执行情况</w:t>
      </w:r>
    </w:p>
    <w:p>
      <w:pPr>
        <w:pStyle w:val="BodyText"/>
        <w:spacing w:line="357" w:lineRule="auto" w:before="185"/>
        <w:ind w:left="154" w:right="188" w:firstLine="480"/>
        <w:jc w:val="both"/>
      </w:pPr>
      <w:r>
        <w:rPr/>
        <w:t>公司根椐深圳证券交易所《中小企业板块上市公司特别规定》的要求，以及经营活动的 实际需要，设立了内部审计部，制定了《内部审计管理制度》进一步完善了审计部的内部管</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4" w:right="151"/>
        <w:jc w:val="both"/>
      </w:pPr>
      <w:r>
        <w:rPr>
          <w:spacing w:val="-3"/>
        </w:rPr>
        <w:t>理和职能，并由董事会聘任了审计部负责人，配置3名专职人员。同时，公司董事会下设审计</w:t>
      </w:r>
      <w:r>
        <w:rPr>
          <w:spacing w:val="-81"/>
        </w:rPr>
        <w:t> </w:t>
      </w:r>
      <w:r>
        <w:rPr>
          <w:spacing w:val="-81"/>
        </w:rPr>
      </w:r>
      <w:r>
        <w:rPr/>
        <w:t>委员会，代表董事会执行审计监督职能。为改善公司经营管理，提高经济效益，确保资产完 整与安全，报告期内，对公司事业部和主要子公司进行了专项审计，并对公司的募集资金的 使用与管理、财务报告、业绩快报、资金及财产管理、成本费用、经济效益以及规章制度和 财经纪律的执行情况等进行了监督检查，忠实履行了审计监督程序。</w:t>
      </w:r>
    </w:p>
    <w:p>
      <w:pPr>
        <w:spacing w:after="0" w:line="357" w:lineRule="auto"/>
        <w:jc w:val="both"/>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before="177"/>
        <w:ind w:left="3212" w:right="214" w:firstLine="0"/>
        <w:jc w:val="left"/>
        <w:rPr>
          <w:rFonts w:ascii="黑体" w:hAnsi="黑体" w:cs="黑体" w:eastAsia="黑体" w:hint="default"/>
          <w:sz w:val="32"/>
          <w:szCs w:val="32"/>
        </w:rPr>
      </w:pPr>
      <w:bookmarkStart w:name="_bookmark5" w:id="10"/>
      <w:bookmarkEnd w:id="10"/>
      <w:r>
        <w:rPr/>
      </w:r>
      <w:r>
        <w:rPr>
          <w:rFonts w:ascii="黑体" w:hAnsi="黑体" w:cs="黑体" w:eastAsia="黑体" w:hint="default"/>
          <w:sz w:val="32"/>
          <w:szCs w:val="32"/>
        </w:rPr>
        <w:t>第六节股东大会情况简介</w:t>
      </w:r>
    </w:p>
    <w:p>
      <w:pPr>
        <w:pStyle w:val="BodyText"/>
        <w:spacing w:line="357" w:lineRule="auto" w:before="256"/>
        <w:ind w:left="634" w:right="250"/>
        <w:jc w:val="left"/>
      </w:pPr>
      <w:r>
        <w:rPr/>
        <w:t>报告期内，公司共计召开1 次年度股东大会、1 次临时股东大会，会议具体情况如下： 一、公司于2007年5月12日在鞍山经济开发区联谊路5好公司会议室召开了2006年度股东</w:t>
      </w:r>
    </w:p>
    <w:p>
      <w:pPr>
        <w:pStyle w:val="BodyText"/>
        <w:spacing w:line="357" w:lineRule="auto" w:before="36"/>
        <w:ind w:left="694" w:right="4510" w:hanging="540"/>
        <w:jc w:val="left"/>
      </w:pPr>
      <w:r>
        <w:rPr/>
        <w:t>大会，会议主要审议如下议案： 1、审议《公司2006 年度董事会工作报告》；</w:t>
      </w:r>
    </w:p>
    <w:p>
      <w:pPr>
        <w:pStyle w:val="BodyText"/>
        <w:spacing w:line="240" w:lineRule="auto" w:before="35"/>
        <w:ind w:left="694" w:right="214"/>
        <w:jc w:val="left"/>
      </w:pPr>
      <w:r>
        <w:rPr/>
        <w:t>2、审议《公司2006 年度监事会工作报告》；</w:t>
      </w:r>
    </w:p>
    <w:p>
      <w:pPr>
        <w:pStyle w:val="BodyText"/>
        <w:spacing w:line="240" w:lineRule="auto" w:before="152"/>
        <w:ind w:left="694" w:right="214"/>
        <w:jc w:val="left"/>
      </w:pPr>
      <w:r>
        <w:rPr/>
        <w:t>3、审议《公司2006 年度财务报告》；</w:t>
      </w:r>
    </w:p>
    <w:p>
      <w:pPr>
        <w:pStyle w:val="BodyText"/>
        <w:spacing w:line="240" w:lineRule="auto" w:before="152"/>
        <w:ind w:left="694" w:right="214"/>
        <w:jc w:val="left"/>
      </w:pPr>
      <w:r>
        <w:rPr/>
        <w:t>4、审议《公司2006 年度财务决算报告》；</w:t>
      </w:r>
    </w:p>
    <w:p>
      <w:pPr>
        <w:pStyle w:val="BodyText"/>
        <w:spacing w:line="240" w:lineRule="auto" w:before="152"/>
        <w:ind w:left="694" w:right="214"/>
        <w:jc w:val="left"/>
      </w:pPr>
      <w:r>
        <w:rPr/>
        <w:t>5、审议《公司2006 年度利润分配方案》；</w:t>
      </w:r>
    </w:p>
    <w:p>
      <w:pPr>
        <w:pStyle w:val="BodyText"/>
        <w:spacing w:line="240" w:lineRule="auto" w:before="152"/>
        <w:ind w:left="694" w:right="214"/>
        <w:jc w:val="left"/>
      </w:pPr>
      <w:r>
        <w:rPr/>
        <w:t>6、审议《关于选举公司第三届董事会成员及董事薪酬的议案》；</w:t>
      </w:r>
    </w:p>
    <w:p>
      <w:pPr>
        <w:pStyle w:val="BodyText"/>
        <w:spacing w:line="240" w:lineRule="auto" w:before="152"/>
        <w:ind w:left="694" w:right="214"/>
        <w:jc w:val="left"/>
      </w:pPr>
      <w:r>
        <w:rPr/>
        <w:t>7、审议《关于选举公司第三届监事会非职工代表监事的议案》；</w:t>
      </w:r>
    </w:p>
    <w:p>
      <w:pPr>
        <w:pStyle w:val="BodyText"/>
        <w:spacing w:line="240" w:lineRule="auto" w:before="152"/>
        <w:ind w:left="694" w:right="0"/>
        <w:jc w:val="left"/>
      </w:pPr>
      <w:r>
        <w:rPr/>
        <w:t>8、审议《关于续聘深圳天健信德会计师事务所为公司2007年度财务审计机构的议案》；</w:t>
      </w:r>
    </w:p>
    <w:p>
      <w:pPr>
        <w:pStyle w:val="BodyText"/>
        <w:spacing w:line="240" w:lineRule="auto" w:before="192"/>
        <w:ind w:left="694" w:right="214"/>
        <w:jc w:val="left"/>
      </w:pPr>
      <w:r>
        <w:rPr/>
        <w:t>9、审议《关于修改公司章程的议案</w:t>
      </w:r>
      <w:r>
        <w:rPr>
          <w:spacing w:val="-120"/>
        </w:rPr>
        <w:t>》</w:t>
      </w:r>
      <w:r>
        <w:rPr/>
        <w:t>；</w:t>
      </w:r>
    </w:p>
    <w:p>
      <w:pPr>
        <w:pStyle w:val="BodyText"/>
        <w:spacing w:line="386" w:lineRule="auto" w:before="193"/>
        <w:ind w:left="634" w:right="2050" w:firstLine="60"/>
        <w:jc w:val="left"/>
      </w:pPr>
      <w:r>
        <w:rPr/>
        <w:t>10、听取独立董事</w:t>
      </w:r>
      <w:r>
        <w:rPr>
          <w:spacing w:val="-60"/>
        </w:rPr>
        <w:t> </w:t>
      </w:r>
      <w:r>
        <w:rPr/>
        <w:t>2006</w:t>
      </w:r>
      <w:r>
        <w:rPr>
          <w:spacing w:val="-60"/>
        </w:rPr>
        <w:t> </w:t>
      </w:r>
      <w:r>
        <w:rPr/>
        <w:t>年度述职报告。</w:t>
      </w:r>
      <w:r>
        <w:rPr/>
        <w:t> 股东大会决议公告刊登于2007年5月15日的《证券时报》及巨潮资讯网</w:t>
      </w:r>
    </w:p>
    <w:p>
      <w:pPr>
        <w:pStyle w:val="BodyText"/>
        <w:spacing w:line="240" w:lineRule="auto" w:before="6"/>
        <w:ind w:left="154" w:right="214"/>
        <w:jc w:val="left"/>
      </w:pPr>
      <w:hyperlink r:id="rId11">
        <w:r>
          <w:rPr/>
          <w:t>（http://www.cninfo.com.cn）上。</w:t>
        </w:r>
      </w:hyperlink>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ind w:left="154" w:right="310" w:firstLine="540"/>
        <w:jc w:val="left"/>
      </w:pPr>
      <w:r>
        <w:rPr/>
        <w:t>二、公司于2007年7月9日在鞍山经济开发区联谊路5号公司会议室召开了2007年第一次 临时股东大会，会议主要审议如下议案：</w:t>
      </w:r>
    </w:p>
    <w:p>
      <w:pPr>
        <w:pStyle w:val="BodyText"/>
        <w:spacing w:line="240" w:lineRule="auto" w:before="76"/>
        <w:ind w:left="634" w:right="214"/>
        <w:jc w:val="left"/>
      </w:pPr>
      <w:r>
        <w:rPr/>
        <w:t>1、审议《变更公司注册名称的议案</w:t>
      </w:r>
      <w:r>
        <w:rPr>
          <w:spacing w:val="-120"/>
        </w:rPr>
        <w:t>》</w:t>
      </w:r>
      <w:r>
        <w:rPr/>
        <w:t>；</w:t>
      </w:r>
    </w:p>
    <w:p>
      <w:pPr>
        <w:pStyle w:val="BodyText"/>
        <w:spacing w:line="240" w:lineRule="auto" w:before="192"/>
        <w:ind w:left="634" w:right="214"/>
        <w:jc w:val="left"/>
      </w:pPr>
      <w:r>
        <w:rPr/>
        <w:t>2、审议《关于修改〈公司章程〉的议案</w:t>
      </w:r>
      <w:r>
        <w:rPr>
          <w:spacing w:val="-120"/>
        </w:rPr>
        <w:t>》</w:t>
      </w:r>
      <w:r>
        <w:rPr/>
        <w:t>；</w:t>
      </w:r>
    </w:p>
    <w:p>
      <w:pPr>
        <w:pStyle w:val="BodyText"/>
        <w:spacing w:line="240" w:lineRule="auto" w:before="193"/>
        <w:ind w:left="634" w:right="214"/>
        <w:jc w:val="left"/>
      </w:pPr>
      <w:r>
        <w:rPr/>
        <w:t>3、审议《修改&lt;募集资金管理办法&gt;的议案</w:t>
      </w:r>
      <w:r>
        <w:rPr>
          <w:spacing w:val="-120"/>
        </w:rPr>
        <w:t>》</w:t>
      </w:r>
      <w:r>
        <w:rPr/>
        <w:t>。</w:t>
      </w:r>
    </w:p>
    <w:p>
      <w:pPr>
        <w:pStyle w:val="BodyText"/>
        <w:spacing w:line="312" w:lineRule="exact" w:before="192"/>
        <w:ind w:left="634" w:right="100"/>
        <w:jc w:val="left"/>
      </w:pPr>
      <w:r>
        <w:rPr>
          <w:spacing w:val="34"/>
        </w:rPr>
        <w:t>股东大会决议公告刊登于 </w:t>
      </w:r>
      <w:r>
        <w:rPr/>
        <w:t>2007 年 7 月 10 </w:t>
      </w:r>
      <w:r>
        <w:rPr>
          <w:spacing w:val="83"/>
        </w:rPr>
        <w:t> </w:t>
      </w:r>
      <w:r>
        <w:rPr>
          <w:spacing w:val="35"/>
        </w:rPr>
        <w:t>日的《证券时报》及巨潮资讯网</w:t>
      </w:r>
      <w:r>
        <w:rPr>
          <w:spacing w:val="-82"/>
        </w:rPr>
        <w:t> </w:t>
      </w:r>
      <w:r>
        <w:rPr/>
      </w:r>
    </w:p>
    <w:p>
      <w:pPr>
        <w:pStyle w:val="BodyText"/>
        <w:spacing w:line="312" w:lineRule="exact"/>
        <w:ind w:right="214"/>
        <w:jc w:val="left"/>
      </w:pPr>
      <w:hyperlink r:id="rId11">
        <w:r>
          <w:rPr/>
          <w:t>（http://www.cninfo.com.cn）上。</w:t>
        </w:r>
      </w:hyperlink>
    </w:p>
    <w:p>
      <w:pPr>
        <w:spacing w:after="0" w:line="312" w:lineRule="exact"/>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before="137"/>
        <w:ind w:left="0" w:right="76" w:firstLine="0"/>
        <w:jc w:val="center"/>
        <w:rPr>
          <w:rFonts w:ascii="黑体" w:hAnsi="黑体" w:cs="黑体" w:eastAsia="黑体" w:hint="default"/>
          <w:sz w:val="32"/>
          <w:szCs w:val="32"/>
        </w:rPr>
      </w:pPr>
      <w:bookmarkStart w:name="_bookmark6" w:id="11"/>
      <w:bookmarkEnd w:id="11"/>
      <w:r>
        <w:rPr/>
      </w:r>
      <w:r>
        <w:rPr>
          <w:rFonts w:ascii="黑体" w:hAnsi="黑体" w:cs="黑体" w:eastAsia="黑体" w:hint="default"/>
          <w:sz w:val="32"/>
          <w:szCs w:val="32"/>
        </w:rPr>
        <w:t>第七节</w:t>
      </w:r>
      <w:r>
        <w:rPr>
          <w:rFonts w:ascii="黑体" w:hAnsi="黑体" w:cs="黑体" w:eastAsia="黑体" w:hint="default"/>
          <w:spacing w:val="-5"/>
          <w:sz w:val="32"/>
          <w:szCs w:val="32"/>
        </w:rPr>
        <w:t> </w:t>
      </w:r>
      <w:r>
        <w:rPr>
          <w:rFonts w:ascii="黑体" w:hAnsi="黑体" w:cs="黑体" w:eastAsia="黑体" w:hint="default"/>
          <w:sz w:val="32"/>
          <w:szCs w:val="32"/>
        </w:rPr>
        <w:t>董事会报告</w:t>
      </w:r>
    </w:p>
    <w:p>
      <w:pPr>
        <w:spacing w:line="357" w:lineRule="auto" w:before="208"/>
        <w:ind w:left="389" w:right="5050" w:hanging="236"/>
        <w:jc w:val="left"/>
        <w:rPr>
          <w:rFonts w:ascii="宋体" w:hAnsi="宋体" w:cs="宋体" w:eastAsia="宋体" w:hint="default"/>
          <w:sz w:val="24"/>
          <w:szCs w:val="24"/>
        </w:rPr>
      </w:pPr>
      <w:r>
        <w:rPr>
          <w:rFonts w:ascii="宋体" w:hAnsi="宋体" w:cs="宋体" w:eastAsia="宋体" w:hint="default"/>
          <w:sz w:val="24"/>
          <w:szCs w:val="24"/>
        </w:rPr>
        <w:t>一、公司经营情况 </w:t>
      </w:r>
      <w:r>
        <w:rPr>
          <w:rFonts w:ascii="宋体" w:hAnsi="宋体" w:cs="宋体" w:eastAsia="宋体" w:hint="default"/>
          <w:b/>
          <w:bCs/>
          <w:w w:val="95"/>
          <w:sz w:val="24"/>
          <w:szCs w:val="24"/>
        </w:rPr>
        <w:t>(一)公司报告期内总体经营情况</w:t>
      </w:r>
      <w:r>
        <w:rPr>
          <w:rFonts w:ascii="宋体" w:hAnsi="宋体" w:cs="宋体" w:eastAsia="宋体" w:hint="default"/>
          <w:b/>
          <w:bCs/>
          <w:w w:val="99"/>
          <w:sz w:val="24"/>
          <w:szCs w:val="24"/>
        </w:rPr>
        <w:t> </w:t>
      </w:r>
      <w:r>
        <w:rPr>
          <w:rFonts w:ascii="宋体" w:hAnsi="宋体" w:cs="宋体" w:eastAsia="宋体" w:hint="default"/>
          <w:b/>
          <w:bCs/>
          <w:sz w:val="24"/>
          <w:szCs w:val="24"/>
        </w:rPr>
        <w:t>1、公司总体经营情况</w:t>
      </w:r>
      <w:r>
        <w:rPr>
          <w:rFonts w:ascii="宋体" w:hAnsi="宋体" w:cs="宋体" w:eastAsia="宋体" w:hint="default"/>
          <w:sz w:val="24"/>
          <w:szCs w:val="24"/>
        </w:rPr>
      </w:r>
    </w:p>
    <w:p>
      <w:pPr>
        <w:pStyle w:val="BodyText"/>
        <w:spacing w:line="357" w:lineRule="auto" w:before="36"/>
        <w:ind w:left="154" w:right="231" w:firstLine="480"/>
        <w:jc w:val="both"/>
      </w:pPr>
      <w:r>
        <w:rPr/>
        <w:t>报告期内，在国家大力推动全社会节能降耗和安全生产的宏观背景下，公司主导产品市 场需求强劲增长，本公司通过积极提高自主创新能力，加大科技研发投入，通过提升内部管 </w:t>
      </w:r>
      <w:r>
        <w:rPr>
          <w:spacing w:val="-2"/>
        </w:rPr>
        <w:t>理，控制成本费用，全面提升综合竞争力，取得了较好的经营业绩，并于2007年3月28日，在</w:t>
      </w:r>
      <w:r>
        <w:rPr>
          <w:spacing w:val="-116"/>
        </w:rPr>
        <w:t> </w:t>
      </w:r>
      <w:r>
        <w:rPr>
          <w:spacing w:val="-116"/>
        </w:rPr>
      </w:r>
      <w:r>
        <w:rPr/>
        <w:t>深圳证券交易所上市。</w:t>
      </w:r>
    </w:p>
    <w:p>
      <w:pPr>
        <w:pStyle w:val="BodyText"/>
        <w:spacing w:line="240" w:lineRule="auto" w:before="36"/>
        <w:ind w:left="634" w:right="214"/>
        <w:jc w:val="left"/>
      </w:pPr>
      <w:r>
        <w:rPr/>
        <w:t>2007年度公司实现营业收入36,715.70万元，营业利润5,111.21万元，实现净利润</w:t>
      </w:r>
    </w:p>
    <w:p>
      <w:pPr>
        <w:pStyle w:val="BodyText"/>
        <w:spacing w:line="240" w:lineRule="auto" w:before="154"/>
        <w:ind w:left="154" w:right="214"/>
        <w:jc w:val="left"/>
      </w:pPr>
      <w:r>
        <w:rPr/>
        <w:t>8,332.18万元，同比增长64.20%。</w:t>
      </w:r>
    </w:p>
    <w:p>
      <w:pPr>
        <w:spacing w:line="240" w:lineRule="auto" w:before="8"/>
        <w:rPr>
          <w:rFonts w:ascii="宋体" w:hAnsi="宋体" w:cs="宋体" w:eastAsia="宋体" w:hint="default"/>
          <w:sz w:val="23"/>
          <w:szCs w:val="23"/>
        </w:rPr>
      </w:pPr>
    </w:p>
    <w:p>
      <w:pPr>
        <w:pStyle w:val="BodyText"/>
        <w:spacing w:line="386" w:lineRule="auto"/>
        <w:ind w:left="636" w:right="217"/>
        <w:jc w:val="left"/>
      </w:pPr>
      <w:r>
        <w:rPr>
          <w:rFonts w:ascii="宋体" w:hAnsi="宋体" w:cs="宋体" w:eastAsia="宋体" w:hint="default"/>
          <w:b/>
          <w:bCs/>
        </w:rPr>
        <w:t>（1）市场发展</w:t>
      </w:r>
      <w:r>
        <w:rPr>
          <w:rFonts w:ascii="宋体" w:hAnsi="宋体" w:cs="宋体" w:eastAsia="宋体" w:hint="default"/>
          <w:b/>
          <w:bCs/>
          <w:spacing w:val="1"/>
          <w:w w:val="99"/>
        </w:rPr>
        <w:t> </w:t>
      </w:r>
      <w:r>
        <w:rPr>
          <w:spacing w:val="-18"/>
        </w:rPr>
        <w:t>报告期内，公司凭借技术、品牌、管理、服务等优势，进一步开拓市场，签订订单</w:t>
      </w:r>
      <w:r>
        <w:rPr>
          <w:spacing w:val="-41"/>
        </w:rPr>
        <w:t> </w:t>
      </w:r>
      <w:r>
        <w:rPr/>
        <w:t>62,042.80</w:t>
      </w:r>
    </w:p>
    <w:p>
      <w:pPr>
        <w:pStyle w:val="BodyText"/>
        <w:spacing w:line="240" w:lineRule="auto" w:before="6"/>
        <w:ind w:right="214"/>
        <w:jc w:val="left"/>
      </w:pPr>
      <w:r>
        <w:rPr/>
        <w:t>万元同比增</w:t>
      </w:r>
      <w:r>
        <w:rPr>
          <w:spacing w:val="-60"/>
        </w:rPr>
        <w:t> </w:t>
      </w:r>
      <w:r>
        <w:rPr/>
        <w:t>106.49%。</w:t>
      </w:r>
    </w:p>
    <w:p>
      <w:pPr>
        <w:pStyle w:val="BodyText"/>
        <w:spacing w:line="357" w:lineRule="auto" w:before="193"/>
        <w:ind w:right="99" w:firstLine="482"/>
        <w:jc w:val="left"/>
      </w:pPr>
      <w:r>
        <w:rPr/>
        <w:t>主导产品</w:t>
      </w:r>
      <w:r>
        <w:rPr>
          <w:spacing w:val="-60"/>
        </w:rPr>
        <w:t> </w:t>
      </w:r>
      <w:r>
        <w:rPr/>
        <w:t>SVC</w:t>
      </w:r>
      <w:r>
        <w:rPr>
          <w:spacing w:val="-60"/>
        </w:rPr>
        <w:t> </w:t>
      </w:r>
      <w:r>
        <w:rPr/>
        <w:t>国内市场占有率继续保持</w:t>
      </w:r>
      <w:r>
        <w:rPr>
          <w:spacing w:val="-60"/>
        </w:rPr>
        <w:t> </w:t>
      </w:r>
      <w:r>
        <w:rPr>
          <w:spacing w:val="-9"/>
        </w:rPr>
        <w:t>50%以上，2007</w:t>
      </w:r>
      <w:r>
        <w:rPr>
          <w:spacing w:val="-60"/>
        </w:rPr>
        <w:t> </w:t>
      </w:r>
      <w:r>
        <w:rPr/>
        <w:t>年签订定单</w:t>
      </w:r>
      <w:r>
        <w:rPr>
          <w:spacing w:val="-60"/>
        </w:rPr>
        <w:t> </w:t>
      </w:r>
      <w:r>
        <w:rPr/>
        <w:t>45,474.48</w:t>
      </w:r>
      <w:r>
        <w:rPr>
          <w:spacing w:val="-60"/>
        </w:rPr>
        <w:t> </w:t>
      </w:r>
      <w:r>
        <w:rPr/>
        <w:t>万元,同比</w:t>
      </w:r>
      <w:r>
        <w:rPr/>
        <w:t> 增长</w:t>
      </w:r>
      <w:r>
        <w:rPr>
          <w:spacing w:val="-40"/>
        </w:rPr>
        <w:t> </w:t>
      </w:r>
      <w:r>
        <w:rPr>
          <w:spacing w:val="-4"/>
        </w:rPr>
        <w:t>86.48%；在保持冶金、电气化铁路、煤炭等行业的领先地位基础上，开始进入电力系统、</w:t>
      </w:r>
      <w:r>
        <w:rPr>
          <w:spacing w:val="-117"/>
        </w:rPr>
        <w:t> </w:t>
      </w:r>
      <w:r>
        <w:rPr>
          <w:spacing w:val="-117"/>
        </w:rPr>
      </w:r>
      <w:r>
        <w:rPr/>
        <w:t>有色金属、风力发电等新行业；</w:t>
      </w:r>
    </w:p>
    <w:p>
      <w:pPr>
        <w:pStyle w:val="BodyText"/>
        <w:spacing w:line="388" w:lineRule="auto" w:before="74"/>
        <w:ind w:left="636" w:right="214"/>
        <w:jc w:val="left"/>
      </w:pPr>
      <w:r>
        <w:rPr/>
        <w:t>公司另一主导产品</w:t>
      </w:r>
      <w:r>
        <w:rPr>
          <w:spacing w:val="-60"/>
        </w:rPr>
        <w:t> </w:t>
      </w:r>
      <w:r>
        <w:rPr/>
        <w:t>MABZ</w:t>
      </w:r>
      <w:r>
        <w:rPr>
          <w:spacing w:val="-60"/>
        </w:rPr>
        <w:t> </w:t>
      </w:r>
      <w:r>
        <w:rPr/>
        <w:t>在报告期内签订定单</w:t>
      </w:r>
      <w:r>
        <w:rPr>
          <w:spacing w:val="-60"/>
        </w:rPr>
        <w:t> </w:t>
      </w:r>
      <w:r>
        <w:rPr/>
        <w:t>2,494.65</w:t>
      </w:r>
      <w:r>
        <w:rPr>
          <w:spacing w:val="-60"/>
        </w:rPr>
        <w:t> </w:t>
      </w:r>
      <w:r>
        <w:rPr/>
        <w:t>万元，同比增长</w:t>
      </w:r>
      <w:r>
        <w:rPr>
          <w:spacing w:val="-60"/>
        </w:rPr>
        <w:t> </w:t>
      </w:r>
      <w:r>
        <w:rPr/>
        <w:t>225.97%。</w:t>
      </w:r>
      <w:r>
        <w:rPr/>
        <w:t> </w:t>
      </w:r>
      <w:r>
        <w:rPr>
          <w:spacing w:val="-3"/>
        </w:rPr>
        <w:t>公司新产品四象限大功率高压变频装置（HVC）、大功率高压软启动（VFS）2007</w:t>
      </w:r>
      <w:r>
        <w:rPr>
          <w:spacing w:val="1"/>
        </w:rPr>
        <w:t> </w:t>
      </w:r>
      <w:r>
        <w:rPr/>
        <w:t>年签订</w:t>
      </w:r>
    </w:p>
    <w:p>
      <w:pPr>
        <w:pStyle w:val="BodyText"/>
        <w:spacing w:line="386" w:lineRule="auto" w:before="4"/>
        <w:ind w:left="636" w:right="1088" w:hanging="483"/>
        <w:jc w:val="left"/>
      </w:pPr>
      <w:r>
        <w:rPr/>
        <w:t>定单</w:t>
      </w:r>
      <w:r>
        <w:rPr>
          <w:spacing w:val="-60"/>
        </w:rPr>
        <w:t> </w:t>
      </w:r>
      <w:r>
        <w:rPr/>
        <w:t>4,866.48</w:t>
      </w:r>
      <w:r>
        <w:rPr>
          <w:spacing w:val="-60"/>
        </w:rPr>
        <w:t> </w:t>
      </w:r>
      <w:r>
        <w:rPr/>
        <w:t>万元，同比增长</w:t>
      </w:r>
      <w:r>
        <w:rPr>
          <w:spacing w:val="-60"/>
        </w:rPr>
        <w:t> </w:t>
      </w:r>
      <w:r>
        <w:rPr/>
        <w:t>507.29%。</w:t>
      </w:r>
      <w:r>
        <w:rPr/>
        <w:t> 新研发成功的高压大功率静止无功发生器（STATCOM）开始步入市场推广阶段。</w:t>
      </w:r>
    </w:p>
    <w:p>
      <w:pPr>
        <w:pStyle w:val="BodyText"/>
        <w:spacing w:line="357" w:lineRule="auto" w:before="47"/>
        <w:ind w:right="231" w:firstLine="482"/>
        <w:jc w:val="both"/>
      </w:pPr>
      <w:r>
        <w:rPr/>
        <w:t>继公司 SVC</w:t>
      </w:r>
      <w:r>
        <w:rPr>
          <w:spacing w:val="-84"/>
        </w:rPr>
        <w:t> </w:t>
      </w:r>
      <w:r>
        <w:rPr/>
        <w:t>产品出口海外市场之后，本公司与德国莫克泰克公司合作实现新产品船用高</w:t>
      </w:r>
      <w:r>
        <w:rPr/>
        <w:t> 压软启动装置出口欧洲。</w:t>
      </w:r>
    </w:p>
    <w:p>
      <w:pPr>
        <w:pStyle w:val="BodyText"/>
        <w:spacing w:line="357" w:lineRule="auto" w:before="74"/>
        <w:ind w:left="636" w:right="248"/>
        <w:jc w:val="left"/>
      </w:pPr>
      <w:r>
        <w:rPr>
          <w:rFonts w:ascii="宋体" w:hAnsi="宋体" w:cs="宋体" w:eastAsia="宋体" w:hint="default"/>
          <w:b/>
          <w:bCs/>
        </w:rPr>
        <w:t>（2）管理发展</w:t>
      </w:r>
      <w:r>
        <w:rPr>
          <w:rFonts w:ascii="宋体" w:hAnsi="宋体" w:cs="宋体" w:eastAsia="宋体" w:hint="default"/>
          <w:b/>
          <w:bCs/>
          <w:spacing w:val="1"/>
          <w:w w:val="99"/>
        </w:rPr>
        <w:t> </w:t>
      </w:r>
      <w:r>
        <w:rPr/>
        <w:t>公司质量管理体系在不断的运行中继续得到完善和发展，覆盖了公司所有业务范围，顺</w:t>
      </w:r>
    </w:p>
    <w:p>
      <w:pPr>
        <w:pStyle w:val="BodyText"/>
        <w:spacing w:line="240" w:lineRule="auto" w:before="35"/>
        <w:ind w:right="214"/>
        <w:jc w:val="left"/>
      </w:pPr>
      <w:r>
        <w:rPr/>
        <w:t>利通过ISO9001审核；</w:t>
      </w:r>
    </w:p>
    <w:p>
      <w:pPr>
        <w:pStyle w:val="BodyText"/>
        <w:spacing w:line="357" w:lineRule="auto" w:before="152"/>
        <w:ind w:right="267" w:firstLine="482"/>
        <w:jc w:val="both"/>
      </w:pPr>
      <w:r>
        <w:rPr/>
        <w:t>公司继续推行美国GE公司的20%-70%-10% 绩效考核制度，人才引进力度加大，加盟一批 高素质人才，公司推行以部门为主体的扁平化管理（部长负责制），制定了详尽的工作量化 标准和奖惩制度。</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38" w:lineRule="auto" w:before="26"/>
        <w:ind w:right="231" w:firstLine="482"/>
        <w:jc w:val="both"/>
      </w:pPr>
      <w:r>
        <w:rPr>
          <w:spacing w:val="-4"/>
        </w:rPr>
        <w:t>公司上市申报工作通过证监会和深圳证券交易所核准，于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月在深交所上市成为 公众公司。</w:t>
      </w:r>
    </w:p>
    <w:p>
      <w:pPr>
        <w:pStyle w:val="BodyText"/>
        <w:spacing w:line="357" w:lineRule="auto" w:before="94"/>
        <w:ind w:right="228" w:firstLine="482"/>
        <w:jc w:val="both"/>
      </w:pPr>
      <w:r>
        <w:rPr/>
        <w:t>公司实施品牌发展战略，加大广告投入，增强品牌影响力度，为创建百年荣信奠定坚实</w:t>
      </w:r>
      <w:r>
        <w:rPr>
          <w:spacing w:val="1"/>
        </w:rPr>
        <w:t> </w:t>
      </w:r>
      <w:r>
        <w:rPr/>
        <w:t>基础。</w:t>
      </w:r>
    </w:p>
    <w:p>
      <w:pPr>
        <w:pStyle w:val="BodyText"/>
        <w:spacing w:line="357" w:lineRule="auto" w:before="74"/>
        <w:ind w:right="267" w:firstLine="482"/>
        <w:jc w:val="both"/>
      </w:pPr>
      <w:r>
        <w:rPr/>
        <w:t>董事会制定和审核通过了《接待和推广制度》、《内部控制检查监督办法》修订了《募 集资金管理办法》、《信息披露事务管理制度》等相关制度，推动了公司法人治理结构的完 善，使投资者权益保护工作得到制度上的保障。</w:t>
      </w:r>
    </w:p>
    <w:p>
      <w:pPr>
        <w:pStyle w:val="BodyText"/>
        <w:spacing w:line="357" w:lineRule="auto" w:before="35"/>
        <w:ind w:left="633" w:right="103" w:firstLine="2"/>
        <w:jc w:val="left"/>
      </w:pPr>
      <w:r>
        <w:rPr>
          <w:rFonts w:ascii="宋体" w:hAnsi="宋体" w:cs="宋体" w:eastAsia="宋体" w:hint="default"/>
          <w:b/>
          <w:bCs/>
        </w:rPr>
        <w:t>（3）产品发展与技术创新</w:t>
      </w:r>
      <w:r>
        <w:rPr>
          <w:rFonts w:ascii="宋体" w:hAnsi="宋体" w:cs="宋体" w:eastAsia="宋体" w:hint="default"/>
          <w:b/>
          <w:bCs/>
          <w:spacing w:val="1"/>
          <w:w w:val="99"/>
        </w:rPr>
        <w:t> </w:t>
      </w:r>
      <w:r>
        <w:rPr>
          <w:spacing w:val="-2"/>
        </w:rPr>
        <w:t>报告期，公司继续增加研发投入，共计投入研发资金5,204.79万元，占销售收入14.18%。</w:t>
      </w:r>
      <w:r>
        <w:rPr>
          <w:spacing w:val="-112"/>
        </w:rPr>
        <w:t> </w:t>
      </w:r>
      <w:r>
        <w:rPr>
          <w:spacing w:val="-112"/>
        </w:rPr>
      </w:r>
      <w:r>
        <w:rPr/>
        <w:t>新产品研发取得的实质性突破：</w:t>
      </w:r>
    </w:p>
    <w:p>
      <w:pPr>
        <w:pStyle w:val="BodyText"/>
        <w:spacing w:line="240" w:lineRule="auto" w:before="35"/>
        <w:ind w:left="633" w:right="214"/>
        <w:jc w:val="left"/>
      </w:pPr>
      <w:r>
        <w:rPr/>
        <w:t>①高压大功率静止无功发生器（STATCOM）研制成功，并在上海南翔铁路开始实施；</w:t>
      </w:r>
    </w:p>
    <w:p>
      <w:pPr>
        <w:pStyle w:val="BodyText"/>
        <w:spacing w:line="357" w:lineRule="auto" w:before="152"/>
        <w:ind w:right="268" w:firstLine="480"/>
        <w:jc w:val="both"/>
      </w:pPr>
      <w:r>
        <w:rPr/>
        <w:t>②光触发SVC研制成功并投运，本公司成为继德国西门子之后国内唯一的,世界上少数几 个应用此技术生产SVC的制造商；</w:t>
      </w:r>
    </w:p>
    <w:p>
      <w:pPr>
        <w:pStyle w:val="BodyText"/>
        <w:spacing w:line="357" w:lineRule="auto" w:before="35"/>
        <w:ind w:right="268" w:firstLine="480"/>
        <w:jc w:val="both"/>
      </w:pPr>
      <w:r>
        <w:rPr/>
        <w:t>③高压软启动装置取得技术突破，公司新研发的技术《跳波式有级变频无级调压电机软 启动方法及装置》具有世界先进水平，已申请国际专利并被正式受理。</w:t>
      </w:r>
    </w:p>
    <w:p>
      <w:pPr>
        <w:pStyle w:val="BodyText"/>
        <w:spacing w:line="357" w:lineRule="auto" w:before="35"/>
        <w:ind w:right="231" w:firstLine="480"/>
        <w:jc w:val="both"/>
      </w:pPr>
      <w:r>
        <w:rPr>
          <w:spacing w:val="-3"/>
        </w:rPr>
        <w:t>报告期,本公司获得国家财政部、科技部“关于下达2007年国家科技支撑计划课题（第二</w:t>
      </w:r>
      <w:r>
        <w:rPr/>
        <w:t> </w:t>
      </w:r>
      <w:r>
        <w:rPr>
          <w:spacing w:val="-2"/>
        </w:rPr>
        <w:t>批）预算的批复（财教[2007]352号），决定由本公司作为主承担单位与清华大学、中国南方</w:t>
      </w:r>
      <w:r>
        <w:rPr>
          <w:spacing w:val="-115"/>
        </w:rPr>
        <w:t> </w:t>
      </w:r>
      <w:r>
        <w:rPr>
          <w:spacing w:val="-115"/>
        </w:rPr>
      </w:r>
      <w:r>
        <w:rPr/>
        <w:t>电网有限责任公司等5家单位共同承担国家科技支撑计划课题——“中高压、百MVA级链式及 多电平变流器与静止补偿器研制”，国家科技部首期划拨研究专项经费资助1471万元。</w:t>
      </w:r>
    </w:p>
    <w:p>
      <w:pPr>
        <w:pStyle w:val="BodyText"/>
        <w:spacing w:line="357" w:lineRule="auto" w:before="35"/>
        <w:ind w:right="268" w:firstLine="480"/>
        <w:jc w:val="both"/>
      </w:pPr>
      <w:r>
        <w:rPr/>
        <w:t>报告期，公司申报国家重点新产品一项，申请并已受理各类专利四项，其中：发明专利 一项，实用新型二项，国际专利一项。</w:t>
      </w:r>
    </w:p>
    <w:p>
      <w:pPr>
        <w:pStyle w:val="BodyText"/>
        <w:spacing w:line="357" w:lineRule="auto" w:before="35"/>
        <w:ind w:right="251" w:firstLine="480"/>
        <w:jc w:val="left"/>
      </w:pPr>
      <w:r>
        <w:rPr/>
        <w:t>同时,公司成功申请成为电力电子学标准化技术委员会和防爆电气设备标准化技术委员 会的企业委员。目前，公司已经是电压电流等级和频率标准化技术委员会和上述两个标准化 技术委员会的企业委员，涵盖了企业的全部产品和技术的相关标准制定修订工作及与国际标 准化组织信息交换工作。</w:t>
      </w:r>
    </w:p>
    <w:p>
      <w:pPr>
        <w:spacing w:line="357" w:lineRule="auto" w:before="35"/>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（4）公司存在的主要优势和困难</w:t>
      </w:r>
      <w:r>
        <w:rPr>
          <w:rFonts w:ascii="宋体" w:hAnsi="宋体" w:cs="宋体" w:eastAsia="宋体" w:hint="default"/>
          <w:b/>
          <w:bCs/>
          <w:w w:val="99"/>
          <w:sz w:val="24"/>
          <w:szCs w:val="24"/>
        </w:rPr>
        <w:t> </w:t>
      </w:r>
      <w:r>
        <w:rPr>
          <w:rFonts w:ascii="宋体" w:hAnsi="宋体" w:cs="宋体" w:eastAsia="宋体" w:hint="default"/>
          <w:sz w:val="24"/>
          <w:szCs w:val="24"/>
        </w:rPr>
        <w:t>在国家对先进制造业的大力支持下促进了公司所处行业的发展，在全社会提倡节能减排</w:t>
      </w:r>
    </w:p>
    <w:p>
      <w:pPr>
        <w:pStyle w:val="BodyText"/>
        <w:spacing w:line="357" w:lineRule="auto" w:before="35"/>
        <w:ind w:right="251"/>
        <w:jc w:val="left"/>
      </w:pPr>
      <w:r>
        <w:rPr/>
        <w:t>和安全生产宏观背景下，公司主导产品市场需求强劲增长，市场空间逐步扩大，给公司经营 与发展带来良好的机遇与广阔的空间。</w:t>
      </w:r>
    </w:p>
    <w:p>
      <w:pPr>
        <w:pStyle w:val="BodyText"/>
        <w:spacing w:line="240" w:lineRule="auto" w:before="35"/>
        <w:ind w:left="633" w:right="214"/>
        <w:jc w:val="left"/>
      </w:pPr>
      <w:r>
        <w:rPr/>
        <w:t>公司的竞争优势是作为行业龙头企业拥有SVC市场50%以上的市场份额。与国际竞争对手</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348"/>
        <w:jc w:val="both"/>
      </w:pPr>
      <w:r>
        <w:rPr/>
        <w:t>相比，公司的竞争优势主要体在较高的产品性价比和及时有效的低成本售后服务。与国内竞 争对手相比，公司又具有全面的技术创新能力、完善的试验和检测设备、领先的生产制造成 本和强大的品牌影响力。</w:t>
      </w:r>
    </w:p>
    <w:p>
      <w:pPr>
        <w:pStyle w:val="BodyText"/>
        <w:spacing w:line="357" w:lineRule="auto" w:before="35"/>
        <w:ind w:left="634" w:right="303"/>
        <w:jc w:val="left"/>
      </w:pPr>
      <w:r>
        <w:rPr/>
        <w:t>公司存在的困难： </w:t>
      </w:r>
      <w:r>
        <w:rPr>
          <w:spacing w:val="-3"/>
        </w:rPr>
        <w:t>1、随着公司经营规模不断扩大，人力资源已不能满足公司快速发展的需要，特别是高级</w:t>
      </w:r>
    </w:p>
    <w:p>
      <w:pPr>
        <w:pStyle w:val="BodyText"/>
        <w:spacing w:line="357" w:lineRule="auto" w:before="35"/>
        <w:ind w:left="154" w:right="348"/>
        <w:jc w:val="both"/>
      </w:pPr>
      <w:r>
        <w:rPr/>
        <w:t>研发人才和高级销售人才不足，会影响研发进度和销售额的迅速增长，公司将采取在北京、 上海等中心城市设立子公司及实施股权激励的方式吸引高级人才和保持现有高级管理人员和 核心技术人员稳定。</w:t>
      </w:r>
    </w:p>
    <w:p>
      <w:pPr>
        <w:pStyle w:val="BodyText"/>
        <w:spacing w:line="357" w:lineRule="auto" w:before="36"/>
        <w:ind w:left="154" w:right="180" w:firstLine="480"/>
        <w:jc w:val="left"/>
      </w:pPr>
      <w:r>
        <w:rPr>
          <w:spacing w:val="-3"/>
        </w:rPr>
        <w:t>2</w:t>
      </w:r>
      <w:r>
        <w:rPr>
          <w:rFonts w:ascii="宋体" w:hAnsi="宋体" w:cs="宋体" w:eastAsia="宋体" w:hint="default"/>
          <w:spacing w:val="-3"/>
        </w:rPr>
        <w:t>、</w:t>
      </w:r>
      <w:r>
        <w:rPr>
          <w:spacing w:val="-3"/>
        </w:rPr>
        <w:t>本行业产品均属高技术含量定制化产品，单位价格较高，一次性购置投入较大。与国</w:t>
      </w:r>
      <w:r>
        <w:rPr/>
        <w:t> 外市场初期类似，国内高耗能企业大规模应用本行业产品尚有一个逐步认识和接受的过程。 </w:t>
      </w:r>
      <w:r>
        <w:rPr>
          <w:spacing w:val="-3"/>
        </w:rPr>
        <w:t>除了冶金行业，公司目前在煤炭、电气化铁路、有色金属、风力发电等新领域刚刚开始进入，</w:t>
      </w:r>
      <w:r>
        <w:rPr>
          <w:spacing w:val="-81"/>
        </w:rPr>
        <w:t> </w:t>
      </w:r>
      <w:r>
        <w:rPr>
          <w:spacing w:val="-81"/>
        </w:rPr>
      </w:r>
      <w:r>
        <w:rPr/>
        <w:t>尚有化工、矿山、港口、重机、建材等行业未进入，特别是市场需求较大的电网系统，由于 尚未大规模推广应用SVC等产品，公司目前在电网系统销售业绩较少。</w:t>
      </w:r>
    </w:p>
    <w:p>
      <w:pPr>
        <w:spacing w:line="240" w:lineRule="auto" w:before="0"/>
        <w:rPr>
          <w:rFonts w:ascii="宋体" w:hAnsi="宋体" w:cs="宋体" w:eastAsia="宋体" w:hint="default"/>
          <w:sz w:val="24"/>
          <w:szCs w:val="24"/>
        </w:rPr>
      </w:pPr>
    </w:p>
    <w:p>
      <w:pPr>
        <w:pStyle w:val="Heading4"/>
        <w:spacing w:line="240" w:lineRule="auto" w:before="188"/>
        <w:ind w:right="1410"/>
        <w:jc w:val="left"/>
        <w:rPr>
          <w:b w:val="0"/>
          <w:bCs w:val="0"/>
        </w:rPr>
      </w:pPr>
      <w:r>
        <w:rPr/>
        <w:t>2、2006年公司主营业务及其经营情况</w:t>
      </w:r>
      <w:r>
        <w:rPr>
          <w:b w:val="0"/>
          <w:bCs w:val="0"/>
        </w:rPr>
      </w:r>
    </w:p>
    <w:p>
      <w:pPr>
        <w:pStyle w:val="BodyText"/>
        <w:spacing w:line="357" w:lineRule="auto" w:before="152"/>
        <w:ind w:left="633" w:right="331"/>
        <w:jc w:val="left"/>
      </w:pPr>
      <w:r>
        <w:rPr/>
        <w:t>（1）主营业务的范围 本公司主要从事节能大功率电力电子设备的设计和制造业务，产品包括：高压动态无功</w:t>
      </w:r>
    </w:p>
    <w:p>
      <w:pPr>
        <w:pStyle w:val="BodyText"/>
        <w:spacing w:line="357" w:lineRule="auto" w:before="35"/>
        <w:ind w:right="185"/>
        <w:jc w:val="left"/>
      </w:pPr>
      <w:r>
        <w:rPr>
          <w:spacing w:val="-2"/>
        </w:rPr>
        <w:t>补偿装置（SVC）、智能瓦斯排放装置（MABZ）、电力滤波装置（FC）、高压变频装置（HVC）</w:t>
      </w:r>
      <w:r>
        <w:rPr>
          <w:spacing w:val="-116"/>
        </w:rPr>
        <w:t> </w:t>
      </w:r>
      <w:r>
        <w:rPr>
          <w:spacing w:val="-116"/>
        </w:rPr>
      </w:r>
      <w:r>
        <w:rPr/>
        <w:t>和高压软启动装置（VFS）。</w:t>
      </w:r>
    </w:p>
    <w:p>
      <w:pPr>
        <w:pStyle w:val="BodyText"/>
        <w:spacing w:line="240" w:lineRule="auto" w:before="35"/>
        <w:ind w:left="633" w:right="1410"/>
        <w:jc w:val="left"/>
      </w:pPr>
      <w:r>
        <w:rPr/>
        <w:t>（2）主营业务产品经营情况</w:t>
      </w:r>
    </w:p>
    <w:p>
      <w:pPr>
        <w:pStyle w:val="Heading4"/>
        <w:tabs>
          <w:tab w:pos="7265" w:val="left" w:leader="none"/>
        </w:tabs>
        <w:spacing w:line="240" w:lineRule="auto" w:before="152"/>
        <w:ind w:left="756" w:right="303"/>
        <w:jc w:val="left"/>
        <w:rPr>
          <w:b w:val="0"/>
          <w:bCs w:val="0"/>
        </w:rPr>
      </w:pPr>
      <w:r>
        <w:rPr>
          <w:w w:val="95"/>
        </w:rPr>
        <w:t>①分产品经营情况</w:t>
        <w:tab/>
      </w:r>
      <w:r>
        <w:rPr/>
        <w:t>单位：（人民币）万元</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5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5"/>
              <w:jc w:val="left"/>
              <w:rPr>
                <w:rFonts w:ascii="宋体" w:hAnsi="宋体" w:cs="宋体" w:eastAsia="宋体" w:hint="default"/>
                <w:sz w:val="18"/>
                <w:szCs w:val="18"/>
              </w:rPr>
            </w:pPr>
            <w:r>
              <w:rPr>
                <w:rFonts w:ascii="宋体" w:hAnsi="宋体" w:cs="宋体" w:eastAsia="宋体" w:hint="default"/>
                <w:sz w:val="18"/>
                <w:szCs w:val="18"/>
              </w:rPr>
              <w:t>节能大功率电力电子设 备制造业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36,715.70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17,762.25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51.62%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52.11%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72.45%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-5.71%</w:t>
            </w:r>
            <w:r>
              <w:rPr>
                <w:rFonts w:ascii="Times New Roman"/>
                <w:sz w:val="18"/>
              </w:rPr>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53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高压动态无功补偿装置</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SVC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29,498.81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13,212.01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55.21%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45.12%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60.35%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-4.25%</w:t>
            </w:r>
            <w:r>
              <w:rPr>
                <w:rFonts w:ascii="Times New Roman"/>
                <w:sz w:val="18"/>
              </w:rPr>
            </w:r>
          </w:p>
        </w:tc>
      </w:tr>
      <w:tr>
        <w:trPr>
          <w:trHeight w:val="53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智能瓦斯排放装置</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sz w:val="18"/>
              </w:rPr>
              <w:t>MABZ</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1,273.97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497.82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60.92%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78.98%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166.58%</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-12.84%</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电力滤波装置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3,486.50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2,525.99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27.55%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81.75%</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101.69%</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-7.16%</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高压变频调速装置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HVC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1,141.91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529.16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53.66%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147.41%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86.87%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15.01%</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高压软启动装置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VFS</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200.11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98.72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50.67%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备件及其他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w w:val="95"/>
                <w:sz w:val="18"/>
              </w:rPr>
              <w:t>1,114.39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898.55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19.37%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55.17%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165.91%</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-33.58%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4"/>
        <w:tabs>
          <w:tab w:pos="7211" w:val="left" w:leader="none"/>
        </w:tabs>
        <w:spacing w:line="240" w:lineRule="auto"/>
        <w:ind w:left="705" w:right="348"/>
        <w:jc w:val="left"/>
        <w:rPr>
          <w:b w:val="0"/>
          <w:bCs w:val="0"/>
        </w:rPr>
      </w:pPr>
      <w:r>
        <w:rPr>
          <w:w w:val="99"/>
        </w:rPr>
        <w:t>②分地区经营情况</w:t>
      </w:r>
      <w:r>
        <w:rPr/>
        <w:tab/>
      </w:r>
      <w:r>
        <w:rPr>
          <w:w w:val="99"/>
        </w:rPr>
        <w:t>单位</w:t>
      </w:r>
      <w:r>
        <w:rPr>
          <w:spacing w:val="-120"/>
          <w:w w:val="99"/>
        </w:rPr>
        <w:t>：</w:t>
      </w:r>
      <w:r>
        <w:rPr>
          <w:spacing w:val="1"/>
          <w:w w:val="99"/>
        </w:rPr>
        <w:t>（人民币）万元</w:t>
      </w:r>
      <w:r>
        <w:rPr>
          <w:b w:val="0"/>
          <w:bCs w:val="0"/>
        </w:rPr>
      </w:r>
    </w:p>
    <w:p>
      <w:pPr>
        <w:spacing w:line="240" w:lineRule="auto" w:before="10"/>
        <w:rPr>
          <w:rFonts w:ascii="宋体" w:hAnsi="宋体" w:cs="宋体" w:eastAsia="宋体" w:hint="default"/>
          <w:b/>
          <w:bCs/>
          <w:sz w:val="5"/>
          <w:szCs w:val="5"/>
        </w:rPr>
      </w:pPr>
    </w:p>
    <w:tbl>
      <w:tblPr>
        <w:tblW w:w="0" w:type="auto"/>
        <w:jc w:val="left"/>
        <w:tblInd w:w="22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2,752.85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1,019.90%</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13,286.94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12.12%</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4,474.53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88.27%</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9,825.02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105.42%</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2,915.38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19.14%</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517.95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-47.26%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2,216.98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124.23%</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726.05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56.57%</w:t>
            </w:r>
            <w:r>
              <w:rPr>
                <w:rFonts w:ascii="Times New Roman"/>
                <w:sz w:val="18"/>
              </w:rPr>
            </w:r>
          </w:p>
        </w:tc>
      </w:tr>
    </w:tbl>
    <w:p>
      <w:pPr>
        <w:spacing w:line="240" w:lineRule="auto" w:before="12"/>
        <w:rPr>
          <w:rFonts w:ascii="宋体" w:hAnsi="宋体" w:cs="宋体" w:eastAsia="宋体" w:hint="default"/>
          <w:b/>
          <w:bCs/>
          <w:sz w:val="16"/>
          <w:szCs w:val="16"/>
        </w:rPr>
      </w:pPr>
    </w:p>
    <w:p>
      <w:pPr>
        <w:pStyle w:val="BodyText"/>
        <w:spacing w:line="357" w:lineRule="auto" w:before="26"/>
        <w:ind w:left="234" w:right="311" w:firstLine="480"/>
        <w:jc w:val="both"/>
      </w:pPr>
      <w:r>
        <w:rPr/>
        <w:t>报告期营业收入持续增长的主要原因是公司产品的市场需求不断扩大及执行上年末未完 </w:t>
      </w:r>
      <w:r>
        <w:rPr>
          <w:spacing w:val="-2"/>
        </w:rPr>
        <w:t>工合同，由此导致占公司主营业务收入比例较高的SVC产品的销售收入持续高速增长。同时公</w:t>
      </w:r>
      <w:r>
        <w:rPr>
          <w:spacing w:val="-118"/>
        </w:rPr>
        <w:t> </w:t>
      </w:r>
      <w:r>
        <w:rPr>
          <w:spacing w:val="-118"/>
        </w:rPr>
      </w:r>
      <w:r>
        <w:rPr/>
        <w:t>司围绕节能大功率电力电子制造行业不断开发新产品，开拓新市场，形成新的收入来源。</w:t>
      </w:r>
    </w:p>
    <w:p>
      <w:pPr>
        <w:pStyle w:val="BodyText"/>
        <w:spacing w:line="357" w:lineRule="auto" w:before="35"/>
        <w:ind w:left="234" w:right="311" w:firstLine="480"/>
        <w:jc w:val="both"/>
      </w:pPr>
      <w:r>
        <w:rPr>
          <w:spacing w:val="-2"/>
        </w:rPr>
        <w:t>(3)报告期内向前五名供应商采购金额合计9,595.63万元，占采购总额比重37.31%，向前</w:t>
      </w:r>
      <w:r>
        <w:rPr/>
        <w:t> 五名销售客户销售金额合计5,055.23万元，占销售总额比重13.77%。</w:t>
      </w:r>
    </w:p>
    <w:p>
      <w:pPr>
        <w:pStyle w:val="BodyText"/>
        <w:spacing w:line="357" w:lineRule="auto" w:before="35"/>
        <w:ind w:left="714" w:right="348"/>
        <w:jc w:val="left"/>
      </w:pPr>
      <w:r>
        <w:rPr/>
        <w:t>(4)报告期内，公司主营业务及其结构、主营业务盈利能力未发生重大变化。 报告期内，公司综合毛利同比减少-5.71%,主要是占销售收入比重较大的SVC产品毛利降</w:t>
      </w:r>
    </w:p>
    <w:p>
      <w:pPr>
        <w:pStyle w:val="BodyText"/>
        <w:spacing w:line="357" w:lineRule="auto" w:before="35"/>
        <w:ind w:left="234" w:right="311"/>
        <w:jc w:val="both"/>
      </w:pPr>
      <w:r>
        <w:rPr>
          <w:spacing w:val="-2"/>
        </w:rPr>
        <w:t>低所致。公司SVC产品毛利同比减少-4.25%,主要是SVC产品在新开拓的电气化铁路、煤炭、有</w:t>
      </w:r>
      <w:r>
        <w:rPr>
          <w:spacing w:val="-110"/>
        </w:rPr>
        <w:t> </w:t>
      </w:r>
      <w:r>
        <w:rPr>
          <w:spacing w:val="-110"/>
        </w:rPr>
      </w:r>
      <w:r>
        <w:rPr/>
        <w:t>色金属、风力发电等领域签订定单的单套容量较小，销售价格降低，及为提高产品性能采用 光控晶闸管导致成本略有上升所致。</w:t>
      </w:r>
    </w:p>
    <w:p>
      <w:pPr>
        <w:tabs>
          <w:tab w:pos="8069" w:val="left" w:leader="none"/>
        </w:tabs>
        <w:spacing w:line="712" w:lineRule="auto" w:before="35"/>
        <w:ind w:left="716" w:right="428" w:firstLine="117"/>
        <w:jc w:val="left"/>
        <w:rPr>
          <w:rFonts w:ascii="宋体" w:hAnsi="宋体" w:cs="宋体" w:eastAsia="宋体" w:hint="default"/>
          <w:sz w:val="24"/>
          <w:szCs w:val="24"/>
        </w:rPr>
      </w:pPr>
      <w:r>
        <w:rPr/>
        <w:pict>
          <v:shape style="position:absolute;margin-left:50.82pt;margin-top:73.725929pt;width:494.2pt;height:154.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2"/>
                    <w:gridCol w:w="1646"/>
                    <w:gridCol w:w="1801"/>
                    <w:gridCol w:w="1799"/>
                    <w:gridCol w:w="1620"/>
                    <w:gridCol w:w="1646"/>
                  </w:tblGrid>
                  <w:tr>
                    <w:trPr>
                      <w:trHeight w:val="576" w:hRule="exact"/>
                    </w:trPr>
                    <w:tc>
                      <w:tcPr>
                        <w:tcW w:w="1342"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4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4" w:hRule="exact"/>
                    </w:trPr>
                    <w:tc>
                      <w:tcPr>
                        <w:tcW w:w="1342" w:type="dxa"/>
                        <w:vMerge/>
                        <w:tcBorders>
                          <w:left w:val="single" w:sz="8" w:space="0" w:color="000000"/>
                          <w:bottom w:val="single" w:sz="8" w:space="0" w:color="000000"/>
                          <w:right w:val="single" w:sz="8" w:space="0" w:color="000000"/>
                        </w:tcBorders>
                      </w:tcPr>
                      <w:p>
                        <w:pP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3"/>
                          <w:jc w:val="right"/>
                          <w:rPr>
                            <w:rFonts w:ascii="宋体" w:hAnsi="宋体" w:cs="宋体" w:eastAsia="宋体" w:hint="default"/>
                            <w:sz w:val="18"/>
                            <w:szCs w:val="18"/>
                          </w:rPr>
                        </w:pPr>
                        <w:r>
                          <w:rPr>
                            <w:rFonts w:ascii="宋体" w:hAnsi="宋体" w:cs="宋体" w:eastAsia="宋体" w:hint="default"/>
                            <w:sz w:val="18"/>
                            <w:szCs w:val="18"/>
                          </w:rPr>
                          <w:t>占总资产比重（%）</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6"/>
                          <w:jc w:val="right"/>
                          <w:rPr>
                            <w:rFonts w:ascii="宋体" w:hAnsi="宋体" w:cs="宋体" w:eastAsia="宋体" w:hint="default"/>
                            <w:sz w:val="18"/>
                            <w:szCs w:val="18"/>
                          </w:rPr>
                        </w:pPr>
                        <w:r>
                          <w:rPr>
                            <w:rFonts w:ascii="宋体" w:hAnsi="宋体" w:cs="宋体" w:eastAsia="宋体" w:hint="default"/>
                            <w:spacing w:val="-4"/>
                            <w:w w:val="95"/>
                            <w:sz w:val="18"/>
                            <w:szCs w:val="18"/>
                          </w:rPr>
                          <w:t>占总资产比重（%）</w:t>
                        </w:r>
                      </w:p>
                    </w:tc>
                    <w:tc>
                      <w:tcPr>
                        <w:tcW w:w="1646" w:type="dxa"/>
                        <w:vMerge/>
                        <w:tcBorders>
                          <w:left w:val="single" w:sz="8" w:space="0" w:color="000000"/>
                          <w:bottom w:val="single" w:sz="8" w:space="0" w:color="000000"/>
                          <w:right w:val="single" w:sz="8" w:space="0" w:color="000000"/>
                        </w:tcBorders>
                      </w:tcPr>
                      <w:p>
                        <w:pPr/>
                      </w:p>
                    </w:tc>
                  </w:tr>
                  <w:tr>
                    <w:trPr>
                      <w:trHeight w:val="332"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29,394.09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40.24%</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5,023.10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19.20%</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w w:val="95"/>
                            <w:sz w:val="18"/>
                          </w:rPr>
                          <w:t>485.18%</w:t>
                        </w:r>
                        <w:r>
                          <w:rPr>
                            <w:rFonts w:ascii="Times New Roman"/>
                            <w:sz w:val="18"/>
                          </w:rPr>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20,232.64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27.70%</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9,824.49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37.55%</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w w:val="95"/>
                            <w:sz w:val="18"/>
                          </w:rPr>
                          <w:t>105.94%</w:t>
                        </w:r>
                        <w:r>
                          <w:rPr>
                            <w:rFonts w:ascii="Times New Roman"/>
                            <w:sz w:val="18"/>
                          </w:rPr>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宋体" w:hAnsi="宋体" w:cs="宋体" w:eastAsia="宋体" w:hint="default"/>
                            <w:sz w:val="18"/>
                            <w:szCs w:val="18"/>
                          </w:rPr>
                        </w:pPr>
                        <w:r>
                          <w:rPr>
                            <w:rFonts w:ascii="宋体"/>
                            <w:sz w:val="18"/>
                          </w:rPr>
                          <w:t>7,962.00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10.90%</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6"/>
                          <w:jc w:val="right"/>
                          <w:rPr>
                            <w:rFonts w:ascii="宋体" w:hAnsi="宋体" w:cs="宋体" w:eastAsia="宋体" w:hint="default"/>
                            <w:sz w:val="18"/>
                            <w:szCs w:val="18"/>
                          </w:rPr>
                        </w:pPr>
                        <w:r>
                          <w:rPr>
                            <w:rFonts w:ascii="宋体"/>
                            <w:sz w:val="18"/>
                          </w:rPr>
                          <w:t>3,086.81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2"/>
                            <w:sz w:val="18"/>
                          </w:rPr>
                          <w:t>11.80%</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w w:val="95"/>
                            <w:sz w:val="18"/>
                          </w:rPr>
                          <w:t>157.94%</w:t>
                        </w:r>
                        <w:r>
                          <w:rPr>
                            <w:rFonts w:ascii="Times New Roman"/>
                            <w:sz w:val="18"/>
                          </w:rPr>
                        </w:r>
                      </w:p>
                    </w:tc>
                  </w:tr>
                  <w:tr>
                    <w:trPr>
                      <w:trHeight w:val="487"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固定资产及在</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建工程</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6,453.53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w w:val="95"/>
                            <w:sz w:val="18"/>
                          </w:rPr>
                          <w:t>8.84%</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3,182.76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w w:val="95"/>
                            <w:sz w:val="18"/>
                          </w:rPr>
                          <w:t>12.16%</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w w:val="95"/>
                            <w:sz w:val="18"/>
                          </w:rPr>
                          <w:t>102.77%</w:t>
                        </w:r>
                        <w:r>
                          <w:rPr>
                            <w:rFonts w:ascii="Times New Roman"/>
                            <w:sz w:val="18"/>
                          </w:rPr>
                        </w:r>
                      </w:p>
                    </w:tc>
                  </w:tr>
                  <w:tr>
                    <w:trPr>
                      <w:trHeight w:val="340"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0.00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1,280.00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w w:val="95"/>
                            <w:sz w:val="18"/>
                          </w:rPr>
                          <w:t>4.89%</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40"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2,590.00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3.55%</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z w:val="18"/>
                          </w:rPr>
                          <w:t>2,381.50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w w:val="95"/>
                            <w:sz w:val="18"/>
                          </w:rPr>
                          <w:t>9.10%</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w w:val="95"/>
                            <w:sz w:val="18"/>
                          </w:rPr>
                          <w:t>8.75%</w:t>
                        </w:r>
                        <w:r>
                          <w:rPr>
                            <w:rFonts w:ascii="Times New Roman"/>
                            <w:sz w:val="18"/>
                          </w:rPr>
                        </w:r>
                      </w:p>
                    </w:tc>
                  </w:tr>
                </w:tbl>
                <w:p>
                  <w:pPr/>
                </w:p>
              </w:txbxContent>
            </v:textbox>
            <w10:wrap type="none"/>
          </v:shape>
        </w:pict>
      </w:r>
      <w:r>
        <w:rPr>
          <w:rFonts w:ascii="宋体" w:hAnsi="宋体" w:cs="宋体" w:eastAsia="宋体" w:hint="default"/>
          <w:sz w:val="24"/>
          <w:szCs w:val="24"/>
        </w:rPr>
        <w:t>(5)报告期内，公司主营业务市场、主营业务成本构成未发生显著变化。 </w:t>
      </w:r>
      <w:r>
        <w:rPr>
          <w:rFonts w:ascii="宋体" w:hAnsi="宋体" w:cs="宋体" w:eastAsia="宋体" w:hint="default"/>
          <w:b/>
          <w:bCs/>
          <w:w w:val="95"/>
          <w:sz w:val="24"/>
          <w:szCs w:val="24"/>
        </w:rPr>
        <w:t>3、公司主要资产和负债构成情况</w:t>
        <w:tab/>
      </w:r>
      <w:r>
        <w:rPr>
          <w:rFonts w:ascii="宋体" w:hAnsi="宋体" w:cs="宋体" w:eastAsia="宋体" w:hint="default"/>
          <w:b/>
          <w:bCs/>
          <w:sz w:val="24"/>
          <w:szCs w:val="24"/>
        </w:rPr>
        <w:t>（单位：万元）</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BodyText"/>
        <w:spacing w:line="240" w:lineRule="auto" w:before="26"/>
        <w:ind w:left="713" w:right="0"/>
        <w:jc w:val="left"/>
      </w:pPr>
      <w:r>
        <w:rPr/>
        <w:t>报告期内货币资金同比增长485.18%，主要是首次公开发行股票1600万股募集资金到位所</w:t>
      </w:r>
    </w:p>
    <w:p>
      <w:pPr>
        <w:spacing w:after="0" w:line="240" w:lineRule="auto"/>
        <w:jc w:val="left"/>
        <w:sectPr>
          <w:pgSz w:w="11910" w:h="16840"/>
          <w:pgMar w:header="747" w:footer="669" w:top="980" w:bottom="860" w:left="900" w:right="820"/>
        </w:sectPr>
      </w:pPr>
    </w:p>
    <w:p>
      <w:pPr>
        <w:spacing w:line="240" w:lineRule="auto" w:before="7"/>
        <w:rPr>
          <w:rFonts w:ascii="宋体" w:hAnsi="宋体" w:cs="宋体" w:eastAsia="宋体" w:hint="default"/>
          <w:sz w:val="29"/>
          <w:szCs w:val="29"/>
        </w:rPr>
      </w:pPr>
    </w:p>
    <w:p>
      <w:pPr>
        <w:pStyle w:val="BodyText"/>
        <w:spacing w:line="240" w:lineRule="auto" w:before="26"/>
        <w:ind w:left="154" w:right="214"/>
        <w:jc w:val="left"/>
      </w:pPr>
      <w:r>
        <w:rPr/>
        <w:t>致。</w:t>
      </w:r>
    </w:p>
    <w:p>
      <w:pPr>
        <w:pStyle w:val="BodyText"/>
        <w:spacing w:line="357" w:lineRule="auto" w:before="152"/>
        <w:ind w:left="634" w:right="214"/>
        <w:jc w:val="left"/>
      </w:pPr>
      <w:r>
        <w:rPr/>
        <w:t>报告期内应收帐款同比增长105.94%，主要是销售收入增长所致。 报告期内存货同比增长157.94%，主要是定单增长导致原材料及在产品增长所致。 </w:t>
      </w:r>
      <w:r>
        <w:rPr>
          <w:spacing w:val="-2"/>
        </w:rPr>
        <w:t>报告期内固定资产及在建工程同比增长102.77%，主要是为实施募集资金项目购买的设备</w:t>
      </w:r>
    </w:p>
    <w:p>
      <w:pPr>
        <w:pStyle w:val="BodyText"/>
        <w:spacing w:line="357" w:lineRule="auto" w:before="35"/>
        <w:ind w:left="634" w:right="5050" w:hanging="480"/>
        <w:jc w:val="left"/>
      </w:pPr>
      <w:r>
        <w:rPr/>
        <w:t>转入固定资产和在建工程所致。 短期借款减少是因为偿还银行贷款所致。</w:t>
      </w:r>
    </w:p>
    <w:p>
      <w:pPr>
        <w:pStyle w:val="BodyText"/>
        <w:spacing w:line="357" w:lineRule="auto" w:before="35"/>
        <w:ind w:left="154" w:right="92" w:firstLine="480"/>
        <w:jc w:val="left"/>
      </w:pPr>
      <w:r>
        <w:rPr>
          <w:spacing w:val="-3"/>
        </w:rPr>
        <w:t>本公司作为我国SVC行业的龙头企业，鉴于本公司突出的行业地位，国家发改委等政府部</w:t>
      </w:r>
      <w:r>
        <w:rPr/>
        <w:t> </w:t>
      </w:r>
      <w:r>
        <w:rPr>
          <w:spacing w:val="-2"/>
        </w:rPr>
        <w:t>门在资金方面以科技拨款、项目拨款形式支持本公司的发展，导致本公司递延收益不断增加。</w:t>
      </w:r>
    </w:p>
    <w:p>
      <w:pPr>
        <w:pStyle w:val="BodyText"/>
        <w:spacing w:line="357" w:lineRule="auto" w:before="36"/>
        <w:ind w:left="154" w:right="268" w:firstLine="480"/>
        <w:jc w:val="both"/>
      </w:pPr>
      <w:r>
        <w:rPr/>
        <w:t>本公司会计核算以权责发生制为记账基础。除交易性金融资产、非同一控制下的企业合 并、具有商业实质的非货币性资产交换、债务重组、投资者投入非货币资产等以公允价值入 账外，均采用历史成本记账。</w:t>
      </w:r>
    </w:p>
    <w:p>
      <w:pPr>
        <w:pStyle w:val="Heading4"/>
        <w:tabs>
          <w:tab w:pos="7507" w:val="left" w:leader="none"/>
        </w:tabs>
        <w:spacing w:line="387" w:lineRule="exact" w:before="0"/>
        <w:ind w:right="214"/>
        <w:jc w:val="left"/>
        <w:rPr>
          <w:b w:val="0"/>
          <w:bCs w:val="0"/>
        </w:rPr>
      </w:pPr>
      <w:r>
        <w:rPr>
          <w:rFonts w:ascii="Yu Gothic Medium" w:hAnsi="Yu Gothic Medium" w:cs="Yu Gothic Medium" w:eastAsia="Yu Gothic Medium" w:hint="default"/>
          <w:b w:val="0"/>
          <w:bCs w:val="0"/>
          <w:w w:val="95"/>
        </w:rPr>
        <w:t>4、</w:t>
      </w:r>
      <w:r>
        <w:rPr>
          <w:w w:val="95"/>
        </w:rPr>
        <w:t>公司主要费用情况</w:t>
        <w:tab/>
      </w:r>
      <w:r>
        <w:rPr/>
        <w:t>（单位：万元）</w:t>
      </w:r>
      <w:r>
        <w:rPr>
          <w:b w:val="0"/>
          <w:bCs w:val="0"/>
        </w:rPr>
      </w:r>
    </w:p>
    <w:tbl>
      <w:tblPr>
        <w:tblW w:w="0" w:type="auto"/>
        <w:jc w:val="left"/>
        <w:tblInd w:w="133" w:type="dxa"/>
        <w:tblLayout w:type="fixed"/>
        <w:tblCellMar>
          <w:top w:w="0" w:type="dxa"/>
          <w:left w:w="0" w:type="dxa"/>
          <w:bottom w:w="0" w:type="dxa"/>
          <w:right w:w="0" w:type="dxa"/>
        </w:tblCellMar>
        <w:tblLook w:val="01E0"/>
      </w:tblPr>
      <w:tblGrid>
        <w:gridCol w:w="2356"/>
        <w:gridCol w:w="2340"/>
        <w:gridCol w:w="2160"/>
        <w:gridCol w:w="2340"/>
      </w:tblGrid>
      <w:tr>
        <w:trPr>
          <w:trHeight w:val="324"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4,682.94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4,476.58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4.61%</w:t>
            </w:r>
            <w:r>
              <w:rPr>
                <w:rFonts w:ascii="Times New Roman"/>
                <w:sz w:val="18"/>
              </w:rPr>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8,246.83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5,002.41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64.86%</w:t>
            </w:r>
            <w:r>
              <w:rPr>
                <w:rFonts w:ascii="Times New Roman"/>
                <w:sz w:val="18"/>
              </w:rPr>
            </w:r>
          </w:p>
        </w:tc>
      </w:tr>
      <w:tr>
        <w:trPr>
          <w:trHeight w:val="323"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93.65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-176.27%</w:t>
            </w:r>
            <w:r>
              <w:rPr>
                <w:rFonts w:ascii="Times New Roman"/>
                <w:sz w:val="18"/>
              </w:rPr>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292.78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294.99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r>
    </w:tbl>
    <w:p>
      <w:pPr>
        <w:spacing w:line="240" w:lineRule="auto" w:before="10"/>
        <w:rPr>
          <w:rFonts w:ascii="宋体" w:hAnsi="宋体" w:cs="宋体" w:eastAsia="宋体" w:hint="default"/>
          <w:b/>
          <w:bCs/>
          <w:sz w:val="18"/>
          <w:szCs w:val="18"/>
        </w:rPr>
      </w:pPr>
    </w:p>
    <w:p>
      <w:pPr>
        <w:pStyle w:val="BodyText"/>
        <w:spacing w:line="240" w:lineRule="auto" w:before="26"/>
        <w:ind w:left="634" w:right="214"/>
        <w:jc w:val="left"/>
      </w:pPr>
      <w:r>
        <w:rPr/>
        <w:t>报告期公司新签订合同同比大幅增加，销售费用增长4.61%。</w:t>
      </w:r>
    </w:p>
    <w:p>
      <w:pPr>
        <w:pStyle w:val="BodyText"/>
        <w:spacing w:line="338" w:lineRule="auto" w:before="192"/>
        <w:ind w:right="214" w:firstLine="480"/>
        <w:jc w:val="left"/>
      </w:pPr>
      <w:r>
        <w:rPr/>
        <w:t>公司管理费用增加</w:t>
      </w:r>
      <w:r>
        <w:rPr>
          <w:spacing w:val="-60"/>
        </w:rPr>
        <w:t> </w:t>
      </w:r>
      <w:r>
        <w:rPr>
          <w:rFonts w:ascii="Times New Roman" w:hAnsi="Times New Roman" w:cs="Times New Roman" w:eastAsia="Times New Roman" w:hint="default"/>
          <w:spacing w:val="-2"/>
        </w:rPr>
        <w:t>64.86%</w:t>
      </w:r>
      <w:r>
        <w:rPr>
          <w:spacing w:val="-2"/>
        </w:rPr>
        <w:t>的主要原因是公司研发投入持续增加、人员工资及福利费、办</w:t>
      </w:r>
      <w:r>
        <w:rPr/>
        <w:t> 公费增加，因此导致公司管理费用增长幅度较大。</w:t>
      </w:r>
    </w:p>
    <w:p>
      <w:pPr>
        <w:pStyle w:val="BodyText"/>
        <w:spacing w:line="240" w:lineRule="auto" w:before="94"/>
        <w:ind w:left="633" w:right="214"/>
        <w:jc w:val="left"/>
      </w:pPr>
      <w:r>
        <w:rPr/>
        <w:t>财务费用同比下降-176.27%，主要原因是报告期存放在银行的募集资金形成利息收入。</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4"/>
        <w:tabs>
          <w:tab w:pos="7622" w:val="left" w:leader="none"/>
        </w:tabs>
        <w:spacing w:line="240" w:lineRule="auto" w:before="0"/>
        <w:ind w:right="214"/>
        <w:jc w:val="left"/>
        <w:rPr>
          <w:rFonts w:ascii="宋体" w:hAnsi="宋体" w:cs="宋体" w:eastAsia="宋体" w:hint="default"/>
          <w:b w:val="0"/>
          <w:bCs w:val="0"/>
        </w:rPr>
      </w:pPr>
      <w:r>
        <w:rPr>
          <w:rFonts w:ascii="Times New Roman" w:hAnsi="Times New Roman" w:cs="Times New Roman" w:eastAsia="Times New Roman" w:hint="default"/>
          <w:w w:val="95"/>
        </w:rPr>
        <w:t>5</w:t>
      </w:r>
      <w:r>
        <w:rPr>
          <w:w w:val="95"/>
        </w:rPr>
        <w:t>、公司经营活动、投资活动和筹资活动产生的现金的构成情况</w:t>
        <w:tab/>
      </w:r>
      <w:r>
        <w:rPr>
          <w:rFonts w:ascii="宋体" w:hAnsi="宋体" w:cs="宋体" w:eastAsia="宋体" w:hint="default"/>
          <w:b w:val="0"/>
          <w:bCs w:val="0"/>
        </w:rPr>
        <w:t>（单位：万元）</w:t>
      </w:r>
    </w:p>
    <w:p>
      <w:pPr>
        <w:spacing w:line="240" w:lineRule="auto" w:before="5"/>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2480"/>
        <w:gridCol w:w="2215"/>
        <w:gridCol w:w="2160"/>
        <w:gridCol w:w="2340"/>
      </w:tblGrid>
      <w:tr>
        <w:trPr>
          <w:trHeight w:val="401"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52"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6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08"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163"/>
              <w:jc w:val="left"/>
              <w:rPr>
                <w:rFonts w:ascii="宋体" w:hAnsi="宋体" w:cs="宋体" w:eastAsia="宋体" w:hint="default"/>
                <w:sz w:val="20"/>
                <w:szCs w:val="20"/>
              </w:rPr>
            </w:pPr>
            <w:r>
              <w:rPr>
                <w:rFonts w:ascii="宋体" w:hAnsi="宋体" w:cs="宋体" w:eastAsia="宋体" w:hint="default"/>
                <w:sz w:val="20"/>
                <w:szCs w:val="20"/>
              </w:rPr>
              <w:t>一、经营活动产生的现金</w:t>
            </w:r>
            <w:r>
              <w:rPr>
                <w:rFonts w:ascii="宋体" w:hAnsi="宋体" w:cs="宋体" w:eastAsia="宋体" w:hint="default"/>
                <w:w w:val="100"/>
                <w:sz w:val="20"/>
                <w:szCs w:val="20"/>
              </w:rPr>
              <w:t> </w:t>
            </w:r>
            <w:r>
              <w:rPr>
                <w:rFonts w:ascii="宋体" w:hAnsi="宋体" w:cs="宋体" w:eastAsia="宋体" w:hint="default"/>
                <w:sz w:val="20"/>
                <w:szCs w:val="20"/>
              </w:rPr>
              <w:t>流量净额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1,272.16</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4,230.27</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-69.93%</w:t>
            </w:r>
          </w:p>
        </w:tc>
      </w:tr>
      <w:tr>
        <w:trPr>
          <w:trHeight w:val="350"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经营活动现金流入量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29,902.48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28,439.73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5.14%</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经营活动现金流出量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28,630.32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24,209.46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18.26%</w:t>
            </w:r>
          </w:p>
        </w:tc>
      </w:tr>
      <w:tr>
        <w:trPr>
          <w:trHeight w:val="608"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4" w:right="163"/>
              <w:jc w:val="left"/>
              <w:rPr>
                <w:rFonts w:ascii="宋体" w:hAnsi="宋体" w:cs="宋体" w:eastAsia="宋体" w:hint="default"/>
                <w:sz w:val="20"/>
                <w:szCs w:val="20"/>
              </w:rPr>
            </w:pPr>
            <w:r>
              <w:rPr>
                <w:rFonts w:ascii="宋体" w:hAnsi="宋体" w:cs="宋体" w:eastAsia="宋体" w:hint="default"/>
                <w:sz w:val="20"/>
                <w:szCs w:val="20"/>
              </w:rPr>
              <w:t>二、投资活动产生的现金</w:t>
            </w:r>
            <w:r>
              <w:rPr>
                <w:rFonts w:ascii="宋体" w:hAnsi="宋体" w:cs="宋体" w:eastAsia="宋体" w:hint="default"/>
                <w:w w:val="100"/>
                <w:sz w:val="20"/>
                <w:szCs w:val="20"/>
              </w:rPr>
              <w:t> </w:t>
            </w:r>
            <w:r>
              <w:rPr>
                <w:rFonts w:ascii="宋体" w:hAnsi="宋体" w:cs="宋体" w:eastAsia="宋体" w:hint="default"/>
                <w:sz w:val="20"/>
                <w:szCs w:val="20"/>
              </w:rPr>
              <w:t>流量净额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-4,130.34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-2,198.57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87.87%</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投资活动现金流入量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253.08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520.00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-51.33%</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投资活动现金流出量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4,383.42</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2,718.57</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61.24%</w:t>
            </w:r>
          </w:p>
        </w:tc>
      </w:tr>
      <w:tr>
        <w:trPr>
          <w:trHeight w:val="610"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163"/>
              <w:jc w:val="left"/>
              <w:rPr>
                <w:rFonts w:ascii="宋体" w:hAnsi="宋体" w:cs="宋体" w:eastAsia="宋体" w:hint="default"/>
                <w:sz w:val="20"/>
                <w:szCs w:val="20"/>
              </w:rPr>
            </w:pPr>
            <w:r>
              <w:rPr>
                <w:rFonts w:ascii="宋体" w:hAnsi="宋体" w:cs="宋体" w:eastAsia="宋体" w:hint="default"/>
                <w:sz w:val="20"/>
                <w:szCs w:val="20"/>
              </w:rPr>
              <w:t>三、筹资活动产生的现金</w:t>
            </w:r>
            <w:r>
              <w:rPr>
                <w:rFonts w:ascii="宋体" w:hAnsi="宋体" w:cs="宋体" w:eastAsia="宋体" w:hint="default"/>
                <w:w w:val="100"/>
                <w:sz w:val="20"/>
                <w:szCs w:val="20"/>
              </w:rPr>
              <w:t> </w:t>
            </w:r>
            <w:r>
              <w:rPr>
                <w:rFonts w:ascii="宋体" w:hAnsi="宋体" w:cs="宋体" w:eastAsia="宋体" w:hint="default"/>
                <w:sz w:val="20"/>
                <w:szCs w:val="20"/>
              </w:rPr>
              <w:t>流量净额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27,229.16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-1,528.22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-1881.75%</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480"/>
        <w:gridCol w:w="2215"/>
        <w:gridCol w:w="2160"/>
        <w:gridCol w:w="2340"/>
      </w:tblGrid>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筹资活动现金流入量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30,240.00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1,280.00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2262.50%</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筹资活动现金流出量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3,010.84</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pacing w:val="-1"/>
                <w:sz w:val="21"/>
              </w:rPr>
              <w:t>2,808.22</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7.22%</w:t>
            </w:r>
          </w:p>
        </w:tc>
      </w:tr>
      <w:tr>
        <w:trPr>
          <w:trHeight w:val="610"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163"/>
              <w:jc w:val="left"/>
              <w:rPr>
                <w:rFonts w:ascii="宋体" w:hAnsi="宋体" w:cs="宋体" w:eastAsia="宋体" w:hint="default"/>
                <w:sz w:val="20"/>
                <w:szCs w:val="20"/>
              </w:rPr>
            </w:pPr>
            <w:r>
              <w:rPr>
                <w:rFonts w:ascii="宋体" w:hAnsi="宋体" w:cs="宋体" w:eastAsia="宋体" w:hint="default"/>
                <w:sz w:val="20"/>
                <w:szCs w:val="20"/>
              </w:rPr>
              <w:t>四、现金及现金等价物净</w:t>
            </w:r>
            <w:r>
              <w:rPr>
                <w:rFonts w:ascii="宋体" w:hAnsi="宋体" w:cs="宋体" w:eastAsia="宋体" w:hint="default"/>
                <w:w w:val="100"/>
                <w:sz w:val="20"/>
                <w:szCs w:val="20"/>
              </w:rPr>
              <w:t> </w:t>
            </w:r>
            <w:r>
              <w:rPr>
                <w:rFonts w:ascii="宋体" w:hAnsi="宋体" w:cs="宋体" w:eastAsia="宋体" w:hint="default"/>
                <w:sz w:val="20"/>
                <w:szCs w:val="20"/>
              </w:rPr>
              <w:t>额增加</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24,370.99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503.48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4740.47%</w:t>
            </w:r>
          </w:p>
        </w:tc>
      </w:tr>
    </w:tbl>
    <w:p>
      <w:pPr>
        <w:spacing w:line="240" w:lineRule="auto" w:before="10"/>
        <w:rPr>
          <w:rFonts w:ascii="宋体" w:hAnsi="宋体" w:cs="宋体" w:eastAsia="宋体" w:hint="default"/>
          <w:sz w:val="18"/>
          <w:szCs w:val="18"/>
        </w:rPr>
      </w:pPr>
    </w:p>
    <w:p>
      <w:pPr>
        <w:pStyle w:val="BodyText"/>
        <w:spacing w:line="357" w:lineRule="auto" w:before="26"/>
        <w:ind w:left="154" w:right="250" w:firstLine="480"/>
        <w:jc w:val="left"/>
      </w:pPr>
      <w:r>
        <w:rPr/>
        <w:t>报告期内经营活动产生的现金流量净额同比减少69.93%，主要是应收帐款、应收票据和 存货增加所致。</w:t>
      </w:r>
    </w:p>
    <w:p>
      <w:pPr>
        <w:pStyle w:val="BodyText"/>
        <w:spacing w:line="357" w:lineRule="auto" w:before="35"/>
        <w:ind w:left="154" w:right="268" w:firstLine="480"/>
        <w:jc w:val="both"/>
      </w:pPr>
      <w:r>
        <w:rPr/>
        <w:t>本公司客户的主要付款工具是银行承兑汇票，公司有较多未到期银行承兑汇票，由于本 公司可以将持有的银行承兑汇票随时向银行贴现，因此本公司应收票据也同样具有现金的高 流动性。</w:t>
      </w:r>
    </w:p>
    <w:p>
      <w:pPr>
        <w:pStyle w:val="BodyText"/>
        <w:spacing w:line="357" w:lineRule="auto" w:before="35"/>
        <w:ind w:left="154" w:right="250" w:firstLine="480"/>
        <w:jc w:val="left"/>
      </w:pPr>
      <w:r>
        <w:rPr/>
        <w:t>报告期内投资活动产生的现金流量净额同比变动87.87%，主要是为实施募集资金项目， 报告期购建的固定资产同比增加所致。</w:t>
      </w:r>
    </w:p>
    <w:p>
      <w:pPr>
        <w:pStyle w:val="BodyText"/>
        <w:spacing w:line="357" w:lineRule="auto" w:before="35"/>
        <w:ind w:left="154" w:right="216" w:firstLine="480"/>
        <w:jc w:val="left"/>
      </w:pPr>
      <w:r>
        <w:rPr>
          <w:spacing w:val="-2"/>
        </w:rPr>
        <w:t>报告期内筹资活动产生的现金流量净额同比变动-1881.75%，主要是报告期内主要原因是</w:t>
      </w:r>
      <w:r>
        <w:rPr/>
        <w:t> 报告期首次公开发行股票1600万股募集资金到位所致。</w:t>
      </w:r>
    </w:p>
    <w:p>
      <w:pPr>
        <w:pStyle w:val="BodyText"/>
        <w:spacing w:line="357" w:lineRule="auto" w:before="35"/>
        <w:ind w:left="154" w:right="250" w:firstLine="480"/>
        <w:jc w:val="left"/>
      </w:pPr>
      <w:r>
        <w:rPr/>
        <w:t>报告期内现金及现金等价物净额同比变动4740.47%，主要是报告期内筹资活动产生的现 金流量净额同比增长所致。</w:t>
      </w:r>
    </w:p>
    <w:p>
      <w:pPr>
        <w:spacing w:line="240" w:lineRule="auto" w:before="0"/>
        <w:rPr>
          <w:rFonts w:ascii="宋体" w:hAnsi="宋体" w:cs="宋体" w:eastAsia="宋体" w:hint="default"/>
          <w:sz w:val="24"/>
          <w:szCs w:val="24"/>
        </w:rPr>
      </w:pPr>
    </w:p>
    <w:p>
      <w:pPr>
        <w:pStyle w:val="Heading4"/>
        <w:spacing w:line="357" w:lineRule="auto" w:before="188"/>
        <w:ind w:left="154" w:right="330" w:firstLine="482"/>
        <w:jc w:val="left"/>
        <w:rPr>
          <w:b w:val="0"/>
          <w:bCs w:val="0"/>
        </w:rPr>
      </w:pPr>
      <w:r>
        <w:rPr/>
        <w:t>6、公司的生产设备运转良好，全部设备完好，设备开工率100%，在本报告期产品无积</w:t>
      </w:r>
      <w:r>
        <w:rPr>
          <w:w w:val="99"/>
        </w:rPr>
        <w:t> </w:t>
      </w:r>
      <w:r>
        <w:rPr/>
        <w:t>压，公司的主要技术人员在本报告期内无变动。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88"/>
        <w:ind w:left="634" w:right="214"/>
        <w:jc w:val="left"/>
        <w:rPr>
          <w:b w:val="0"/>
          <w:bCs w:val="0"/>
        </w:rPr>
      </w:pPr>
      <w:r>
        <w:rPr/>
        <w:t>7、主要控股子公司及参股公司的经营情况及业绩</w:t>
      </w:r>
      <w:r>
        <w:rPr>
          <w:b w:val="0"/>
          <w:bCs w:val="0"/>
        </w:rPr>
      </w:r>
    </w:p>
    <w:p>
      <w:pPr>
        <w:pStyle w:val="BodyText"/>
        <w:spacing w:line="388" w:lineRule="auto" w:before="192"/>
        <w:ind w:left="634" w:right="219"/>
        <w:jc w:val="left"/>
      </w:pPr>
      <w:r>
        <w:rPr>
          <w:spacing w:val="-4"/>
        </w:rPr>
        <w:t>（1）全资子公司—诚和伟业（北京）科技发展有限责任公司（以下简称“诚和伟业”）</w:t>
      </w:r>
      <w:r>
        <w:rPr>
          <w:spacing w:val="-84"/>
        </w:rPr>
        <w:t> </w:t>
      </w:r>
      <w:r>
        <w:rPr>
          <w:spacing w:val="-84"/>
        </w:rPr>
      </w:r>
      <w:r>
        <w:rPr/>
        <w:t>诚和伟业成立于</w:t>
      </w:r>
      <w:r>
        <w:rPr>
          <w:spacing w:val="-64"/>
        </w:rPr>
        <w:t> </w:t>
      </w:r>
      <w:r>
        <w:rPr>
          <w:spacing w:val="25"/>
        </w:rPr>
        <w:t>2003年8月</w:t>
      </w:r>
      <w:r>
        <w:rPr>
          <w:spacing w:val="-64"/>
        </w:rPr>
        <w:t> </w:t>
      </w:r>
      <w:r>
        <w:rPr/>
        <w:t>11</w:t>
      </w:r>
      <w:r>
        <w:rPr>
          <w:spacing w:val="-64"/>
        </w:rPr>
        <w:t> </w:t>
      </w:r>
      <w:r>
        <w:rPr/>
        <w:t>日，注册资本</w:t>
      </w:r>
      <w:r>
        <w:rPr>
          <w:spacing w:val="-64"/>
        </w:rPr>
        <w:t> </w:t>
      </w:r>
      <w:r>
        <w:rPr/>
        <w:t>240</w:t>
      </w:r>
      <w:r>
        <w:rPr>
          <w:spacing w:val="-64"/>
        </w:rPr>
        <w:t> </w:t>
      </w:r>
      <w:r>
        <w:rPr/>
        <w:t>万元，公司持有</w:t>
      </w:r>
      <w:r>
        <w:rPr>
          <w:spacing w:val="-64"/>
        </w:rPr>
        <w:t> </w:t>
      </w:r>
      <w:r>
        <w:rPr/>
        <w:t>100%权益，诚和伟业</w:t>
      </w:r>
    </w:p>
    <w:p>
      <w:pPr>
        <w:pStyle w:val="BodyText"/>
        <w:spacing w:line="357" w:lineRule="auto" w:before="4"/>
        <w:ind w:left="154" w:right="95"/>
        <w:jc w:val="left"/>
      </w:pPr>
      <w:r>
        <w:rPr/>
        <w:t>住所为北京市海淀区西三旗建材城东路</w:t>
      </w:r>
      <w:r>
        <w:rPr>
          <w:spacing w:val="-59"/>
        </w:rPr>
        <w:t> </w:t>
      </w:r>
      <w:r>
        <w:rPr/>
        <w:t>18</w:t>
      </w:r>
      <w:r>
        <w:rPr>
          <w:spacing w:val="-59"/>
        </w:rPr>
        <w:t> </w:t>
      </w:r>
      <w:r>
        <w:rPr>
          <w:spacing w:val="-9"/>
        </w:rPr>
        <w:t>号楼佰能大厦，主营业务：技术开发、服务、转让、</w:t>
      </w:r>
      <w:r>
        <w:rPr/>
        <w:t> 咨询</w:t>
      </w:r>
    </w:p>
    <w:p>
      <w:pPr>
        <w:spacing w:line="240" w:lineRule="auto" w:before="9"/>
        <w:rPr>
          <w:rFonts w:ascii="宋体" w:hAnsi="宋体" w:cs="宋体" w:eastAsia="宋体" w:hint="default"/>
          <w:sz w:val="17"/>
          <w:szCs w:val="17"/>
        </w:rPr>
      </w:pPr>
    </w:p>
    <w:p>
      <w:pPr>
        <w:pStyle w:val="BodyText"/>
        <w:spacing w:line="357" w:lineRule="auto"/>
        <w:ind w:left="154" w:right="250" w:firstLine="480"/>
        <w:jc w:val="left"/>
      </w:pPr>
      <w:r>
        <w:rPr/>
        <w:t>经开元信德会计师事务所有限公司审计的财务报表，截止2007年12月31日，诚和伟业的 总资产7,590,966.94元，净资产5,918,459.90元。2007年度诚和伟业实现营业务收入 24,970,000.00元，净利润733,250.45元。</w:t>
      </w:r>
    </w:p>
    <w:p>
      <w:pPr>
        <w:spacing w:line="240" w:lineRule="auto" w:before="0"/>
        <w:rPr>
          <w:rFonts w:ascii="宋体" w:hAnsi="宋体" w:cs="宋体" w:eastAsia="宋体" w:hint="default"/>
          <w:sz w:val="24"/>
          <w:szCs w:val="24"/>
        </w:rPr>
      </w:pPr>
    </w:p>
    <w:p>
      <w:pPr>
        <w:pStyle w:val="BodyText"/>
        <w:spacing w:line="240" w:lineRule="auto" w:before="190"/>
        <w:ind w:left="634" w:right="214"/>
        <w:jc w:val="left"/>
      </w:pPr>
      <w:r>
        <w:rPr/>
        <w:t>（2）全资子公司——鞍山荣信科技有限公司(以下简称“荣信科技”)</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t>荣信科技成立于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权益，荣信科技的</w:t>
      </w:r>
      <w:r>
        <w:rPr/>
      </w:r>
    </w:p>
    <w:p>
      <w:pPr>
        <w:pStyle w:val="BodyText"/>
        <w:spacing w:line="338" w:lineRule="auto" w:before="134"/>
        <w:ind w:right="133"/>
        <w:jc w:val="left"/>
      </w:pPr>
      <w:r>
        <w:rPr/>
        <w:t>住所为鞍山经济开发区联谊路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号，主营业务为行业应用软件服务、嵌入式软件服务及软件 销售；智能控制系统、自动化成套控制装置系统、自动化控制系统配件的开发。</w:t>
      </w:r>
    </w:p>
    <w:p>
      <w:pPr>
        <w:spacing w:line="240" w:lineRule="auto" w:before="3"/>
        <w:rPr>
          <w:rFonts w:ascii="宋体" w:hAnsi="宋体" w:cs="宋体" w:eastAsia="宋体" w:hint="default"/>
          <w:sz w:val="19"/>
          <w:szCs w:val="19"/>
        </w:rPr>
      </w:pPr>
    </w:p>
    <w:p>
      <w:pPr>
        <w:pStyle w:val="BodyText"/>
        <w:spacing w:line="357" w:lineRule="auto"/>
        <w:ind w:right="255" w:firstLine="480"/>
        <w:jc w:val="left"/>
      </w:pPr>
      <w:r>
        <w:rPr>
          <w:spacing w:val="-2"/>
        </w:rPr>
        <w:t>经开元信德会计师事务所有限公司审计的财务报表，截止2007年12月31日，荣信科技的</w:t>
      </w:r>
      <w:r>
        <w:rPr/>
        <w:t> 总资产2,129,543.84元，净资产1,641,261.09元。2007年度荣信科技实现营业务收入 5,750,000.00元，净利润1,104,739.24元。</w:t>
      </w:r>
    </w:p>
    <w:p>
      <w:pPr>
        <w:pStyle w:val="BodyText"/>
        <w:spacing w:line="858" w:lineRule="exact" w:before="98"/>
        <w:ind w:left="633" w:right="137"/>
        <w:jc w:val="left"/>
      </w:pPr>
      <w:r>
        <w:rPr/>
        <w:t>（3）全资子公司——荣信嘉时（北京）科技发展有限公司(以下简称“荣信嘉时”) 荣信嘉时成立于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权益，荣信嘉时</w:t>
      </w:r>
    </w:p>
    <w:p>
      <w:pPr>
        <w:pStyle w:val="BodyText"/>
        <w:spacing w:line="357" w:lineRule="auto" w:before="15"/>
        <w:ind w:right="135"/>
        <w:jc w:val="left"/>
      </w:pPr>
      <w:r>
        <w:rPr/>
        <w:t>的住所为北京市海淀区西三旗建材城东路</w:t>
      </w:r>
      <w:r>
        <w:rPr>
          <w:spacing w:val="-60"/>
        </w:rPr>
        <w:t> </w:t>
      </w:r>
      <w:r>
        <w:rPr/>
        <w:t>18</w:t>
      </w:r>
      <w:r>
        <w:rPr>
          <w:spacing w:val="-60"/>
        </w:rPr>
        <w:t> </w:t>
      </w:r>
      <w:r>
        <w:rPr>
          <w:spacing w:val="-4"/>
        </w:rPr>
        <w:t>号楼佰能大厦，主营业务为智能控制系统、自动</w:t>
      </w:r>
      <w:r>
        <w:rPr/>
        <w:t> 化成套控制装置系统、自动化控制系统配件的开发、设计、销售。</w:t>
      </w:r>
    </w:p>
    <w:p>
      <w:pPr>
        <w:spacing w:line="240" w:lineRule="auto" w:before="9"/>
        <w:rPr>
          <w:rFonts w:ascii="宋体" w:hAnsi="宋体" w:cs="宋体" w:eastAsia="宋体" w:hint="default"/>
          <w:sz w:val="17"/>
          <w:szCs w:val="17"/>
        </w:rPr>
      </w:pPr>
    </w:p>
    <w:p>
      <w:pPr>
        <w:pStyle w:val="BodyText"/>
        <w:spacing w:line="357" w:lineRule="auto"/>
        <w:ind w:right="267" w:firstLine="480"/>
        <w:jc w:val="both"/>
      </w:pPr>
      <w:r>
        <w:rPr>
          <w:spacing w:val="-2"/>
        </w:rPr>
        <w:t>经开元信德会计师事务所有限公司审计的财务报表，截止2007年12月31日，荣信嘉时的</w:t>
      </w:r>
      <w:r>
        <w:rPr/>
        <w:t> </w:t>
      </w:r>
      <w:r>
        <w:rPr>
          <w:spacing w:val="-2"/>
        </w:rPr>
        <w:t>总资产4,108,383.06元，净资产4,092,964.34元。2007年度荣信嘉时未实现营业务收入，净</w:t>
      </w:r>
      <w:r>
        <w:rPr>
          <w:spacing w:val="-93"/>
        </w:rPr>
        <w:t> </w:t>
      </w:r>
      <w:r>
        <w:rPr>
          <w:spacing w:val="-93"/>
        </w:rPr>
      </w:r>
      <w:r>
        <w:rPr/>
        <w:t>利润-907,035.66元。</w:t>
      </w:r>
    </w:p>
    <w:p>
      <w:pPr>
        <w:pStyle w:val="BodyText"/>
        <w:spacing w:line="858" w:lineRule="exact" w:before="98"/>
        <w:ind w:left="633" w:right="137"/>
        <w:jc w:val="left"/>
      </w:pPr>
      <w:r>
        <w:rPr/>
        <w:t>（4）全资子公司——上海清方荣信电子有限公司(以下简称“清方荣信”) 清方荣信成立于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权益，清方荣信</w:t>
      </w:r>
    </w:p>
    <w:p>
      <w:pPr>
        <w:pStyle w:val="BodyText"/>
        <w:spacing w:line="338" w:lineRule="auto" w:before="16"/>
        <w:ind w:left="0" w:right="151"/>
        <w:jc w:val="right"/>
      </w:pPr>
      <w:r>
        <w:rPr/>
        <w:t>的住所为上海市浦东新区凌白路</w:t>
      </w:r>
      <w:r>
        <w:rPr>
          <w:spacing w:val="-54"/>
        </w:rPr>
        <w:t> </w:t>
      </w:r>
      <w:r>
        <w:rPr>
          <w:rFonts w:ascii="Times New Roman" w:hAnsi="Times New Roman" w:cs="Times New Roman" w:eastAsia="Times New Roman" w:hint="default"/>
        </w:rPr>
        <w:t>1081</w:t>
      </w:r>
      <w:r>
        <w:rPr>
          <w:rFonts w:ascii="Times New Roman" w:hAnsi="Times New Roman" w:cs="Times New Roman" w:eastAsia="Times New Roman" w:hint="default"/>
          <w:spacing w:val="6"/>
        </w:rPr>
        <w:t> </w:t>
      </w:r>
      <w:r>
        <w:rPr>
          <w:spacing w:val="-4"/>
        </w:rPr>
        <w:t>号，主营业务为电子产品、电气设备的设计、销售、计</w:t>
      </w:r>
      <w:r>
        <w:rPr/>
        <w:t> 算机软件开发、应用、销售，机械设备、仪器仪表的销售、从事货物与技术的进出口业务。</w:t>
      </w:r>
    </w:p>
    <w:p>
      <w:pPr>
        <w:pStyle w:val="BodyText"/>
        <w:spacing w:line="357" w:lineRule="auto" w:before="94"/>
        <w:ind w:right="188" w:firstLine="480"/>
        <w:jc w:val="both"/>
      </w:pPr>
      <w:r>
        <w:rPr/>
        <w:t>经开元信德会计师事务所有限公司审计的财务报表，截止2007年12月31日，清方荣信的 总资产1,644,921.28元，净资产1,644,921.28元。2007年度清方荣信未实现营业务收入，净 利润-355,078.72元。</w:t>
      </w:r>
    </w:p>
    <w:p>
      <w:pPr>
        <w:spacing w:line="240" w:lineRule="auto" w:before="0"/>
        <w:rPr>
          <w:rFonts w:ascii="宋体" w:hAnsi="宋体" w:cs="宋体" w:eastAsia="宋体" w:hint="default"/>
          <w:sz w:val="24"/>
          <w:szCs w:val="24"/>
        </w:rPr>
      </w:pPr>
    </w:p>
    <w:p>
      <w:pPr>
        <w:pStyle w:val="BodyText"/>
        <w:spacing w:line="357" w:lineRule="auto" w:before="188"/>
        <w:ind w:left="633" w:right="257"/>
        <w:jc w:val="left"/>
      </w:pPr>
      <w:r>
        <w:rPr/>
        <w:t>（5）参股公司——北京荣信电通科技发展有限公司 </w:t>
      </w:r>
      <w:r>
        <w:rPr>
          <w:spacing w:val="-2"/>
        </w:rPr>
        <w:t>注册资本1000万元，法定代表人为宋联忠。公司出资100万元，占注册资本的10%。该公</w:t>
      </w:r>
    </w:p>
    <w:p>
      <w:pPr>
        <w:pStyle w:val="BodyText"/>
        <w:spacing w:line="240" w:lineRule="auto" w:before="35"/>
        <w:ind w:right="0"/>
        <w:jc w:val="left"/>
      </w:pPr>
      <w:r>
        <w:rPr/>
        <w:t>司的主营业务为高压电气销售。</w:t>
      </w:r>
    </w:p>
    <w:p>
      <w:pPr>
        <w:spacing w:after="0" w:line="240" w:lineRule="auto"/>
        <w:jc w:val="left"/>
        <w:sectPr>
          <w:pgSz w:w="11910" w:h="16840"/>
          <w:pgMar w:header="747" w:footer="669" w:top="980" w:bottom="860" w:left="980" w:right="980"/>
        </w:sectPr>
      </w:pPr>
    </w:p>
    <w:p>
      <w:pPr>
        <w:spacing w:line="240" w:lineRule="auto" w:before="12"/>
        <w:rPr>
          <w:rFonts w:ascii="宋体" w:hAnsi="宋体" w:cs="宋体" w:eastAsia="宋体" w:hint="default"/>
          <w:sz w:val="29"/>
          <w:szCs w:val="29"/>
        </w:rPr>
      </w:pPr>
    </w:p>
    <w:p>
      <w:pPr>
        <w:pStyle w:val="Heading2"/>
        <w:spacing w:line="240" w:lineRule="auto" w:before="13"/>
        <w:ind w:left="634" w:right="0"/>
        <w:jc w:val="left"/>
        <w:rPr>
          <w:b w:val="0"/>
          <w:bCs w:val="0"/>
        </w:rPr>
      </w:pPr>
      <w:r>
        <w:rPr/>
        <w:t>(二)对公司未来发展情况的展望</w:t>
      </w:r>
      <w:r>
        <w:rPr>
          <w:b w:val="0"/>
          <w:bCs w:val="0"/>
        </w:rPr>
      </w:r>
    </w:p>
    <w:p>
      <w:pPr>
        <w:pStyle w:val="Heading4"/>
        <w:spacing w:line="240" w:lineRule="auto" w:before="225"/>
        <w:ind w:right="0"/>
        <w:jc w:val="left"/>
        <w:rPr>
          <w:b w:val="0"/>
          <w:bCs w:val="0"/>
        </w:rPr>
      </w:pPr>
      <w:r>
        <w:rPr/>
        <w:t>1、公司所处行业的发展趋势及面临的市场竞争格局</w:t>
      </w:r>
      <w:r>
        <w:rPr>
          <w:b w:val="0"/>
          <w:bCs w:val="0"/>
        </w:rPr>
      </w:r>
    </w:p>
    <w:p>
      <w:pPr>
        <w:pStyle w:val="BodyText"/>
        <w:spacing w:line="386" w:lineRule="auto" w:before="193"/>
        <w:ind w:left="633" w:right="0"/>
        <w:jc w:val="left"/>
      </w:pPr>
      <w:r>
        <w:rPr/>
        <w:t>①行业发展的趋势 节能大功率电力电子设备制造业是一个新兴行业，涉及重大节能技术，为先进制造业、</w:t>
      </w:r>
    </w:p>
    <w:p>
      <w:pPr>
        <w:pStyle w:val="BodyText"/>
        <w:spacing w:line="386" w:lineRule="auto" w:before="6"/>
        <w:ind w:left="634" w:right="0" w:hanging="480"/>
        <w:jc w:val="left"/>
      </w:pPr>
      <w:r>
        <w:rPr/>
        <w:t>国家重大装备制造业及高技术产业，受国家多项政策支持</w:t>
      </w:r>
      <w:r>
        <w:rPr>
          <w:sz w:val="18"/>
          <w:szCs w:val="18"/>
        </w:rPr>
        <w:t>。</w:t>
      </w:r>
      <w:r>
        <w:rPr>
          <w:sz w:val="18"/>
          <w:szCs w:val="18"/>
        </w:rPr>
        <w:t> </w:t>
      </w:r>
      <w:r>
        <w:rPr/>
        <w:t>节能大功率电力电子设备制造业运用的技术主要为电力电子技术。近年来，电力电子技</w:t>
      </w:r>
    </w:p>
    <w:p>
      <w:pPr>
        <w:pStyle w:val="BodyText"/>
        <w:spacing w:line="357" w:lineRule="auto" w:before="7"/>
        <w:ind w:right="148"/>
        <w:jc w:val="both"/>
      </w:pPr>
      <w:r>
        <w:rPr/>
        <w:t>术和相关产业在国内外飞速发展，已经渗透到电能的产生、输送、分配和应用的各个环节，</w:t>
      </w:r>
      <w:r>
        <w:rPr>
          <w:spacing w:val="-83"/>
        </w:rPr>
        <w:t> </w:t>
      </w:r>
      <w:r>
        <w:rPr>
          <w:spacing w:val="-83"/>
        </w:rPr>
      </w:r>
      <w:r>
        <w:rPr/>
        <w:t>广泛应用到工业系统、电力系统、交通系统、通信系统、计算机系统、新能源系统和日常生</w:t>
      </w:r>
      <w:r>
        <w:rPr>
          <w:spacing w:val="-83"/>
        </w:rPr>
        <w:t> </w:t>
      </w:r>
      <w:r>
        <w:rPr>
          <w:spacing w:val="-83"/>
        </w:rPr>
      </w:r>
      <w:r>
        <w:rPr/>
        <w:t>活中，是使用电能的其他所有产业的基础技术，面临着巨大的市场需求。</w:t>
      </w:r>
    </w:p>
    <w:p>
      <w:pPr>
        <w:pStyle w:val="BodyText"/>
        <w:spacing w:line="357" w:lineRule="auto" w:before="74"/>
        <w:ind w:left="154" w:right="151" w:firstLine="480"/>
        <w:jc w:val="both"/>
      </w:pPr>
      <w:r>
        <w:rPr/>
        <w:t>国际上本行业的技术领先者主要以瑞士</w:t>
      </w:r>
      <w:r>
        <w:rPr>
          <w:spacing w:val="-51"/>
        </w:rPr>
        <w:t> </w:t>
      </w:r>
      <w:r>
        <w:rPr/>
        <w:t>ABB、德国</w:t>
      </w:r>
      <w:r>
        <w:rPr>
          <w:spacing w:val="-51"/>
        </w:rPr>
        <w:t> </w:t>
      </w:r>
      <w:r>
        <w:rPr/>
        <w:t>SIEMENS、法国</w:t>
      </w:r>
      <w:r>
        <w:rPr>
          <w:spacing w:val="-51"/>
        </w:rPr>
        <w:t> </w:t>
      </w:r>
      <w:r>
        <w:rPr/>
        <w:t>AREVA、日本</w:t>
      </w:r>
      <w:r>
        <w:rPr>
          <w:spacing w:val="-51"/>
        </w:rPr>
        <w:t> </w:t>
      </w:r>
      <w:r>
        <w:rPr/>
        <w:t>TOSHIBA</w:t>
      </w:r>
      <w:r>
        <w:rPr/>
        <w:t> 等大企业为主。</w:t>
      </w:r>
    </w:p>
    <w:p>
      <w:pPr>
        <w:pStyle w:val="BodyText"/>
        <w:spacing w:line="357" w:lineRule="auto" w:before="76"/>
        <w:ind w:left="154" w:right="188" w:firstLine="480"/>
        <w:jc w:val="both"/>
      </w:pPr>
      <w:r>
        <w:rPr/>
        <w:t>国内企业均是20世纪90年代开始，在学习消化吸收国外先进技术的基础上成长起来的， 基本上都属于中小企业。但依靠自主创新能力、本土化制造的优势以及国家政策的引导与支 持，这些企业正在迅速成长，并已在SVC、HVC等诸多领域完成了替代进口的任务。</w:t>
      </w:r>
    </w:p>
    <w:p>
      <w:pPr>
        <w:pStyle w:val="BodyText"/>
        <w:spacing w:line="357" w:lineRule="auto" w:before="35"/>
        <w:ind w:left="633" w:right="171" w:firstLine="2"/>
        <w:jc w:val="left"/>
      </w:pPr>
      <w:r>
        <w:rPr/>
        <w:t>②面临的市场竞争格局 节能大功率电力电子设备制造业目前处于新兴产业的初级阶段，成为国内外公司重点研</w:t>
      </w:r>
    </w:p>
    <w:p>
      <w:pPr>
        <w:pStyle w:val="BodyText"/>
        <w:spacing w:line="357" w:lineRule="auto" w:before="35"/>
        <w:ind w:right="188"/>
        <w:jc w:val="both"/>
      </w:pPr>
      <w:r>
        <w:rPr/>
        <w:t>发和投资的领域，该行业受国家政策支持和高层的重视，在节能减排的宏观背景下，市场空 间急剧放大，导致包括许多上市公司在内的企业加入到电力电子高端设备生产制造中来，市 场竞争逐渐加剧。</w:t>
      </w:r>
    </w:p>
    <w:p>
      <w:pPr>
        <w:spacing w:line="357" w:lineRule="auto" w:before="191"/>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2、公司的发展战略</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本公司秉承“发展世界一流的电力电子技术，创建世界一流的电力电子企业；创造中国</w:t>
      </w:r>
    </w:p>
    <w:p>
      <w:pPr>
        <w:pStyle w:val="BodyText"/>
        <w:spacing w:line="357" w:lineRule="auto" w:before="36"/>
        <w:ind w:right="135"/>
        <w:jc w:val="left"/>
      </w:pPr>
      <w:r>
        <w:rPr>
          <w:spacing w:val="-3"/>
        </w:rPr>
        <w:t>的世界名牌，创造世界的中国名牌，为振兴中国的民族工业做出贡献”经营愿景，以节能大</w:t>
      </w:r>
      <w:r>
        <w:rPr>
          <w:spacing w:val="-84"/>
        </w:rPr>
        <w:t> </w:t>
      </w:r>
      <w:r>
        <w:rPr>
          <w:spacing w:val="-84"/>
        </w:rPr>
      </w:r>
      <w:r>
        <w:rPr/>
        <w:t>功率电力电子设备制造为主营业务方向，在不断提高现有业务经营管理水平的同时，通过新</w:t>
      </w:r>
      <w:r>
        <w:rPr/>
        <w:t> </w:t>
      </w:r>
      <w:r>
        <w:rPr>
          <w:spacing w:val="-2"/>
        </w:rPr>
        <w:t>产品研制开发、引进培养人才、自主创新、积极开拓国内国际市场等手段，保持公司SVC、、</w:t>
      </w:r>
      <w:r>
        <w:rPr>
          <w:spacing w:val="-117"/>
        </w:rPr>
        <w:t> </w:t>
      </w:r>
      <w:r>
        <w:rPr>
          <w:spacing w:val="-117"/>
        </w:rPr>
      </w:r>
      <w:r>
        <w:rPr/>
        <w:t>HVC、MABZ等主导产品优势并不断拓宽产品线与产品业务，巩固公司在节能大功率电力电子 </w:t>
      </w:r>
      <w:r>
        <w:rPr>
          <w:spacing w:val="-3"/>
        </w:rPr>
        <w:t>设备制造业的领先地位，确保公司持续、快速、健康发展，争取10年内成为中国输配电业务</w:t>
      </w:r>
      <w:r>
        <w:rPr>
          <w:spacing w:val="-81"/>
        </w:rPr>
        <w:t> </w:t>
      </w:r>
      <w:r>
        <w:rPr>
          <w:spacing w:val="-81"/>
        </w:rPr>
      </w:r>
      <w:r>
        <w:rPr/>
        <w:t>与工业电气业务的第一领导者，20年内成为中国的ABB，成为全球输配电与工业电气业务的 主要制造商之一。</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Heading4"/>
        <w:spacing w:line="240" w:lineRule="auto"/>
        <w:ind w:right="214"/>
        <w:jc w:val="left"/>
        <w:rPr>
          <w:b w:val="0"/>
          <w:bCs w:val="0"/>
        </w:rPr>
      </w:pPr>
      <w:r>
        <w:rPr/>
        <w:t>3、公司2008年的经营计划和主要目标</w:t>
      </w:r>
      <w:r>
        <w:rPr>
          <w:b w:val="0"/>
          <w:bCs w:val="0"/>
        </w:rPr>
      </w:r>
    </w:p>
    <w:p>
      <w:pPr>
        <w:pStyle w:val="BodyText"/>
        <w:spacing w:line="357" w:lineRule="auto" w:before="192"/>
        <w:ind w:right="93" w:firstLine="480"/>
        <w:jc w:val="left"/>
      </w:pPr>
      <w:r>
        <w:rPr>
          <w:spacing w:val="-3"/>
        </w:rPr>
        <w:t>（1）进一步开拓市场，在巩固现有市场份额的前提下加快新的市场领域的开发，以及加</w:t>
      </w:r>
      <w:r>
        <w:rPr/>
        <w:t> 大新产品市场开拓力度，加快公司主导产品国际化进程，确保公司业绩较上年增长</w:t>
      </w:r>
      <w:r>
        <w:rPr>
          <w:spacing w:val="-82"/>
        </w:rPr>
        <w:t> </w:t>
      </w:r>
      <w:r>
        <w:rPr/>
        <w:t>30%以上。</w:t>
      </w:r>
    </w:p>
    <w:p>
      <w:pPr>
        <w:pStyle w:val="BodyText"/>
        <w:spacing w:line="357" w:lineRule="auto" w:before="76"/>
        <w:ind w:right="221" w:firstLine="480"/>
        <w:jc w:val="left"/>
      </w:pPr>
      <w:r>
        <w:rPr/>
        <w:t>（2）加快募集资金项目的建设进度，保证募集资金的使用质量，2008</w:t>
      </w:r>
      <w:r>
        <w:rPr>
          <w:spacing w:val="30"/>
        </w:rPr>
        <w:t> </w:t>
      </w:r>
      <w:r>
        <w:rPr/>
        <w:t>年末完成项目建</w:t>
      </w:r>
      <w:r>
        <w:rPr>
          <w:spacing w:val="1"/>
        </w:rPr>
        <w:t> </w:t>
      </w:r>
      <w:r>
        <w:rPr/>
        <w:t>设，并尽快产生效益。</w:t>
      </w:r>
    </w:p>
    <w:p>
      <w:pPr>
        <w:pStyle w:val="BodyText"/>
        <w:spacing w:line="357" w:lineRule="auto" w:before="74"/>
        <w:ind w:right="100" w:firstLine="480"/>
        <w:jc w:val="left"/>
      </w:pPr>
      <w:r>
        <w:rPr>
          <w:spacing w:val="-3"/>
        </w:rPr>
        <w:t>（3）利用公司资金、技术和管理优势进行适度的企业并购与投资，推进本行业内优势资</w:t>
      </w:r>
      <w:r>
        <w:rPr/>
        <w:t> </w:t>
      </w:r>
      <w:r>
        <w:rPr>
          <w:spacing w:val="-3"/>
        </w:rPr>
        <w:t>源整合，延伸主流产品线，拓展产业链，投资上游产品如热管等，满足企业的业务拓展需要，</w:t>
      </w:r>
      <w:r>
        <w:rPr>
          <w:spacing w:val="-81"/>
        </w:rPr>
        <w:t> </w:t>
      </w:r>
      <w:r>
        <w:rPr>
          <w:spacing w:val="-81"/>
        </w:rPr>
      </w:r>
      <w:r>
        <w:rPr/>
        <w:t>增强企业的综合竞争优势。</w:t>
      </w:r>
    </w:p>
    <w:p>
      <w:pPr>
        <w:pStyle w:val="BodyText"/>
        <w:spacing w:line="357" w:lineRule="auto" w:before="36"/>
        <w:ind w:right="214" w:firstLine="482"/>
        <w:jc w:val="left"/>
      </w:pPr>
      <w:r>
        <w:rPr>
          <w:spacing w:val="-3"/>
        </w:rPr>
        <w:t>（4）增强自主创新能力，加大新产品研发投入，实施客户经营策略，完成现有产品升级</w:t>
      </w:r>
      <w:r>
        <w:rPr/>
        <w:t> 及系列化生产。研发机车变频主传动系统、百MVA级STATCOM等重大产品，并争取尽快投运。</w:t>
      </w:r>
    </w:p>
    <w:p>
      <w:pPr>
        <w:pStyle w:val="BodyText"/>
        <w:spacing w:line="357" w:lineRule="auto" w:before="35"/>
        <w:ind w:right="249" w:firstLine="482"/>
        <w:jc w:val="left"/>
      </w:pPr>
      <w:r>
        <w:rPr/>
        <w:t>（5）提高公司的管理水平，推进271绩效考核及量化激励体系实施，建立满足快速发展 要求的卓越高效团队。</w:t>
      </w:r>
    </w:p>
    <w:p>
      <w:pPr>
        <w:spacing w:line="240" w:lineRule="auto" w:before="0"/>
        <w:rPr>
          <w:rFonts w:ascii="宋体" w:hAnsi="宋体" w:cs="宋体" w:eastAsia="宋体" w:hint="default"/>
          <w:sz w:val="24"/>
          <w:szCs w:val="24"/>
        </w:rPr>
      </w:pPr>
    </w:p>
    <w:p>
      <w:pPr>
        <w:spacing w:line="357" w:lineRule="auto" w:before="188"/>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4、为实现公司发展战略的资金使用安排</w:t>
      </w:r>
      <w:r>
        <w:rPr>
          <w:rFonts w:ascii="宋体" w:hAnsi="宋体" w:cs="宋体" w:eastAsia="宋体" w:hint="default"/>
          <w:b/>
          <w:bCs/>
          <w:spacing w:val="1"/>
          <w:w w:val="99"/>
          <w:sz w:val="24"/>
          <w:szCs w:val="24"/>
        </w:rPr>
        <w:t> </w:t>
      </w:r>
      <w:r>
        <w:rPr>
          <w:rFonts w:ascii="宋体" w:hAnsi="宋体" w:cs="宋体" w:eastAsia="宋体" w:hint="default"/>
          <w:sz w:val="24"/>
          <w:szCs w:val="24"/>
        </w:rPr>
        <w:t>实现公司的发展战略需要更多的资金支持。公司一方面将通过上市募集到的资金，加紧</w:t>
      </w:r>
    </w:p>
    <w:p>
      <w:pPr>
        <w:pStyle w:val="BodyText"/>
        <w:spacing w:line="357" w:lineRule="auto" w:before="35"/>
        <w:ind w:right="268"/>
        <w:jc w:val="both"/>
      </w:pPr>
      <w:r>
        <w:rPr/>
        <w:t>实施募集资金项目的建设，尽快产生效益。另一方面根据资金需求情况将利用自有资金、银 行贷款以及通过再融资的方式保证项目资金的需求。</w:t>
      </w:r>
    </w:p>
    <w:p>
      <w:pPr>
        <w:spacing w:line="760" w:lineRule="atLeast" w:before="56"/>
        <w:ind w:left="756" w:right="214" w:hanging="120"/>
        <w:jc w:val="left"/>
        <w:rPr>
          <w:rFonts w:ascii="宋体" w:hAnsi="宋体" w:cs="宋体" w:eastAsia="宋体" w:hint="default"/>
          <w:sz w:val="24"/>
          <w:szCs w:val="24"/>
        </w:rPr>
      </w:pPr>
      <w:r>
        <w:rPr>
          <w:rFonts w:ascii="宋体" w:hAnsi="宋体" w:cs="宋体" w:eastAsia="宋体" w:hint="default"/>
          <w:b/>
          <w:bCs/>
          <w:sz w:val="24"/>
          <w:szCs w:val="24"/>
        </w:rPr>
        <w:t>5、风险因素</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(1)人力资源风险。</w:t>
      </w:r>
      <w:r>
        <w:rPr>
          <w:rFonts w:ascii="宋体" w:hAnsi="宋体" w:cs="宋体" w:eastAsia="宋体" w:hint="default"/>
          <w:w w:val="95"/>
          <w:sz w:val="24"/>
          <w:szCs w:val="24"/>
        </w:rPr>
        <w:t>本公司从事的节能大功率电力电子设备制造业是一个技术密集型行</w:t>
      </w:r>
    </w:p>
    <w:p>
      <w:pPr>
        <w:pStyle w:val="BodyText"/>
        <w:spacing w:line="357" w:lineRule="auto" w:before="152"/>
        <w:ind w:right="268"/>
        <w:jc w:val="both"/>
      </w:pPr>
      <w:r>
        <w:rPr/>
        <w:t>业，对高级技术人才的依赖性很高，公司地处东北，高端人才较为匮乏，如果人才引进得不 到保障，将影响公司的发展。公司通过在中心城市（北京、上海）设立研发和销售中心、建 设优秀的企业文化及实施有效的持股计划等措施吸引高级人才，保证了核心管理人员和技术 人员的稳定。公司成功上市后，股权的激励和约束作用将进一步发挥，公司的凝聚力将进一 步增强，这也为公司不断引入行业内优秀的技术人才和销售人才创造了条件。</w:t>
      </w:r>
    </w:p>
    <w:p>
      <w:pPr>
        <w:pStyle w:val="BodyText"/>
        <w:spacing w:line="357" w:lineRule="auto" w:before="35"/>
        <w:ind w:left="154" w:right="231" w:firstLine="482"/>
        <w:jc w:val="both"/>
      </w:pPr>
      <w:r>
        <w:rPr>
          <w:rFonts w:ascii="宋体" w:hAnsi="宋体" w:cs="宋体" w:eastAsia="宋体" w:hint="default"/>
          <w:b/>
          <w:bCs/>
          <w:spacing w:val="-3"/>
        </w:rPr>
        <w:t>（2）管理风险。</w:t>
      </w:r>
      <w:r>
        <w:rPr>
          <w:spacing w:val="-3"/>
        </w:rPr>
        <w:t>企业经营规模的扩张，将对公司管理团队的管理和协调能力提出较高的</w:t>
      </w:r>
      <w:r>
        <w:rPr/>
        <w:t> 要求，为此公司将进一步加强管理队伍建设，通过加强对现有管理人员的培训，不断提高其 管理水平和协调能力。完善公司治理的经营管理机制，形成更加科学有效的决策机制，同时 不断完善绩效考核机制，形成更加有效的激励约束机制，使公司的经营模式和管理机制能够</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214"/>
        <w:jc w:val="left"/>
      </w:pPr>
      <w:r>
        <w:rPr/>
        <w:t>更加符合公司发展需要。</w:t>
      </w:r>
    </w:p>
    <w:p>
      <w:pPr>
        <w:pStyle w:val="BodyText"/>
        <w:spacing w:line="357" w:lineRule="auto" w:before="152"/>
        <w:ind w:right="231" w:firstLine="482"/>
        <w:jc w:val="both"/>
      </w:pPr>
      <w:r>
        <w:rPr>
          <w:rFonts w:ascii="宋体" w:hAnsi="宋体" w:cs="宋体" w:eastAsia="宋体" w:hint="default"/>
          <w:b/>
          <w:bCs/>
          <w:spacing w:val="-3"/>
        </w:rPr>
        <w:t>（3）毛利下降风险。</w:t>
      </w:r>
      <w:r>
        <w:rPr>
          <w:spacing w:val="-3"/>
        </w:rPr>
        <w:t>随着公司产品市场需求的迅速增长，参与竞争的企业将逐步增加及</w:t>
      </w:r>
      <w:r>
        <w:rPr/>
        <w:t> 人力成本的提高使公司产品的毛利有下降的趋势。公司将通过增加研发投入，走高端路线保 持产品高技术含量、推进产业技术升级、扩大销售规模，提高订单的整体质量、投资公司原 材料占比较高的上游产品如热管以降低生产成本等方式来稳定产品的利润水平。</w:t>
      </w:r>
    </w:p>
    <w:p>
      <w:pPr>
        <w:spacing w:line="240" w:lineRule="auto" w:before="0"/>
        <w:rPr>
          <w:rFonts w:ascii="宋体" w:hAnsi="宋体" w:cs="宋体" w:eastAsia="宋体" w:hint="default"/>
          <w:sz w:val="24"/>
          <w:szCs w:val="24"/>
        </w:rPr>
      </w:pPr>
    </w:p>
    <w:p>
      <w:pPr>
        <w:pStyle w:val="Heading4"/>
        <w:spacing w:line="357" w:lineRule="auto" w:before="188"/>
        <w:ind w:left="153" w:right="339" w:firstLine="596"/>
        <w:jc w:val="left"/>
        <w:rPr>
          <w:b w:val="0"/>
          <w:bCs w:val="0"/>
        </w:rPr>
      </w:pPr>
      <w:r>
        <w:rPr/>
        <w:t>(三)公司会计政策、会计估计变更或重大前期差错更正对公司的财务状况和经营成果</w:t>
      </w:r>
      <w:r>
        <w:rPr>
          <w:spacing w:val="1"/>
          <w:w w:val="99"/>
        </w:rPr>
        <w:t> </w:t>
      </w:r>
      <w:r>
        <w:rPr/>
        <w:t>的影响情况</w:t>
      </w:r>
      <w:r>
        <w:rPr>
          <w:b w:val="0"/>
          <w:bCs w:val="0"/>
        </w:rPr>
      </w:r>
    </w:p>
    <w:p>
      <w:pPr>
        <w:spacing w:line="240" w:lineRule="auto" w:before="4"/>
        <w:rPr>
          <w:rFonts w:ascii="宋体" w:hAnsi="宋体" w:cs="宋体" w:eastAsia="宋体" w:hint="default"/>
          <w:b/>
          <w:bCs/>
          <w:sz w:val="20"/>
          <w:szCs w:val="20"/>
        </w:rPr>
      </w:pPr>
    </w:p>
    <w:p>
      <w:pPr>
        <w:pStyle w:val="BodyText"/>
        <w:spacing w:line="321" w:lineRule="auto"/>
        <w:ind w:right="228" w:firstLine="510"/>
        <w:jc w:val="both"/>
      </w:pPr>
      <w:r>
        <w:rPr>
          <w:spacing w:val="6"/>
        </w:rPr>
        <w:t>本公司于二零零七年一月一日起执行新企业会计准则。按照新企业会计准则、中国证</w:t>
      </w:r>
      <w:r>
        <w:rPr>
          <w:spacing w:val="8"/>
        </w:rPr>
        <w:t> </w:t>
      </w:r>
      <w:r>
        <w:rPr>
          <w:spacing w:val="3"/>
        </w:rPr>
        <w:t>监会发布的《关于做好与新企业会计准则相关财务会计信息披露的通知（证监发[2006]136</w:t>
      </w:r>
      <w:r>
        <w:rPr>
          <w:spacing w:val="-100"/>
        </w:rPr>
        <w:t> </w:t>
      </w:r>
      <w:r>
        <w:rPr>
          <w:spacing w:val="-100"/>
        </w:rPr>
      </w:r>
      <w:r>
        <w:rPr>
          <w:spacing w:val="2"/>
        </w:rPr>
        <w:t>号）》和《公开发行证券的公司信息披露规范问答第</w:t>
      </w:r>
      <w:r>
        <w:rPr/>
        <w:t> 7</w:t>
      </w:r>
      <w:r>
        <w:rPr>
          <w:spacing w:val="-8"/>
        </w:rPr>
        <w:t> </w:t>
      </w:r>
      <w:r>
        <w:rPr>
          <w:spacing w:val="7"/>
        </w:rPr>
        <w:t>号―新旧会计准则过渡期间比较财</w:t>
      </w:r>
    </w:p>
    <w:p>
      <w:pPr>
        <w:pStyle w:val="BodyText"/>
        <w:spacing w:line="240" w:lineRule="auto" w:before="24"/>
        <w:ind w:right="214"/>
        <w:jc w:val="left"/>
      </w:pPr>
      <w:r>
        <w:rPr>
          <w:spacing w:val="7"/>
        </w:rPr>
        <w:t>务会计信息的编制和披露</w:t>
      </w:r>
      <w:r>
        <w:rPr>
          <w:spacing w:val="-116"/>
        </w:rPr>
        <w:t>》、</w:t>
      </w:r>
      <w:r>
        <w:rPr>
          <w:spacing w:val="8"/>
        </w:rPr>
        <w:t>《公开发行证券的公司信息披露编报</w:t>
      </w:r>
      <w:r>
        <w:rPr>
          <w:spacing w:val="7"/>
        </w:rPr>
        <w:t>规</w:t>
      </w:r>
      <w:r>
        <w:rPr>
          <w:spacing w:val="8"/>
        </w:rPr>
        <w:t>则</w:t>
      </w:r>
      <w:r>
        <w:rPr/>
        <w:t>第</w:t>
      </w:r>
      <w:r>
        <w:rPr>
          <w:spacing w:val="-6"/>
        </w:rPr>
        <w:t> </w:t>
      </w:r>
      <w:r>
        <w:rPr>
          <w:spacing w:val="4"/>
        </w:rPr>
        <w:t>1</w:t>
      </w:r>
      <w:r>
        <w:rPr/>
        <w:t>5</w:t>
      </w:r>
      <w:r>
        <w:rPr>
          <w:spacing w:val="-9"/>
        </w:rPr>
        <w:t> </w:t>
      </w:r>
      <w:r>
        <w:rPr>
          <w:spacing w:val="8"/>
        </w:rPr>
        <w:t>号―财务</w:t>
      </w:r>
      <w:r>
        <w:rPr>
          <w:spacing w:val="6"/>
        </w:rPr>
        <w:t>报</w:t>
      </w:r>
      <w:r>
        <w:rPr/>
        <w:t>告</w:t>
      </w:r>
    </w:p>
    <w:p>
      <w:pPr>
        <w:pStyle w:val="BodyText"/>
        <w:spacing w:line="321" w:lineRule="auto" w:before="106"/>
        <w:ind w:right="100"/>
        <w:jc w:val="left"/>
      </w:pPr>
      <w:r>
        <w:rPr>
          <w:spacing w:val="-13"/>
        </w:rPr>
        <w:t>的一般规定》、《企业会计准则解释</w:t>
      </w:r>
      <w:r>
        <w:rPr>
          <w:spacing w:val="-40"/>
        </w:rPr>
        <w:t> </w:t>
      </w:r>
      <w:r>
        <w:rPr/>
        <w:t>1</w:t>
      </w:r>
      <w:r>
        <w:rPr>
          <w:spacing w:val="-42"/>
        </w:rPr>
        <w:t> </w:t>
      </w:r>
      <w:r>
        <w:rPr>
          <w:spacing w:val="2"/>
        </w:rPr>
        <w:t>号》等有关规定，本公司对以下会计政策进行了变更，</w:t>
      </w:r>
      <w:r>
        <w:rPr>
          <w:spacing w:val="-113"/>
        </w:rPr>
        <w:t> </w:t>
      </w:r>
      <w:r>
        <w:rPr>
          <w:spacing w:val="-113"/>
        </w:rPr>
      </w:r>
      <w:r>
        <w:rPr>
          <w:spacing w:val="8"/>
        </w:rPr>
        <w:t>并对比较期间的财务报表进行了追溯调整，其中：</w:t>
      </w:r>
      <w:r>
        <w:rPr/>
      </w:r>
    </w:p>
    <w:p>
      <w:pPr>
        <w:pStyle w:val="BodyText"/>
        <w:spacing w:line="321" w:lineRule="auto" w:before="144"/>
        <w:ind w:right="202" w:firstLine="510"/>
        <w:jc w:val="both"/>
      </w:pPr>
      <w:r>
        <w:rPr/>
        <w:t>(1) </w:t>
      </w:r>
      <w:r>
        <w:rPr>
          <w:spacing w:val="6"/>
        </w:rPr>
        <w:t>根据《企业会计准则第 </w:t>
      </w:r>
      <w:r>
        <w:rPr/>
        <w:t>18</w:t>
      </w:r>
      <w:r>
        <w:rPr>
          <w:spacing w:val="4"/>
        </w:rPr>
        <w:t> </w:t>
      </w:r>
      <w:r>
        <w:rPr>
          <w:spacing w:val="7"/>
        </w:rPr>
        <w:t>号——所得税》的规定，公司采用资产负债表债务法</w:t>
      </w:r>
      <w:r>
        <w:rPr>
          <w:spacing w:val="8"/>
        </w:rPr>
        <w:t> </w:t>
      </w:r>
      <w:r>
        <w:rPr>
          <w:spacing w:val="7"/>
        </w:rPr>
        <w:t>对企业所得税进行核算。该项会计政策变更采用追溯调整法，由此调增二零零六年度净利</w:t>
      </w:r>
      <w:r>
        <w:rPr>
          <w:spacing w:val="8"/>
        </w:rPr>
        <w:t> </w:t>
      </w:r>
      <w:r>
        <w:rPr/>
        <w:t>润</w:t>
      </w:r>
      <w:r>
        <w:rPr>
          <w:spacing w:val="-46"/>
        </w:rPr>
        <w:t> </w:t>
      </w:r>
      <w:r>
        <w:rPr>
          <w:spacing w:val="3"/>
        </w:rPr>
        <w:t>212,881.14</w:t>
      </w:r>
      <w:r>
        <w:rPr>
          <w:spacing w:val="-50"/>
        </w:rPr>
        <w:t> </w:t>
      </w:r>
      <w:r>
        <w:rPr>
          <w:spacing w:val="7"/>
        </w:rPr>
        <w:t>人民币元；调增二零零七年一月一日股东权益金额</w:t>
      </w:r>
      <w:r>
        <w:rPr>
          <w:spacing w:val="-46"/>
        </w:rPr>
        <w:t> </w:t>
      </w:r>
      <w:r>
        <w:rPr>
          <w:spacing w:val="2"/>
        </w:rPr>
        <w:t>730,816.63</w:t>
      </w:r>
      <w:r>
        <w:rPr>
          <w:spacing w:val="-48"/>
        </w:rPr>
        <w:t> </w:t>
      </w:r>
      <w:r>
        <w:rPr>
          <w:spacing w:val="6"/>
        </w:rPr>
        <w:t>人民币元。</w:t>
      </w:r>
    </w:p>
    <w:p>
      <w:pPr>
        <w:pStyle w:val="BodyText"/>
        <w:spacing w:line="357" w:lineRule="auto" w:before="35"/>
        <w:ind w:right="100" w:firstLine="488"/>
        <w:jc w:val="left"/>
      </w:pPr>
      <w:r>
        <w:rPr/>
        <w:t>(2)</w:t>
      </w:r>
      <w:r>
        <w:rPr>
          <w:spacing w:val="21"/>
        </w:rPr>
        <w:t> </w:t>
      </w:r>
      <w:r>
        <w:rPr>
          <w:spacing w:val="7"/>
        </w:rPr>
        <w:t>根据《企业会计准则第2号——长期股权投资》的规定，公司对所属全资子公司</w:t>
      </w:r>
      <w:r>
        <w:rPr>
          <w:spacing w:val="8"/>
        </w:rPr>
        <w:t> </w:t>
      </w:r>
      <w:r>
        <w:rPr>
          <w:spacing w:val="6"/>
        </w:rPr>
        <w:t>及控股子公司长期股权投资的核算方法由原来的权益法改为成本法。公司在首次执行日以</w:t>
      </w:r>
      <w:r>
        <w:rPr>
          <w:spacing w:val="-102"/>
        </w:rPr>
        <w:t> </w:t>
      </w:r>
      <w:r>
        <w:rPr>
          <w:spacing w:val="-102"/>
        </w:rPr>
      </w:r>
      <w:r>
        <w:rPr>
          <w:spacing w:val="6"/>
        </w:rPr>
        <w:t>前已经持有的对子公司长期股权投资，在首次执行日进行追溯调整，视同该子公司自最初</w:t>
      </w:r>
      <w:r>
        <w:rPr>
          <w:spacing w:val="-93"/>
        </w:rPr>
        <w:t> </w:t>
      </w:r>
      <w:r>
        <w:rPr>
          <w:spacing w:val="-93"/>
        </w:rPr>
      </w:r>
      <w:r>
        <w:rPr>
          <w:spacing w:val="6"/>
        </w:rPr>
        <w:t>即采用成本法核算。执行新会计准则后按照子公司宣告分派现金股利或利润中应分得的部</w:t>
      </w:r>
      <w:r>
        <w:rPr>
          <w:spacing w:val="-102"/>
        </w:rPr>
        <w:t> </w:t>
      </w:r>
      <w:r>
        <w:rPr>
          <w:spacing w:val="-102"/>
        </w:rPr>
      </w:r>
      <w:r>
        <w:rPr>
          <w:spacing w:val="2"/>
        </w:rPr>
        <w:t>分，确认为投资收益。由此调减二零零六年度母公司财务报表净利润734,269.01人民币元，</w:t>
      </w:r>
      <w:r>
        <w:rPr>
          <w:spacing w:val="-80"/>
        </w:rPr>
        <w:t> </w:t>
      </w:r>
      <w:r>
        <w:rPr>
          <w:spacing w:val="-80"/>
        </w:rPr>
      </w:r>
      <w:r>
        <w:rPr>
          <w:spacing w:val="5"/>
        </w:rPr>
        <w:t>调减二零零七年一月一日母公司财务报表股东权益金额2,817,503.30人民币元；该项会计</w:t>
      </w:r>
      <w:r>
        <w:rPr>
          <w:spacing w:val="-93"/>
        </w:rPr>
        <w:t> </w:t>
      </w:r>
      <w:r>
        <w:rPr>
          <w:spacing w:val="-93"/>
        </w:rPr>
      </w:r>
      <w:r>
        <w:rPr>
          <w:spacing w:val="7"/>
        </w:rPr>
        <w:t>政策变更追溯调整不影响各年度合并财务报表。</w:t>
      </w:r>
      <w:r>
        <w:rPr/>
      </w:r>
    </w:p>
    <w:p>
      <w:pPr>
        <w:pStyle w:val="Heading4"/>
        <w:spacing w:line="240" w:lineRule="auto" w:before="35"/>
        <w:ind w:left="643" w:right="214"/>
        <w:jc w:val="left"/>
        <w:rPr>
          <w:b w:val="0"/>
          <w:bCs w:val="0"/>
        </w:rPr>
      </w:pPr>
      <w:r>
        <w:rPr>
          <w:spacing w:val="8"/>
        </w:rPr>
        <w:t>本公司二零零七年度未发生会计估计变更及重大前期差错更正事项。</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0"/>
          <w:szCs w:val="30"/>
        </w:rPr>
      </w:pPr>
    </w:p>
    <w:p>
      <w:pPr>
        <w:pStyle w:val="Heading2"/>
        <w:spacing w:line="240" w:lineRule="auto"/>
        <w:ind w:left="715" w:right="214"/>
        <w:jc w:val="left"/>
        <w:rPr>
          <w:b w:val="0"/>
          <w:bCs w:val="0"/>
        </w:rPr>
      </w:pPr>
      <w:r>
        <w:rPr/>
        <w:t>二、公司投资情况</w:t>
      </w:r>
      <w:r>
        <w:rPr>
          <w:b w:val="0"/>
          <w:bCs w:val="0"/>
        </w:rPr>
      </w:r>
    </w:p>
    <w:p>
      <w:pPr>
        <w:spacing w:line="240" w:lineRule="auto" w:before="9"/>
        <w:rPr>
          <w:rFonts w:ascii="宋体" w:hAnsi="宋体" w:cs="宋体" w:eastAsia="宋体" w:hint="default"/>
          <w:b/>
          <w:bCs/>
          <w:sz w:val="21"/>
          <w:szCs w:val="21"/>
        </w:rPr>
      </w:pPr>
    </w:p>
    <w:p>
      <w:pPr>
        <w:pStyle w:val="Heading4"/>
        <w:spacing w:line="240" w:lineRule="auto" w:before="0"/>
        <w:ind w:left="625" w:right="214"/>
        <w:jc w:val="left"/>
        <w:rPr>
          <w:rFonts w:ascii="黑体" w:hAnsi="黑体" w:cs="黑体" w:eastAsia="黑体" w:hint="default"/>
          <w:b w:val="0"/>
          <w:bCs w:val="0"/>
        </w:rPr>
      </w:pPr>
      <w:r>
        <w:rPr/>
        <w:t>（</w:t>
      </w:r>
      <w:r>
        <w:rPr>
          <w:rFonts w:ascii="黑体" w:hAnsi="黑体" w:cs="黑体" w:eastAsia="黑体" w:hint="default"/>
        </w:rPr>
        <w:t>一）报告期内募集资金的使用情况</w:t>
      </w:r>
      <w:r>
        <w:rPr>
          <w:rFonts w:ascii="黑体" w:hAnsi="黑体" w:cs="黑体" w:eastAsia="黑体" w:hint="default"/>
          <w:b w:val="0"/>
          <w:bCs w:val="0"/>
        </w:rPr>
      </w:r>
    </w:p>
    <w:p>
      <w:pPr>
        <w:spacing w:line="240" w:lineRule="auto" w:before="1"/>
        <w:rPr>
          <w:rFonts w:ascii="黑体" w:hAnsi="黑体" w:cs="黑体" w:eastAsia="黑体" w:hint="default"/>
          <w:b/>
          <w:bCs/>
          <w:sz w:val="33"/>
          <w:szCs w:val="33"/>
        </w:rPr>
      </w:pPr>
    </w:p>
    <w:p>
      <w:pPr>
        <w:pStyle w:val="BodyText"/>
        <w:spacing w:line="240" w:lineRule="auto"/>
        <w:ind w:left="694" w:right="100"/>
        <w:jc w:val="left"/>
      </w:pPr>
      <w:r>
        <w:rPr/>
        <w:t>经中国证券监督管理委员会证监发行字[2007]47</w:t>
      </w:r>
      <w:r>
        <w:rPr>
          <w:spacing w:val="-60"/>
        </w:rPr>
        <w:t> </w:t>
      </w:r>
      <w:r>
        <w:rPr/>
        <w:t>号文核准，并经深圳证券交易所同意，</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142"/>
        <w:jc w:val="left"/>
      </w:pPr>
      <w:r>
        <w:rPr/>
        <w:t>公司发行人民币普通股(A</w:t>
      </w:r>
      <w:r>
        <w:rPr>
          <w:spacing w:val="-65"/>
        </w:rPr>
        <w:t> </w:t>
      </w:r>
      <w:r>
        <w:rPr/>
        <w:t>股)股票</w:t>
      </w:r>
      <w:r>
        <w:rPr>
          <w:spacing w:val="-65"/>
        </w:rPr>
        <w:t> </w:t>
      </w:r>
      <w:r>
        <w:rPr/>
        <w:t>16,000,000</w:t>
      </w:r>
      <w:r>
        <w:rPr>
          <w:spacing w:val="-65"/>
        </w:rPr>
        <w:t> </w:t>
      </w:r>
      <w:r>
        <w:rPr/>
        <w:t>股，募集资金总额人民币</w:t>
      </w:r>
      <w:r>
        <w:rPr>
          <w:spacing w:val="-65"/>
        </w:rPr>
        <w:t> </w:t>
      </w:r>
      <w:r>
        <w:rPr/>
        <w:t>302,400,000.00</w:t>
      </w:r>
      <w:r>
        <w:rPr>
          <w:spacing w:val="-65"/>
        </w:rPr>
        <w:t> </w:t>
      </w:r>
      <w:r>
        <w:rPr/>
        <w:t>元，</w:t>
      </w:r>
    </w:p>
    <w:p>
      <w:pPr>
        <w:pStyle w:val="BodyText"/>
        <w:spacing w:line="240" w:lineRule="auto" w:before="152"/>
        <w:ind w:left="154" w:right="1410"/>
        <w:jc w:val="left"/>
      </w:pPr>
      <w:r>
        <w:rPr/>
        <w:t>扣减发行费后，公司本次发行募集资金净额为人民币</w:t>
      </w:r>
      <w:r>
        <w:rPr>
          <w:spacing w:val="-60"/>
        </w:rPr>
        <w:t> </w:t>
      </w:r>
      <w:r>
        <w:rPr/>
        <w:t>285,885,083.00</w:t>
      </w:r>
      <w:r>
        <w:rPr>
          <w:spacing w:val="-60"/>
        </w:rPr>
        <w:t> </w:t>
      </w:r>
      <w:r>
        <w:rPr/>
        <w:t>元。</w:t>
      </w:r>
    </w:p>
    <w:p>
      <w:pPr>
        <w:spacing w:line="240" w:lineRule="auto" w:before="7"/>
        <w:rPr>
          <w:rFonts w:ascii="宋体" w:hAnsi="宋体" w:cs="宋体" w:eastAsia="宋体" w:hint="default"/>
          <w:sz w:val="26"/>
          <w:szCs w:val="26"/>
        </w:rPr>
      </w:pPr>
    </w:p>
    <w:p>
      <w:pPr>
        <w:pStyle w:val="BodyText"/>
        <w:spacing w:line="240" w:lineRule="auto"/>
        <w:ind w:left="634" w:right="180"/>
        <w:jc w:val="left"/>
      </w:pPr>
      <w:r>
        <w:rPr/>
        <w:t>公司2007年度投入募集资金项目67,820,639.78元，募集资金超过招股说明书投资总额的</w:t>
      </w:r>
    </w:p>
    <w:p>
      <w:pPr>
        <w:pStyle w:val="BodyText"/>
        <w:spacing w:line="460" w:lineRule="atLeast" w:before="6"/>
        <w:ind w:left="154" w:right="318"/>
        <w:jc w:val="left"/>
      </w:pPr>
      <w:r>
        <w:rPr>
          <w:spacing w:val="-2"/>
        </w:rPr>
        <w:t>部分67,785,083.00元补充流动资金，累计使用募集资金135,605,722.78元，尚未使用的募集</w:t>
      </w:r>
      <w:r>
        <w:rPr>
          <w:spacing w:val="-106"/>
        </w:rPr>
        <w:t> </w:t>
      </w:r>
      <w:r>
        <w:rPr>
          <w:spacing w:val="-106"/>
        </w:rPr>
      </w:r>
      <w:r>
        <w:rPr/>
        <w:t>资金余额为 150,279,360.22元。</w:t>
      </w:r>
    </w:p>
    <w:p>
      <w:pPr>
        <w:spacing w:before="46"/>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20"/>
        <w:gridCol w:w="547"/>
        <w:gridCol w:w="637"/>
        <w:gridCol w:w="673"/>
        <w:gridCol w:w="626"/>
        <w:gridCol w:w="637"/>
        <w:gridCol w:w="635"/>
        <w:gridCol w:w="716"/>
        <w:gridCol w:w="587"/>
        <w:gridCol w:w="869"/>
        <w:gridCol w:w="248"/>
        <w:gridCol w:w="803"/>
        <w:gridCol w:w="520"/>
        <w:gridCol w:w="508"/>
      </w:tblGrid>
      <w:tr>
        <w:trPr>
          <w:trHeight w:val="323" w:hRule="exact"/>
        </w:trPr>
        <w:tc>
          <w:tcPr>
            <w:tcW w:w="300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36" w:type="dxa"/>
            <w:gridSpan w:val="3"/>
            <w:tcBorders>
              <w:top w:val="single" w:sz="4" w:space="0" w:color="000000"/>
              <w:left w:val="single" w:sz="13" w:space="0" w:color="DCDCDC"/>
              <w:bottom w:val="single" w:sz="4" w:space="0" w:color="000000"/>
              <w:right w:val="single" w:sz="13" w:space="0" w:color="DCDCDC"/>
            </w:tcBorders>
          </w:tcPr>
          <w:p>
            <w:pPr>
              <w:pStyle w:val="TableParagraph"/>
              <w:spacing w:line="240" w:lineRule="auto" w:before="49"/>
              <w:ind w:left="1171" w:right="0"/>
              <w:jc w:val="left"/>
              <w:rPr>
                <w:rFonts w:ascii="Times New Roman" w:hAnsi="Times New Roman" w:cs="Times New Roman" w:eastAsia="Times New Roman" w:hint="default"/>
                <w:sz w:val="18"/>
                <w:szCs w:val="18"/>
              </w:rPr>
            </w:pPr>
            <w:r>
              <w:rPr>
                <w:rFonts w:ascii="Times New Roman"/>
                <w:sz w:val="18"/>
              </w:rPr>
              <w:t>28,588.51</w:t>
            </w:r>
          </w:p>
        </w:tc>
        <w:tc>
          <w:tcPr>
            <w:tcW w:w="28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6,782.06</w:t>
            </w:r>
          </w:p>
        </w:tc>
      </w:tr>
      <w:tr>
        <w:trPr>
          <w:trHeight w:val="162" w:hRule="exact"/>
        </w:trPr>
        <w:tc>
          <w:tcPr>
            <w:tcW w:w="30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36" w:type="dxa"/>
            <w:gridSpan w:val="3"/>
            <w:vMerge w:val="restart"/>
            <w:tcBorders>
              <w:top w:val="single" w:sz="4" w:space="0" w:color="000000"/>
              <w:left w:val="single" w:sz="13" w:space="0" w:color="DCDCDC"/>
              <w:right w:val="single" w:sz="9" w:space="0" w:color="DCDCDC"/>
            </w:tcBorders>
          </w:tcPr>
          <w:p>
            <w:pP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6,782.06</w:t>
            </w:r>
          </w:p>
        </w:tc>
      </w:tr>
      <w:tr>
        <w:trPr>
          <w:trHeight w:val="162" w:hRule="exact"/>
        </w:trPr>
        <w:tc>
          <w:tcPr>
            <w:tcW w:w="300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4"/>
            <w:vMerge/>
            <w:tcBorders>
              <w:left w:val="single" w:sz="10" w:space="0" w:color="DCDCDC"/>
              <w:right w:val="single" w:sz="4" w:space="0" w:color="000000"/>
            </w:tcBorders>
          </w:tcPr>
          <w:p>
            <w:pPr/>
          </w:p>
        </w:tc>
      </w:tr>
      <w:tr>
        <w:trPr>
          <w:trHeight w:val="151" w:hRule="exact"/>
        </w:trPr>
        <w:tc>
          <w:tcPr>
            <w:tcW w:w="30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36" w:type="dxa"/>
            <w:gridSpan w:val="3"/>
            <w:vMerge w:val="restart"/>
            <w:tcBorders>
              <w:top w:val="single" w:sz="4" w:space="0" w:color="000000"/>
              <w:left w:val="single" w:sz="13" w:space="0" w:color="DCDCDC"/>
              <w:right w:val="single" w:sz="9" w:space="0" w:color="DCDCDC"/>
            </w:tcBorders>
          </w:tcPr>
          <w:p>
            <w:pPr/>
          </w:p>
        </w:tc>
        <w:tc>
          <w:tcPr>
            <w:tcW w:w="2808"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172" w:hRule="exact"/>
        </w:trPr>
        <w:tc>
          <w:tcPr>
            <w:tcW w:w="300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6" w:space="0" w:color="DCDCDC"/>
              <w:right w:val="single" w:sz="4" w:space="0" w:color="000000"/>
            </w:tcBorders>
          </w:tcPr>
          <w:p>
            <w:pPr/>
          </w:p>
        </w:tc>
      </w:tr>
      <w:tr>
        <w:trPr>
          <w:trHeight w:val="121"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73" w:type="dxa"/>
            <w:vMerge w:val="restart"/>
            <w:tcBorders>
              <w:top w:val="single" w:sz="4" w:space="0" w:color="000000"/>
              <w:left w:val="single" w:sz="4" w:space="0" w:color="000000"/>
              <w:right w:val="single" w:sz="4" w:space="0" w:color="000000"/>
            </w:tcBorders>
            <w:shd w:val="clear" w:color="auto" w:fill="DCDCDC"/>
          </w:tcPr>
          <w:p>
            <w:pPr/>
          </w:p>
        </w:tc>
        <w:tc>
          <w:tcPr>
            <w:tcW w:w="626"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35" w:type="dxa"/>
            <w:vMerge w:val="restart"/>
            <w:tcBorders>
              <w:top w:val="single" w:sz="4" w:space="0" w:color="000000"/>
              <w:left w:val="single" w:sz="4" w:space="0" w:color="000000"/>
              <w:right w:val="single" w:sz="4" w:space="0" w:color="000000"/>
            </w:tcBorders>
            <w:shd w:val="clear" w:color="auto" w:fill="DCDCDC"/>
          </w:tcPr>
          <w:p>
            <w:pPr/>
          </w:p>
        </w:tc>
        <w:tc>
          <w:tcPr>
            <w:tcW w:w="7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61" w:right="7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额与承 诺投入 金额的 差额</w:t>
            </w:r>
            <w:r>
              <w:rPr>
                <w:rFonts w:ascii="Times New Roman" w:hAnsi="Times New Roman" w:cs="Times New Roman" w:eastAsia="Times New Roman" w:hint="default"/>
                <w:sz w:val="18"/>
                <w:szCs w:val="18"/>
              </w:rPr>
              <w:t>(3)</w:t>
            </w:r>
          </w:p>
          <w:p>
            <w:pPr>
              <w:pStyle w:val="TableParagraph"/>
              <w:spacing w:line="233" w:lineRule="exact"/>
              <w:ind w:left="1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87" w:type="dxa"/>
            <w:vMerge w:val="restart"/>
            <w:tcBorders>
              <w:top w:val="single" w:sz="4" w:space="0" w:color="000000"/>
              <w:left w:val="single" w:sz="4" w:space="0" w:color="000000"/>
              <w:right w:val="single" w:sz="4" w:space="0" w:color="000000"/>
            </w:tcBorders>
            <w:shd w:val="clear" w:color="auto" w:fill="DCDCDC"/>
          </w:tcPr>
          <w:p>
            <w:pPr/>
          </w:p>
        </w:tc>
        <w:tc>
          <w:tcPr>
            <w:tcW w:w="1117" w:type="dxa"/>
            <w:gridSpan w:val="2"/>
            <w:vMerge w:val="restart"/>
            <w:tcBorders>
              <w:top w:val="single" w:sz="4" w:space="0" w:color="000000"/>
              <w:left w:val="single" w:sz="4" w:space="0" w:color="000000"/>
              <w:right w:val="single" w:sz="4" w:space="0" w:color="000000"/>
            </w:tcBorders>
            <w:shd w:val="clear" w:color="auto" w:fill="DCDCDC"/>
          </w:tcPr>
          <w:p>
            <w:pPr/>
          </w:p>
        </w:tc>
        <w:tc>
          <w:tcPr>
            <w:tcW w:w="803"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3"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2"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28" w:hRule="exact"/>
        </w:trPr>
        <w:tc>
          <w:tcPr>
            <w:tcW w:w="1820" w:type="dxa"/>
            <w:vMerge/>
            <w:tcBorders>
              <w:left w:val="single" w:sz="4" w:space="0" w:color="000000"/>
              <w:right w:val="single" w:sz="4" w:space="0" w:color="000000"/>
            </w:tcBorders>
            <w:shd w:val="clear" w:color="auto" w:fill="DCDCDC"/>
          </w:tcPr>
          <w:p>
            <w:pPr/>
          </w:p>
        </w:tc>
        <w:tc>
          <w:tcPr>
            <w:tcW w:w="54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5"/>
              <w:ind w:left="22" w:right="-26"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26"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6"/>
              <w:ind w:left="24" w:right="10"/>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ind w:left="59" w:right="26" w:hanging="2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17" w:type="dxa"/>
            <w:gridSpan w:val="2"/>
            <w:vMerge/>
            <w:tcBorders>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55" w:right="2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73" w:type="dxa"/>
            <w:vMerge/>
            <w:tcBorders>
              <w:left w:val="single" w:sz="4" w:space="0" w:color="000000"/>
              <w:bottom w:val="nil" w:sz="6" w:space="0" w:color="auto"/>
              <w:right w:val="single" w:sz="4" w:space="0" w:color="000000"/>
            </w:tcBorders>
            <w:shd w:val="clear" w:color="auto" w:fill="DCDCDC"/>
          </w:tcPr>
          <w:p>
            <w:pPr/>
          </w:p>
        </w:tc>
        <w:tc>
          <w:tcPr>
            <w:tcW w:w="62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1"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末承诺 投入金 额</w:t>
            </w:r>
            <w:r>
              <w:rPr>
                <w:rFonts w:ascii="Times New Roman" w:hAnsi="Times New Roman" w:cs="Times New Roman" w:eastAsia="Times New Roman" w:hint="default"/>
                <w:sz w:val="18"/>
                <w:szCs w:val="18"/>
              </w:rPr>
              <w:t>(1)</w:t>
            </w:r>
          </w:p>
        </w:tc>
        <w:tc>
          <w:tcPr>
            <w:tcW w:w="637" w:type="dxa"/>
            <w:vMerge/>
            <w:tcBorders>
              <w:left w:val="single" w:sz="4" w:space="0" w:color="000000"/>
              <w:bottom w:val="nil" w:sz="6" w:space="0" w:color="auto"/>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5"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bottom w:val="nil" w:sz="6" w:space="0" w:color="auto"/>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3" w:right="8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61" w:right="59"/>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26"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3" w:right="4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114" w:right="9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03"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80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36" w:right="35"/>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4"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803"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bottom w:val="nil" w:sz="6" w:space="0" w:color="auto"/>
              <w:right w:val="single" w:sz="4" w:space="0" w:color="000000"/>
            </w:tcBorders>
            <w:shd w:val="clear" w:color="auto" w:fill="DCDCDC"/>
          </w:tcPr>
          <w:p>
            <w:pPr/>
          </w:p>
        </w:tc>
        <w:tc>
          <w:tcPr>
            <w:tcW w:w="626"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bottom w:val="nil" w:sz="6" w:space="0" w:color="auto"/>
              <w:right w:val="single" w:sz="4" w:space="0" w:color="000000"/>
            </w:tcBorders>
            <w:shd w:val="clear" w:color="auto" w:fill="DCDCDC"/>
          </w:tcPr>
          <w:p>
            <w:pPr/>
          </w:p>
        </w:tc>
        <w:tc>
          <w:tcPr>
            <w:tcW w:w="803"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
        </w:tc>
        <w:tc>
          <w:tcPr>
            <w:tcW w:w="626"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17" w:type="dxa"/>
            <w:gridSpan w:val="2"/>
            <w:vMerge w:val="restart"/>
            <w:tcBorders>
              <w:top w:val="nil" w:sz="6" w:space="0" w:color="auto"/>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2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26"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803"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46"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4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73" w:type="dxa"/>
            <w:vMerge/>
            <w:tcBorders>
              <w:left w:val="single" w:sz="4" w:space="0" w:color="000000"/>
              <w:bottom w:val="single" w:sz="4" w:space="0" w:color="000000"/>
              <w:right w:val="single" w:sz="4" w:space="0" w:color="000000"/>
            </w:tcBorders>
            <w:shd w:val="clear" w:color="auto" w:fill="DCDCDC"/>
          </w:tcPr>
          <w:p>
            <w:pPr/>
          </w:p>
        </w:tc>
        <w:tc>
          <w:tcPr>
            <w:tcW w:w="626"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716"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7" w:type="dxa"/>
            <w:gridSpan w:val="2"/>
            <w:vMerge/>
            <w:tcBorders>
              <w:left w:val="single" w:sz="4" w:space="0" w:color="000000"/>
              <w:bottom w:val="single" w:sz="4" w:space="0" w:color="000000"/>
              <w:right w:val="single" w:sz="4" w:space="0" w:color="000000"/>
            </w:tcBorders>
            <w:shd w:val="clear" w:color="auto" w:fill="DCDCDC"/>
          </w:tcPr>
          <w:p>
            <w:pPr/>
          </w:p>
        </w:tc>
        <w:tc>
          <w:tcPr>
            <w:tcW w:w="803"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55"/>
              <w:jc w:val="left"/>
              <w:rPr>
                <w:rFonts w:ascii="宋体" w:hAnsi="宋体" w:cs="宋体" w:eastAsia="宋体" w:hint="default"/>
                <w:sz w:val="18"/>
                <w:szCs w:val="18"/>
              </w:rPr>
            </w:pPr>
            <w:r>
              <w:rPr>
                <w:rFonts w:ascii="宋体" w:hAnsi="宋体" w:cs="宋体" w:eastAsia="宋体" w:hint="default"/>
                <w:sz w:val="18"/>
                <w:szCs w:val="18"/>
              </w:rPr>
              <w:t>高压动态无功补偿装 置</w:t>
            </w:r>
            <w:r>
              <w:rPr>
                <w:rFonts w:ascii="Times New Roman" w:hAnsi="Times New Roman" w:cs="Times New Roman" w:eastAsia="Times New Roman" w:hint="default"/>
                <w:sz w:val="18"/>
                <w:szCs w:val="18"/>
              </w:rPr>
              <w:t>(SVC)</w:t>
            </w:r>
            <w:r>
              <w:rPr>
                <w:rFonts w:ascii="宋体" w:hAnsi="宋体" w:cs="宋体" w:eastAsia="宋体" w:hint="default"/>
                <w:sz w:val="18"/>
                <w:szCs w:val="18"/>
              </w:rPr>
              <w:t>产业升级项目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8"/>
              <w:jc w:val="right"/>
              <w:rPr>
                <w:rFonts w:ascii="Times New Roman" w:hAnsi="Times New Roman" w:cs="Times New Roman" w:eastAsia="Times New Roman" w:hint="default"/>
                <w:sz w:val="18"/>
                <w:szCs w:val="18"/>
              </w:rPr>
            </w:pPr>
            <w:r>
              <w:rPr>
                <w:rFonts w:ascii="Times New Roman"/>
                <w:sz w:val="18"/>
              </w:rPr>
              <w:t>13,976.</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sz w:val="18"/>
              </w:rPr>
              <w:t>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31"/>
              <w:jc w:val="right"/>
              <w:rPr>
                <w:rFonts w:ascii="Times New Roman" w:hAnsi="Times New Roman" w:cs="Times New Roman" w:eastAsia="Times New Roman" w:hint="default"/>
                <w:sz w:val="18"/>
                <w:szCs w:val="18"/>
              </w:rPr>
            </w:pPr>
            <w:r>
              <w:rPr>
                <w:rFonts w:ascii="Times New Roman"/>
                <w:sz w:val="18"/>
              </w:rPr>
              <w:t>13,976.</w:t>
            </w:r>
          </w:p>
          <w:p>
            <w:pPr>
              <w:pStyle w:val="TableParagraph"/>
              <w:spacing w:line="207" w:lineRule="exact"/>
              <w:ind w:right="32"/>
              <w:jc w:val="right"/>
              <w:rPr>
                <w:rFonts w:ascii="Times New Roman" w:hAnsi="Times New Roman" w:cs="Times New Roman" w:eastAsia="Times New Roman" w:hint="default"/>
                <w:sz w:val="18"/>
                <w:szCs w:val="18"/>
              </w:rPr>
            </w:pPr>
            <w:r>
              <w:rPr>
                <w:rFonts w:ascii="Times New Roman"/>
                <w:sz w:val="18"/>
              </w:rPr>
              <w:t>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3,176.0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2</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32"/>
              <w:jc w:val="right"/>
              <w:rPr>
                <w:rFonts w:ascii="Times New Roman" w:hAnsi="Times New Roman" w:cs="Times New Roman" w:eastAsia="Times New Roman" w:hint="default"/>
                <w:sz w:val="18"/>
                <w:szCs w:val="18"/>
              </w:rPr>
            </w:pPr>
            <w:r>
              <w:rPr>
                <w:rFonts w:ascii="Times New Roman"/>
                <w:sz w:val="18"/>
              </w:rPr>
              <w:t>3,176.0</w:t>
            </w:r>
          </w:p>
          <w:p>
            <w:pPr>
              <w:pStyle w:val="TableParagraph"/>
              <w:spacing w:line="207" w:lineRule="exact"/>
              <w:ind w:right="33"/>
              <w:jc w:val="right"/>
              <w:rPr>
                <w:rFonts w:ascii="Times New Roman" w:hAnsi="Times New Roman" w:cs="Times New Roman" w:eastAsia="Times New Roman" w:hint="default"/>
                <w:sz w:val="18"/>
                <w:szCs w:val="18"/>
              </w:rPr>
            </w:pPr>
            <w:r>
              <w:rPr>
                <w:rFonts w:ascii="Times New Roman"/>
                <w:sz w:val="18"/>
              </w:rPr>
              <w:t>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-323.98</w:t>
            </w:r>
            <w:r>
              <w:rPr>
                <w:rFonts w:ascii="Times New Roman"/>
                <w:sz w:val="18"/>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8"/>
              <w:jc w:val="right"/>
              <w:rPr>
                <w:rFonts w:ascii="Times New Roman" w:hAnsi="Times New Roman" w:cs="Times New Roman" w:eastAsia="Times New Roman" w:hint="default"/>
                <w:sz w:val="18"/>
                <w:szCs w:val="18"/>
              </w:rPr>
            </w:pPr>
            <w:r>
              <w:rPr>
                <w:rFonts w:ascii="Times New Roman"/>
                <w:sz w:val="18"/>
              </w:rPr>
              <w:t>90.74</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1,072.07</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5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167"/>
              <w:jc w:val="both"/>
              <w:rPr>
                <w:rFonts w:ascii="宋体" w:hAnsi="宋体" w:cs="宋体" w:eastAsia="宋体" w:hint="default"/>
                <w:sz w:val="18"/>
                <w:szCs w:val="18"/>
              </w:rPr>
            </w:pPr>
            <w:r>
              <w:rPr>
                <w:rFonts w:ascii="宋体" w:hAnsi="宋体" w:cs="宋体" w:eastAsia="宋体" w:hint="default"/>
                <w:sz w:val="18"/>
                <w:szCs w:val="18"/>
              </w:rPr>
              <w:t>大型煤矿瓦斯安全监 控与排放自动化成套 系统</w:t>
            </w:r>
            <w:r>
              <w:rPr>
                <w:rFonts w:ascii="Times New Roman" w:hAnsi="Times New Roman" w:cs="Times New Roman" w:eastAsia="Times New Roman" w:hint="default"/>
                <w:sz w:val="18"/>
                <w:szCs w:val="18"/>
              </w:rPr>
              <w:t>(RGM)</w:t>
            </w:r>
            <w:r>
              <w:rPr>
                <w:rFonts w:ascii="宋体" w:hAnsi="宋体" w:cs="宋体" w:eastAsia="宋体" w:hint="default"/>
                <w:sz w:val="18"/>
                <w:szCs w:val="18"/>
              </w:rPr>
              <w:t>产业化项 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07" w:lineRule="exact"/>
              <w:ind w:right="8"/>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07" w:lineRule="exact"/>
              <w:ind w:right="32"/>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07" w:lineRule="exact"/>
              <w:ind w:right="32"/>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3,606.0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4</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07" w:lineRule="exact"/>
              <w:ind w:right="32"/>
              <w:jc w:val="right"/>
              <w:rPr>
                <w:rFonts w:ascii="Times New Roman" w:hAnsi="Times New Roman" w:cs="Times New Roman" w:eastAsia="Times New Roman" w:hint="default"/>
                <w:sz w:val="18"/>
                <w:szCs w:val="18"/>
              </w:rPr>
            </w:pPr>
            <w:r>
              <w:rPr>
                <w:rFonts w:ascii="Times New Roman"/>
                <w:sz w:val="18"/>
              </w:rPr>
              <w:t>3,606.0</w:t>
            </w:r>
          </w:p>
          <w:p>
            <w:pPr>
              <w:pStyle w:val="TableParagraph"/>
              <w:spacing w:line="207" w:lineRule="exact"/>
              <w:ind w:right="33"/>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-393.96</w:t>
            </w:r>
            <w:r>
              <w:rPr>
                <w:rFonts w:ascii="Times New Roman"/>
                <w:sz w:val="18"/>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07" w:lineRule="exact"/>
              <w:ind w:right="8"/>
              <w:jc w:val="right"/>
              <w:rPr>
                <w:rFonts w:ascii="Times New Roman" w:hAnsi="Times New Roman" w:cs="Times New Roman" w:eastAsia="Times New Roman" w:hint="default"/>
                <w:sz w:val="18"/>
                <w:szCs w:val="18"/>
              </w:rPr>
            </w:pPr>
            <w:r>
              <w:rPr>
                <w:rFonts w:ascii="Times New Roman"/>
                <w:sz w:val="18"/>
              </w:rPr>
              <w:t>90.15</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1"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6,782.0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2"/>
              <w:jc w:val="right"/>
              <w:rPr>
                <w:rFonts w:ascii="Times New Roman" w:hAnsi="Times New Roman" w:cs="Times New Roman" w:eastAsia="Times New Roman" w:hint="default"/>
                <w:sz w:val="18"/>
                <w:szCs w:val="18"/>
              </w:rPr>
            </w:pPr>
            <w:r>
              <w:rPr>
                <w:rFonts w:ascii="Times New Roman"/>
                <w:sz w:val="18"/>
              </w:rPr>
              <w:t>6,782.0</w:t>
            </w: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w w:val="95"/>
                <w:sz w:val="18"/>
              </w:rPr>
              <w:t>-717.94</w:t>
            </w:r>
            <w:r>
              <w:rPr>
                <w:rFonts w:ascii="Times New Roman"/>
                <w:sz w:val="18"/>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3"/>
              <w:jc w:val="right"/>
              <w:rPr>
                <w:rFonts w:ascii="Times New Roman" w:hAnsi="Times New Roman" w:cs="Times New Roman" w:eastAsia="Times New Roman" w:hint="default"/>
                <w:sz w:val="18"/>
                <w:szCs w:val="18"/>
              </w:rPr>
            </w:pPr>
            <w:r>
              <w:rPr>
                <w:rFonts w:ascii="Times New Roman"/>
                <w:sz w:val="18"/>
              </w:rPr>
              <w:t>1,072.07</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1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8"/>
                <w:szCs w:val="18"/>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未达到计划进度原因</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5" w:lineRule="auto" w:before="22"/>
              <w:ind w:left="22" w:right="20"/>
              <w:jc w:val="both"/>
              <w:rPr>
                <w:rFonts w:ascii="宋体" w:hAnsi="宋体" w:cs="宋体" w:eastAsia="宋体" w:hint="default"/>
                <w:sz w:val="18"/>
                <w:szCs w:val="18"/>
              </w:rPr>
            </w:pPr>
            <w:r>
              <w:rPr>
                <w:rFonts w:ascii="宋体" w:hAnsi="宋体" w:cs="宋体" w:eastAsia="宋体" w:hint="default"/>
                <w:sz w:val="18"/>
                <w:szCs w:val="18"/>
              </w:rPr>
              <w:t>截至报告期末公司预计投入金额与实际投入金额基本相符</w:t>
            </w:r>
            <w:r>
              <w:rPr>
                <w:rFonts w:ascii="Times New Roman" w:hAnsi="Times New Roman" w:cs="Times New Roman" w:eastAsia="Times New Roman" w:hint="default"/>
                <w:sz w:val="18"/>
                <w:szCs w:val="18"/>
              </w:rPr>
              <w:t>,</w:t>
            </w:r>
            <w:r>
              <w:rPr>
                <w:rFonts w:ascii="宋体" w:hAnsi="宋体" w:cs="宋体" w:eastAsia="宋体" w:hint="default"/>
                <w:sz w:val="18"/>
                <w:szCs w:val="18"/>
              </w:rPr>
              <w:t>差额产生的原因是由于募集资金于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月末到位，</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月份公司主要完成设备选型、设备采购、工程招标及其相关协议签署工作，尚 未支付相关款项，募集资金实际使用较原计划顺延，但基本符合公司预计进度，</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年主要完成施工 安装，募集资金支付增加，预计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年底完成募集资金项目。</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募集资金实施地点未变更</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募集资金实施方式未调整</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0" w:lineRule="auto" w:before="18"/>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日公司第三届董事会第一次会议审议通过了《关于用募集资金置换预先已投入募集资 </w:t>
            </w:r>
            <w:r>
              <w:rPr>
                <w:rFonts w:ascii="宋体" w:hAnsi="宋体" w:cs="宋体" w:eastAsia="宋体" w:hint="default"/>
                <w:spacing w:val="-4"/>
                <w:sz w:val="18"/>
                <w:szCs w:val="18"/>
              </w:rPr>
              <w:t>金投资项目的自筹资金的议案》。为了加速投资项目的进程，公司前期已使用自筹资金投入募集资金投</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日止，公司以自筹资金预先投入募集资金投资项目的总金额为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2,779.15 </w:t>
            </w:r>
            <w:r>
              <w:rPr>
                <w:rFonts w:ascii="宋体" w:hAnsi="宋体" w:cs="宋体" w:eastAsia="宋体" w:hint="default"/>
                <w:sz w:val="18"/>
                <w:szCs w:val="18"/>
              </w:rPr>
              <w:t>万元。</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未发生用闲置募集资金暂时补充流动资金的情况</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募集资金项目尚在建设中</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814" w:right="95" w:hanging="720"/>
              <w:jc w:val="left"/>
              <w:rPr>
                <w:rFonts w:ascii="宋体" w:hAnsi="宋体" w:cs="宋体" w:eastAsia="宋体" w:hint="default"/>
                <w:sz w:val="18"/>
                <w:szCs w:val="18"/>
              </w:rPr>
            </w:pPr>
            <w:r>
              <w:rPr>
                <w:rFonts w:ascii="宋体" w:hAnsi="宋体" w:cs="宋体" w:eastAsia="宋体" w:hint="default"/>
                <w:sz w:val="18"/>
                <w:szCs w:val="18"/>
              </w:rPr>
              <w:t>募集资金其他使用情 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日公司二届七次董事会审议通过</w:t>
            </w:r>
            <w:r>
              <w:rPr>
                <w:rFonts w:ascii="宋体" w:hAnsi="宋体" w:cs="宋体" w:eastAsia="宋体" w:hint="default"/>
                <w:spacing w:val="-6"/>
                <w:sz w:val="18"/>
                <w:szCs w:val="18"/>
              </w:rPr>
              <w:t>了</w:t>
            </w:r>
            <w:r>
              <w:rPr>
                <w:rFonts w:ascii="宋体" w:hAnsi="宋体" w:cs="宋体" w:eastAsia="宋体" w:hint="default"/>
                <w:sz w:val="18"/>
                <w:szCs w:val="18"/>
              </w:rPr>
              <w:t>《关于本次募集资金使用的议案</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本次实际募集资</w:t>
            </w:r>
          </w:p>
          <w:p>
            <w:pPr>
              <w:pStyle w:val="TableParagraph"/>
              <w:spacing w:line="234" w:lineRule="exact" w:before="15"/>
              <w:ind w:left="22" w:right="54" w:hanging="1"/>
              <w:jc w:val="left"/>
              <w:rPr>
                <w:rFonts w:ascii="宋体" w:hAnsi="宋体" w:cs="宋体" w:eastAsia="宋体" w:hint="default"/>
                <w:sz w:val="18"/>
                <w:szCs w:val="18"/>
              </w:rPr>
            </w:pPr>
            <w:r>
              <w:rPr>
                <w:rFonts w:ascii="宋体" w:hAnsi="宋体" w:cs="宋体" w:eastAsia="宋体" w:hint="default"/>
                <w:sz w:val="18"/>
                <w:szCs w:val="18"/>
              </w:rPr>
              <w:t>金净额超过项目投资计划部分共计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6,778.51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万元，根据《招股说明书》计划安排，用于补充公司流动 资金。</w:t>
            </w:r>
          </w:p>
        </w:tc>
      </w:tr>
    </w:tbl>
    <w:p>
      <w:pPr>
        <w:spacing w:after="0" w:line="234" w:lineRule="exact"/>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38" w:lineRule="auto" w:before="26"/>
        <w:ind w:right="139" w:firstLine="480"/>
        <w:jc w:val="left"/>
      </w:pPr>
      <w:r>
        <w:rPr/>
        <w:t>注</w:t>
      </w:r>
      <w:r>
        <w:rPr>
          <w:spacing w:val="32"/>
        </w:rPr>
        <w:t> </w:t>
      </w:r>
      <w:r>
        <w:rPr>
          <w:rFonts w:ascii="Times New Roman" w:hAnsi="Times New Roman" w:cs="Times New Roman" w:eastAsia="Times New Roman" w:hint="default"/>
        </w:rPr>
        <w:t>1</w:t>
      </w:r>
      <w:r>
        <w:rPr/>
        <w:t>、募集资金项目处于建设期，尚未完全达到预计可使用状态，公司未预计募集资金</w:t>
      </w:r>
      <w:r>
        <w:rPr>
          <w:spacing w:val="1"/>
        </w:rPr>
        <w:t> </w:t>
      </w:r>
      <w:r>
        <w:rPr/>
        <w:t>项目建设期内产生的效益。</w:t>
      </w:r>
    </w:p>
    <w:p>
      <w:pPr>
        <w:pStyle w:val="BodyText"/>
        <w:spacing w:line="338" w:lineRule="auto" w:before="94"/>
        <w:ind w:right="149" w:firstLine="480"/>
        <w:jc w:val="both"/>
      </w:pPr>
      <w:r>
        <w:rPr/>
        <w:t>注</w:t>
      </w:r>
      <w:r>
        <w:rPr>
          <w:spacing w:val="-40"/>
        </w:rPr>
        <w:t> </w:t>
      </w:r>
      <w:r>
        <w:rPr>
          <w:rFonts w:ascii="Times New Roman" w:hAnsi="Times New Roman" w:cs="Times New Roman" w:eastAsia="Times New Roman" w:hint="default"/>
          <w:spacing w:val="-2"/>
        </w:rPr>
        <w:t>2</w:t>
      </w:r>
      <w:r>
        <w:rPr>
          <w:spacing w:val="-2"/>
        </w:rPr>
        <w:t>、高压动态无功补偿装置</w:t>
      </w:r>
      <w:r>
        <w:rPr>
          <w:rFonts w:ascii="Times New Roman" w:hAnsi="Times New Roman" w:cs="Times New Roman" w:eastAsia="Times New Roman" w:hint="default"/>
          <w:spacing w:val="-2"/>
        </w:rPr>
        <w:t>(SVC)</w:t>
      </w:r>
      <w:r>
        <w:rPr>
          <w:spacing w:val="-2"/>
        </w:rPr>
        <w:t>产业升级项目报告期内投入的部分固定资产达到预计</w:t>
      </w:r>
      <w:r>
        <w:rPr/>
        <w:t> </w:t>
      </w:r>
      <w:r>
        <w:rPr>
          <w:spacing w:val="-5"/>
        </w:rPr>
        <w:t>可使用状态，新增产能</w:t>
      </w:r>
      <w:r>
        <w:rPr>
          <w:spacing w:val="-75"/>
        </w:rPr>
        <w:t> </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套，其本年度实现效益是依据报告期内公司募集资金投入新增固定 资产及补充流动资金所带来的</w:t>
      </w:r>
      <w:r>
        <w:rPr>
          <w:spacing w:val="-4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4"/>
        </w:rPr>
        <w:t> </w:t>
      </w:r>
      <w:r>
        <w:rPr/>
        <w:t>新增产能和</w:t>
      </w:r>
      <w:r>
        <w:rPr>
          <w:spacing w:val="-4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4"/>
        </w:rPr>
        <w:t> </w:t>
      </w:r>
      <w:r>
        <w:rPr/>
        <w:t>产品销售毛利占全部产品总的毛利的比 例为权重对年度扣除非经常性损益的利润总额分摊计算得出。</w:t>
      </w:r>
    </w:p>
    <w:p>
      <w:pPr>
        <w:pStyle w:val="BodyText"/>
        <w:spacing w:line="338" w:lineRule="auto" w:before="94"/>
        <w:ind w:right="0" w:firstLine="480"/>
        <w:jc w:val="left"/>
      </w:pPr>
      <w:r>
        <w:rPr/>
        <w:t>注</w:t>
      </w:r>
      <w:r>
        <w:rPr>
          <w:spacing w:val="30"/>
        </w:rPr>
        <w:t> </w:t>
      </w:r>
      <w:r>
        <w:rPr>
          <w:rFonts w:ascii="Times New Roman" w:hAnsi="Times New Roman" w:cs="Times New Roman" w:eastAsia="Times New Roman" w:hint="default"/>
        </w:rPr>
        <w:t>3</w:t>
      </w:r>
      <w:r>
        <w:rPr/>
        <w:t>、大型煤矿瓦斯安全监控与排放自动化成套系统</w:t>
      </w:r>
      <w:r>
        <w:rPr>
          <w:rFonts w:ascii="Times New Roman" w:hAnsi="Times New Roman" w:cs="Times New Roman" w:eastAsia="Times New Roman" w:hint="default"/>
        </w:rPr>
        <w:t>(RGM)</w:t>
      </w:r>
      <w:r>
        <w:rPr/>
        <w:t>产业化项目报告期内投入的</w:t>
      </w:r>
      <w:r>
        <w:rPr>
          <w:spacing w:val="1"/>
        </w:rPr>
        <w:t> </w:t>
      </w:r>
      <w:r>
        <w:rPr/>
        <w:t>部分固定资产尚未达到预计可使用状态，本年度未实现收益，预计</w:t>
      </w:r>
      <w:r>
        <w:rPr>
          <w:spacing w:val="-60"/>
        </w:rPr>
        <w:t> </w:t>
      </w:r>
      <w:r>
        <w:rPr>
          <w:rFonts w:ascii="Times New Roman" w:hAnsi="Times New Roman" w:cs="Times New Roman" w:eastAsia="Times New Roman" w:hint="default"/>
        </w:rPr>
        <w:t>2008 </w:t>
      </w:r>
      <w:r>
        <w:rPr/>
        <w:t>年可产生收益。</w:t>
      </w:r>
    </w:p>
    <w:p>
      <w:pPr>
        <w:spacing w:line="372" w:lineRule="auto" w:before="66"/>
        <w:ind w:left="633" w:right="171"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4、效益核算使用的指标是年度扣除非经常性损益的利润总额。</w:t>
      </w:r>
      <w:r>
        <w:rPr>
          <w:rFonts w:ascii="宋体" w:hAnsi="宋体" w:cs="宋体" w:eastAsia="宋体" w:hint="default"/>
          <w:sz w:val="24"/>
          <w:szCs w:val="24"/>
        </w:rPr>
        <w:t> </w:t>
      </w:r>
      <w:r>
        <w:rPr>
          <w:rFonts w:ascii="宋体" w:hAnsi="宋体" w:cs="宋体" w:eastAsia="宋体" w:hint="default"/>
          <w:b/>
          <w:bCs/>
          <w:sz w:val="24"/>
          <w:szCs w:val="24"/>
        </w:rPr>
        <w:t>会计师事务所对募集资金年度专项审核的结论性意见：</w:t>
      </w:r>
      <w:r>
        <w:rPr>
          <w:rFonts w:ascii="宋体" w:hAnsi="宋体" w:cs="宋体" w:eastAsia="宋体" w:hint="default"/>
          <w:b/>
          <w:bCs/>
          <w:spacing w:val="1"/>
          <w:w w:val="99"/>
          <w:sz w:val="24"/>
          <w:szCs w:val="24"/>
        </w:rPr>
        <w:t> </w:t>
      </w:r>
      <w:r>
        <w:rPr>
          <w:rFonts w:ascii="宋体" w:hAnsi="宋体" w:cs="宋体" w:eastAsia="宋体" w:hint="default"/>
          <w:sz w:val="24"/>
          <w:szCs w:val="24"/>
        </w:rPr>
        <w:t>开元信德会计师事务所有限公司对公司截止</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日募集资金使用情况进行专项</w:t>
      </w:r>
    </w:p>
    <w:p>
      <w:pPr>
        <w:pStyle w:val="BodyText"/>
        <w:spacing w:line="348" w:lineRule="auto"/>
        <w:ind w:right="0"/>
        <w:jc w:val="left"/>
      </w:pPr>
      <w:r>
        <w:rPr>
          <w:spacing w:val="2"/>
        </w:rPr>
        <w:t>审核，出具了开元信德深专审字(2008)第021号《募集资金年度专项鉴证报告》，认为公司</w:t>
      </w:r>
      <w:r>
        <w:rPr>
          <w:spacing w:val="-101"/>
        </w:rPr>
        <w:t> </w:t>
      </w:r>
      <w:r>
        <w:rPr>
          <w:spacing w:val="-101"/>
        </w:rPr>
      </w:r>
      <w:r>
        <w:rPr/>
        <w:t>募集资金专项报告的编制符合中国证监会《前次募集资金使用情况报告的规定》</w:t>
      </w:r>
      <w:r>
        <w:rPr>
          <w:rFonts w:ascii="Times New Roman" w:hAnsi="Times New Roman" w:cs="Times New Roman" w:eastAsia="Times New Roman" w:hint="default"/>
        </w:rPr>
        <w:t>(</w:t>
      </w:r>
      <w:r>
        <w:rPr/>
        <w:t>证监发行 </w:t>
      </w:r>
      <w:r>
        <w:rPr>
          <w:rFonts w:ascii="Times New Roman" w:hAnsi="Times New Roman" w:cs="Times New Roman" w:eastAsia="Times New Roman" w:hint="default"/>
          <w:spacing w:val="-3"/>
        </w:rPr>
        <w:t>[2007]</w:t>
      </w:r>
      <w:r>
        <w:rPr>
          <w:spacing w:val="-3"/>
        </w:rPr>
        <w:t>字</w:t>
      </w:r>
      <w:r>
        <w:rPr>
          <w:rFonts w:ascii="Times New Roman" w:hAnsi="Times New Roman" w:cs="Times New Roman" w:eastAsia="Times New Roman" w:hint="default"/>
          <w:spacing w:val="-3"/>
        </w:rPr>
        <w:t>500</w:t>
      </w:r>
      <w:r>
        <w:rPr>
          <w:spacing w:val="-3"/>
        </w:rPr>
        <w:t>号</w:t>
      </w:r>
      <w:r>
        <w:rPr>
          <w:rFonts w:ascii="Times New Roman" w:hAnsi="Times New Roman" w:cs="Times New Roman" w:eastAsia="Times New Roman" w:hint="default"/>
          <w:spacing w:val="-3"/>
        </w:rPr>
        <w:t>)</w:t>
      </w:r>
      <w:r>
        <w:rPr>
          <w:spacing w:val="-3"/>
        </w:rPr>
        <w:t>、《深圳证劵交易所中小企业板块上市公司特别规定》及《中小企业板上市公</w:t>
      </w:r>
      <w:r>
        <w:rPr>
          <w:spacing w:val="-108"/>
        </w:rPr>
        <w:t> </w:t>
      </w:r>
      <w:r>
        <w:rPr>
          <w:spacing w:val="-108"/>
        </w:rPr>
      </w:r>
      <w:r>
        <w:rPr>
          <w:spacing w:val="-3"/>
        </w:rPr>
        <w:t>司募集资金管理细则》，在所有重大方面反映了贵公司二零零七年度募集资金存放与使用情</w:t>
      </w:r>
      <w:r>
        <w:rPr/>
        <w:t> 况。</w:t>
      </w:r>
    </w:p>
    <w:p>
      <w:pPr>
        <w:spacing w:line="240" w:lineRule="auto" w:before="10"/>
        <w:rPr>
          <w:rFonts w:ascii="宋体" w:hAnsi="宋体" w:cs="宋体" w:eastAsia="宋体" w:hint="default"/>
          <w:sz w:val="24"/>
          <w:szCs w:val="24"/>
        </w:rPr>
      </w:pPr>
    </w:p>
    <w:p>
      <w:pPr>
        <w:pStyle w:val="BodyText"/>
        <w:spacing w:line="240" w:lineRule="auto"/>
        <w:ind w:left="624" w:right="0"/>
        <w:jc w:val="left"/>
        <w:rPr>
          <w:rFonts w:ascii="黑体" w:hAnsi="黑体" w:cs="黑体" w:eastAsia="黑体" w:hint="default"/>
        </w:rPr>
      </w:pPr>
      <w:r>
        <w:rPr>
          <w:rFonts w:ascii="黑体" w:hAnsi="黑体" w:cs="黑体" w:eastAsia="黑体" w:hint="default"/>
        </w:rPr>
        <w:t>（二）重大非募集资金投资项目情况</w:t>
      </w:r>
    </w:p>
    <w:p>
      <w:pPr>
        <w:spacing w:line="240" w:lineRule="auto" w:before="2"/>
        <w:rPr>
          <w:rFonts w:ascii="黑体" w:hAnsi="黑体" w:cs="黑体" w:eastAsia="黑体" w:hint="default"/>
          <w:sz w:val="33"/>
          <w:szCs w:val="33"/>
        </w:rPr>
      </w:pPr>
    </w:p>
    <w:p>
      <w:pPr>
        <w:pStyle w:val="BodyText"/>
        <w:spacing w:line="240" w:lineRule="auto"/>
        <w:ind w:left="633" w:right="0"/>
        <w:jc w:val="left"/>
      </w:pPr>
      <w:r>
        <w:rPr/>
        <w:t>报告期内，公司没有重大非募集资金投资项目。</w:t>
      </w:r>
    </w:p>
    <w:p>
      <w:pPr>
        <w:spacing w:line="240" w:lineRule="auto" w:before="9"/>
        <w:rPr>
          <w:rFonts w:ascii="宋体" w:hAnsi="宋体" w:cs="宋体" w:eastAsia="宋体" w:hint="default"/>
          <w:sz w:val="20"/>
          <w:szCs w:val="20"/>
        </w:rPr>
      </w:pPr>
    </w:p>
    <w:p>
      <w:pPr>
        <w:pStyle w:val="Heading3"/>
        <w:spacing w:line="240" w:lineRule="auto"/>
        <w:ind w:left="702" w:right="0"/>
        <w:jc w:val="left"/>
      </w:pPr>
      <w:r>
        <w:rPr/>
        <w:t>三、公司董事会日常工作情况</w:t>
      </w: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19"/>
          <w:szCs w:val="19"/>
        </w:rPr>
      </w:pPr>
    </w:p>
    <w:p>
      <w:pPr>
        <w:pStyle w:val="BodyText"/>
        <w:spacing w:line="331" w:lineRule="auto"/>
        <w:ind w:left="634" w:right="3050" w:hanging="120"/>
        <w:jc w:val="left"/>
      </w:pPr>
      <w:r>
        <w:rPr/>
        <w:t>(一)董事会的会议情况及决议内容 报告期内，公司董事会共召开了九次会议，具体情况如下：</w:t>
      </w:r>
    </w:p>
    <w:p>
      <w:pPr>
        <w:pStyle w:val="BodyText"/>
        <w:spacing w:line="357" w:lineRule="auto" w:before="180"/>
        <w:ind w:left="154" w:right="133" w:firstLine="480"/>
        <w:jc w:val="left"/>
      </w:pPr>
      <w:r>
        <w:rPr>
          <w:spacing w:val="19"/>
        </w:rPr>
        <w:t>1、2007年3月</w:t>
      </w:r>
      <w:r>
        <w:rPr>
          <w:spacing w:val="-67"/>
        </w:rPr>
        <w:t> </w:t>
      </w:r>
      <w:r>
        <w:rPr/>
        <w:t>23</w:t>
      </w:r>
      <w:r>
        <w:rPr>
          <w:spacing w:val="-67"/>
        </w:rPr>
        <w:t> </w:t>
      </w:r>
      <w:r>
        <w:rPr/>
        <w:t>日，公司召开第二届董事会第六次会议，本次会议的决议公告刊登于</w:t>
      </w:r>
      <w:r>
        <w:rPr/>
        <w:t> </w:t>
      </w:r>
      <w:r>
        <w:rPr>
          <w:spacing w:val="25"/>
        </w:rPr>
        <w:t>2007年3月</w:t>
      </w:r>
      <w:r>
        <w:rPr>
          <w:spacing w:val="-58"/>
        </w:rPr>
        <w:t> </w:t>
      </w:r>
      <w:r>
        <w:rPr/>
        <w:t>27</w:t>
      </w:r>
      <w:r>
        <w:rPr>
          <w:spacing w:val="-58"/>
        </w:rPr>
        <w:t> </w:t>
      </w:r>
      <w:hyperlink r:id="rId11">
        <w:r>
          <w:rPr/>
          <w:t>日的《证券时报》及巨潮资讯网（http://www.cninfo.com.cn）上。</w:t>
        </w:r>
      </w:hyperlink>
    </w:p>
    <w:p>
      <w:pPr>
        <w:pStyle w:val="BodyText"/>
        <w:spacing w:line="357" w:lineRule="auto" w:before="155"/>
        <w:ind w:left="154" w:right="133" w:firstLine="480"/>
        <w:jc w:val="left"/>
      </w:pPr>
      <w:r>
        <w:rPr>
          <w:spacing w:val="19"/>
        </w:rPr>
        <w:t>2、2007年4月</w:t>
      </w:r>
      <w:r>
        <w:rPr>
          <w:spacing w:val="-67"/>
        </w:rPr>
        <w:t> </w:t>
      </w:r>
      <w:r>
        <w:rPr/>
        <w:t>13</w:t>
      </w:r>
      <w:r>
        <w:rPr>
          <w:spacing w:val="-67"/>
        </w:rPr>
        <w:t> </w:t>
      </w:r>
      <w:r>
        <w:rPr/>
        <w:t>日，公司召开第二届董事会第七次会议，本次会议的决议公告刊登于</w:t>
      </w:r>
      <w:r>
        <w:rPr/>
        <w:t> </w:t>
      </w:r>
      <w:r>
        <w:rPr>
          <w:spacing w:val="25"/>
        </w:rPr>
        <w:t>2007年4月</w:t>
      </w:r>
      <w:r>
        <w:rPr>
          <w:spacing w:val="-58"/>
        </w:rPr>
        <w:t> </w:t>
      </w:r>
      <w:r>
        <w:rPr/>
        <w:t>14</w:t>
      </w:r>
      <w:r>
        <w:rPr>
          <w:spacing w:val="-58"/>
        </w:rPr>
        <w:t> </w:t>
      </w:r>
      <w:hyperlink r:id="rId11">
        <w:r>
          <w:rPr/>
          <w:t>日的《证券时报》及巨潮资讯网（http://www.cninfo.com.cn）上。</w:t>
        </w:r>
      </w:hyperlink>
    </w:p>
    <w:p>
      <w:pPr>
        <w:pStyle w:val="BodyText"/>
        <w:spacing w:line="240" w:lineRule="auto" w:before="76"/>
        <w:ind w:left="634" w:right="0"/>
        <w:jc w:val="left"/>
      </w:pPr>
      <w:r>
        <w:rPr/>
        <w:t>3</w:t>
      </w:r>
      <w:r>
        <w:rPr>
          <w:spacing w:val="-107"/>
        </w:rPr>
        <w:t>、</w:t>
      </w:r>
      <w:r>
        <w:rPr/>
        <w:t>2007年5月12日</w:t>
      </w:r>
      <w:r>
        <w:rPr>
          <w:spacing w:val="-107"/>
        </w:rPr>
        <w:t>，</w:t>
      </w:r>
      <w:r>
        <w:rPr/>
        <w:t>公司召开第三届董事会第一次会议</w:t>
      </w:r>
      <w:r>
        <w:rPr>
          <w:spacing w:val="-107"/>
        </w:rPr>
        <w:t>，</w:t>
      </w:r>
      <w:r>
        <w:rPr/>
        <w:t>本次会议的决议公告刊登于2007</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214" w:hanging="480"/>
        <w:jc w:val="left"/>
      </w:pPr>
      <w:hyperlink r:id="rId11">
        <w:r>
          <w:rPr/>
          <w:t>年5月15日的《证券时报》及巨潮资讯网（http://www.cninfo.com.cn）上。</w:t>
        </w:r>
      </w:hyperlink>
      <w:r>
        <w:rPr/>
        <w:t> </w:t>
      </w:r>
      <w:r>
        <w:rPr>
          <w:spacing w:val="-8"/>
        </w:rPr>
        <w:t>4、2007年6月21日，公司召开第三届董事会第二次会议，本次会议的决议公告刊登于2007</w:t>
      </w:r>
    </w:p>
    <w:p>
      <w:pPr>
        <w:pStyle w:val="BodyText"/>
        <w:spacing w:line="357" w:lineRule="auto" w:before="35"/>
        <w:ind w:left="634" w:right="214" w:hanging="480"/>
        <w:jc w:val="left"/>
      </w:pPr>
      <w:hyperlink r:id="rId11">
        <w:r>
          <w:rPr/>
          <w:t>年6月22日的《证券时报》及巨潮资讯网（http://www.cninfo.com.cn）上。</w:t>
        </w:r>
      </w:hyperlink>
      <w:r>
        <w:rPr/>
        <w:t> </w:t>
      </w:r>
      <w:r>
        <w:rPr>
          <w:spacing w:val="-8"/>
        </w:rPr>
        <w:t>5、2007年7月10日，公司召开第三届董事会第三次会议，本次会议的决议公告刊登于2007</w:t>
      </w:r>
    </w:p>
    <w:p>
      <w:pPr>
        <w:pStyle w:val="BodyText"/>
        <w:spacing w:line="357" w:lineRule="auto" w:before="35"/>
        <w:ind w:left="634" w:right="350" w:hanging="480"/>
        <w:jc w:val="left"/>
      </w:pPr>
      <w:hyperlink r:id="rId11">
        <w:r>
          <w:rPr/>
          <w:t>年7月11日的《证券时报》及巨潮资讯网（http://www.cninfo.com.cn）上。</w:t>
        </w:r>
      </w:hyperlink>
      <w:r>
        <w:rPr/>
        <w:t> </w:t>
      </w:r>
      <w:r>
        <w:rPr>
          <w:spacing w:val="-5"/>
        </w:rPr>
        <w:t>6、2007年8月6日，公司召开第三届董事会第四次会议，本次会议的决议公告刊登于2007</w:t>
      </w:r>
    </w:p>
    <w:p>
      <w:pPr>
        <w:pStyle w:val="BodyText"/>
        <w:spacing w:line="357" w:lineRule="auto" w:before="35"/>
        <w:ind w:left="634" w:right="214" w:hanging="480"/>
        <w:jc w:val="left"/>
      </w:pPr>
      <w:hyperlink r:id="rId11">
        <w:r>
          <w:rPr/>
          <w:t>年8月8日的《证券时报》及巨潮资讯网（http://www.cninfo.com.cn）上。</w:t>
        </w:r>
      </w:hyperlink>
      <w:r>
        <w:rPr/>
        <w:t> </w:t>
      </w:r>
      <w:r>
        <w:rPr>
          <w:spacing w:val="-8"/>
        </w:rPr>
        <w:t>7、2007年9月24日，公司召开第三届董事会第五次会议，本次会议的决议公告刊登于2007</w:t>
      </w:r>
    </w:p>
    <w:p>
      <w:pPr>
        <w:pStyle w:val="BodyText"/>
        <w:spacing w:line="357" w:lineRule="auto" w:before="36"/>
        <w:ind w:left="634" w:right="370" w:hanging="480"/>
        <w:jc w:val="left"/>
      </w:pPr>
      <w:hyperlink r:id="rId11">
        <w:r>
          <w:rPr/>
          <w:t>年9月24日的《证券时报》及巨潮资讯网（http://www.cninfo.com.cn）上。</w:t>
        </w:r>
      </w:hyperlink>
      <w:r>
        <w:rPr/>
        <w:t> 8、2007年10月15日，公司召开第三届董事会第六次会议，审议通过了《荣信电力电子</w:t>
      </w:r>
    </w:p>
    <w:p>
      <w:pPr>
        <w:pStyle w:val="BodyText"/>
        <w:spacing w:line="357" w:lineRule="auto" w:before="35"/>
        <w:ind w:left="154" w:right="342"/>
        <w:jc w:val="left"/>
      </w:pPr>
      <w:r>
        <w:rPr>
          <w:spacing w:val="-2"/>
        </w:rPr>
        <w:t>股份有限公司2007年第三季度报告》，该报告刊登于2007年10月17日的《证券时报》及巨潮</w:t>
      </w:r>
      <w:r>
        <w:rPr>
          <w:spacing w:val="-112"/>
        </w:rPr>
        <w:t> </w:t>
      </w:r>
      <w:hyperlink r:id="rId11">
        <w:r>
          <w:rPr>
            <w:spacing w:val="-112"/>
          </w:rPr>
        </w:r>
        <w:r>
          <w:rPr/>
          <w:t>资讯网（http://www.cninfo.com.cn）上。</w:t>
        </w:r>
      </w:hyperlink>
    </w:p>
    <w:p>
      <w:pPr>
        <w:pStyle w:val="BodyText"/>
        <w:spacing w:line="357" w:lineRule="auto" w:before="35"/>
        <w:ind w:left="154" w:right="370" w:firstLine="480"/>
        <w:jc w:val="left"/>
      </w:pPr>
      <w:r>
        <w:rPr/>
        <w:t>9、2007年11月12日，公司召开第三届董事会第七次会议，本次会议的决议公告刊登于</w:t>
      </w:r>
      <w:hyperlink r:id="rId11">
        <w:r>
          <w:rPr/>
          <w:t> 2007年11月13日的《证券时报》及巨潮资讯网（http://www.cninfo.com.cn）上。</w:t>
        </w:r>
      </w:hyperlink>
    </w:p>
    <w:p>
      <w:pPr>
        <w:spacing w:line="240" w:lineRule="auto" w:before="6"/>
        <w:rPr>
          <w:rFonts w:ascii="宋体" w:hAnsi="宋体" w:cs="宋体" w:eastAsia="宋体" w:hint="default"/>
          <w:sz w:val="26"/>
          <w:szCs w:val="26"/>
        </w:rPr>
      </w:pPr>
    </w:p>
    <w:p>
      <w:pPr>
        <w:spacing w:line="357" w:lineRule="auto" w:before="0"/>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报告期内公司董事会根据《公司法》、《公司章程》及其他相关法律法规的要求，严格</w:t>
      </w:r>
    </w:p>
    <w:p>
      <w:pPr>
        <w:pStyle w:val="BodyText"/>
        <w:spacing w:line="357" w:lineRule="auto" w:before="35"/>
        <w:ind w:right="93"/>
        <w:jc w:val="left"/>
      </w:pPr>
      <w:r>
        <w:rPr>
          <w:spacing w:val="-2"/>
        </w:rPr>
        <w:t>按照股东大会的决议及授权，认真执行股东大会通过的各项决议，完成了首次公开发行股票、</w:t>
      </w:r>
      <w:r>
        <w:rPr/>
        <w:t> 修改公司章程等事项。</w:t>
      </w:r>
    </w:p>
    <w:p>
      <w:pPr>
        <w:pStyle w:val="BodyText"/>
        <w:spacing w:line="338" w:lineRule="auto" w:before="76"/>
        <w:ind w:right="231" w:firstLine="480"/>
        <w:jc w:val="both"/>
      </w:pPr>
      <w:r>
        <w:rPr/>
        <w:t>公司董事会根据</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spacing w:val="-3"/>
        </w:rPr>
        <w:t>年第二次临时股东大会决议，向中国证监会申请了首次公开发行股</w:t>
      </w:r>
      <w:r>
        <w:rPr/>
        <w:t> </w:t>
      </w:r>
      <w:r>
        <w:rPr>
          <w:spacing w:val="-3"/>
        </w:rPr>
        <w:t>票事宜，</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47</w:t>
      </w:r>
      <w:r>
        <w:rPr>
          <w:rFonts w:ascii="Times New Roman" w:hAnsi="Times New Roman" w:cs="Times New Roman" w:eastAsia="Times New Roman" w:hint="default"/>
          <w:spacing w:val="-7"/>
        </w:rPr>
        <w:t> </w:t>
      </w:r>
      <w:r>
        <w:rPr>
          <w:spacing w:val="-3"/>
        </w:rPr>
        <w:t>号文核准，公</w:t>
      </w:r>
      <w:r>
        <w:rPr/>
        <w:t> 司向社会公开发行人民币普通股股票</w:t>
      </w:r>
      <w:r>
        <w:rPr>
          <w:spacing w:val="-58"/>
        </w:rPr>
        <w:t> </w:t>
      </w:r>
      <w:r>
        <w:rPr>
          <w:rFonts w:ascii="Times New Roman" w:hAnsi="Times New Roman" w:cs="Times New Roman" w:eastAsia="Times New Roman" w:hint="default"/>
        </w:rPr>
        <w:t>1600</w:t>
      </w:r>
      <w:r>
        <w:rPr>
          <w:rFonts w:ascii="Times New Roman" w:hAnsi="Times New Roman" w:cs="Times New Roman" w:eastAsia="Times New Roman" w:hint="default"/>
          <w:spacing w:val="2"/>
        </w:rPr>
        <w:t> </w:t>
      </w:r>
      <w:r>
        <w:rPr>
          <w:spacing w:val="-5"/>
        </w:rPr>
        <w:t>万股，发行价格为人民币</w:t>
      </w:r>
      <w:r>
        <w:rPr>
          <w:spacing w:val="-58"/>
        </w:rPr>
        <w:t> </w:t>
      </w:r>
      <w:r>
        <w:rPr>
          <w:rFonts w:ascii="Times New Roman" w:hAnsi="Times New Roman" w:cs="Times New Roman" w:eastAsia="Times New Roman" w:hint="default"/>
        </w:rPr>
        <w:t>18.90</w:t>
      </w:r>
      <w:r>
        <w:rPr>
          <w:rFonts w:ascii="Times New Roman" w:hAnsi="Times New Roman" w:cs="Times New Roman" w:eastAsia="Times New Roman" w:hint="default"/>
          <w:spacing w:val="2"/>
        </w:rPr>
        <w:t> </w:t>
      </w:r>
      <w:r>
        <w:rPr>
          <w:spacing w:val="-5"/>
        </w:rPr>
        <w:t>元</w:t>
      </w:r>
      <w:r>
        <w:rPr>
          <w:rFonts w:ascii="Times New Roman" w:hAnsi="Times New Roman" w:cs="Times New Roman" w:eastAsia="Times New Roman" w:hint="default"/>
          <w:spacing w:val="-5"/>
        </w:rPr>
        <w:t>/</w:t>
      </w:r>
      <w:r>
        <w:rPr>
          <w:spacing w:val="-5"/>
        </w:rPr>
        <w:t>股，募集资金总</w:t>
      </w:r>
    </w:p>
    <w:p>
      <w:pPr>
        <w:pStyle w:val="BodyText"/>
        <w:spacing w:line="240" w:lineRule="auto" w:before="25"/>
        <w:ind w:left="154" w:right="0"/>
        <w:jc w:val="left"/>
      </w:pPr>
      <w:r>
        <w:rPr/>
        <w:t>额为人民币</w:t>
      </w:r>
      <w:r>
        <w:rPr>
          <w:spacing w:val="-60"/>
        </w:rPr>
        <w:t> </w:t>
      </w:r>
      <w:r>
        <w:rPr>
          <w:rFonts w:ascii="Times New Roman" w:hAnsi="Times New Roman" w:cs="Times New Roman" w:eastAsia="Times New Roman" w:hint="default"/>
        </w:rPr>
        <w:t>30,240 </w:t>
      </w:r>
      <w:r>
        <w:rPr/>
        <w:t>万元</w:t>
      </w:r>
      <w:r>
        <w:rPr>
          <w:spacing w:val="-101"/>
        </w:rPr>
        <w:t>，</w:t>
      </w:r>
      <w:r>
        <w:rPr/>
        <w:t>扣除发行费用人民币</w:t>
      </w:r>
      <w:r>
        <w:rPr>
          <w:spacing w:val="-60"/>
        </w:rPr>
        <w:t> </w:t>
      </w:r>
      <w:r>
        <w:rPr>
          <w:rFonts w:ascii="Times New Roman" w:hAnsi="Times New Roman" w:cs="Times New Roman" w:eastAsia="Times New Roman" w:hint="default"/>
        </w:rPr>
        <w:t>1651.49 </w:t>
      </w:r>
      <w:r>
        <w:rPr/>
        <w:t>万元</w:t>
      </w:r>
      <w:r>
        <w:rPr>
          <w:spacing w:val="-101"/>
        </w:rPr>
        <w:t>，</w:t>
      </w:r>
      <w:r>
        <w:rPr/>
        <w:t>募集资金净额为</w:t>
      </w:r>
      <w:r>
        <w:rPr>
          <w:spacing w:val="-60"/>
        </w:rPr>
        <w:t> </w:t>
      </w:r>
      <w:r>
        <w:rPr>
          <w:rFonts w:ascii="Times New Roman" w:hAnsi="Times New Roman" w:cs="Times New Roman" w:eastAsia="Times New Roman" w:hint="default"/>
        </w:rPr>
        <w:t>28,588.51 </w:t>
      </w:r>
      <w:r>
        <w:rPr/>
        <w:t>万元。</w:t>
      </w:r>
    </w:p>
    <w:p>
      <w:pPr>
        <w:pStyle w:val="BodyText"/>
        <w:spacing w:line="240" w:lineRule="auto" w:before="134"/>
        <w:ind w:left="154" w:right="100"/>
        <w:jc w:val="left"/>
      </w:pPr>
      <w:r>
        <w:rPr/>
        <w:t>经深圳天健信德会计师事务所信德验资报字</w:t>
      </w:r>
      <w:r>
        <w:rPr>
          <w:rFonts w:ascii="Times New Roman" w:hAnsi="Times New Roman" w:cs="Times New Roman" w:eastAsia="Times New Roman" w:hint="default"/>
        </w:rPr>
        <w:t>[2007]</w:t>
      </w:r>
      <w:r>
        <w:rPr/>
        <w:t>第 </w:t>
      </w:r>
      <w:r>
        <w:rPr>
          <w:rFonts w:ascii="Times New Roman" w:hAnsi="Times New Roman" w:cs="Times New Roman" w:eastAsia="Times New Roman" w:hint="default"/>
        </w:rPr>
        <w:t>009</w:t>
      </w:r>
      <w:r>
        <w:rPr>
          <w:rFonts w:ascii="Times New Roman" w:hAnsi="Times New Roman" w:cs="Times New Roman" w:eastAsia="Times New Roman" w:hint="default"/>
          <w:spacing w:val="55"/>
        </w:rPr>
        <w:t> </w:t>
      </w:r>
      <w:r>
        <w:rPr/>
        <w:t>号《验资报告》验证，此次公开发</w:t>
      </w:r>
    </w:p>
    <w:p>
      <w:pPr>
        <w:pStyle w:val="BodyText"/>
        <w:spacing w:line="240" w:lineRule="auto" w:before="134"/>
        <w:ind w:left="154" w:right="214"/>
        <w:jc w:val="left"/>
      </w:pPr>
      <w:r>
        <w:rPr/>
        <w:t>行股票募集资金已全部到位。经深圳证券交易所批准，公司股票于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日上市。</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0"/>
          <w:szCs w:val="30"/>
        </w:rPr>
      </w:pPr>
    </w:p>
    <w:p>
      <w:pPr>
        <w:spacing w:line="360" w:lineRule="auto" w:before="0"/>
        <w:ind w:left="633" w:right="371" w:firstLine="81"/>
        <w:jc w:val="left"/>
        <w:rPr>
          <w:rFonts w:ascii="宋体" w:hAnsi="宋体" w:cs="宋体" w:eastAsia="宋体" w:hint="default"/>
          <w:sz w:val="24"/>
          <w:szCs w:val="24"/>
        </w:rPr>
      </w:pPr>
      <w:r>
        <w:rPr>
          <w:rFonts w:ascii="宋体" w:hAnsi="宋体" w:cs="宋体" w:eastAsia="宋体" w:hint="default"/>
          <w:b/>
          <w:bCs/>
          <w:sz w:val="28"/>
          <w:szCs w:val="28"/>
        </w:rPr>
        <w:t>四、公司2007年度利润分配及资本公积转增股本预案</w:t>
      </w:r>
      <w:r>
        <w:rPr>
          <w:rFonts w:ascii="宋体" w:hAnsi="宋体" w:cs="宋体" w:eastAsia="宋体" w:hint="default"/>
          <w:b/>
          <w:bCs/>
          <w:spacing w:val="1"/>
          <w:w w:val="99"/>
          <w:sz w:val="28"/>
          <w:szCs w:val="28"/>
        </w:rPr>
        <w:t> </w:t>
      </w:r>
      <w:r>
        <w:rPr>
          <w:rFonts w:ascii="宋体" w:hAnsi="宋体" w:cs="宋体" w:eastAsia="宋体" w:hint="default"/>
          <w:b/>
          <w:bCs/>
          <w:sz w:val="24"/>
          <w:szCs w:val="24"/>
        </w:rPr>
        <w:t>公司2007年度利润分配方案为：10送4股转增6股派现金0.5元。</w:t>
      </w:r>
      <w:r>
        <w:rPr>
          <w:rFonts w:ascii="宋体" w:hAnsi="宋体" w:cs="宋体" w:eastAsia="宋体" w:hint="default"/>
          <w:b/>
          <w:bCs/>
          <w:spacing w:val="1"/>
          <w:w w:val="99"/>
          <w:sz w:val="24"/>
          <w:szCs w:val="24"/>
        </w:rPr>
        <w:t> </w:t>
      </w:r>
      <w:r>
        <w:rPr>
          <w:rFonts w:ascii="宋体" w:hAnsi="宋体" w:cs="宋体" w:eastAsia="宋体" w:hint="default"/>
          <w:sz w:val="24"/>
          <w:szCs w:val="24"/>
        </w:rPr>
        <w:t>经开元信德会计师事务所有限公司审计，公司2007年度实现合并净利润83,321,753.39</w:t>
      </w:r>
    </w:p>
    <w:p>
      <w:pPr>
        <w:pStyle w:val="BodyText"/>
        <w:spacing w:line="240" w:lineRule="auto" w:before="32"/>
        <w:ind w:right="100"/>
        <w:jc w:val="left"/>
      </w:pPr>
      <w:r>
        <w:rPr/>
        <w:t>元</w:t>
      </w:r>
      <w:r>
        <w:rPr>
          <w:spacing w:val="-101"/>
        </w:rPr>
        <w:t>，</w:t>
      </w:r>
      <w:r>
        <w:rPr/>
        <w:t>减去按10%提取法定盈余公积金共计8,268,343.84元</w:t>
      </w:r>
      <w:r>
        <w:rPr>
          <w:spacing w:val="-101"/>
        </w:rPr>
        <w:t>，</w:t>
      </w:r>
      <w:r>
        <w:rPr/>
        <w:t>加上年初未分配利润83,110,213.24</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88"/>
        <w:jc w:val="both"/>
      </w:pPr>
      <w:r>
        <w:rPr/>
        <w:t>元，本年度实际可供股东分配利润为158,163,622.79元。截止2007年12月31日，公司资本公 积金余额为</w:t>
      </w:r>
      <w:r>
        <w:rPr>
          <w:rFonts w:ascii="Times New Roman" w:hAnsi="Times New Roman" w:cs="Times New Roman" w:eastAsia="Times New Roman" w:hint="default"/>
        </w:rPr>
        <w:t>272,626,390.14</w:t>
      </w:r>
      <w:r>
        <w:rPr/>
        <w:t>元。</w:t>
      </w:r>
    </w:p>
    <w:p>
      <w:pPr>
        <w:pStyle w:val="BodyText"/>
        <w:spacing w:line="357" w:lineRule="auto" w:before="4"/>
        <w:ind w:left="154" w:right="188" w:firstLine="480"/>
        <w:jc w:val="both"/>
      </w:pPr>
      <w:r>
        <w:rPr/>
        <w:t>公司以2007年12月31日公司总股本64,000,000股为基数,拟按10：4的比例派送红股、按 每10股派0.5元（含税），共计28,800,000元。</w:t>
      </w:r>
    </w:p>
    <w:p>
      <w:pPr>
        <w:pStyle w:val="BodyText"/>
        <w:spacing w:line="357" w:lineRule="auto" w:before="35"/>
        <w:ind w:left="154" w:right="188" w:firstLine="480"/>
        <w:jc w:val="both"/>
      </w:pPr>
      <w:r>
        <w:rPr/>
        <w:t>同时，公司以2007年12月31日公司总股本64,000,000股为基数，拟以资本公积金（股本 溢价）转增股本方式，向全体股东每10股转增6股，共计38,400,000元；</w:t>
      </w:r>
    </w:p>
    <w:p>
      <w:pPr>
        <w:pStyle w:val="BodyText"/>
        <w:spacing w:line="240" w:lineRule="auto" w:before="35"/>
        <w:ind w:left="634" w:right="0"/>
        <w:jc w:val="left"/>
      </w:pPr>
      <w:r>
        <w:rPr/>
        <w:t>经上述分配后，公司总股本为：128,000,000 股，剩余的未分配利润结转下一年度。</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Heading3"/>
        <w:spacing w:line="240" w:lineRule="auto"/>
        <w:ind w:left="634" w:right="0"/>
        <w:jc w:val="left"/>
      </w:pPr>
      <w:r>
        <w:rPr/>
        <w:t>五、董事会审计委员会履职情况汇报总结</w:t>
      </w:r>
    </w:p>
    <w:p>
      <w:pPr>
        <w:pStyle w:val="BodyText"/>
        <w:spacing w:line="357" w:lineRule="auto" w:before="184"/>
        <w:ind w:left="154" w:right="151" w:firstLine="480"/>
        <w:jc w:val="both"/>
      </w:pPr>
      <w:r>
        <w:rPr/>
        <w:t>报告期内，审计委员会根据《审计委员会议事规则》赋予的职责和权限切实履行了提名 内部审计机构负责人、审议内部审计部门提交的审计计划和工作报告、审核公司的财务信息 </w:t>
      </w:r>
      <w:r>
        <w:rPr>
          <w:spacing w:val="-5"/>
        </w:rPr>
        <w:t>及其披露</w:t>
      </w:r>
      <w:r>
        <w:rPr>
          <w:rFonts w:ascii="宋体" w:hAnsi="宋体" w:cs="宋体" w:eastAsia="宋体" w:hint="default"/>
          <w:spacing w:val="-5"/>
        </w:rPr>
        <w:t>、</w:t>
      </w:r>
      <w:r>
        <w:rPr>
          <w:spacing w:val="-5"/>
        </w:rPr>
        <w:t>监督公司的内部审计制度及其实施、负责内部审计与外部审计沟通等职责。在2007</w:t>
      </w:r>
      <w:r>
        <w:rPr>
          <w:spacing w:val="-109"/>
        </w:rPr>
        <w:t> </w:t>
      </w:r>
      <w:r>
        <w:rPr>
          <w:spacing w:val="-109"/>
        </w:rPr>
      </w:r>
      <w:r>
        <w:rPr/>
        <w:t>年公司财务报告审计工作中做了如下工作：</w:t>
      </w:r>
    </w:p>
    <w:p>
      <w:pPr>
        <w:pStyle w:val="BodyText"/>
        <w:spacing w:line="357" w:lineRule="auto" w:before="35"/>
        <w:ind w:left="154" w:right="151" w:firstLine="480"/>
        <w:jc w:val="both"/>
      </w:pPr>
      <w:r>
        <w:rPr>
          <w:spacing w:val="-2"/>
        </w:rPr>
        <w:t>1、审计委员会与公司2007年度审计机构开元信德会计师事务所有限公司充分沟通的基础</w:t>
      </w:r>
      <w:r>
        <w:rPr/>
        <w:t> 上协商确定了2007年度财务报告审计的进度安排；</w:t>
      </w:r>
    </w:p>
    <w:p>
      <w:pPr>
        <w:pStyle w:val="BodyText"/>
        <w:spacing w:line="357" w:lineRule="auto" w:before="35"/>
        <w:ind w:left="154" w:right="151" w:firstLine="480"/>
        <w:jc w:val="both"/>
      </w:pPr>
      <w:r>
        <w:rPr>
          <w:spacing w:val="-3"/>
        </w:rPr>
        <w:t>2、审计委员会在年审注册会计师进场前审阅了公司编制的财务会计报告后，发表意见如</w:t>
      </w:r>
      <w:r>
        <w:rPr/>
        <w:t> 下：同意将公司按照《企业会计准则》及有关补充规定编制的财务报告提交开元信德会计师 事务所有限公司审计。</w:t>
      </w:r>
    </w:p>
    <w:p>
      <w:pPr>
        <w:pStyle w:val="BodyText"/>
        <w:spacing w:line="357" w:lineRule="auto" w:before="35"/>
        <w:ind w:left="154" w:right="151" w:firstLine="480"/>
        <w:jc w:val="both"/>
      </w:pPr>
      <w:r>
        <w:rPr>
          <w:spacing w:val="-3"/>
        </w:rPr>
        <w:t>3、审计委员会在年审注册会计师审计期间与其针对审计过程中的问题进行了充分的交流</w:t>
      </w:r>
      <w:r>
        <w:rPr/>
        <w:t> 与沟通，并对其发出《关于按时提交审计报告的督促函》，督促其在约定的时限内提交审计 报告。</w:t>
      </w:r>
    </w:p>
    <w:p>
      <w:pPr>
        <w:pStyle w:val="BodyText"/>
        <w:spacing w:line="357" w:lineRule="auto" w:before="35"/>
        <w:ind w:left="154" w:right="151" w:firstLine="480"/>
        <w:jc w:val="both"/>
      </w:pPr>
      <w:r>
        <w:rPr>
          <w:spacing w:val="-3"/>
        </w:rPr>
        <w:t>4、审计委员会审阅了注册会计师出具的初步审计意见后形成书面审核意见：经开元信德</w:t>
      </w:r>
      <w:r>
        <w:rPr/>
        <w:t> 会计师事务所初步审计，对公司在2007年财务报告编制过程中存在的会计估计、会计重分类 等差错予以认同，并同意根据初步审计意见进行相应调整。</w:t>
      </w:r>
    </w:p>
    <w:p>
      <w:pPr>
        <w:pStyle w:val="BodyText"/>
        <w:spacing w:line="240" w:lineRule="auto" w:before="35"/>
        <w:ind w:left="634" w:right="0"/>
        <w:jc w:val="left"/>
      </w:pPr>
      <w:r>
        <w:rPr>
          <w:spacing w:val="-3"/>
        </w:rPr>
        <w:t>5、审计委员会召开临时会议，并形成如下决议：①同意开元信德会计师事务所对本公司</w:t>
      </w:r>
    </w:p>
    <w:p>
      <w:pPr>
        <w:pStyle w:val="BodyText"/>
        <w:spacing w:line="357" w:lineRule="auto" w:before="152"/>
        <w:ind w:left="154" w:right="188"/>
        <w:jc w:val="both"/>
      </w:pPr>
      <w:r>
        <w:rPr/>
        <w:t>2007年财务报告的审计结果的议案，并将财务审计结果提交公司董事会审核；②关于开元信 德会计师事务所2007年度审计工作总结的议案③同意聘请开元信德会计师事务所有限公司为 本公司2008年度审计机构的议案，并提交公司董事会审议。</w:t>
      </w:r>
    </w:p>
    <w:p>
      <w:pPr>
        <w:spacing w:after="0" w:line="357" w:lineRule="auto"/>
        <w:jc w:val="both"/>
        <w:sectPr>
          <w:pgSz w:w="11910" w:h="16840"/>
          <w:pgMar w:header="747" w:footer="669" w:top="980" w:bottom="860" w:left="980" w:right="980"/>
        </w:sectPr>
      </w:pPr>
    </w:p>
    <w:p>
      <w:pPr>
        <w:spacing w:line="240" w:lineRule="auto" w:before="12"/>
        <w:rPr>
          <w:rFonts w:ascii="宋体" w:hAnsi="宋体" w:cs="宋体" w:eastAsia="宋体" w:hint="default"/>
          <w:sz w:val="29"/>
          <w:szCs w:val="29"/>
        </w:rPr>
      </w:pPr>
    </w:p>
    <w:p>
      <w:pPr>
        <w:pStyle w:val="Heading3"/>
        <w:spacing w:line="240" w:lineRule="auto" w:before="13"/>
        <w:ind w:left="634" w:right="214"/>
        <w:jc w:val="left"/>
      </w:pPr>
      <w:r>
        <w:rPr/>
        <w:t>六、董事会薪酬与考核委员会履职情况汇报总结</w:t>
      </w:r>
    </w:p>
    <w:p>
      <w:pPr>
        <w:pStyle w:val="BodyText"/>
        <w:spacing w:line="357" w:lineRule="auto" w:before="185"/>
        <w:ind w:left="154" w:right="268" w:firstLine="480"/>
        <w:jc w:val="both"/>
      </w:pPr>
      <w:r>
        <w:rPr/>
        <w:t>报告期内，董事会薪酬与考核委员会根据公司实际情况制定董事、高级管理人员薪酬方 案并提交董事会和股东大会审议。</w:t>
      </w:r>
    </w:p>
    <w:p>
      <w:pPr>
        <w:pStyle w:val="BodyText"/>
        <w:spacing w:line="357" w:lineRule="auto" w:before="35"/>
        <w:ind w:left="154" w:right="268" w:firstLine="480"/>
        <w:jc w:val="both"/>
      </w:pPr>
      <w:r>
        <w:rPr/>
        <w:t>报告期末，公司董事会薪酬与考核委员会依据公司年初制定的经营目标及主要经济指标 和管理指标的完成情况对董事、监事和高级管理人员的业绩、工作能力、履职情况进行考评 并发表审核意见如下：公司董事、监事、高级管理人员较好的完成了年初制定的经营目标， 领取的薪酬与公司披露的情况相符。</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left="634" w:right="214"/>
        <w:jc w:val="left"/>
        <w:rPr>
          <w:b w:val="0"/>
          <w:bCs w:val="0"/>
        </w:rPr>
      </w:pPr>
      <w:r>
        <w:rPr/>
        <w:t>七、其他需要披露的事项</w:t>
      </w:r>
      <w:r>
        <w:rPr>
          <w:b w:val="0"/>
          <w:bCs w:val="0"/>
        </w:rPr>
      </w:r>
    </w:p>
    <w:p>
      <w:pPr>
        <w:pStyle w:val="BodyText"/>
        <w:spacing w:line="357" w:lineRule="auto" w:before="185"/>
        <w:ind w:left="634" w:right="100" w:firstLine="36"/>
        <w:jc w:val="left"/>
      </w:pPr>
      <w:r>
        <w:rPr/>
        <w:t>（一）公司投资者关系管理 公司一直非常重视投资者关系管理，报告期内更是做了大量的工作： </w:t>
      </w:r>
      <w:r>
        <w:rPr>
          <w:spacing w:val="-6"/>
        </w:rPr>
        <w:t>1、公司指定董事会秘书作为投资者关系管理负责人，安排专人做好投资者来访接待工作，</w:t>
      </w:r>
    </w:p>
    <w:p>
      <w:pPr>
        <w:pStyle w:val="BodyText"/>
        <w:spacing w:line="357" w:lineRule="auto" w:before="35"/>
        <w:ind w:left="634" w:right="214" w:hanging="480"/>
        <w:jc w:val="left"/>
      </w:pPr>
      <w:r>
        <w:rPr/>
        <w:t>并认真做好各次接待的资料存档工作。报告期内，公司接待投资者来访60多人次。 </w:t>
      </w:r>
      <w:r>
        <w:rPr>
          <w:spacing w:val="-3"/>
        </w:rPr>
        <w:t>2、公司在全景网建立了与投资者网络联系的互动平台，在公司网站开设了投资者关系管</w:t>
      </w:r>
    </w:p>
    <w:p>
      <w:pPr>
        <w:pStyle w:val="BodyText"/>
        <w:spacing w:line="357" w:lineRule="auto" w:before="35"/>
        <w:ind w:left="154" w:right="250"/>
        <w:jc w:val="left"/>
      </w:pPr>
      <w:r>
        <w:rPr/>
        <w:t>理专栏和投资者联系信箱；平时专人负责投资者的咨询电话、传真、邮件、留言的回复等工 作，最大限度地保证投资者与公司信息交流渠道的畅通。</w:t>
      </w:r>
    </w:p>
    <w:p>
      <w:pPr>
        <w:pStyle w:val="BodyText"/>
        <w:spacing w:line="357" w:lineRule="auto" w:before="36"/>
        <w:ind w:left="154" w:right="268" w:firstLine="516"/>
        <w:jc w:val="right"/>
      </w:pPr>
      <w:r>
        <w:rPr>
          <w:spacing w:val="-2"/>
        </w:rPr>
        <w:t>3、2007年3月，公司在首次公开发行股票初步询价期间在深圳、上海、北京三地举办现</w:t>
      </w:r>
      <w:r>
        <w:rPr/>
        <w:t> 场推介会，参会机构累计达到近70家，共收到116家机构有效报价，IPO发行取得圆满成功。 </w:t>
      </w:r>
      <w:r>
        <w:rPr>
          <w:spacing w:val="-2"/>
        </w:rPr>
        <w:t>通过上述形式，投资者能够及时、准确、平等的了解到公司的经营发展情况，并充分表</w:t>
      </w:r>
      <w:r>
        <w:rPr/>
        <w:t> </w:t>
      </w:r>
      <w:r>
        <w:rPr>
          <w:spacing w:val="-1"/>
        </w:rPr>
        <w:t>达对公司经营发展的建议和意见，公司在决策时也会重视及参考机构投资者的意见，对公司</w:t>
      </w:r>
    </w:p>
    <w:p>
      <w:pPr>
        <w:pStyle w:val="BodyText"/>
        <w:spacing w:line="240" w:lineRule="auto" w:before="35"/>
        <w:ind w:left="154" w:right="214"/>
        <w:jc w:val="left"/>
      </w:pPr>
      <w:r>
        <w:rPr/>
        <w:t>发展起到促进作用。</w:t>
      </w:r>
    </w:p>
    <w:p>
      <w:pPr>
        <w:spacing w:line="240" w:lineRule="auto" w:before="8"/>
        <w:rPr>
          <w:rFonts w:ascii="宋体" w:hAnsi="宋体" w:cs="宋体" w:eastAsia="宋体" w:hint="default"/>
          <w:sz w:val="23"/>
          <w:szCs w:val="23"/>
        </w:rPr>
      </w:pPr>
    </w:p>
    <w:p>
      <w:pPr>
        <w:pStyle w:val="BodyText"/>
        <w:spacing w:line="240" w:lineRule="auto"/>
        <w:ind w:left="634" w:right="214"/>
        <w:jc w:val="left"/>
      </w:pPr>
      <w:r>
        <w:rPr/>
        <w:t>（二）公司指定信息披露的报纸为《证券时报》和巨潮资讯网</w:t>
      </w:r>
    </w:p>
    <w:p>
      <w:pPr>
        <w:pStyle w:val="BodyText"/>
        <w:spacing w:line="240" w:lineRule="auto" w:before="154"/>
        <w:ind w:left="154" w:right="214"/>
        <w:jc w:val="left"/>
      </w:pPr>
      <w:hyperlink r:id="rId11">
        <w:r>
          <w:rPr/>
          <w:t>（http://www.cninfo.com.cn）为刊登公司公告和其他需要披露信息的媒体。</w:t>
        </w:r>
      </w:hyperlink>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3692" w:right="214"/>
        <w:jc w:val="left"/>
        <w:rPr>
          <w:b w:val="0"/>
          <w:bCs w:val="0"/>
        </w:rPr>
      </w:pPr>
      <w:bookmarkStart w:name="第八节 监事会报告" w:id="12"/>
      <w:bookmarkEnd w:id="12"/>
      <w:r>
        <w:rPr>
          <w:b w:val="0"/>
          <w:bCs w:val="0"/>
        </w:rPr>
      </w:r>
      <w:bookmarkStart w:name="_bookmark7" w:id="13"/>
      <w:bookmarkEnd w:id="13"/>
      <w:r>
        <w:rPr>
          <w:b w:val="0"/>
          <w:bCs w:val="0"/>
        </w:rPr>
      </w:r>
      <w:r>
        <w:rPr/>
        <w:t>第八节</w:t>
      </w:r>
      <w:r>
        <w:rPr>
          <w:spacing w:val="-2"/>
        </w:rPr>
        <w:t> </w:t>
      </w:r>
      <w:r>
        <w:rPr/>
        <w:t>监事会报告</w:t>
      </w:r>
      <w:r>
        <w:rPr>
          <w:b w:val="0"/>
          <w:bCs w:val="0"/>
        </w:rPr>
      </w:r>
    </w:p>
    <w:p>
      <w:pPr>
        <w:spacing w:line="240" w:lineRule="auto" w:before="10"/>
        <w:rPr>
          <w:rFonts w:ascii="黑体" w:hAnsi="黑体" w:cs="黑体" w:eastAsia="黑体" w:hint="default"/>
          <w:b/>
          <w:bCs/>
          <w:sz w:val="36"/>
          <w:szCs w:val="36"/>
        </w:rPr>
      </w:pPr>
    </w:p>
    <w:p>
      <w:pPr>
        <w:pStyle w:val="BodyText"/>
        <w:spacing w:line="357" w:lineRule="auto"/>
        <w:ind w:left="154" w:right="100" w:firstLine="468"/>
        <w:jc w:val="left"/>
      </w:pPr>
      <w:bookmarkStart w:name="    报告期内，公司监事会全体成员按照《公司法》、《公司章程》以及相关法规要求" w:id="14"/>
      <w:bookmarkEnd w:id="14"/>
      <w:r>
        <w:rPr/>
      </w:r>
      <w:r>
        <w:rPr/>
        <w:t>报告期内，公司监事会全体成员按照《公司法》、《公司章程》以及相关法规要求，勤</w:t>
      </w:r>
      <w:r>
        <w:rPr>
          <w:spacing w:val="1"/>
        </w:rPr>
        <w:t> </w:t>
      </w:r>
      <w:r>
        <w:rPr>
          <w:spacing w:val="-3"/>
        </w:rPr>
        <w:t>勉、诚实地履行自己职能，依法独立行使职权，以保障公司规范运作，维护公司和股东利益。</w:t>
      </w:r>
      <w:r>
        <w:rPr>
          <w:spacing w:val="-81"/>
        </w:rPr>
        <w:t> </w:t>
      </w:r>
      <w:r>
        <w:rPr>
          <w:spacing w:val="-81"/>
        </w:rPr>
      </w:r>
      <w:r>
        <w:rPr/>
        <w:t>监事会对公司长远发展计划、生产经营活动、重大事项、财务状况以及董事、高级管理人员</w:t>
      </w:r>
      <w:r>
        <w:rPr>
          <w:spacing w:val="-83"/>
        </w:rPr>
        <w:t> </w:t>
      </w:r>
      <w:r>
        <w:rPr>
          <w:spacing w:val="-83"/>
        </w:rPr>
      </w:r>
      <w:r>
        <w:rPr/>
        <w:t>履行职责情况进行了监督，促进了公司规范运作、健康发展。现将监事会在本年度的主要工</w:t>
      </w:r>
      <w:r>
        <w:rPr>
          <w:spacing w:val="-83"/>
        </w:rPr>
        <w:t> </w:t>
      </w:r>
      <w:r>
        <w:rPr>
          <w:spacing w:val="-83"/>
        </w:rPr>
      </w:r>
      <w:r>
        <w:rPr/>
        <w:t>作报告如下:</w:t>
      </w:r>
    </w:p>
    <w:p>
      <w:pPr>
        <w:spacing w:line="240" w:lineRule="auto" w:before="8"/>
        <w:rPr>
          <w:rFonts w:ascii="宋体" w:hAnsi="宋体" w:cs="宋体" w:eastAsia="宋体" w:hint="default"/>
          <w:sz w:val="23"/>
          <w:szCs w:val="23"/>
        </w:rPr>
      </w:pPr>
    </w:p>
    <w:p>
      <w:pPr>
        <w:pStyle w:val="Heading3"/>
        <w:spacing w:line="240" w:lineRule="auto"/>
        <w:ind w:right="214"/>
        <w:jc w:val="left"/>
      </w:pPr>
      <w:r>
        <w:rPr/>
        <w:t>一、监事会会议情况</w:t>
      </w:r>
    </w:p>
    <w:p>
      <w:pPr>
        <w:pStyle w:val="BodyText"/>
        <w:spacing w:line="240" w:lineRule="auto" w:before="225"/>
        <w:ind w:left="634" w:right="214"/>
        <w:jc w:val="left"/>
      </w:pPr>
      <w:r>
        <w:rPr/>
        <w:t>报告期内，监事会共召开了六次会议，具体情况如下：</w:t>
      </w:r>
    </w:p>
    <w:p>
      <w:pPr>
        <w:pStyle w:val="BodyText"/>
        <w:spacing w:line="357" w:lineRule="auto" w:before="192"/>
        <w:ind w:left="154" w:right="212" w:firstLine="480"/>
        <w:jc w:val="left"/>
      </w:pPr>
      <w:r>
        <w:rPr>
          <w:spacing w:val="19"/>
        </w:rPr>
        <w:t>1、2007年3月</w:t>
      </w:r>
      <w:r>
        <w:rPr>
          <w:spacing w:val="-67"/>
        </w:rPr>
        <w:t> </w:t>
      </w:r>
      <w:r>
        <w:rPr/>
        <w:t>23</w:t>
      </w:r>
      <w:r>
        <w:rPr>
          <w:spacing w:val="-67"/>
        </w:rPr>
        <w:t> </w:t>
      </w:r>
      <w:r>
        <w:rPr/>
        <w:t>日，公司召开第二届监事会第六次会议，会议审议并通过了《荣信股</w:t>
      </w:r>
      <w:r>
        <w:rPr/>
        <w:t> 份</w:t>
      </w:r>
      <w:r>
        <w:rPr>
          <w:spacing w:val="-58"/>
        </w:rPr>
        <w:t> </w:t>
      </w:r>
      <w:r>
        <w:rPr/>
        <w:t>2006</w:t>
      </w:r>
      <w:r>
        <w:rPr>
          <w:spacing w:val="-58"/>
        </w:rPr>
        <w:t> </w:t>
      </w:r>
      <w:r>
        <w:rPr>
          <w:spacing w:val="-18"/>
        </w:rPr>
        <w:t>年度监事会工作报告》、《荣信股份</w:t>
      </w:r>
      <w:r>
        <w:rPr>
          <w:spacing w:val="-58"/>
        </w:rPr>
        <w:t> </w:t>
      </w:r>
      <w:r>
        <w:rPr/>
        <w:t>2006</w:t>
      </w:r>
      <w:r>
        <w:rPr>
          <w:spacing w:val="-58"/>
        </w:rPr>
        <w:t> </w:t>
      </w:r>
      <w:r>
        <w:rPr>
          <w:spacing w:val="-22"/>
        </w:rPr>
        <w:t>年度财务报告》、《荣信股份</w:t>
      </w:r>
      <w:r>
        <w:rPr>
          <w:spacing w:val="-58"/>
        </w:rPr>
        <w:t> </w:t>
      </w:r>
      <w:r>
        <w:rPr/>
        <w:t>2006</w:t>
      </w:r>
      <w:r>
        <w:rPr>
          <w:spacing w:val="-58"/>
        </w:rPr>
        <w:t> </w:t>
      </w:r>
      <w:r>
        <w:rPr/>
        <w:t>年度财务决</w:t>
      </w:r>
    </w:p>
    <w:p>
      <w:pPr>
        <w:pStyle w:val="BodyText"/>
        <w:spacing w:line="386" w:lineRule="auto" w:before="35"/>
        <w:ind w:left="634" w:right="214" w:hanging="480"/>
        <w:jc w:val="left"/>
      </w:pPr>
      <w:r>
        <w:rPr>
          <w:spacing w:val="-30"/>
        </w:rPr>
        <w:t>算》、《荣信股份</w:t>
      </w:r>
      <w:r>
        <w:rPr>
          <w:spacing w:val="-60"/>
        </w:rPr>
        <w:t> </w:t>
      </w:r>
      <w:r>
        <w:rPr/>
        <w:t>2006</w:t>
      </w:r>
      <w:r>
        <w:rPr>
          <w:spacing w:val="-60"/>
        </w:rPr>
        <w:t> </w:t>
      </w:r>
      <w:r>
        <w:rPr>
          <w:spacing w:val="-8"/>
        </w:rPr>
        <w:t>年度利润分配预案》、《关于续聘会计师事务所的议案》五个议案；</w:t>
      </w:r>
      <w:r>
        <w:rPr/>
        <w:t> </w:t>
      </w:r>
      <w:r>
        <w:rPr>
          <w:spacing w:val="17"/>
        </w:rPr>
        <w:t>2、2007年4月</w:t>
      </w:r>
      <w:r>
        <w:rPr>
          <w:spacing w:val="-48"/>
        </w:rPr>
        <w:t> </w:t>
      </w:r>
      <w:r>
        <w:rPr/>
        <w:t>13</w:t>
      </w:r>
      <w:r>
        <w:rPr>
          <w:spacing w:val="-48"/>
        </w:rPr>
        <w:t> </w:t>
      </w:r>
      <w:r>
        <w:rPr>
          <w:spacing w:val="-3"/>
        </w:rPr>
        <w:t>日，公司召开第二届监事会第七次会议，会议审议并通过了《2007</w:t>
      </w:r>
      <w:r>
        <w:rPr>
          <w:spacing w:val="-48"/>
        </w:rPr>
        <w:t> </w:t>
      </w:r>
      <w:r>
        <w:rPr/>
        <w:t>年</w:t>
      </w:r>
    </w:p>
    <w:p>
      <w:pPr>
        <w:pStyle w:val="BodyText"/>
        <w:spacing w:line="240" w:lineRule="auto" w:before="7"/>
        <w:ind w:left="154" w:right="214"/>
        <w:jc w:val="left"/>
      </w:pPr>
      <w:r>
        <w:rPr/>
        <w:t>第一季度报告</w:t>
      </w:r>
      <w:r>
        <w:rPr>
          <w:spacing w:val="-120"/>
        </w:rPr>
        <w:t>》、</w:t>
      </w:r>
      <w:r>
        <w:rPr/>
        <w:t>《提名公司第三届监事会非职工代表监事候选人》的议案；</w:t>
      </w:r>
    </w:p>
    <w:p>
      <w:pPr>
        <w:pStyle w:val="BodyText"/>
        <w:spacing w:line="357" w:lineRule="auto" w:before="192"/>
        <w:ind w:left="154" w:right="213" w:firstLine="480"/>
        <w:jc w:val="left"/>
      </w:pPr>
      <w:r>
        <w:rPr>
          <w:spacing w:val="19"/>
        </w:rPr>
        <w:t>3、2007年5月</w:t>
      </w:r>
      <w:r>
        <w:rPr>
          <w:spacing w:val="-67"/>
        </w:rPr>
        <w:t> </w:t>
      </w:r>
      <w:r>
        <w:rPr/>
        <w:t>12</w:t>
      </w:r>
      <w:r>
        <w:rPr>
          <w:spacing w:val="-67"/>
        </w:rPr>
        <w:t> </w:t>
      </w:r>
      <w:r>
        <w:rPr/>
        <w:t>日，公司召开第三届监事会第一次会议，会议审议并通过了《关于选</w:t>
      </w:r>
      <w:r>
        <w:rPr/>
        <w:t> </w:t>
      </w:r>
      <w:r>
        <w:rPr>
          <w:spacing w:val="-9"/>
        </w:rPr>
        <w:t>举第三届监事会主席的议案》。</w:t>
      </w:r>
    </w:p>
    <w:p>
      <w:pPr>
        <w:pStyle w:val="BodyText"/>
        <w:spacing w:line="357" w:lineRule="auto" w:before="74"/>
        <w:ind w:left="154" w:right="215" w:firstLine="480"/>
        <w:jc w:val="left"/>
      </w:pPr>
      <w:r>
        <w:rPr>
          <w:spacing w:val="31"/>
        </w:rPr>
        <w:t>4、2007年8月6</w:t>
      </w:r>
      <w:r>
        <w:rPr>
          <w:spacing w:val="-35"/>
        </w:rPr>
        <w:t> </w:t>
      </w:r>
      <w:r>
        <w:rPr/>
        <w:t>日，公司召开第三届监事会第二次会议，会议审议并通过了《荣信电</w:t>
      </w:r>
      <w:r>
        <w:rPr/>
        <w:t> 力电子股份有限公司</w:t>
      </w:r>
      <w:r>
        <w:rPr>
          <w:spacing w:val="-60"/>
        </w:rPr>
        <w:t> </w:t>
      </w:r>
      <w:r>
        <w:rPr/>
        <w:t>2007</w:t>
      </w:r>
      <w:r>
        <w:rPr>
          <w:spacing w:val="-60"/>
        </w:rPr>
        <w:t> </w:t>
      </w:r>
      <w:r>
        <w:rPr/>
        <w:t>年半年度报告》及《2007</w:t>
      </w:r>
      <w:r>
        <w:rPr>
          <w:spacing w:val="-60"/>
        </w:rPr>
        <w:t> </w:t>
      </w:r>
      <w:r>
        <w:rPr/>
        <w:t>年半年度报告摘要》的议案。</w:t>
      </w:r>
    </w:p>
    <w:p>
      <w:pPr>
        <w:pStyle w:val="BodyText"/>
        <w:spacing w:line="240" w:lineRule="auto" w:before="76"/>
        <w:ind w:left="634" w:right="100"/>
        <w:jc w:val="left"/>
      </w:pPr>
      <w:r>
        <w:rPr/>
        <w:t>5、2007</w:t>
      </w:r>
      <w:r>
        <w:rPr>
          <w:spacing w:val="-41"/>
        </w:rPr>
        <w:t> </w:t>
      </w:r>
      <w:r>
        <w:rPr/>
        <w:t>年</w:t>
      </w:r>
      <w:r>
        <w:rPr>
          <w:spacing w:val="-41"/>
        </w:rPr>
        <w:t> </w:t>
      </w:r>
      <w:r>
        <w:rPr/>
        <w:t>10</w:t>
      </w:r>
      <w:r>
        <w:rPr>
          <w:spacing w:val="-41"/>
        </w:rPr>
        <w:t> </w:t>
      </w:r>
      <w:r>
        <w:rPr/>
        <w:t>月</w:t>
      </w:r>
      <w:r>
        <w:rPr>
          <w:spacing w:val="-41"/>
        </w:rPr>
        <w:t> </w:t>
      </w:r>
      <w:r>
        <w:rPr/>
        <w:t>15</w:t>
      </w:r>
      <w:r>
        <w:rPr>
          <w:spacing w:val="-41"/>
        </w:rPr>
        <w:t> </w:t>
      </w:r>
      <w:r>
        <w:rPr/>
        <w:t>日，公司召开第三届监事会第三次会议，会议审议并通过了《荣信</w:t>
      </w:r>
    </w:p>
    <w:p>
      <w:pPr>
        <w:pStyle w:val="BodyText"/>
        <w:spacing w:line="240" w:lineRule="auto" w:before="152"/>
        <w:ind w:left="154" w:right="214"/>
        <w:jc w:val="left"/>
      </w:pPr>
      <w:r>
        <w:rPr/>
        <w:t>电力电子股份有限公司</w:t>
      </w:r>
      <w:r>
        <w:rPr>
          <w:spacing w:val="-60"/>
        </w:rPr>
        <w:t> </w:t>
      </w:r>
      <w:r>
        <w:rPr/>
        <w:t>2007</w:t>
      </w:r>
      <w:r>
        <w:rPr>
          <w:spacing w:val="-60"/>
        </w:rPr>
        <w:t> </w:t>
      </w:r>
      <w:r>
        <w:rPr/>
        <w:t>年第三季度报告》的议案。</w:t>
      </w:r>
    </w:p>
    <w:p>
      <w:pPr>
        <w:pStyle w:val="BodyText"/>
        <w:spacing w:line="357" w:lineRule="auto" w:before="192"/>
        <w:ind w:left="154" w:right="215" w:firstLine="480"/>
        <w:jc w:val="left"/>
      </w:pPr>
      <w:r>
        <w:rPr/>
        <w:t>6、2007</w:t>
      </w:r>
      <w:r>
        <w:rPr>
          <w:spacing w:val="-41"/>
        </w:rPr>
        <w:t> </w:t>
      </w:r>
      <w:r>
        <w:rPr/>
        <w:t>年</w:t>
      </w:r>
      <w:r>
        <w:rPr>
          <w:spacing w:val="-41"/>
        </w:rPr>
        <w:t> </w:t>
      </w:r>
      <w:r>
        <w:rPr/>
        <w:t>11</w:t>
      </w:r>
      <w:r>
        <w:rPr>
          <w:spacing w:val="-41"/>
        </w:rPr>
        <w:t> </w:t>
      </w:r>
      <w:r>
        <w:rPr/>
        <w:t>月</w:t>
      </w:r>
      <w:r>
        <w:rPr>
          <w:spacing w:val="-41"/>
        </w:rPr>
        <w:t> </w:t>
      </w:r>
      <w:r>
        <w:rPr/>
        <w:t>12</w:t>
      </w:r>
      <w:r>
        <w:rPr>
          <w:spacing w:val="-41"/>
        </w:rPr>
        <w:t> </w:t>
      </w:r>
      <w:r>
        <w:rPr/>
        <w:t>日，公司召开第三届监事会第四次会议，会议审议并通过了《关于</w:t>
      </w:r>
      <w:r>
        <w:rPr/>
        <w:t> </w:t>
      </w:r>
      <w:r>
        <w:rPr>
          <w:spacing w:val="-6"/>
        </w:rPr>
        <w:t>加强上市公司治理专项活动的整改报告的议案》。</w:t>
      </w:r>
    </w:p>
    <w:p>
      <w:pPr>
        <w:spacing w:line="240" w:lineRule="auto" w:before="2"/>
        <w:rPr>
          <w:rFonts w:ascii="宋体" w:hAnsi="宋体" w:cs="宋体" w:eastAsia="宋体" w:hint="default"/>
          <w:sz w:val="28"/>
          <w:szCs w:val="28"/>
        </w:rPr>
      </w:pPr>
    </w:p>
    <w:p>
      <w:pPr>
        <w:pStyle w:val="Heading3"/>
        <w:spacing w:line="240" w:lineRule="auto"/>
        <w:ind w:left="192" w:right="214"/>
        <w:jc w:val="left"/>
      </w:pPr>
      <w:bookmarkStart w:name="二、监事会对公司2007年度有关事项发表的独立意见 " w:id="15"/>
      <w:bookmarkEnd w:id="15"/>
      <w:r>
        <w:rPr/>
      </w:r>
      <w:r>
        <w:rPr/>
        <w:t>二、监事会对公司</w:t>
      </w:r>
      <w:r>
        <w:rPr>
          <w:spacing w:val="-75"/>
        </w:rPr>
        <w:t> </w:t>
      </w:r>
      <w:r>
        <w:rPr/>
        <w:t>2007</w:t>
      </w:r>
      <w:r>
        <w:rPr>
          <w:spacing w:val="-75"/>
        </w:rPr>
        <w:t> </w:t>
      </w:r>
      <w:r>
        <w:rPr/>
        <w:t>年度有关事项发表的独立意见</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86" w:lineRule="auto"/>
        <w:ind w:left="634" w:right="214"/>
        <w:jc w:val="left"/>
      </w:pPr>
      <w:r>
        <w:rPr/>
        <w:t>1、公司依法运作情况 </w:t>
      </w:r>
      <w:r>
        <w:rPr>
          <w:spacing w:val="-6"/>
        </w:rPr>
        <w:t>监事会认真履行《公司法》、《公司章程》等相关法律法规赋予的职权，积极参加股东大</w:t>
      </w:r>
    </w:p>
    <w:p>
      <w:pPr>
        <w:pStyle w:val="BodyText"/>
        <w:spacing w:line="240" w:lineRule="auto" w:before="6"/>
        <w:ind w:left="154" w:right="100"/>
        <w:jc w:val="left"/>
      </w:pPr>
      <w:r>
        <w:rPr/>
        <w:t>会，列席董事会会议，对公司</w:t>
      </w:r>
      <w:r>
        <w:rPr>
          <w:spacing w:val="-60"/>
        </w:rPr>
        <w:t> </w:t>
      </w:r>
      <w:r>
        <w:rPr/>
        <w:t>2007</w:t>
      </w:r>
      <w:r>
        <w:rPr>
          <w:spacing w:val="-60"/>
        </w:rPr>
        <w:t> </w:t>
      </w:r>
      <w:r>
        <w:rPr/>
        <w:t>年依法运作情况进行了监督，认为：公司决策程序合法，</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0"/>
        <w:jc w:val="left"/>
      </w:pPr>
      <w:r>
        <w:rPr/>
        <w:t>董事会运作规范、决策合理，认真执行股东大会的各项决议，忠实履行了诚信义务；公司董</w:t>
      </w:r>
      <w:r>
        <w:rPr>
          <w:spacing w:val="-83"/>
        </w:rPr>
        <w:t> </w:t>
      </w:r>
      <w:r>
        <w:rPr>
          <w:spacing w:val="-83"/>
        </w:rPr>
      </w:r>
      <w:r>
        <w:rPr/>
        <w:t>事、高级管理人员认真执行公司职务，无违反法律法规、公司章程或损害公司利益的行为</w:t>
      </w:r>
    </w:p>
    <w:p>
      <w:pPr>
        <w:pStyle w:val="BodyText"/>
        <w:spacing w:line="240" w:lineRule="auto" w:before="74"/>
        <w:ind w:left="634" w:right="0"/>
        <w:jc w:val="left"/>
      </w:pPr>
      <w:r>
        <w:rPr/>
        <w:t>2、检查公司财务的情况</w:t>
      </w:r>
    </w:p>
    <w:p>
      <w:pPr>
        <w:pStyle w:val="BodyText"/>
        <w:spacing w:line="357" w:lineRule="auto" w:before="193"/>
        <w:ind w:left="154" w:right="148" w:firstLine="480"/>
        <w:jc w:val="both"/>
      </w:pPr>
      <w:r>
        <w:rPr>
          <w:spacing w:val="-4"/>
        </w:rPr>
        <w:t>报告期内，监事会对 </w:t>
      </w:r>
      <w:r>
        <w:rPr/>
        <w:t>2007</w:t>
      </w:r>
      <w:r>
        <w:rPr>
          <w:spacing w:val="-86"/>
        </w:rPr>
        <w:t> </w:t>
      </w:r>
      <w:r>
        <w:rPr>
          <w:spacing w:val="-3"/>
        </w:rPr>
        <w:t>年度公司的财务状况、财务管理等进行了认真细致的监督、检</w:t>
      </w:r>
      <w:r>
        <w:rPr/>
        <w:t> 查和审核，认为：公司财务制度健全、内控制度较完善，财务运作规范、财务状况良好，没</w:t>
      </w:r>
      <w:r>
        <w:rPr>
          <w:spacing w:val="-83"/>
        </w:rPr>
        <w:t> </w:t>
      </w:r>
      <w:r>
        <w:rPr>
          <w:spacing w:val="-83"/>
        </w:rPr>
      </w:r>
      <w:r>
        <w:rPr/>
        <w:t>有发生公司资产被非法侵占和资产流失情况，财务报告真实、客观和公正地反映了公司</w:t>
      </w:r>
      <w:r>
        <w:rPr>
          <w:spacing w:val="-79"/>
        </w:rPr>
        <w:t> </w:t>
      </w:r>
      <w:r>
        <w:rPr/>
        <w:t>2007</w:t>
      </w:r>
      <w:r>
        <w:rPr/>
        <w:t> 年度的财务状况和经营成果。</w:t>
      </w:r>
    </w:p>
    <w:p>
      <w:pPr>
        <w:pStyle w:val="BodyText"/>
        <w:spacing w:line="240" w:lineRule="auto" w:before="74"/>
        <w:ind w:left="634" w:right="0"/>
        <w:jc w:val="left"/>
      </w:pPr>
      <w:r>
        <w:rPr/>
        <w:t>3、募集资金使用情况</w:t>
      </w:r>
    </w:p>
    <w:p>
      <w:pPr>
        <w:pStyle w:val="BodyText"/>
        <w:spacing w:line="357" w:lineRule="auto" w:before="193"/>
        <w:ind w:right="135" w:firstLine="480"/>
        <w:jc w:val="left"/>
      </w:pPr>
      <w:r>
        <w:rPr/>
        <w:t>2007</w:t>
      </w:r>
      <w:r>
        <w:rPr>
          <w:spacing w:val="1"/>
        </w:rPr>
        <w:t> </w:t>
      </w:r>
      <w:r>
        <w:rPr/>
        <w:t>年，公司进一步修订了《募集资金使用管理办法</w:t>
      </w:r>
      <w:r>
        <w:rPr>
          <w:spacing w:val="-120"/>
        </w:rPr>
        <w:t>》</w:t>
      </w:r>
      <w:r>
        <w:rPr>
          <w:spacing w:val="1"/>
        </w:rPr>
        <w:t>，设立了募集资金专用帐户，并</w:t>
      </w:r>
      <w:r>
        <w:rPr>
          <w:spacing w:val="1"/>
        </w:rPr>
        <w:t> </w:t>
      </w:r>
      <w:r>
        <w:rPr/>
        <w:t>签订</w:t>
      </w:r>
      <w:r>
        <w:rPr>
          <w:spacing w:val="-21"/>
        </w:rPr>
        <w:t>了</w:t>
      </w:r>
      <w:r>
        <w:rPr/>
        <w:t>《募集资金三方监管协议</w:t>
      </w:r>
      <w:r>
        <w:rPr>
          <w:spacing w:val="-120"/>
        </w:rPr>
        <w:t>》</w:t>
      </w:r>
      <w:r>
        <w:rPr>
          <w:spacing w:val="-21"/>
        </w:rPr>
        <w:t>，</w:t>
      </w:r>
      <w:r>
        <w:rPr/>
        <w:t>以加强募集资金的管理和使用</w:t>
      </w:r>
      <w:r>
        <w:rPr>
          <w:spacing w:val="-21"/>
        </w:rPr>
        <w:t>。</w:t>
      </w:r>
      <w:r>
        <w:rPr/>
        <w:t>报告期内</w:t>
      </w:r>
      <w:r>
        <w:rPr>
          <w:spacing w:val="-21"/>
        </w:rPr>
        <w:t>，</w:t>
      </w:r>
      <w:r>
        <w:rPr/>
        <w:t>公司严格按照</w:t>
      </w:r>
    </w:p>
    <w:p>
      <w:pPr>
        <w:pStyle w:val="BodyText"/>
        <w:spacing w:line="357" w:lineRule="auto" w:before="35"/>
        <w:ind w:right="0"/>
        <w:jc w:val="left"/>
      </w:pPr>
      <w:r>
        <w:rPr/>
        <w:t>《募集资金使用管理办法》对募集资金进行使用和管理，公司募集资金实际投入项目与承诺</w:t>
      </w:r>
      <w:r>
        <w:rPr>
          <w:spacing w:val="-83"/>
        </w:rPr>
        <w:t> </w:t>
      </w:r>
      <w:r>
        <w:rPr>
          <w:spacing w:val="-83"/>
        </w:rPr>
      </w:r>
      <w:r>
        <w:rPr/>
        <w:t>投入项目一致，没有变更投向和用途，使用效果良好。</w:t>
      </w:r>
    </w:p>
    <w:p>
      <w:pPr>
        <w:pStyle w:val="BodyText"/>
        <w:spacing w:line="240" w:lineRule="auto" w:before="74"/>
        <w:ind w:left="633" w:right="0"/>
        <w:jc w:val="left"/>
      </w:pPr>
      <w:r>
        <w:rPr/>
        <w:t>4、公司收购、出售资产情况</w:t>
      </w:r>
    </w:p>
    <w:p>
      <w:pPr>
        <w:pStyle w:val="BodyText"/>
        <w:spacing w:line="386" w:lineRule="auto" w:before="193"/>
        <w:ind w:left="633" w:right="4371"/>
        <w:jc w:val="left"/>
      </w:pPr>
      <w:r>
        <w:rPr/>
        <w:t>公司</w:t>
      </w:r>
      <w:r>
        <w:rPr>
          <w:spacing w:val="-60"/>
        </w:rPr>
        <w:t> </w:t>
      </w:r>
      <w:r>
        <w:rPr/>
        <w:t>2007</w:t>
      </w:r>
      <w:r>
        <w:rPr>
          <w:spacing w:val="-60"/>
        </w:rPr>
        <w:t> </w:t>
      </w:r>
      <w:r>
        <w:rPr/>
        <w:t>年度无重大收购和出售资产的情况。</w:t>
      </w:r>
      <w:r>
        <w:rPr/>
        <w:t> 5、关联交易及关联方占用资金的情况</w:t>
      </w:r>
    </w:p>
    <w:p>
      <w:pPr>
        <w:pStyle w:val="BodyText"/>
        <w:spacing w:line="357" w:lineRule="auto" w:before="47"/>
        <w:ind w:right="0" w:firstLine="480"/>
        <w:jc w:val="left"/>
      </w:pPr>
      <w:r>
        <w:rPr/>
        <w:t>报告期，公司未发生与日常经营相关的关联交易、资产收购和出售发生的关联交易，不</w:t>
      </w:r>
      <w:r>
        <w:rPr>
          <w:spacing w:val="1"/>
        </w:rPr>
        <w:t> </w:t>
      </w:r>
      <w:r>
        <w:rPr/>
        <w:t>存在与关联方在非经营性债权债务往来或担保事项。</w:t>
      </w:r>
    </w:p>
    <w:p>
      <w:pPr>
        <w:pStyle w:val="BodyText"/>
        <w:spacing w:line="240" w:lineRule="auto" w:before="74"/>
        <w:ind w:left="633" w:right="0"/>
        <w:jc w:val="left"/>
      </w:pPr>
      <w:r>
        <w:rPr/>
        <w:t>报告期内，公司不存在控股股东及其它关联方非经营性占用公司资金的情况。</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before="137"/>
        <w:ind w:left="2" w:right="0" w:firstLine="0"/>
        <w:jc w:val="center"/>
        <w:rPr>
          <w:rFonts w:ascii="黑体" w:hAnsi="黑体" w:cs="黑体" w:eastAsia="黑体" w:hint="default"/>
          <w:sz w:val="32"/>
          <w:szCs w:val="32"/>
        </w:rPr>
      </w:pPr>
      <w:bookmarkStart w:name="_bookmark8" w:id="16"/>
      <w:bookmarkEnd w:id="16"/>
      <w:r>
        <w:rPr/>
      </w:r>
      <w:r>
        <w:rPr>
          <w:rFonts w:ascii="黑体" w:hAnsi="黑体" w:cs="黑体" w:eastAsia="黑体" w:hint="default"/>
          <w:sz w:val="32"/>
          <w:szCs w:val="32"/>
        </w:rPr>
        <w:t>第九节</w:t>
      </w:r>
      <w:r>
        <w:rPr>
          <w:rFonts w:ascii="黑体" w:hAnsi="黑体" w:cs="黑体" w:eastAsia="黑体" w:hint="default"/>
          <w:spacing w:val="-5"/>
          <w:sz w:val="32"/>
          <w:szCs w:val="32"/>
        </w:rPr>
        <w:t> </w:t>
      </w:r>
      <w:r>
        <w:rPr>
          <w:rFonts w:ascii="黑体" w:hAnsi="黑体" w:cs="黑体" w:eastAsia="黑体" w:hint="default"/>
          <w:sz w:val="32"/>
          <w:szCs w:val="32"/>
        </w:rPr>
        <w:t>重要事项</w:t>
      </w:r>
    </w:p>
    <w:p>
      <w:pPr>
        <w:spacing w:line="240" w:lineRule="auto" w:before="8"/>
        <w:rPr>
          <w:rFonts w:ascii="黑体" w:hAnsi="黑体" w:cs="黑体" w:eastAsia="黑体" w:hint="default"/>
          <w:sz w:val="20"/>
          <w:szCs w:val="20"/>
        </w:rPr>
      </w:pPr>
    </w:p>
    <w:p>
      <w:pPr>
        <w:pStyle w:val="Heading3"/>
        <w:spacing w:line="240" w:lineRule="auto" w:before="13"/>
        <w:ind w:left="691" w:right="0"/>
        <w:jc w:val="left"/>
      </w:pPr>
      <w:r>
        <w:rPr/>
        <w:t>一、重大诉讼、仲裁事项</w:t>
      </w:r>
    </w:p>
    <w:p>
      <w:pPr>
        <w:spacing w:line="240" w:lineRule="auto" w:before="6"/>
        <w:rPr>
          <w:rFonts w:ascii="黑体" w:hAnsi="黑体" w:cs="黑体" w:eastAsia="黑体" w:hint="default"/>
          <w:sz w:val="35"/>
          <w:szCs w:val="35"/>
        </w:rPr>
      </w:pPr>
    </w:p>
    <w:p>
      <w:pPr>
        <w:pStyle w:val="BodyText"/>
        <w:spacing w:line="240" w:lineRule="auto"/>
        <w:ind w:left="634" w:right="0"/>
        <w:jc w:val="left"/>
      </w:pPr>
      <w:r>
        <w:rPr/>
        <w:t>报告期内，公司无重大诉讼、仲裁事项。</w:t>
      </w:r>
    </w:p>
    <w:p>
      <w:pPr>
        <w:spacing w:line="240" w:lineRule="auto" w:before="0"/>
        <w:rPr>
          <w:rFonts w:ascii="宋体" w:hAnsi="宋体" w:cs="宋体" w:eastAsia="宋体" w:hint="default"/>
          <w:sz w:val="24"/>
          <w:szCs w:val="24"/>
        </w:rPr>
      </w:pPr>
    </w:p>
    <w:p>
      <w:pPr>
        <w:pStyle w:val="Heading3"/>
        <w:spacing w:line="240" w:lineRule="auto" w:before="172"/>
        <w:ind w:left="192" w:right="0"/>
        <w:jc w:val="left"/>
      </w:pPr>
      <w:bookmarkStart w:name="二、投资金融企业和拟上市公司、证券投资情况" w:id="17"/>
      <w:bookmarkEnd w:id="17"/>
      <w:r>
        <w:rPr/>
      </w:r>
      <w:r>
        <w:rPr/>
        <w:t>二、投资金融企业和拟上市公司、证券投资情况</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240" w:lineRule="auto"/>
        <w:ind w:left="866" w:right="0"/>
        <w:jc w:val="left"/>
      </w:pPr>
      <w:r>
        <w:rPr/>
        <w:t>报告期内，公司无证券投资情况，无持有非上市金融企业和拟上市公司股权情况。</w:t>
      </w:r>
    </w:p>
    <w:p>
      <w:pPr>
        <w:spacing w:line="240" w:lineRule="auto" w:before="0"/>
        <w:rPr>
          <w:rFonts w:ascii="宋体" w:hAnsi="宋体" w:cs="宋体" w:eastAsia="宋体" w:hint="default"/>
          <w:sz w:val="24"/>
          <w:szCs w:val="24"/>
        </w:rPr>
      </w:pPr>
    </w:p>
    <w:p>
      <w:pPr>
        <w:pStyle w:val="Heading3"/>
        <w:spacing w:line="240" w:lineRule="auto" w:before="171"/>
        <w:ind w:left="192" w:right="0"/>
        <w:jc w:val="left"/>
      </w:pPr>
      <w:bookmarkStart w:name="三、报告期内收购及出售资产、吸收合并事项" w:id="18"/>
      <w:bookmarkEnd w:id="18"/>
      <w:r>
        <w:rPr/>
      </w:r>
      <w:r>
        <w:rPr/>
        <w:t>三、报告期内收购及出售资产、吸收合并事项</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57" w:lineRule="auto"/>
        <w:ind w:right="0" w:firstLine="480"/>
        <w:jc w:val="left"/>
      </w:pPr>
      <w:r>
        <w:rPr/>
        <w:t>公司未有在报告期内发生及以前期间发生但持续到报告期的重大资产收购、出售及企业</w:t>
      </w:r>
      <w:r>
        <w:rPr>
          <w:spacing w:val="1"/>
        </w:rPr>
        <w:t> </w:t>
      </w:r>
      <w:r>
        <w:rPr/>
        <w:t>合并事项。</w:t>
      </w:r>
    </w:p>
    <w:p>
      <w:pPr>
        <w:spacing w:line="240" w:lineRule="auto" w:before="1"/>
        <w:rPr>
          <w:rFonts w:ascii="宋体" w:hAnsi="宋体" w:cs="宋体" w:eastAsia="宋体" w:hint="default"/>
          <w:sz w:val="28"/>
          <w:szCs w:val="28"/>
        </w:rPr>
      </w:pPr>
    </w:p>
    <w:p>
      <w:pPr>
        <w:pStyle w:val="Heading3"/>
        <w:spacing w:line="240" w:lineRule="auto"/>
        <w:ind w:left="192" w:right="0"/>
        <w:jc w:val="left"/>
      </w:pPr>
      <w:bookmarkStart w:name="四、重大关联交易" w:id="19"/>
      <w:bookmarkEnd w:id="19"/>
      <w:r>
        <w:rPr/>
      </w:r>
      <w:r>
        <w:rPr/>
        <w:t>四、重大关联交易</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57" w:lineRule="auto"/>
        <w:ind w:left="154" w:right="170" w:firstLine="480"/>
        <w:jc w:val="left"/>
      </w:pPr>
      <w:r>
        <w:rPr/>
        <w:t>报告期，公司未发生与日常经营相关的关联交易、资产收购和出售发生的关联交易，不 存在与关联方在非经营性债权债务往来或担保事项。</w:t>
      </w:r>
    </w:p>
    <w:p>
      <w:pPr>
        <w:spacing w:line="240" w:lineRule="auto" w:before="2"/>
        <w:rPr>
          <w:rFonts w:ascii="宋体" w:hAnsi="宋体" w:cs="宋体" w:eastAsia="宋体" w:hint="default"/>
          <w:sz w:val="28"/>
          <w:szCs w:val="28"/>
        </w:rPr>
      </w:pPr>
    </w:p>
    <w:p>
      <w:pPr>
        <w:pStyle w:val="Heading3"/>
        <w:spacing w:line="240" w:lineRule="auto"/>
        <w:ind w:left="192" w:right="0"/>
        <w:jc w:val="left"/>
      </w:pPr>
      <w:bookmarkStart w:name="五、报告期内重大合同及其履行情况" w:id="20"/>
      <w:bookmarkEnd w:id="20"/>
      <w:r>
        <w:rPr/>
      </w:r>
      <w:r>
        <w:rPr/>
        <w:t>五、报告期内重大合同及其履行情况</w:t>
      </w:r>
    </w:p>
    <w:p>
      <w:pPr>
        <w:spacing w:line="240" w:lineRule="auto" w:before="0"/>
        <w:rPr>
          <w:rFonts w:ascii="黑体" w:hAnsi="黑体" w:cs="黑体" w:eastAsia="黑体" w:hint="default"/>
          <w:sz w:val="28"/>
          <w:szCs w:val="28"/>
        </w:rPr>
      </w:pPr>
    </w:p>
    <w:p>
      <w:pPr>
        <w:spacing w:line="240" w:lineRule="auto" w:before="7"/>
        <w:rPr>
          <w:rFonts w:ascii="黑体" w:hAnsi="黑体" w:cs="黑体" w:eastAsia="黑体" w:hint="default"/>
          <w:sz w:val="36"/>
          <w:szCs w:val="36"/>
        </w:rPr>
      </w:pPr>
    </w:p>
    <w:p>
      <w:pPr>
        <w:pStyle w:val="BodyText"/>
        <w:spacing w:line="357" w:lineRule="auto"/>
        <w:ind w:left="154" w:right="0" w:firstLine="470"/>
        <w:jc w:val="left"/>
      </w:pPr>
      <w:r>
        <w:rPr/>
        <w:t>（一）报告期内，公司未发生且没有以前期间发生但延续到报告期的重大交易、托管、</w:t>
      </w:r>
      <w:r>
        <w:rPr>
          <w:spacing w:val="1"/>
        </w:rPr>
        <w:t> </w:t>
      </w:r>
      <w:r>
        <w:rPr/>
        <w:t>承包、租赁其他公司资产或其他公司托管、承包、租赁公司资产等事项。</w:t>
      </w:r>
    </w:p>
    <w:p>
      <w:pPr>
        <w:spacing w:line="240" w:lineRule="auto" w:before="2"/>
        <w:rPr>
          <w:rFonts w:ascii="宋体" w:hAnsi="宋体" w:cs="宋体" w:eastAsia="宋体" w:hint="default"/>
          <w:sz w:val="24"/>
          <w:szCs w:val="24"/>
        </w:rPr>
      </w:pPr>
    </w:p>
    <w:p>
      <w:pPr>
        <w:pStyle w:val="BodyText"/>
        <w:spacing w:line="240" w:lineRule="auto"/>
        <w:ind w:left="624" w:right="0"/>
        <w:jc w:val="left"/>
      </w:pPr>
      <w:r>
        <w:rPr/>
        <w:t>（二）报告期内对外担保情况</w:t>
      </w:r>
    </w:p>
    <w:p>
      <w:pPr>
        <w:spacing w:line="240" w:lineRule="auto" w:before="1"/>
        <w:rPr>
          <w:rFonts w:ascii="宋体" w:hAnsi="宋体" w:cs="宋体" w:eastAsia="宋体" w:hint="default"/>
          <w:sz w:val="33"/>
          <w:szCs w:val="33"/>
        </w:rPr>
      </w:pPr>
    </w:p>
    <w:p>
      <w:pPr>
        <w:pStyle w:val="BodyText"/>
        <w:spacing w:line="240" w:lineRule="auto"/>
        <w:ind w:left="634" w:right="0"/>
        <w:jc w:val="left"/>
      </w:pPr>
      <w:r>
        <w:rPr/>
        <w:t>1、报告期内，公司未发生且没有以前期间发生但延续到报告期的重大担保的事项。</w:t>
      </w:r>
    </w:p>
    <w:p>
      <w:pPr>
        <w:pStyle w:val="BodyText"/>
        <w:spacing w:line="357" w:lineRule="auto" w:before="152"/>
        <w:ind w:left="634" w:right="410"/>
        <w:jc w:val="left"/>
      </w:pPr>
      <w:r>
        <w:rPr/>
        <w:t>2、公司独立董事对关联方资金往来和对外担保情况的专项说明和独立意见。 公司独立董事郝智明先生、梅志明先生、贾莉女士发表了如下专项说明和独立意见：</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4" w:right="149" w:firstLine="480"/>
        <w:jc w:val="both"/>
      </w:pPr>
      <w:r>
        <w:rPr/>
        <w:t>根据中国证监会《关于规范上市公司与关联方资金往来及上市公司对外担保若干问题的 通知》(证监发[2003]56</w:t>
      </w:r>
      <w:r>
        <w:rPr>
          <w:spacing w:val="-77"/>
        </w:rPr>
        <w:t> </w:t>
      </w:r>
      <w:r>
        <w:rPr/>
        <w:t>号)和《关于规范上市公司对外担保行为的通知》(证监发[2005]120</w:t>
      </w:r>
      <w:r>
        <w:rPr/>
        <w:t> </w:t>
      </w:r>
      <w:r>
        <w:rPr>
          <w:spacing w:val="-3"/>
        </w:rPr>
        <w:t>号)的规定和要求，同时根据中国证监会《关于在上市公司建立独立董事制度的指导意见》、</w:t>
      </w:r>
      <w:r>
        <w:rPr>
          <w:spacing w:val="-117"/>
        </w:rPr>
        <w:t> </w:t>
      </w:r>
      <w:r>
        <w:rPr>
          <w:spacing w:val="-117"/>
        </w:rPr>
      </w:r>
      <w:r>
        <w:rPr>
          <w:spacing w:val="-17"/>
        </w:rPr>
        <w:t>公司《章程》、《董事会议事规则》、《独立董事工作制度》、《内部控制检查监督办法》等有关</w:t>
      </w:r>
      <w:r>
        <w:rPr>
          <w:spacing w:val="-109"/>
        </w:rPr>
        <w:t> </w:t>
      </w:r>
      <w:r>
        <w:rPr>
          <w:spacing w:val="-109"/>
        </w:rPr>
      </w:r>
      <w:r>
        <w:rPr/>
        <w:t>规定赋予独立董事的职责，我们对公司报告期内对外担保、与关联方资金往来情况进行认真 的检查和落实，发表如下专项说明及独立意见：</w:t>
      </w:r>
    </w:p>
    <w:p>
      <w:pPr>
        <w:pStyle w:val="BodyText"/>
        <w:spacing w:line="357" w:lineRule="auto" w:before="35"/>
        <w:ind w:left="154" w:right="134" w:firstLine="480"/>
        <w:jc w:val="left"/>
      </w:pPr>
      <w:r>
        <w:rPr/>
        <w:t>经认真核查，我们认为：公司能够认真贯彻执行《通知》有关规定，严格控制对外担保 风险和关联方占用资金风险。截止</w:t>
      </w:r>
      <w:r>
        <w:rPr>
          <w:spacing w:val="-62"/>
        </w:rPr>
        <w:t> </w:t>
      </w:r>
      <w:r>
        <w:rPr/>
        <w:t>2007</w:t>
      </w:r>
      <w:r>
        <w:rPr>
          <w:spacing w:val="-62"/>
        </w:rPr>
        <w:t> </w:t>
      </w:r>
      <w:r>
        <w:rPr/>
        <w:t>年</w:t>
      </w:r>
      <w:r>
        <w:rPr>
          <w:spacing w:val="-62"/>
        </w:rPr>
        <w:t> </w:t>
      </w:r>
      <w:r>
        <w:rPr/>
        <w:t>12</w:t>
      </w:r>
      <w:r>
        <w:rPr>
          <w:spacing w:val="-62"/>
        </w:rPr>
        <w:t> </w:t>
      </w:r>
      <w:r>
        <w:rPr/>
        <w:t>月</w:t>
      </w:r>
      <w:r>
        <w:rPr>
          <w:spacing w:val="-62"/>
        </w:rPr>
        <w:t> </w:t>
      </w:r>
      <w:r>
        <w:rPr/>
        <w:t>31</w:t>
      </w:r>
      <w:r>
        <w:rPr>
          <w:spacing w:val="-62"/>
        </w:rPr>
        <w:t> </w:t>
      </w:r>
      <w:r>
        <w:rPr>
          <w:spacing w:val="-4"/>
        </w:rPr>
        <w:t>日，公司累计和当期无对外担保、违规对</w:t>
      </w:r>
      <w:r>
        <w:rPr/>
        <w:t> 外担保情况，也不存在公司控股股东及其他关联方、公司占</w:t>
      </w:r>
      <w:r>
        <w:rPr>
          <w:spacing w:val="-60"/>
        </w:rPr>
        <w:t> </w:t>
      </w:r>
      <w:r>
        <w:rPr/>
        <w:t>50%以下股份的关联方占用公司</w:t>
      </w:r>
      <w:r>
        <w:rPr/>
        <w:t> 资金的情况。</w:t>
      </w:r>
    </w:p>
    <w:p>
      <w:pPr>
        <w:spacing w:line="240" w:lineRule="auto" w:before="1"/>
        <w:rPr>
          <w:rFonts w:ascii="宋体" w:hAnsi="宋体" w:cs="宋体" w:eastAsia="宋体" w:hint="default"/>
          <w:sz w:val="24"/>
          <w:szCs w:val="24"/>
        </w:rPr>
      </w:pPr>
    </w:p>
    <w:p>
      <w:pPr>
        <w:pStyle w:val="BodyText"/>
        <w:spacing w:line="357" w:lineRule="auto"/>
        <w:ind w:left="154" w:right="148" w:firstLine="470"/>
        <w:jc w:val="both"/>
      </w:pPr>
      <w:r>
        <w:rPr/>
        <w:t>（三）报告期内，公司未发生且没有以前期间发生但延续到报告期的重大委托他人进行</w:t>
      </w:r>
      <w:r>
        <w:rPr>
          <w:spacing w:val="1"/>
        </w:rPr>
        <w:t> </w:t>
      </w:r>
      <w:r>
        <w:rPr/>
        <w:t>现金资产管理的事项。</w:t>
      </w:r>
    </w:p>
    <w:p>
      <w:pPr>
        <w:spacing w:line="240" w:lineRule="auto" w:before="8"/>
        <w:rPr>
          <w:rFonts w:ascii="宋体" w:hAnsi="宋体" w:cs="宋体" w:eastAsia="宋体" w:hint="default"/>
          <w:sz w:val="23"/>
          <w:szCs w:val="23"/>
        </w:rPr>
      </w:pPr>
    </w:p>
    <w:p>
      <w:pPr>
        <w:pStyle w:val="Heading3"/>
        <w:spacing w:line="240" w:lineRule="auto"/>
        <w:ind w:right="0"/>
        <w:jc w:val="left"/>
      </w:pPr>
      <w:r>
        <w:rPr/>
        <w:t>六、公司股东在报告期或持续到报告期内的承诺事项</w:t>
      </w:r>
    </w:p>
    <w:p>
      <w:pPr>
        <w:spacing w:line="240" w:lineRule="auto" w:before="7"/>
        <w:rPr>
          <w:rFonts w:ascii="黑体" w:hAnsi="黑体" w:cs="黑体" w:eastAsia="黑体" w:hint="default"/>
          <w:sz w:val="35"/>
          <w:szCs w:val="35"/>
        </w:rPr>
      </w:pPr>
    </w:p>
    <w:p>
      <w:pPr>
        <w:pStyle w:val="BodyText"/>
        <w:spacing w:line="357" w:lineRule="auto"/>
        <w:ind w:left="154" w:right="151" w:firstLine="480"/>
        <w:jc w:val="both"/>
      </w:pPr>
      <w:r>
        <w:rPr/>
        <w:t>本公司控股股东左强、深圳市深港产学研创业投资有限公司及其一致行动人深圳市延宁 发展有限公司，</w:t>
      </w:r>
      <w:r>
        <w:rPr>
          <w:spacing w:val="-79"/>
        </w:rPr>
        <w:t> </w:t>
      </w:r>
      <w:r>
        <w:rPr/>
        <w:t>实际控制人左强先生、崔京涛女士和厉伟先生均承诺：自本公司股票上市之</w:t>
      </w:r>
      <w:r>
        <w:rPr/>
        <w:t> 日起三十六个月内，不转让或者委托他人管理其已直接和间接持有的本公司股份，也不由本 公司收购该部分股份。公司其他发行前股东均承诺：自公司股票上市之日起一年内不转让或 者委托他人管理其持有的本公司股份，也不由本公司收购该部分股份。</w:t>
      </w:r>
    </w:p>
    <w:p>
      <w:pPr>
        <w:pStyle w:val="BodyText"/>
        <w:spacing w:line="357" w:lineRule="auto" w:before="35"/>
        <w:ind w:left="154" w:right="151" w:firstLine="480"/>
        <w:jc w:val="both"/>
      </w:pPr>
      <w:r>
        <w:rPr/>
        <w:t>为避免将来可能出现与本公司的同业竞争，本公司控股股东、实际控制人出具了《避免 </w:t>
      </w:r>
      <w:r>
        <w:rPr>
          <w:spacing w:val="-5"/>
        </w:rPr>
        <w:t>同业竞争的承诺函》，承诺将不会直接或间接从事与本公司相同、相似的业务，也不在与本公</w:t>
      </w:r>
      <w:r>
        <w:rPr/>
        <w:t> 司有相同、相似业务的其他企业任职。</w:t>
      </w:r>
    </w:p>
    <w:p>
      <w:pPr>
        <w:pStyle w:val="BodyText"/>
        <w:spacing w:line="240" w:lineRule="auto" w:before="35"/>
        <w:ind w:left="634" w:right="0"/>
        <w:jc w:val="left"/>
      </w:pPr>
      <w:r>
        <w:rPr/>
        <w:t>截止到本报告期末，上述承诺事项仍在严格履行中。</w:t>
      </w:r>
    </w:p>
    <w:p>
      <w:pPr>
        <w:spacing w:line="240" w:lineRule="auto" w:before="13"/>
        <w:rPr>
          <w:rFonts w:ascii="宋体" w:hAnsi="宋体" w:cs="宋体" w:eastAsia="宋体" w:hint="default"/>
          <w:sz w:val="33"/>
          <w:szCs w:val="33"/>
        </w:rPr>
      </w:pPr>
    </w:p>
    <w:p>
      <w:pPr>
        <w:pStyle w:val="Heading3"/>
        <w:spacing w:line="240" w:lineRule="auto"/>
        <w:ind w:right="0"/>
        <w:jc w:val="left"/>
      </w:pPr>
      <w:r>
        <w:rPr/>
        <w:t>七、公司聘任、解聘会计师事务所及支付给聘任会计师事务所的报酬情况</w:t>
      </w:r>
    </w:p>
    <w:p>
      <w:pPr>
        <w:spacing w:line="240" w:lineRule="auto" w:before="8"/>
        <w:rPr>
          <w:rFonts w:ascii="黑体" w:hAnsi="黑体" w:cs="黑体" w:eastAsia="黑体" w:hint="default"/>
          <w:sz w:val="21"/>
          <w:szCs w:val="21"/>
        </w:rPr>
      </w:pPr>
    </w:p>
    <w:p>
      <w:pPr>
        <w:pStyle w:val="BodyText"/>
        <w:spacing w:line="357" w:lineRule="auto"/>
        <w:ind w:left="154" w:right="151" w:firstLine="480"/>
        <w:jc w:val="both"/>
      </w:pPr>
      <w:r>
        <w:rPr/>
        <w:t>因深圳天健信德会计师事务所有限责任公司与湖南开元会计师事务所合并，公司聘请的 会计师事务所“深圳天健信德会计师事务所有限责任公司”变更为“开元信德会计师事务所 有限公司”,经公司2008年第一次临时股东大会审议批准,公司聘请的2007年度财务审计机构 </w:t>
      </w:r>
      <w:r>
        <w:rPr>
          <w:spacing w:val="-2"/>
        </w:rPr>
        <w:t>也相应的变更为开元信德会计师事务所有限公司,支付2007年度审计费用24万元。截至本报告</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214" w:right="0"/>
        <w:jc w:val="left"/>
      </w:pPr>
      <w:r>
        <w:rPr/>
        <w:t>期末，开元信德会计师事务所有限公司已连续8年为公司提供审计服务。</w:t>
      </w:r>
    </w:p>
    <w:p>
      <w:pPr>
        <w:spacing w:line="240" w:lineRule="auto" w:before="6"/>
        <w:rPr>
          <w:rFonts w:ascii="宋体" w:hAnsi="宋体" w:cs="宋体" w:eastAsia="宋体" w:hint="default"/>
          <w:sz w:val="32"/>
          <w:szCs w:val="32"/>
        </w:rPr>
      </w:pPr>
    </w:p>
    <w:p>
      <w:pPr>
        <w:pStyle w:val="Heading3"/>
        <w:spacing w:line="357" w:lineRule="auto"/>
        <w:ind w:left="214" w:right="352" w:firstLine="560"/>
        <w:jc w:val="both"/>
      </w:pPr>
      <w:r>
        <w:rPr>
          <w:w w:val="95"/>
        </w:rPr>
        <w:t>八、报告期内，公司及其董事、监事、高级管理人员、公司股东、实际控</w:t>
      </w:r>
      <w:r>
        <w:rPr>
          <w:w w:val="99"/>
        </w:rPr>
        <w:t> </w:t>
      </w:r>
      <w:r>
        <w:rPr>
          <w:w w:val="95"/>
        </w:rPr>
        <w:t>制人，未发生：受有权机关调查、司法纪检部门采取强制措施、被移送司法机</w:t>
      </w:r>
      <w:r>
        <w:rPr>
          <w:spacing w:val="64"/>
          <w:w w:val="95"/>
        </w:rPr>
        <w:t> </w:t>
      </w:r>
      <w:r>
        <w:rPr>
          <w:spacing w:val="64"/>
          <w:w w:val="95"/>
        </w:rPr>
      </w:r>
      <w:r>
        <w:rPr>
          <w:w w:val="95"/>
        </w:rPr>
        <w:t>关或追究刑事责任、中国证监会稽查、中国证监会行政处罚、证券市场禁入、</w:t>
      </w:r>
      <w:r>
        <w:rPr>
          <w:spacing w:val="64"/>
          <w:w w:val="95"/>
        </w:rPr>
        <w:t> </w:t>
      </w:r>
      <w:r>
        <w:rPr>
          <w:spacing w:val="64"/>
          <w:w w:val="95"/>
        </w:rPr>
      </w:r>
      <w:r>
        <w:rPr>
          <w:w w:val="95"/>
        </w:rPr>
        <w:t>通报批评、证券市场禁入、认定为不适当人选、被其他行政管理部门处罚及证</w:t>
      </w:r>
      <w:r>
        <w:rPr>
          <w:spacing w:val="64"/>
          <w:w w:val="95"/>
        </w:rPr>
        <w:t> </w:t>
      </w:r>
      <w:r>
        <w:rPr>
          <w:spacing w:val="64"/>
          <w:w w:val="95"/>
        </w:rPr>
      </w:r>
      <w:r>
        <w:rPr/>
        <w:t>券交易所公开谴责的情况。</w:t>
      </w:r>
    </w:p>
    <w:p>
      <w:pPr>
        <w:spacing w:line="240" w:lineRule="auto" w:before="0"/>
        <w:rPr>
          <w:rFonts w:ascii="黑体" w:hAnsi="黑体" w:cs="黑体" w:eastAsia="黑体" w:hint="default"/>
          <w:sz w:val="29"/>
          <w:szCs w:val="29"/>
        </w:rPr>
      </w:pPr>
    </w:p>
    <w:p>
      <w:pPr>
        <w:pStyle w:val="Heading3"/>
        <w:spacing w:line="240" w:lineRule="auto"/>
        <w:ind w:left="252" w:right="0"/>
        <w:jc w:val="left"/>
      </w:pPr>
      <w:bookmarkStart w:name="九、报告期内已披露的重要信息索引" w:id="21"/>
      <w:bookmarkEnd w:id="21"/>
      <w:r>
        <w:rPr/>
      </w:r>
      <w:r>
        <w:rPr/>
        <w:t>九、报告期内已披露的重要信息索引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68"/>
        <w:gridCol w:w="1800"/>
        <w:gridCol w:w="5220"/>
        <w:gridCol w:w="1466"/>
      </w:tblGrid>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信息披露报纸</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荣信股份第二届董事会第六次会议决议公告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荣信股份第二届监事会第六次会议决议公告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年一季度业绩预增公告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荣信股份二届七次董事会会议决议公告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荣信股份第二届监事会第七次会议决议公告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年第一季度报告正文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关于签订募集资金使用监管协议的公告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年度股东大会通知的公告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关于公司董事候选人及董事薪酬方案的独立意见的公告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103" w:right="0"/>
              <w:jc w:val="left"/>
              <w:rPr>
                <w:rFonts w:ascii="宋体" w:hAnsi="宋体" w:cs="宋体" w:eastAsia="宋体" w:hint="default"/>
                <w:sz w:val="18"/>
                <w:szCs w:val="18"/>
              </w:rPr>
            </w:pPr>
            <w:r>
              <w:rPr>
                <w:rFonts w:ascii="宋体" w:hAnsi="宋体" w:cs="宋体" w:eastAsia="宋体" w:hint="default"/>
                <w:sz w:val="18"/>
                <w:szCs w:val="18"/>
              </w:rPr>
              <w:t>荣信股份关于公司第二大股东左强提议增加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议案暨关于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年度股东大会的补充通知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关于选举职工代表监事的公告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荣信股份三届一次董事会会议决议公告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荣信股份第三届监事会第一次会议决议公告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93"/>
              <w:jc w:val="left"/>
              <w:rPr>
                <w:rFonts w:ascii="宋体" w:hAnsi="宋体" w:cs="宋体" w:eastAsia="宋体" w:hint="default"/>
                <w:sz w:val="18"/>
                <w:szCs w:val="18"/>
              </w:rPr>
            </w:pPr>
            <w:r>
              <w:rPr>
                <w:rFonts w:ascii="宋体" w:hAnsi="宋体" w:cs="宋体" w:eastAsia="宋体" w:hint="default"/>
                <w:spacing w:val="5"/>
                <w:sz w:val="18"/>
                <w:szCs w:val="18"/>
              </w:rPr>
              <w:t>关于用募集资金置换预先已投入募集资金投资项目的自筹资金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独立董事关于董事会聘任高级管理人员及高管薪酬的独立意见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关于设立投资者咨询电话的公告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异常波动公告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荣信股份三届二次董事会会议决议公告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年第一次临时股东大会通知的公告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网下配售股票上市流通的提示性公告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荣信股份业绩预告修正公告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荣信股份三届三次董事会会议决议公告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关于加强上市公司治理专项活动自查报告和整改计划的公告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bl>
    <w:p>
      <w:pPr>
        <w:spacing w:after="0" w:line="240" w:lineRule="auto"/>
        <w:jc w:val="center"/>
        <w:rPr>
          <w:rFonts w:ascii="宋体" w:hAnsi="宋体" w:cs="宋体" w:eastAsia="宋体" w:hint="default"/>
          <w:sz w:val="18"/>
          <w:szCs w:val="18"/>
        </w:rPr>
        <w:sectPr>
          <w:pgSz w:w="11910" w:h="16840"/>
          <w:pgMar w:header="747" w:footer="669" w:top="980" w:bottom="860" w:left="920" w:right="90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368"/>
        <w:gridCol w:w="1800"/>
        <w:gridCol w:w="5220"/>
        <w:gridCol w:w="1466"/>
      </w:tblGrid>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荣信股份注册名称变更公告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年半年度业绩快报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荣信股份三届四次董事会会议决议公告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荣信股份三届二次监事会会议决议公告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年半年度报告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荣信股份三届五次董事会会议决议公告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年第三季度季度报告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3"/>
              <w:jc w:val="left"/>
              <w:rPr>
                <w:rFonts w:ascii="宋体" w:hAnsi="宋体" w:cs="宋体" w:eastAsia="宋体" w:hint="default"/>
                <w:sz w:val="18"/>
                <w:szCs w:val="18"/>
              </w:rPr>
            </w:pPr>
            <w:r>
              <w:rPr>
                <w:rFonts w:ascii="宋体" w:hAnsi="宋体" w:cs="宋体" w:eastAsia="宋体" w:hint="default"/>
                <w:spacing w:val="5"/>
                <w:sz w:val="18"/>
                <w:szCs w:val="18"/>
              </w:rPr>
              <w:t>荣信电力电子股份有限公司关于加强上市公司专项治理活动的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整改报告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荣信股份三届七次董事会会议决议公告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荣信股份三届四次监事会会议决议公告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2007-036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关于承担科技部国家科技支撑计划课题获得批复的公告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bl>
    <w:p>
      <w:pPr>
        <w:spacing w:line="240" w:lineRule="auto" w:before="12"/>
        <w:rPr>
          <w:rFonts w:ascii="黑体" w:hAnsi="黑体" w:cs="黑体" w:eastAsia="黑体" w:hint="default"/>
          <w:sz w:val="16"/>
          <w:szCs w:val="16"/>
        </w:rPr>
      </w:pPr>
    </w:p>
    <w:p>
      <w:pPr>
        <w:pStyle w:val="BodyText"/>
        <w:spacing w:line="240" w:lineRule="auto" w:before="26"/>
        <w:ind w:left="214" w:right="0"/>
        <w:jc w:val="left"/>
      </w:pPr>
      <w:r>
        <w:rPr/>
        <w:t>上述信息披露网址：巨潮资讯（</w:t>
      </w:r>
      <w:r>
        <w:rPr>
          <w:color w:val="0000FF"/>
        </w:rPr>
      </w:r>
      <w:hyperlink r:id="rId11">
        <w:r>
          <w:rPr>
            <w:color w:val="0000FF"/>
            <w:u w:val="single" w:color="0000FF"/>
          </w:rPr>
          <w:t>http://www.cninfo.com.cn</w:t>
        </w:r>
        <w:r>
          <w:rPr>
            <w:color w:val="0000FF"/>
          </w:rPr>
        </w:r>
      </w:hyperlink>
      <w:r>
        <w:rPr/>
        <w:t>）。</w:t>
      </w:r>
    </w:p>
    <w:p>
      <w:pPr>
        <w:spacing w:after="0" w:line="240" w:lineRule="auto"/>
        <w:jc w:val="left"/>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7"/>
        <w:ind w:left="0" w:right="77" w:firstLine="0"/>
        <w:jc w:val="center"/>
        <w:rPr>
          <w:rFonts w:ascii="黑体" w:hAnsi="黑体" w:cs="黑体" w:eastAsia="黑体" w:hint="default"/>
          <w:sz w:val="30"/>
          <w:szCs w:val="30"/>
        </w:rPr>
      </w:pPr>
      <w:bookmarkStart w:name="_bookmark9" w:id="22"/>
      <w:bookmarkEnd w:id="22"/>
      <w:r>
        <w:rPr/>
      </w:r>
      <w:r>
        <w:rPr>
          <w:rFonts w:ascii="黑体" w:hAnsi="黑体" w:cs="黑体" w:eastAsia="黑体" w:hint="default"/>
          <w:sz w:val="30"/>
          <w:szCs w:val="30"/>
        </w:rPr>
        <w:t>第十节 财务报告</w:t>
      </w:r>
    </w:p>
    <w:p>
      <w:pPr>
        <w:spacing w:before="232"/>
        <w:ind w:left="0" w:right="77" w:firstLine="0"/>
        <w:jc w:val="center"/>
        <w:rPr>
          <w:rFonts w:ascii="黑体" w:hAnsi="黑体" w:cs="黑体" w:eastAsia="黑体" w:hint="default"/>
          <w:sz w:val="32"/>
          <w:szCs w:val="32"/>
        </w:rPr>
      </w:pPr>
      <w:r>
        <w:rPr>
          <w:rFonts w:ascii="黑体" w:hAnsi="黑体" w:cs="黑体" w:eastAsia="黑体" w:hint="default"/>
          <w:b/>
          <w:bCs/>
          <w:spacing w:val="8"/>
          <w:sz w:val="32"/>
          <w:szCs w:val="32"/>
        </w:rPr>
        <w:t>审计报告</w:t>
      </w:r>
      <w:r>
        <w:rPr>
          <w:rFonts w:ascii="黑体" w:hAnsi="黑体" w:cs="黑体" w:eastAsia="黑体" w:hint="default"/>
          <w:sz w:val="32"/>
          <w:szCs w:val="32"/>
        </w:rPr>
      </w:r>
    </w:p>
    <w:p>
      <w:pPr>
        <w:tabs>
          <w:tab w:pos="753" w:val="left" w:leader="none"/>
          <w:tab w:pos="6260" w:val="left" w:leader="none"/>
        </w:tabs>
        <w:spacing w:before="219"/>
        <w:ind w:left="0" w:right="84" w:firstLine="0"/>
        <w:jc w:val="center"/>
        <w:rPr>
          <w:rFonts w:ascii="宋体" w:hAnsi="宋体" w:cs="宋体" w:eastAsia="宋体" w:hint="default"/>
          <w:sz w:val="24"/>
          <w:szCs w:val="24"/>
        </w:rPr>
      </w:pPr>
      <w:r>
        <w:rPr>
          <w:rFonts w:ascii="黑体" w:hAnsi="黑体" w:cs="黑体" w:eastAsia="黑体" w:hint="default"/>
          <w:b/>
          <w:bCs/>
          <w:spacing w:val="4"/>
          <w:w w:val="95"/>
          <w:sz w:val="24"/>
          <w:szCs w:val="24"/>
        </w:rPr>
        <w:t>中国</w:t>
        <w:tab/>
        <w:t>鞍山</w:t>
        <w:tab/>
      </w:r>
      <w:r>
        <w:rPr>
          <w:rFonts w:ascii="宋体" w:hAnsi="宋体" w:cs="宋体" w:eastAsia="宋体" w:hint="default"/>
          <w:spacing w:val="5"/>
          <w:sz w:val="24"/>
          <w:szCs w:val="24"/>
        </w:rPr>
        <w:t>开元信德深审字</w:t>
      </w:r>
      <w:r>
        <w:rPr>
          <w:rFonts w:ascii="Times New Roman" w:hAnsi="Times New Roman" w:cs="Times New Roman" w:eastAsia="Times New Roman" w:hint="default"/>
          <w:spacing w:val="5"/>
          <w:sz w:val="24"/>
          <w:szCs w:val="24"/>
        </w:rPr>
        <w:t>(2008)</w:t>
      </w:r>
      <w:r>
        <w:rPr>
          <w:rFonts w:ascii="宋体" w:hAnsi="宋体" w:cs="宋体" w:eastAsia="宋体" w:hint="default"/>
          <w:spacing w:val="5"/>
          <w:sz w:val="24"/>
          <w:szCs w:val="24"/>
        </w:rPr>
        <w:t>第</w:t>
      </w:r>
      <w:r>
        <w:rPr>
          <w:rFonts w:ascii="宋体" w:hAnsi="宋体" w:cs="宋体" w:eastAsia="宋体" w:hint="default"/>
          <w:spacing w:val="-55"/>
          <w:sz w:val="24"/>
          <w:szCs w:val="24"/>
        </w:rPr>
        <w:t> </w:t>
      </w:r>
      <w:r>
        <w:rPr>
          <w:rFonts w:ascii="Times New Roman" w:hAnsi="Times New Roman" w:cs="Times New Roman" w:eastAsia="Times New Roman" w:hint="default"/>
          <w:spacing w:val="2"/>
          <w:sz w:val="24"/>
          <w:szCs w:val="24"/>
        </w:rPr>
        <w:t>105</w:t>
      </w:r>
      <w:r>
        <w:rPr>
          <w:rFonts w:ascii="Times New Roman" w:hAnsi="Times New Roman" w:cs="Times New Roman" w:eastAsia="Times New Roman" w:hint="default"/>
          <w:sz w:val="24"/>
          <w:szCs w:val="24"/>
        </w:rPr>
        <w:t> </w:t>
      </w:r>
      <w:r>
        <w:rPr>
          <w:rFonts w:ascii="宋体" w:hAnsi="宋体" w:cs="宋体" w:eastAsia="宋体" w:hint="default"/>
          <w:sz w:val="24"/>
          <w:szCs w:val="24"/>
        </w:rPr>
        <w:t>号</w:t>
      </w:r>
    </w:p>
    <w:p>
      <w:pPr>
        <w:pStyle w:val="Heading4"/>
        <w:spacing w:line="240" w:lineRule="auto" w:before="187"/>
        <w:ind w:left="153" w:right="214"/>
        <w:jc w:val="left"/>
        <w:rPr>
          <w:rFonts w:ascii="黑体" w:hAnsi="黑体" w:cs="黑体" w:eastAsia="黑体" w:hint="default"/>
          <w:b w:val="0"/>
          <w:bCs w:val="0"/>
        </w:rPr>
      </w:pPr>
      <w:r>
        <w:rPr>
          <w:rFonts w:ascii="黑体" w:hAnsi="黑体" w:cs="黑体" w:eastAsia="黑体" w:hint="default"/>
          <w:spacing w:val="8"/>
        </w:rPr>
        <w:t>荣信电力电子股份有限公司全体股东：</w:t>
      </w:r>
      <w:r>
        <w:rPr>
          <w:rFonts w:ascii="黑体" w:hAnsi="黑体" w:cs="黑体" w:eastAsia="黑体" w:hint="default"/>
          <w:b w:val="0"/>
          <w:bCs w:val="0"/>
        </w:rPr>
      </w:r>
    </w:p>
    <w:p>
      <w:pPr>
        <w:pStyle w:val="BodyText"/>
        <w:spacing w:line="314" w:lineRule="auto" w:before="212"/>
        <w:ind w:right="110" w:firstLine="506"/>
        <w:jc w:val="left"/>
      </w:pPr>
      <w:r>
        <w:rPr>
          <w:spacing w:val="5"/>
        </w:rPr>
        <w:t>我们审计了后附的荣信电力电子股份有限公司</w:t>
      </w:r>
      <w:r>
        <w:rPr>
          <w:rFonts w:ascii="Times New Roman" w:hAnsi="Times New Roman" w:cs="Times New Roman" w:eastAsia="Times New Roman" w:hint="default"/>
          <w:spacing w:val="5"/>
        </w:rPr>
        <w:t>(</w:t>
      </w:r>
      <w:r>
        <w:rPr>
          <w:spacing w:val="5"/>
        </w:rPr>
        <w:t>以下简称“荣信股份公司”</w:t>
      </w:r>
      <w:r>
        <w:rPr>
          <w:rFonts w:ascii="Times New Roman" w:hAnsi="Times New Roman" w:cs="Times New Roman" w:eastAsia="Times New Roman" w:hint="default"/>
          <w:spacing w:val="5"/>
        </w:rPr>
        <w:t>)</w:t>
      </w:r>
      <w:r>
        <w:rPr>
          <w:spacing w:val="5"/>
        </w:rPr>
        <w:t>财务报表，</w:t>
      </w:r>
      <w:r>
        <w:rPr/>
        <w:t> </w:t>
      </w:r>
      <w:r>
        <w:rPr>
          <w:spacing w:val="6"/>
        </w:rPr>
        <w:t>包括二零零七年十二月三十一日的资产负债表和合并资产负债表，二零零七年度利润表和</w:t>
      </w:r>
      <w:r>
        <w:rPr>
          <w:spacing w:val="-90"/>
        </w:rPr>
        <w:t> </w:t>
      </w:r>
      <w:r>
        <w:rPr>
          <w:spacing w:val="-90"/>
        </w:rPr>
      </w:r>
      <w:r>
        <w:rPr>
          <w:spacing w:val="7"/>
        </w:rPr>
        <w:t>合并利润表、二零零七年度现金流量表和合并现金流量表、股东权益变动表和合并股东权</w:t>
      </w:r>
      <w:r>
        <w:rPr>
          <w:spacing w:val="8"/>
        </w:rPr>
        <w:t> 益变动表以及财务报表附注。</w:t>
      </w:r>
      <w:r>
        <w:rPr/>
      </w:r>
    </w:p>
    <w:p>
      <w:pPr>
        <w:pStyle w:val="Heading4"/>
        <w:tabs>
          <w:tab w:pos="1380" w:val="left" w:leader="none"/>
        </w:tabs>
        <w:spacing w:line="240" w:lineRule="auto" w:before="151"/>
        <w:ind w:left="660" w:right="214"/>
        <w:jc w:val="left"/>
        <w:rPr>
          <w:rFonts w:ascii="黑体" w:hAnsi="黑体" w:cs="黑体" w:eastAsia="黑体" w:hint="default"/>
          <w:b w:val="0"/>
          <w:bCs w:val="0"/>
        </w:rPr>
      </w:pPr>
      <w:r>
        <w:rPr>
          <w:rFonts w:ascii="黑体" w:hAnsi="黑体" w:cs="黑体" w:eastAsia="黑体" w:hint="default"/>
          <w:spacing w:val="4"/>
          <w:w w:val="95"/>
        </w:rPr>
        <w:t>一、</w:t>
        <w:tab/>
      </w:r>
      <w:r>
        <w:rPr>
          <w:rFonts w:ascii="黑体" w:hAnsi="黑体" w:cs="黑体" w:eastAsia="黑体" w:hint="default"/>
          <w:spacing w:val="8"/>
        </w:rPr>
        <w:t>管理层对财务报表的责任</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pStyle w:val="BodyText"/>
        <w:spacing w:line="312" w:lineRule="auto"/>
        <w:ind w:right="226" w:firstLine="506"/>
        <w:jc w:val="both"/>
      </w:pPr>
      <w:r>
        <w:rPr>
          <w:spacing w:val="13"/>
        </w:rPr>
        <w:t>按照企业会计准则的规定编制财务报表是荣信股份公司管理层的责任。这种责任包 </w:t>
      </w:r>
      <w:r>
        <w:rPr>
          <w:spacing w:val="5"/>
        </w:rPr>
        <w:t>括：</w:t>
      </w:r>
      <w:r>
        <w:rPr>
          <w:rFonts w:ascii="Times New Roman" w:hAnsi="Times New Roman" w:cs="Times New Roman" w:eastAsia="Times New Roman" w:hint="default"/>
          <w:spacing w:val="5"/>
        </w:rPr>
        <w:t>(1)</w:t>
      </w:r>
      <w:r>
        <w:rPr>
          <w:spacing w:val="5"/>
        </w:rPr>
        <w:t>设计、实施和维护与财务报表编制相关的内部控制，以使财务报表不存在由于舞弊</w:t>
      </w:r>
      <w:r>
        <w:rPr>
          <w:spacing w:val="-107"/>
        </w:rPr>
        <w:t> </w:t>
      </w:r>
      <w:r>
        <w:rPr>
          <w:spacing w:val="-107"/>
        </w:rPr>
      </w:r>
      <w:r>
        <w:rPr>
          <w:spacing w:val="7"/>
        </w:rPr>
        <w:t>或错误而导致的重大错报；</w:t>
      </w:r>
      <w:r>
        <w:rPr>
          <w:rFonts w:ascii="Times New Roman" w:hAnsi="Times New Roman" w:cs="Times New Roman" w:eastAsia="Times New Roman" w:hint="default"/>
          <w:spacing w:val="7"/>
        </w:rPr>
        <w:t>(2)</w:t>
      </w:r>
      <w:r>
        <w:rPr>
          <w:spacing w:val="7"/>
        </w:rPr>
        <w:t>选择和运用恰当的会计政策；</w:t>
      </w:r>
      <w:r>
        <w:rPr>
          <w:rFonts w:ascii="Times New Roman" w:hAnsi="Times New Roman" w:cs="Times New Roman" w:eastAsia="Times New Roman" w:hint="default"/>
          <w:spacing w:val="7"/>
        </w:rPr>
        <w:t>(3)</w:t>
      </w:r>
      <w:r>
        <w:rPr>
          <w:spacing w:val="7"/>
        </w:rPr>
        <w:t>作出合理的会计估计。</w:t>
      </w:r>
      <w:r>
        <w:rPr/>
      </w:r>
    </w:p>
    <w:p>
      <w:pPr>
        <w:pStyle w:val="Heading4"/>
        <w:tabs>
          <w:tab w:pos="1380" w:val="left" w:leader="none"/>
        </w:tabs>
        <w:spacing w:line="240" w:lineRule="auto" w:before="128"/>
        <w:ind w:left="660" w:right="214"/>
        <w:jc w:val="left"/>
        <w:rPr>
          <w:rFonts w:ascii="黑体" w:hAnsi="黑体" w:cs="黑体" w:eastAsia="黑体" w:hint="default"/>
          <w:b w:val="0"/>
          <w:bCs w:val="0"/>
        </w:rPr>
      </w:pPr>
      <w:r>
        <w:rPr>
          <w:rFonts w:ascii="黑体" w:hAnsi="黑体" w:cs="黑体" w:eastAsia="黑体" w:hint="default"/>
          <w:spacing w:val="4"/>
          <w:w w:val="95"/>
        </w:rPr>
        <w:t>二、</w:t>
        <w:tab/>
      </w:r>
      <w:r>
        <w:rPr>
          <w:rFonts w:ascii="黑体" w:hAnsi="黑体" w:cs="黑体" w:eastAsia="黑体" w:hint="default"/>
          <w:spacing w:val="8"/>
        </w:rPr>
        <w:t>注册会计师的责任</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pStyle w:val="BodyText"/>
        <w:spacing w:line="321" w:lineRule="auto"/>
        <w:ind w:right="229" w:firstLine="506"/>
        <w:jc w:val="both"/>
      </w:pPr>
      <w:r>
        <w:rPr>
          <w:spacing w:val="6"/>
        </w:rPr>
        <w:t>我们的责任是在实施审计工作的基础上对财务报表发表审计意见。我们按照中国注册</w:t>
      </w:r>
      <w:r>
        <w:rPr>
          <w:spacing w:val="7"/>
        </w:rPr>
        <w:t> </w:t>
      </w:r>
      <w:r>
        <w:rPr>
          <w:spacing w:val="6"/>
        </w:rPr>
        <w:t>会计师审计准则的规定执行了审计工作。中国注册会计师审计准则要求我们遵守职业道德</w:t>
      </w:r>
      <w:r>
        <w:rPr>
          <w:spacing w:val="-89"/>
        </w:rPr>
        <w:t> </w:t>
      </w:r>
      <w:r>
        <w:rPr>
          <w:spacing w:val="-89"/>
        </w:rPr>
      </w:r>
      <w:r>
        <w:rPr>
          <w:spacing w:val="7"/>
        </w:rPr>
        <w:t>规范，计划和实施审计工作以对财务报表是否不存在重大错报获取合理保证。</w:t>
      </w:r>
      <w:r>
        <w:rPr/>
      </w:r>
    </w:p>
    <w:p>
      <w:pPr>
        <w:pStyle w:val="BodyText"/>
        <w:spacing w:line="321" w:lineRule="auto" w:before="144"/>
        <w:ind w:right="228" w:firstLine="506"/>
        <w:jc w:val="both"/>
      </w:pPr>
      <w:r>
        <w:rPr>
          <w:spacing w:val="6"/>
        </w:rPr>
        <w:t>审计工作涉及实施审计程序，以获取有关财务报表金额和披露的审计证据。选择的审</w:t>
      </w:r>
      <w:r>
        <w:rPr>
          <w:spacing w:val="7"/>
        </w:rPr>
        <w:t> </w:t>
      </w:r>
      <w:r>
        <w:rPr>
          <w:spacing w:val="6"/>
        </w:rPr>
        <w:t>计程序取决于注册会计师的判断，包括对由于舞弊或错误导致的财务报表重大错报风险的</w:t>
      </w:r>
      <w:r>
        <w:rPr>
          <w:spacing w:val="-90"/>
        </w:rPr>
        <w:t> </w:t>
      </w:r>
      <w:r>
        <w:rPr>
          <w:spacing w:val="-90"/>
        </w:rPr>
      </w:r>
      <w:r>
        <w:rPr>
          <w:spacing w:val="7"/>
        </w:rPr>
        <w:t>评估。在进行风险评估时，我们考虑与财务报表编制相关的内部控制，以设计恰当的审计</w:t>
      </w:r>
      <w:r>
        <w:rPr>
          <w:spacing w:val="8"/>
        </w:rPr>
        <w:t> </w:t>
      </w:r>
      <w:r>
        <w:rPr>
          <w:spacing w:val="7"/>
        </w:rPr>
        <w:t>程序，但目的并非对内部控制的有效性发表意见。审计工作还包括评价管理层选用会计政</w:t>
      </w:r>
      <w:r>
        <w:rPr>
          <w:spacing w:val="8"/>
        </w:rPr>
        <w:t> </w:t>
      </w:r>
      <w:r>
        <w:rPr>
          <w:spacing w:val="7"/>
        </w:rPr>
        <w:t>策的恰当性和作出会计估计的合理性，以及评价财务报表的总体列报。</w:t>
      </w:r>
      <w:r>
        <w:rPr/>
      </w:r>
    </w:p>
    <w:p>
      <w:pPr>
        <w:pStyle w:val="BodyText"/>
        <w:spacing w:line="240" w:lineRule="auto" w:before="144"/>
        <w:ind w:left="663" w:right="214"/>
        <w:jc w:val="left"/>
      </w:pPr>
      <w:r>
        <w:rPr>
          <w:spacing w:val="7"/>
        </w:rPr>
        <w:t>我们相信，我们获取的审计证据是充分、适当的，为发表审计意见提供了基础。</w:t>
      </w:r>
      <w:r>
        <w:rPr/>
      </w:r>
    </w:p>
    <w:p>
      <w:pPr>
        <w:spacing w:line="240" w:lineRule="auto" w:before="3"/>
        <w:rPr>
          <w:rFonts w:ascii="宋体" w:hAnsi="宋体" w:cs="宋体" w:eastAsia="宋体" w:hint="default"/>
          <w:sz w:val="17"/>
          <w:szCs w:val="17"/>
        </w:rPr>
      </w:pPr>
    </w:p>
    <w:p>
      <w:pPr>
        <w:pStyle w:val="Heading4"/>
        <w:tabs>
          <w:tab w:pos="1380" w:val="left" w:leader="none"/>
        </w:tabs>
        <w:spacing w:line="240" w:lineRule="auto" w:before="0"/>
        <w:ind w:left="660" w:right="214"/>
        <w:jc w:val="left"/>
        <w:rPr>
          <w:rFonts w:ascii="黑体" w:hAnsi="黑体" w:cs="黑体" w:eastAsia="黑体" w:hint="default"/>
          <w:b w:val="0"/>
          <w:bCs w:val="0"/>
        </w:rPr>
      </w:pPr>
      <w:r>
        <w:rPr>
          <w:rFonts w:ascii="黑体" w:hAnsi="黑体" w:cs="黑体" w:eastAsia="黑体" w:hint="default"/>
          <w:spacing w:val="4"/>
          <w:w w:val="95"/>
        </w:rPr>
        <w:t>三、</w:t>
        <w:tab/>
      </w:r>
      <w:r>
        <w:rPr>
          <w:rFonts w:ascii="黑体" w:hAnsi="黑体" w:cs="黑体" w:eastAsia="黑体" w:hint="default"/>
          <w:spacing w:val="8"/>
        </w:rPr>
        <w:t>审计意见</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pStyle w:val="BodyText"/>
        <w:spacing w:line="312" w:lineRule="auto"/>
        <w:ind w:right="224" w:firstLine="510"/>
        <w:jc w:val="both"/>
      </w:pPr>
      <w:r>
        <w:rPr>
          <w:spacing w:val="8"/>
        </w:rPr>
        <w:t>我们认为</w:t>
      </w:r>
      <w:r>
        <w:rPr>
          <w:rFonts w:ascii="Times New Roman" w:hAnsi="Times New Roman" w:cs="Times New Roman" w:eastAsia="Times New Roman" w:hint="default"/>
          <w:spacing w:val="8"/>
        </w:rPr>
        <w:t>,</w:t>
      </w:r>
      <w:r>
        <w:rPr>
          <w:spacing w:val="8"/>
        </w:rPr>
        <w:t>荣信股份公司财务报表已按照企业会计准则的规定编制</w:t>
      </w:r>
      <w:r>
        <w:rPr>
          <w:rFonts w:ascii="Times New Roman" w:hAnsi="Times New Roman" w:cs="Times New Roman" w:eastAsia="Times New Roman" w:hint="default"/>
          <w:spacing w:val="8"/>
        </w:rPr>
        <w:t>,</w:t>
      </w:r>
      <w:r>
        <w:rPr>
          <w:spacing w:val="8"/>
        </w:rPr>
        <w:t>在所有重大方面公</w:t>
      </w:r>
      <w:r>
        <w:rPr>
          <w:spacing w:val="9"/>
        </w:rPr>
        <w:t> </w:t>
      </w:r>
      <w:r>
        <w:rPr>
          <w:spacing w:val="13"/>
        </w:rPr>
        <w:t>允反映了荣信股份公司二零零七年十二月三十一日的财务状况以及二零零七年度的经营</w:t>
      </w:r>
      <w:r>
        <w:rPr>
          <w:spacing w:val="13"/>
        </w:rPr>
        <w:t> </w:t>
      </w:r>
      <w:r>
        <w:rPr>
          <w:spacing w:val="8"/>
        </w:rPr>
        <w:t>成果和现金流量。</w:t>
      </w:r>
      <w:r>
        <w:rPr/>
      </w:r>
    </w:p>
    <w:p>
      <w:pPr>
        <w:pStyle w:val="BodyText"/>
        <w:tabs>
          <w:tab w:pos="1593" w:val="left" w:leader="none"/>
          <w:tab w:pos="5433" w:val="left" w:leader="none"/>
          <w:tab w:pos="5913" w:val="left" w:leader="none"/>
          <w:tab w:pos="8553" w:val="left" w:leader="none"/>
        </w:tabs>
        <w:spacing w:line="408" w:lineRule="auto" w:before="154"/>
        <w:ind w:left="874" w:right="748" w:hanging="240"/>
        <w:jc w:val="left"/>
      </w:pPr>
      <w:r>
        <w:rPr/>
        <w:t>开元信德会计师事务所</w:t>
        <w:tab/>
        <w:t>中国注册会计师：朱伟峰</w:t>
        <w:tab/>
        <w:t>金顺兴 中国</w:t>
        <w:tab/>
        <w:t>北京</w:t>
        <w:tab/>
        <w:tab/>
        <w:t>二零零八年四月七日</w:t>
      </w:r>
    </w:p>
    <w:p>
      <w:pPr>
        <w:spacing w:after="0" w:line="408" w:lineRule="auto"/>
        <w:jc w:val="left"/>
        <w:sectPr>
          <w:pgSz w:w="11910" w:h="16840"/>
          <w:pgMar w:header="747" w:footer="669" w:top="980" w:bottom="860" w:left="980" w:right="900"/>
        </w:sectPr>
      </w:pPr>
    </w:p>
    <w:p>
      <w:pPr>
        <w:spacing w:line="240" w:lineRule="auto" w:before="12"/>
        <w:rPr>
          <w:rFonts w:ascii="宋体" w:hAnsi="宋体" w:cs="宋体" w:eastAsia="宋体" w:hint="default"/>
          <w:sz w:val="29"/>
          <w:szCs w:val="29"/>
        </w:rPr>
      </w:pPr>
    </w:p>
    <w:p>
      <w:pPr>
        <w:pStyle w:val="Heading2"/>
        <w:spacing w:line="240" w:lineRule="auto" w:before="13"/>
        <w:ind w:right="156"/>
        <w:jc w:val="center"/>
        <w:rPr>
          <w:b w:val="0"/>
          <w:bCs w:val="0"/>
        </w:rPr>
      </w:pPr>
      <w:r>
        <w:rPr/>
        <w:t>资产负债表</w:t>
      </w:r>
      <w:r>
        <w:rPr>
          <w:b w:val="0"/>
          <w:bCs w:val="0"/>
        </w:rPr>
      </w:r>
    </w:p>
    <w:p>
      <w:pPr>
        <w:spacing w:line="240" w:lineRule="auto" w:before="0"/>
        <w:rPr>
          <w:rFonts w:ascii="宋体" w:hAnsi="宋体" w:cs="宋体" w:eastAsia="宋体" w:hint="default"/>
          <w:b/>
          <w:bCs/>
          <w:sz w:val="24"/>
          <w:szCs w:val="24"/>
        </w:rPr>
      </w:pPr>
    </w:p>
    <w:p>
      <w:pPr>
        <w:tabs>
          <w:tab w:pos="4847" w:val="left" w:leader="none"/>
          <w:tab w:pos="8132" w:val="left" w:leader="none"/>
        </w:tabs>
        <w:spacing w:before="0"/>
        <w:ind w:left="0" w:right="155"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3"/>
          <w:sz w:val="18"/>
          <w:szCs w:val="18"/>
        </w:rPr>
        <w:t>：</w:t>
      </w:r>
      <w:r>
        <w:rPr>
          <w:rFonts w:ascii="宋体" w:hAnsi="宋体" w:cs="宋体" w:eastAsia="宋体" w:hint="default"/>
          <w:sz w:val="18"/>
          <w:szCs w:val="18"/>
        </w:rPr>
        <w:t>荣信电力电子股份有限公司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3"/>
          <w:sz w:val="18"/>
          <w:szCs w:val="18"/>
        </w:rPr>
        <w:t>：</w:t>
      </w:r>
      <w:r>
        <w:rPr>
          <w:rFonts w:ascii="宋体" w:hAnsi="宋体" w:cs="宋体" w:eastAsia="宋体" w:hint="default"/>
          <w:sz w:val="18"/>
          <w:szCs w:val="18"/>
        </w:rPr>
        <w:t>（人民币</w:t>
      </w:r>
      <w:r>
        <w:rPr>
          <w:rFonts w:ascii="宋体" w:hAnsi="宋体" w:cs="宋体" w:eastAsia="宋体" w:hint="default"/>
          <w:spacing w:val="-13"/>
          <w:sz w:val="18"/>
          <w:szCs w:val="18"/>
        </w:rPr>
        <w:t>）</w:t>
      </w:r>
      <w:r>
        <w:rPr>
          <w:rFonts w:ascii="宋体" w:hAnsi="宋体" w:cs="宋体" w:eastAsia="宋体" w:hint="default"/>
          <w:sz w:val="18"/>
          <w:szCs w:val="18"/>
        </w:rPr>
        <w:t>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0"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9" w:space="0" w:color="DCDCDC"/>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293,940,873.56</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288,170,026.08</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50,231,007.85</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49,729,612.77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24,801,922.90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24,801,922.90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12,783,295.35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12,783,295.35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202,326,355.98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202,263,175.98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98,244,904.39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98,011,489.39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45,071,991.00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45,703,141.36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20,585,429.75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21,977,107.11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5,196,938.47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4,306,107.06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4,226,237.69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2,764,390.53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79,619,962.17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79,619,962.17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30,868,067.52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30,866,152.02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1,956,901.55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1,679,380.53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201,993.13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9"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652,914,945.63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646,543,716.08</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217,140,935.68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216,132,047.17</w:t>
            </w: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2" w:type="dxa"/>
            <w:tcBorders>
              <w:top w:val="single" w:sz="9" w:space="0" w:color="DCDCDC"/>
              <w:left w:val="single" w:sz="9"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52,574,932.13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46,123,646.78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28,079,874.81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21,676,469.50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11,960,387.51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11,960,387.51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3,747,729.88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3,747,729.88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10,646,073.56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10,370,073.56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10,959,973.35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10,635,973.35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1,342,510.65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1,336,708.15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730,816.63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726,588.63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77,523,903.85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80,690,816.00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44,518,394.67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40,686,761.36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730,438,849.48</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727,234,532.08</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261,659,330.35</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256,818,808.53</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12,800,000.00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89,372,317.90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89,372,317.90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1,170,000.00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52,110,152.41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52,766,732.41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36,347,896.52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36,347,896.52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52,466,912.72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52,466,912.72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43,245,693.12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43,245,693.12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698,442.60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342,406.44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1,496,358.48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623,344.47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-8,196,365.62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-8,238,418.09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-6,860,484.42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-7,039,184.84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2,762.52</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1,657.73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9"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186,454,222.53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186,709,951.38</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88,201,121.43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87,147,749.27</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10" w:space="0" w:color="DCDCDC"/>
              <w:left w:val="single" w:sz="9"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765,418.36</w:t>
            </w: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23,815,000.00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23,615,000.00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24,580,418.36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23,615,000.00</w:t>
            </w: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212,354,222.53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212,609,951.38</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112,781,539.79</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110,762,749.27</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64,000,000.00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64,000,000.00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272,626,390.14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272,626,390.14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2,741,307.14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2,741,307.14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23,294,614.02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23,294,614.02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15,026,270.18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15,026,270.18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158,163,622.79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154,703,576.54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83,110,213.24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80,288,481.94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518,084,626.95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514,624,580.70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148,877,790.56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146,056,059.26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518,084,626.95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514,624,580.70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148,877,790.56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146,056,059.26</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730,438,849.48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727,234,532.08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261,659,330.35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256,818,808.53</w:t>
            </w:r>
          </w:p>
        </w:tc>
      </w:tr>
    </w:tbl>
    <w:p>
      <w:pPr>
        <w:tabs>
          <w:tab w:pos="2429" w:val="left" w:leader="none"/>
          <w:tab w:pos="6479" w:val="left" w:leader="none"/>
        </w:tabs>
        <w:spacing w:before="10"/>
        <w:ind w:left="0" w:right="74" w:firstLine="0"/>
        <w:jc w:val="center"/>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8"/>
        <w:rPr>
          <w:rFonts w:ascii="宋体" w:hAnsi="宋体" w:cs="宋体" w:eastAsia="宋体" w:hint="default"/>
          <w:sz w:val="21"/>
          <w:szCs w:val="21"/>
        </w:rPr>
      </w:pPr>
    </w:p>
    <w:p>
      <w:pPr>
        <w:pStyle w:val="Heading2"/>
        <w:spacing w:line="240" w:lineRule="auto"/>
        <w:ind w:right="157"/>
        <w:jc w:val="center"/>
        <w:rPr>
          <w:b w:val="0"/>
          <w:bCs w:val="0"/>
        </w:rPr>
      </w:pPr>
      <w:r>
        <w:rPr/>
        <w:t>利润表</w:t>
      </w:r>
      <w:r>
        <w:rPr>
          <w:b w:val="0"/>
          <w:bCs w:val="0"/>
        </w:rPr>
      </w:r>
    </w:p>
    <w:p>
      <w:pPr>
        <w:spacing w:line="240" w:lineRule="auto" w:before="12"/>
        <w:rPr>
          <w:rFonts w:ascii="宋体" w:hAnsi="宋体" w:cs="宋体" w:eastAsia="宋体" w:hint="default"/>
          <w:b/>
          <w:bCs/>
          <w:sz w:val="23"/>
          <w:szCs w:val="23"/>
        </w:rPr>
      </w:pPr>
    </w:p>
    <w:p>
      <w:pPr>
        <w:tabs>
          <w:tab w:pos="4949" w:val="left" w:leader="none"/>
          <w:tab w:pos="8024" w:val="left" w:leader="none"/>
        </w:tabs>
        <w:spacing w:before="0"/>
        <w:ind w:left="0" w:right="239" w:firstLine="0"/>
        <w:jc w:val="center"/>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420"/>
        <w:gridCol w:w="141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3"/>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663" w:right="0"/>
              <w:jc w:val="left"/>
              <w:rPr>
                <w:rFonts w:ascii="Times New Roman" w:hAnsi="Times New Roman" w:cs="Times New Roman" w:eastAsia="Times New Roman" w:hint="default"/>
                <w:sz w:val="18"/>
                <w:szCs w:val="18"/>
              </w:rPr>
            </w:pPr>
            <w:r>
              <w:rPr>
                <w:rFonts w:ascii="Times New Roman"/>
                <w:sz w:val="18"/>
              </w:rPr>
              <w:t>367,156,976.76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367,156,976.76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241,375,439.23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241,075,439.23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668" w:right="0"/>
              <w:jc w:val="left"/>
              <w:rPr>
                <w:rFonts w:ascii="Times New Roman" w:hAnsi="Times New Roman" w:cs="Times New Roman" w:eastAsia="Times New Roman" w:hint="default"/>
                <w:sz w:val="18"/>
                <w:szCs w:val="18"/>
              </w:rPr>
            </w:pPr>
            <w:r>
              <w:rPr>
                <w:rFonts w:ascii="Times New Roman"/>
                <w:sz w:val="18"/>
              </w:rPr>
              <w:t>367,156,976.76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367,156,976.76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241,375,439.23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241,075,439.23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668" w:right="0"/>
              <w:jc w:val="left"/>
              <w:rPr>
                <w:rFonts w:ascii="Times New Roman" w:hAnsi="Times New Roman" w:cs="Times New Roman" w:eastAsia="Times New Roman" w:hint="default"/>
                <w:sz w:val="18"/>
                <w:szCs w:val="18"/>
              </w:rPr>
            </w:pPr>
            <w:r>
              <w:rPr>
                <w:rFonts w:ascii="Times New Roman"/>
                <w:sz w:val="18"/>
              </w:rPr>
              <w:t>316,044,867.76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309,165,536.98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203,780,424.22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201,803,132.06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663" w:right="0"/>
              <w:jc w:val="left"/>
              <w:rPr>
                <w:rFonts w:ascii="Times New Roman" w:hAnsi="Times New Roman" w:cs="Times New Roman" w:eastAsia="Times New Roman" w:hint="default"/>
                <w:sz w:val="18"/>
                <w:szCs w:val="18"/>
              </w:rPr>
            </w:pPr>
            <w:r>
              <w:rPr>
                <w:rFonts w:ascii="Times New Roman"/>
                <w:sz w:val="18"/>
              </w:rPr>
              <w:t>177,622,451.27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208,342,451.27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102,997,999.41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132,097,999.41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Times New Roman"/>
                <w:sz w:val="18"/>
              </w:rPr>
              <w:t>3,215,251.49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2,686,188.62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2,569,835.93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2,053,293.44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757" w:right="0"/>
              <w:jc w:val="left"/>
              <w:rPr>
                <w:rFonts w:ascii="Times New Roman" w:hAnsi="Times New Roman" w:cs="Times New Roman" w:eastAsia="Times New Roman" w:hint="default"/>
                <w:sz w:val="18"/>
                <w:szCs w:val="18"/>
              </w:rPr>
            </w:pPr>
            <w:r>
              <w:rPr>
                <w:rFonts w:ascii="Times New Roman"/>
                <w:sz w:val="18"/>
              </w:rPr>
              <w:t>46,829,436.01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35,788,775.63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44,765,754.54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34,192,854.82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752" w:right="0"/>
              <w:jc w:val="left"/>
              <w:rPr>
                <w:rFonts w:ascii="Times New Roman" w:hAnsi="Times New Roman" w:cs="Times New Roman" w:eastAsia="Times New Roman" w:hint="default"/>
                <w:sz w:val="18"/>
                <w:szCs w:val="18"/>
              </w:rPr>
            </w:pPr>
            <w:r>
              <w:rPr>
                <w:rFonts w:ascii="Times New Roman"/>
                <w:sz w:val="18"/>
              </w:rPr>
              <w:t>82,468,258.57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56,431,623.31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50,024,115.13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30,366,689.68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921" w:right="0"/>
              <w:jc w:val="left"/>
              <w:rPr>
                <w:rFonts w:ascii="Times New Roman" w:hAnsi="Times New Roman" w:cs="Times New Roman" w:eastAsia="Times New Roman" w:hint="default"/>
                <w:sz w:val="18"/>
                <w:szCs w:val="18"/>
              </w:rPr>
            </w:pPr>
            <w:r>
              <w:rPr>
                <w:rFonts w:ascii="Times New Roman"/>
                <w:sz w:val="18"/>
              </w:rPr>
              <w:t>-714,269.62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-746,981.40</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936,484.10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876,833.72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Times New Roman"/>
                <w:sz w:val="18"/>
              </w:rPr>
              <w:t>6,623,740.04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6,663,479.55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2,486,235.11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2,215,460.99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-5,012.03</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-5,012.03</w:t>
            </w:r>
            <w:r>
              <w:rPr>
                <w:rFonts w:ascii="Times New Roman"/>
                <w:sz w:val="18"/>
              </w:rPr>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51,112,109.00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57,991,439.78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37,590,002.98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39,267,295.14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752" w:right="0"/>
              <w:jc w:val="left"/>
              <w:rPr>
                <w:rFonts w:ascii="Times New Roman" w:hAnsi="Times New Roman" w:cs="Times New Roman" w:eastAsia="Times New Roman" w:hint="default"/>
                <w:sz w:val="18"/>
                <w:szCs w:val="18"/>
              </w:rPr>
            </w:pPr>
            <w:r>
              <w:rPr>
                <w:rFonts w:ascii="Times New Roman"/>
                <w:sz w:val="18"/>
              </w:rPr>
              <w:t>35,260,768.62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27,631,009.17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16,346,862.84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13,763,204.77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981" w:right="0"/>
              <w:jc w:val="left"/>
              <w:rPr>
                <w:rFonts w:ascii="Times New Roman" w:hAnsi="Times New Roman" w:cs="Times New Roman" w:eastAsia="Times New Roman" w:hint="default"/>
                <w:sz w:val="18"/>
                <w:szCs w:val="18"/>
              </w:rPr>
            </w:pPr>
            <w:r>
              <w:rPr>
                <w:rFonts w:ascii="Times New Roman"/>
                <w:sz w:val="18"/>
              </w:rPr>
              <w:t>123,371.98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13,296.81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196,060.49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6,056.97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991" w:right="0"/>
              <w:jc w:val="left"/>
              <w:rPr>
                <w:rFonts w:ascii="Times New Roman" w:hAnsi="Times New Roman" w:cs="Times New Roman" w:eastAsia="Times New Roman" w:hint="default"/>
                <w:sz w:val="18"/>
                <w:szCs w:val="18"/>
              </w:rPr>
            </w:pPr>
            <w:r>
              <w:rPr>
                <w:rFonts w:ascii="Times New Roman"/>
                <w:sz w:val="18"/>
              </w:rPr>
              <w:t>118,194.11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10,218.94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143,838.05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5,435.13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420"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86,249,505.64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85,609,152.14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53,740,805.33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53,024,442.94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847" w:right="0"/>
              <w:jc w:val="left"/>
              <w:rPr>
                <w:rFonts w:ascii="Times New Roman" w:hAnsi="Times New Roman" w:cs="Times New Roman" w:eastAsia="Times New Roman" w:hint="default"/>
                <w:sz w:val="18"/>
                <w:szCs w:val="18"/>
              </w:rPr>
            </w:pPr>
            <w:r>
              <w:rPr>
                <w:rFonts w:ascii="Times New Roman"/>
                <w:sz w:val="18"/>
              </w:rPr>
              <w:t>2,927,752.25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2,925,713.70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2,949,928.68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2,925,414.14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83,321,753.39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82,683,438.44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50,790,876.65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50,099,028.80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83,321,753.39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82,683,438.44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50,743,678.06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50,099,028.80</w:t>
            </w: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9" w:space="0" w:color="DCDCDC"/>
              <w:right w:val="single" w:sz="4" w:space="0" w:color="000000"/>
            </w:tcBorders>
          </w:tcPr>
          <w:p>
            <w:pP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47,198.59</w:t>
            </w: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1.39</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1.38</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1.06</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1.04</w:t>
            </w:r>
          </w:p>
        </w:tc>
      </w:tr>
    </w:tbl>
    <w:p>
      <w:pPr>
        <w:tabs>
          <w:tab w:pos="3393" w:val="left" w:leader="none"/>
          <w:tab w:pos="7353" w:val="left" w:leader="none"/>
        </w:tabs>
        <w:spacing w:before="10"/>
        <w:ind w:left="964" w:right="303"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6"/>
        <w:rPr>
          <w:rFonts w:ascii="宋体" w:hAnsi="宋体" w:cs="宋体" w:eastAsia="宋体" w:hint="default"/>
          <w:sz w:val="21"/>
          <w:szCs w:val="21"/>
        </w:rPr>
      </w:pPr>
    </w:p>
    <w:p>
      <w:pPr>
        <w:pStyle w:val="Heading2"/>
        <w:spacing w:line="240" w:lineRule="auto"/>
        <w:ind w:right="156"/>
        <w:jc w:val="center"/>
        <w:rPr>
          <w:b w:val="0"/>
          <w:bCs w:val="0"/>
        </w:rPr>
      </w:pPr>
      <w:r>
        <w:rPr/>
        <w:t>现金流量表</w:t>
      </w:r>
      <w:r>
        <w:rPr>
          <w:b w:val="0"/>
          <w:bCs w:val="0"/>
        </w:rPr>
      </w:r>
    </w:p>
    <w:p>
      <w:pPr>
        <w:spacing w:line="240" w:lineRule="auto" w:before="12"/>
        <w:rPr>
          <w:rFonts w:ascii="宋体" w:hAnsi="宋体" w:cs="宋体" w:eastAsia="宋体" w:hint="default"/>
          <w:b/>
          <w:bCs/>
          <w:sz w:val="23"/>
          <w:szCs w:val="23"/>
        </w:rPr>
      </w:pPr>
    </w:p>
    <w:p>
      <w:pPr>
        <w:tabs>
          <w:tab w:pos="4949" w:val="left" w:leader="none"/>
          <w:tab w:pos="8024" w:val="left" w:leader="none"/>
        </w:tabs>
        <w:spacing w:before="0"/>
        <w:ind w:left="0" w:right="239" w:firstLine="0"/>
        <w:jc w:val="center"/>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6" w:space="0" w:color="DCDCDC"/>
              <w:left w:val="single" w:sz="9"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258,016,293.36</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258,016,293.36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262,074,444.19</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261,969,144.19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24,992,164.96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18,311,341.48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16,851,285.46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14,267,627.39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16,016,347.06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15,322,323.49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5,471,559.83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299,024,805.38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291,649,958.33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284,397,289.48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281,506,771.58</w:t>
            </w: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142,750,212.54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170,729,911.02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125,363,680.73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154,513,680.73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r>
        <w:rPr/>
        <w:pict>
          <v:group style="position:absolute;margin-left:56.220001pt;margin-top:71.760002pt;width:492.4pt;height:689.05pt;mso-position-horizontal-relative:page;mso-position-vertical-relative:page;z-index:-509272" coordorigin="1124,1435" coordsize="9848,13781">
            <v:group style="position:absolute;left:1139;top:1763;width:2538;height:2" coordorigin="1139,1763" coordsize="2538,2">
              <v:shape style="position:absolute;left:1139;top:1763;width:2538;height:2" coordorigin="1139,1763" coordsize="2538,0" path="m1139,1763l3677,1763e" filled="false" stroked="true" strokeweight=".1pt" strokecolor="#dcdcdc">
                <v:path arrowok="t"/>
              </v:shape>
            </v:group>
            <v:group style="position:absolute;left:1150;top:1450;width:2;height:312" coordorigin="1150,1450" coordsize="2,312">
              <v:shape style="position:absolute;left:1150;top:1450;width:2;height:312" coordorigin="1150,1450" coordsize="0,312" path="m1150,1450l1150,1762e" filled="false" stroked="true" strokeweight="1.140pt" strokecolor="#dcdcdc">
                <v:path arrowok="t"/>
              </v:shape>
            </v:group>
            <v:group style="position:absolute;left:3665;top:1450;width:2;height:314" coordorigin="3665,1450" coordsize="2,314">
              <v:shape style="position:absolute;left:3665;top:1450;width:2;height:314" coordorigin="3665,1450" coordsize="0,314" path="m3665,1450l3665,1763e" filled="false" stroked="true" strokeweight="1.140pt" strokecolor="#dcdcdc">
                <v:path arrowok="t"/>
              </v:shape>
            </v:group>
            <v:group style="position:absolute;left:1162;top:1450;width:2493;height:314" coordorigin="1162,1450" coordsize="2493,314">
              <v:shape style="position:absolute;left:1162;top:1450;width:2493;height:314" coordorigin="1162,1450" coordsize="2493,314" path="m1162,1763l3654,1763,3654,1450,1162,1450,1162,1763xe" filled="true" fillcolor="#dcdcdc" stroked="false">
                <v:path arrowok="t"/>
                <v:fill type="solid"/>
              </v:shape>
            </v:group>
            <v:group style="position:absolute;left:1129;top:1445;width:9838;height:2" coordorigin="1129,1445" coordsize="9838,2">
              <v:shape style="position:absolute;left:1129;top:1445;width:9838;height:2" coordorigin="1129,1445" coordsize="9838,0" path="m1129,1445l10967,1445e" filled="false" stroked="true" strokeweight=".48pt" strokecolor="#000000">
                <v:path arrowok="t"/>
              </v:shape>
            </v:group>
            <v:group style="position:absolute;left:3682;top:1450;width:2;height:315" coordorigin="3682,1450" coordsize="2,315">
              <v:shape style="position:absolute;left:3682;top:1450;width:2;height:315" coordorigin="3682,1450" coordsize="0,315" path="m3682,1450l3682,1764e" filled="false" stroked="true" strokeweight=".48pt" strokecolor="#000000">
                <v:path arrowok="t"/>
              </v:shape>
            </v:group>
            <v:group style="position:absolute;left:5502;top:1450;width:2;height:315" coordorigin="5502,1450" coordsize="2,315">
              <v:shape style="position:absolute;left:5502;top:1450;width:2;height:315" coordorigin="5502,1450" coordsize="0,315" path="m5502,1450l5502,1764e" filled="false" stroked="true" strokeweight=".48pt" strokecolor="#000000">
                <v:path arrowok="t"/>
              </v:shape>
            </v:group>
            <v:group style="position:absolute;left:7322;top:1450;width:2;height:315" coordorigin="7322,1450" coordsize="2,315">
              <v:shape style="position:absolute;left:7322;top:1450;width:2;height:315" coordorigin="7322,1450" coordsize="0,315" path="m7322,1450l7322,1764e" filled="false" stroked="true" strokeweight=".48pt" strokecolor="#000000">
                <v:path arrowok="t"/>
              </v:shape>
            </v:group>
            <v:group style="position:absolute;left:9142;top:1450;width:2;height:315" coordorigin="9142,1450" coordsize="2,315">
              <v:shape style="position:absolute;left:9142;top:1450;width:2;height:315" coordorigin="9142,1450" coordsize="0,315" path="m9142,1450l9142,1764e" filled="false" stroked="true" strokeweight=".48pt" strokecolor="#000000">
                <v:path arrowok="t"/>
              </v:shape>
            </v:group>
            <v:group style="position:absolute;left:1150;top:1774;width:2;height:546" coordorigin="1150,1774" coordsize="2,546">
              <v:shape style="position:absolute;left:1150;top:1774;width:2;height:546" coordorigin="1150,1774" coordsize="0,546" path="m1150,1774l1150,2320e" filled="false" stroked="true" strokeweight="1.140pt" strokecolor="#dcdcdc">
                <v:path arrowok="t"/>
              </v:shape>
            </v:group>
            <v:group style="position:absolute;left:3665;top:1774;width:2;height:546" coordorigin="3665,1774" coordsize="2,546">
              <v:shape style="position:absolute;left:3665;top:1774;width:2;height:546" coordorigin="3665,1774" coordsize="0,546" path="m3665,1774l3665,2320e" filled="false" stroked="true" strokeweight="1.140pt" strokecolor="#dcdcdc">
                <v:path arrowok="t"/>
              </v:shape>
            </v:group>
            <v:group style="position:absolute;left:1162;top:1774;width:2493;height:273" coordorigin="1162,1774" coordsize="2493,273">
              <v:shape style="position:absolute;left:1162;top:1774;width:2493;height:273" coordorigin="1162,1774" coordsize="2493,273" path="m1162,2046l3654,2046,3654,1774,1162,1774,1162,2046xe" filled="true" fillcolor="#dcdcdc" stroked="false">
                <v:path arrowok="t"/>
                <v:fill type="solid"/>
              </v:shape>
            </v:group>
            <v:group style="position:absolute;left:1162;top:2046;width:2493;height:274" coordorigin="1162,2046" coordsize="2493,274">
              <v:shape style="position:absolute;left:1162;top:2046;width:2493;height:274" coordorigin="1162,2046" coordsize="2493,274" path="m1162,2320l3654,2320,3654,2046,1162,2046,1162,2320xe" filled="true" fillcolor="#dcdcdc" stroked="false">
                <v:path arrowok="t"/>
                <v:fill type="solid"/>
              </v:shape>
            </v:group>
            <v:group style="position:absolute;left:1129;top:1769;width:9838;height:2" coordorigin="1129,1769" coordsize="9838,2">
              <v:shape style="position:absolute;left:1129;top:1769;width:9838;height:2" coordorigin="1129,1769" coordsize="9838,0" path="m1129,1769l10967,1769e" filled="false" stroked="true" strokeweight=".48pt" strokecolor="#000000">
                <v:path arrowok="t"/>
              </v:shape>
            </v:group>
            <v:group style="position:absolute;left:3682;top:1774;width:2;height:548" coordorigin="3682,1774" coordsize="2,548">
              <v:shape style="position:absolute;left:3682;top:1774;width:2;height:548" coordorigin="3682,1774" coordsize="0,548" path="m3682,1774l3682,2321e" filled="false" stroked="true" strokeweight=".48pt" strokecolor="#000000">
                <v:path arrowok="t"/>
              </v:shape>
            </v:group>
            <v:group style="position:absolute;left:5502;top:1774;width:2;height:548" coordorigin="5502,1774" coordsize="2,548">
              <v:shape style="position:absolute;left:5502;top:1774;width:2;height:548" coordorigin="5502,1774" coordsize="0,548" path="m5502,1774l5502,2321e" filled="false" stroked="true" strokeweight=".48pt" strokecolor="#000000">
                <v:path arrowok="t"/>
              </v:shape>
            </v:group>
            <v:group style="position:absolute;left:7322;top:1774;width:2;height:548" coordorigin="7322,1774" coordsize="2,548">
              <v:shape style="position:absolute;left:7322;top:1774;width:2;height:548" coordorigin="7322,1774" coordsize="0,548" path="m7322,1774l7322,2321e" filled="false" stroked="true" strokeweight=".48pt" strokecolor="#000000">
                <v:path arrowok="t"/>
              </v:shape>
            </v:group>
            <v:group style="position:absolute;left:9142;top:1774;width:2;height:548" coordorigin="9142,1774" coordsize="2,548">
              <v:shape style="position:absolute;left:9142;top:1774;width:2;height:548" coordorigin="9142,1774" coordsize="0,548" path="m9142,1774l9142,2321e" filled="false" stroked="true" strokeweight=".48pt" strokecolor="#000000">
                <v:path arrowok="t"/>
              </v:shape>
            </v:group>
            <v:group style="position:absolute;left:1150;top:2330;width:2;height:314" coordorigin="1150,2330" coordsize="2,314">
              <v:shape style="position:absolute;left:1150;top:2330;width:2;height:314" coordorigin="1150,2330" coordsize="0,314" path="m1150,2330l1150,2644e" filled="false" stroked="true" strokeweight="1.140pt" strokecolor="#dcdcdc">
                <v:path arrowok="t"/>
              </v:shape>
            </v:group>
            <v:group style="position:absolute;left:3665;top:2330;width:2;height:314" coordorigin="3665,2330" coordsize="2,314">
              <v:shape style="position:absolute;left:3665;top:2330;width:2;height:314" coordorigin="3665,2330" coordsize="0,314" path="m3665,2330l3665,2644e" filled="false" stroked="true" strokeweight="1.140pt" strokecolor="#dcdcdc">
                <v:path arrowok="t"/>
              </v:shape>
            </v:group>
            <v:group style="position:absolute;left:1162;top:2330;width:2493;height:314" coordorigin="1162,2330" coordsize="2493,314">
              <v:shape style="position:absolute;left:1162;top:2330;width:2493;height:314" coordorigin="1162,2330" coordsize="2493,314" path="m1162,2644l3654,2644,3654,2330,1162,2330,1162,2644xe" filled="true" fillcolor="#dcdcdc" stroked="false">
                <v:path arrowok="t"/>
                <v:fill type="solid"/>
              </v:shape>
            </v:group>
            <v:group style="position:absolute;left:1129;top:2326;width:9838;height:2" coordorigin="1129,2326" coordsize="9838,2">
              <v:shape style="position:absolute;left:1129;top:2326;width:9838;height:2" coordorigin="1129,2326" coordsize="9838,0" path="m1129,2326l10967,2326e" filled="false" stroked="true" strokeweight=".48pt" strokecolor="#000000">
                <v:path arrowok="t"/>
              </v:shape>
            </v:group>
            <v:group style="position:absolute;left:3682;top:2330;width:2;height:314" coordorigin="3682,2330" coordsize="2,314">
              <v:shape style="position:absolute;left:3682;top:2330;width:2;height:314" coordorigin="3682,2330" coordsize="0,314" path="m3682,2330l3682,2644e" filled="false" stroked="true" strokeweight=".48pt" strokecolor="#000000">
                <v:path arrowok="t"/>
              </v:shape>
            </v:group>
            <v:group style="position:absolute;left:5502;top:2330;width:2;height:314" coordorigin="5502,2330" coordsize="2,314">
              <v:shape style="position:absolute;left:5502;top:2330;width:2;height:314" coordorigin="5502,2330" coordsize="0,314" path="m5502,2330l5502,2644e" filled="false" stroked="true" strokeweight=".48pt" strokecolor="#000000">
                <v:path arrowok="t"/>
              </v:shape>
            </v:group>
            <v:group style="position:absolute;left:7322;top:2330;width:2;height:314" coordorigin="7322,2330" coordsize="2,314">
              <v:shape style="position:absolute;left:7322;top:2330;width:2;height:314" coordorigin="7322,2330" coordsize="0,314" path="m7322,2330l7322,2644e" filled="false" stroked="true" strokeweight=".48pt" strokecolor="#000000">
                <v:path arrowok="t"/>
              </v:shape>
            </v:group>
            <v:group style="position:absolute;left:9142;top:2330;width:2;height:314" coordorigin="9142,2330" coordsize="2,314">
              <v:shape style="position:absolute;left:9142;top:2330;width:2;height:314" coordorigin="9142,2330" coordsize="0,314" path="m9142,2330l9142,2644e" filled="false" stroked="true" strokeweight=".48pt" strokecolor="#000000">
                <v:path arrowok="t"/>
              </v:shape>
            </v:group>
            <v:group style="position:absolute;left:1150;top:2653;width:2;height:548" coordorigin="1150,2653" coordsize="2,548">
              <v:shape style="position:absolute;left:1150;top:2653;width:2;height:548" coordorigin="1150,2653" coordsize="0,548" path="m1150,2653l1150,3200e" filled="false" stroked="true" strokeweight="1.140pt" strokecolor="#dcdcdc">
                <v:path arrowok="t"/>
              </v:shape>
            </v:group>
            <v:group style="position:absolute;left:3665;top:2653;width:2;height:548" coordorigin="3665,2653" coordsize="2,548">
              <v:shape style="position:absolute;left:3665;top:2653;width:2;height:548" coordorigin="3665,2653" coordsize="0,548" path="m3665,2653l3665,3200e" filled="false" stroked="true" strokeweight="1.140pt" strokecolor="#dcdcdc">
                <v:path arrowok="t"/>
              </v:shape>
            </v:group>
            <v:group style="position:absolute;left:1162;top:2653;width:2493;height:274" coordorigin="1162,2653" coordsize="2493,274">
              <v:shape style="position:absolute;left:1162;top:2653;width:2493;height:274" coordorigin="1162,2653" coordsize="2493,274" path="m1162,2927l3654,2927,3654,2653,1162,2653,1162,2927xe" filled="true" fillcolor="#dcdcdc" stroked="false">
                <v:path arrowok="t"/>
                <v:fill type="solid"/>
              </v:shape>
            </v:group>
            <v:group style="position:absolute;left:1162;top:2927;width:2493;height:274" coordorigin="1162,2927" coordsize="2493,274">
              <v:shape style="position:absolute;left:1162;top:2927;width:2493;height:274" coordorigin="1162,2927" coordsize="2493,274" path="m1162,3200l3654,3200,3654,2927,1162,2927,1162,3200xe" filled="true" fillcolor="#dcdcdc" stroked="false">
                <v:path arrowok="t"/>
                <v:fill type="solid"/>
              </v:shape>
            </v:group>
            <v:group style="position:absolute;left:1129;top:2648;width:9838;height:2" coordorigin="1129,2648" coordsize="9838,2">
              <v:shape style="position:absolute;left:1129;top:2648;width:9838;height:2" coordorigin="1129,2648" coordsize="9838,0" path="m1129,2648l10967,2648e" filled="false" stroked="true" strokeweight=".48pt" strokecolor="#000000">
                <v:path arrowok="t"/>
              </v:shape>
            </v:group>
            <v:group style="position:absolute;left:3682;top:2653;width:2;height:548" coordorigin="3682,2653" coordsize="2,548">
              <v:shape style="position:absolute;left:3682;top:2653;width:2;height:548" coordorigin="3682,2653" coordsize="0,548" path="m3682,2653l3682,3200e" filled="false" stroked="true" strokeweight=".48pt" strokecolor="#000000">
                <v:path arrowok="t"/>
              </v:shape>
            </v:group>
            <v:group style="position:absolute;left:5502;top:2653;width:2;height:548" coordorigin="5502,2653" coordsize="2,548">
              <v:shape style="position:absolute;left:5502;top:2653;width:2;height:548" coordorigin="5502,2653" coordsize="0,548" path="m5502,2653l5502,3200e" filled="false" stroked="true" strokeweight=".48pt" strokecolor="#000000">
                <v:path arrowok="t"/>
              </v:shape>
            </v:group>
            <v:group style="position:absolute;left:7322;top:2653;width:2;height:548" coordorigin="7322,2653" coordsize="2,548">
              <v:shape style="position:absolute;left:7322;top:2653;width:2;height:548" coordorigin="7322,2653" coordsize="0,548" path="m7322,2653l7322,3200e" filled="false" stroked="true" strokeweight=".48pt" strokecolor="#000000">
                <v:path arrowok="t"/>
              </v:shape>
            </v:group>
            <v:group style="position:absolute;left:9142;top:2653;width:2;height:548" coordorigin="9142,2653" coordsize="2,548">
              <v:shape style="position:absolute;left:9142;top:2653;width:2;height:548" coordorigin="9142,2653" coordsize="0,548" path="m9142,2653l9142,3200e" filled="false" stroked="true" strokeweight=".48pt" strokecolor="#000000">
                <v:path arrowok="t"/>
              </v:shape>
            </v:group>
            <v:group style="position:absolute;left:1150;top:3212;width:2;height:312" coordorigin="1150,3212" coordsize="2,312">
              <v:shape style="position:absolute;left:1150;top:3212;width:2;height:312" coordorigin="1150,3212" coordsize="0,312" path="m1150,3212l1150,3524e" filled="false" stroked="true" strokeweight="1.140pt" strokecolor="#dcdcdc">
                <v:path arrowok="t"/>
              </v:shape>
            </v:group>
            <v:group style="position:absolute;left:3665;top:3211;width:2;height:312" coordorigin="3665,3211" coordsize="2,312">
              <v:shape style="position:absolute;left:3665;top:3211;width:2;height:312" coordorigin="3665,3211" coordsize="0,312" path="m3665,3211l3665,3523e" filled="false" stroked="true" strokeweight="1.140pt" strokecolor="#dcdcdc">
                <v:path arrowok="t"/>
              </v:shape>
            </v:group>
            <v:group style="position:absolute;left:1162;top:3210;width:2493;height:314" coordorigin="1162,3210" coordsize="2493,314">
              <v:shape style="position:absolute;left:1162;top:3210;width:2493;height:314" coordorigin="1162,3210" coordsize="2493,314" path="m1162,3523l3654,3523,3654,3210,1162,3210,1162,3523xe" filled="true" fillcolor="#dcdcdc" stroked="false">
                <v:path arrowok="t"/>
                <v:fill type="solid"/>
              </v:shape>
            </v:group>
            <v:group style="position:absolute;left:1129;top:3205;width:9838;height:2" coordorigin="1129,3205" coordsize="9838,2">
              <v:shape style="position:absolute;left:1129;top:3205;width:9838;height:2" coordorigin="1129,3205" coordsize="9838,0" path="m1129,3205l10967,3205e" filled="false" stroked="true" strokeweight=".48pt" strokecolor="#000000">
                <v:path arrowok="t"/>
              </v:shape>
            </v:group>
            <v:group style="position:absolute;left:3682;top:3210;width:2;height:315" coordorigin="3682,3210" coordsize="2,315">
              <v:shape style="position:absolute;left:3682;top:3210;width:2;height:315" coordorigin="3682,3210" coordsize="0,315" path="m3682,3210l3682,3524e" filled="false" stroked="true" strokeweight=".48pt" strokecolor="#000000">
                <v:path arrowok="t"/>
              </v:shape>
            </v:group>
            <v:group style="position:absolute;left:5502;top:3210;width:2;height:315" coordorigin="5502,3210" coordsize="2,315">
              <v:shape style="position:absolute;left:5502;top:3210;width:2;height:315" coordorigin="5502,3210" coordsize="0,315" path="m5502,3210l5502,3524e" filled="false" stroked="true" strokeweight=".48pt" strokecolor="#000000">
                <v:path arrowok="t"/>
              </v:shape>
            </v:group>
            <v:group style="position:absolute;left:7322;top:3210;width:2;height:315" coordorigin="7322,3210" coordsize="2,315">
              <v:shape style="position:absolute;left:7322;top:3210;width:2;height:315" coordorigin="7322,3210" coordsize="0,315" path="m7322,3210l7322,3524e" filled="false" stroked="true" strokeweight=".48pt" strokecolor="#000000">
                <v:path arrowok="t"/>
              </v:shape>
            </v:group>
            <v:group style="position:absolute;left:9142;top:3210;width:2;height:315" coordorigin="9142,3210" coordsize="2,315">
              <v:shape style="position:absolute;left:9142;top:3210;width:2;height:315" coordorigin="9142,3210" coordsize="0,315" path="m9142,3210l9142,3524e" filled="false" stroked="true" strokeweight=".48pt" strokecolor="#000000">
                <v:path arrowok="t"/>
              </v:shape>
            </v:group>
            <v:group style="position:absolute;left:1139;top:4081;width:2538;height:2" coordorigin="1139,4081" coordsize="2538,2">
              <v:shape style="position:absolute;left:1139;top:4081;width:2538;height:2" coordorigin="1139,4081" coordsize="2538,0" path="m1139,4081l3677,4081e" filled="false" stroked="true" strokeweight=".1pt" strokecolor="#dcdcdc">
                <v:path arrowok="t"/>
              </v:shape>
            </v:group>
            <v:group style="position:absolute;left:1150;top:3534;width:2;height:546" coordorigin="1150,3534" coordsize="2,546">
              <v:shape style="position:absolute;left:1150;top:3534;width:2;height:546" coordorigin="1150,3534" coordsize="0,546" path="m1150,3534l1150,4080e" filled="false" stroked="true" strokeweight="1.140pt" strokecolor="#dcdcdc">
                <v:path arrowok="t"/>
              </v:shape>
            </v:group>
            <v:group style="position:absolute;left:3665;top:3534;width:2;height:546" coordorigin="3665,3534" coordsize="2,546">
              <v:shape style="position:absolute;left:3665;top:3534;width:2;height:546" coordorigin="3665,3534" coordsize="0,546" path="m3665,3534l3665,4080e" filled="false" stroked="true" strokeweight="1.140pt" strokecolor="#dcdcdc">
                <v:path arrowok="t"/>
              </v:shape>
            </v:group>
            <v:group style="position:absolute;left:1162;top:3534;width:2493;height:274" coordorigin="1162,3534" coordsize="2493,274">
              <v:shape style="position:absolute;left:1162;top:3534;width:2493;height:274" coordorigin="1162,3534" coordsize="2493,274" path="m1162,3808l3654,3808,3654,3534,1162,3534,1162,3808xe" filled="true" fillcolor="#dcdcdc" stroked="false">
                <v:path arrowok="t"/>
                <v:fill type="solid"/>
              </v:shape>
            </v:group>
            <v:group style="position:absolute;left:1162;top:3808;width:2493;height:273" coordorigin="1162,3808" coordsize="2493,273">
              <v:shape style="position:absolute;left:1162;top:3808;width:2493;height:273" coordorigin="1162,3808" coordsize="2493,273" path="m1162,4080l3654,4080,3654,3808,1162,3808,1162,4080xe" filled="true" fillcolor="#dcdcdc" stroked="false">
                <v:path arrowok="t"/>
                <v:fill type="solid"/>
              </v:shape>
            </v:group>
            <v:group style="position:absolute;left:1129;top:3529;width:9838;height:2" coordorigin="1129,3529" coordsize="9838,2">
              <v:shape style="position:absolute;left:1129;top:3529;width:9838;height:2" coordorigin="1129,3529" coordsize="9838,0" path="m1129,3529l10967,3529e" filled="false" stroked="true" strokeweight=".48pt" strokecolor="#000000">
                <v:path arrowok="t"/>
              </v:shape>
            </v:group>
            <v:group style="position:absolute;left:3682;top:3534;width:2;height:548" coordorigin="3682,3534" coordsize="2,548">
              <v:shape style="position:absolute;left:3682;top:3534;width:2;height:548" coordorigin="3682,3534" coordsize="0,548" path="m3682,3534l3682,4081e" filled="false" stroked="true" strokeweight=".48pt" strokecolor="#000000">
                <v:path arrowok="t"/>
              </v:shape>
            </v:group>
            <v:group style="position:absolute;left:5502;top:3534;width:2;height:548" coordorigin="5502,3534" coordsize="2,548">
              <v:shape style="position:absolute;left:5502;top:3534;width:2;height:548" coordorigin="5502,3534" coordsize="0,548" path="m5502,3534l5502,4081e" filled="false" stroked="true" strokeweight=".48pt" strokecolor="#000000">
                <v:path arrowok="t"/>
              </v:shape>
            </v:group>
            <v:group style="position:absolute;left:7322;top:3534;width:2;height:548" coordorigin="7322,3534" coordsize="2,548">
              <v:shape style="position:absolute;left:7322;top:3534;width:2;height:548" coordorigin="7322,3534" coordsize="0,548" path="m7322,3534l7322,4081e" filled="false" stroked="true" strokeweight=".48pt" strokecolor="#000000">
                <v:path arrowok="t"/>
              </v:shape>
            </v:group>
            <v:group style="position:absolute;left:9142;top:3534;width:2;height:548" coordorigin="9142,3534" coordsize="2,548">
              <v:shape style="position:absolute;left:9142;top:3534;width:2;height:548" coordorigin="9142,3534" coordsize="0,548" path="m9142,3534l9142,4081e" filled="false" stroked="true" strokeweight=".48pt" strokecolor="#000000">
                <v:path arrowok="t"/>
              </v:shape>
            </v:group>
            <v:group style="position:absolute;left:1150;top:4091;width:2;height:314" coordorigin="1150,4091" coordsize="2,314">
              <v:shape style="position:absolute;left:1150;top:4091;width:2;height:314" coordorigin="1150,4091" coordsize="0,314" path="m1150,4091l1150,4404e" filled="false" stroked="true" strokeweight="1.140pt" strokecolor="#dcdcdc">
                <v:path arrowok="t"/>
              </v:shape>
            </v:group>
            <v:group style="position:absolute;left:3665;top:4091;width:2;height:314" coordorigin="3665,4091" coordsize="2,314">
              <v:shape style="position:absolute;left:3665;top:4091;width:2;height:314" coordorigin="3665,4091" coordsize="0,314" path="m3665,4091l3665,4404e" filled="false" stroked="true" strokeweight="1.140pt" strokecolor="#dcdcdc">
                <v:path arrowok="t"/>
              </v:shape>
            </v:group>
            <v:group style="position:absolute;left:1162;top:4091;width:2493;height:314" coordorigin="1162,4091" coordsize="2493,314">
              <v:shape style="position:absolute;left:1162;top:4091;width:2493;height:314" coordorigin="1162,4091" coordsize="2493,314" path="m1162,4404l3654,4404,3654,4091,1162,4091,1162,4404xe" filled="true" fillcolor="#dcdcdc" stroked="false">
                <v:path arrowok="t"/>
                <v:fill type="solid"/>
              </v:shape>
            </v:group>
            <v:group style="position:absolute;left:3686;top:4397;width:1811;height:2" coordorigin="3686,4397" coordsize="1811,2">
              <v:shape style="position:absolute;left:3686;top:4397;width:1811;height:2" coordorigin="3686,4397" coordsize="1811,0" path="m3686,4397l5497,4397e" filled="false" stroked="true" strokeweight=".7pt" strokecolor="#dcdcdc">
                <v:path arrowok="t"/>
              </v:shape>
            </v:group>
            <v:group style="position:absolute;left:3698;top:4104;width:2;height:286" coordorigin="3698,4104" coordsize="2,286">
              <v:shape style="position:absolute;left:3698;top:4104;width:2;height:286" coordorigin="3698,4104" coordsize="0,286" path="m3698,4104l3698,4390e" filled="false" stroked="true" strokeweight="1.2pt" strokecolor="#dcdcdc">
                <v:path arrowok="t"/>
              </v:shape>
            </v:group>
            <v:group style="position:absolute;left:3686;top:4097;width:1811;height:2" coordorigin="3686,4097" coordsize="1811,2">
              <v:shape style="position:absolute;left:3686;top:4097;width:1811;height:2" coordorigin="3686,4097" coordsize="1811,0" path="m3686,4097l5497,4097e" filled="false" stroked="true" strokeweight=".7pt" strokecolor="#dcdcdc">
                <v:path arrowok="t"/>
              </v:shape>
            </v:group>
            <v:group style="position:absolute;left:5486;top:4104;width:2;height:287" coordorigin="5486,4104" coordsize="2,287">
              <v:shape style="position:absolute;left:5486;top:4104;width:2;height:287" coordorigin="5486,4104" coordsize="0,287" path="m5486,4104l5486,4391e" filled="false" stroked="true" strokeweight="1.140pt" strokecolor="#dcdcdc">
                <v:path arrowok="t"/>
              </v:shape>
            </v:group>
            <v:group style="position:absolute;left:3710;top:4104;width:1764;height:287" coordorigin="3710,4104" coordsize="1764,287">
              <v:shape style="position:absolute;left:3710;top:4104;width:1764;height:287" coordorigin="3710,4104" coordsize="1764,287" path="m3710,4391l5474,4391,5474,4104,3710,4104,3710,4391xe" filled="true" fillcolor="#dcdcdc" stroked="false">
                <v:path arrowok="t"/>
                <v:fill type="solid"/>
              </v:shape>
            </v:group>
            <v:group style="position:absolute;left:5507;top:4397;width:1811;height:2" coordorigin="5507,4397" coordsize="1811,2">
              <v:shape style="position:absolute;left:5507;top:4397;width:1811;height:2" coordorigin="5507,4397" coordsize="1811,0" path="m5507,4397l7318,4397e" filled="false" stroked="true" strokeweight=".7pt" strokecolor="#dcdcdc">
                <v:path arrowok="t"/>
              </v:shape>
            </v:group>
            <v:group style="position:absolute;left:5518;top:4104;width:2;height:286" coordorigin="5518,4104" coordsize="2,286">
              <v:shape style="position:absolute;left:5518;top:4104;width:2;height:286" coordorigin="5518,4104" coordsize="0,286" path="m5518,4104l5518,4390e" filled="false" stroked="true" strokeweight="1.140pt" strokecolor="#dcdcdc">
                <v:path arrowok="t"/>
              </v:shape>
            </v:group>
            <v:group style="position:absolute;left:5507;top:4097;width:1811;height:2" coordorigin="5507,4097" coordsize="1811,2">
              <v:shape style="position:absolute;left:5507;top:4097;width:1811;height:2" coordorigin="5507,4097" coordsize="1811,0" path="m5507,4097l7318,4097e" filled="false" stroked="true" strokeweight=".7pt" strokecolor="#dcdcdc">
                <v:path arrowok="t"/>
              </v:shape>
            </v:group>
            <v:group style="position:absolute;left:7306;top:4104;width:2;height:287" coordorigin="7306,4104" coordsize="2,287">
              <v:shape style="position:absolute;left:7306;top:4104;width:2;height:287" coordorigin="7306,4104" coordsize="0,287" path="m7306,4104l7306,4391e" filled="false" stroked="true" strokeweight="1.2pt" strokecolor="#dcdcdc">
                <v:path arrowok="t"/>
              </v:shape>
            </v:group>
            <v:group style="position:absolute;left:5530;top:4104;width:1764;height:287" coordorigin="5530,4104" coordsize="1764,287">
              <v:shape style="position:absolute;left:5530;top:4104;width:1764;height:287" coordorigin="5530,4104" coordsize="1764,287" path="m5530,4391l7294,4391,7294,4104,5530,4104,5530,4391xe" filled="true" fillcolor="#dcdcdc" stroked="false">
                <v:path arrowok="t"/>
                <v:fill type="solid"/>
              </v:shape>
            </v:group>
            <v:group style="position:absolute;left:7327;top:4397;width:1810;height:2" coordorigin="7327,4397" coordsize="1810,2">
              <v:shape style="position:absolute;left:7327;top:4397;width:1810;height:2" coordorigin="7327,4397" coordsize="1810,0" path="m7327,4397l9137,4397e" filled="false" stroked="true" strokeweight=".7pt" strokecolor="#dcdcdc">
                <v:path arrowok="t"/>
              </v:shape>
            </v:group>
            <v:group style="position:absolute;left:7339;top:4104;width:2;height:286" coordorigin="7339,4104" coordsize="2,286">
              <v:shape style="position:absolute;left:7339;top:4104;width:2;height:286" coordorigin="7339,4104" coordsize="0,286" path="m7339,4104l7339,4390e" filled="false" stroked="true" strokeweight="1.140pt" strokecolor="#dcdcdc">
                <v:path arrowok="t"/>
              </v:shape>
            </v:group>
            <v:group style="position:absolute;left:7327;top:4097;width:1810;height:2" coordorigin="7327,4097" coordsize="1810,2">
              <v:shape style="position:absolute;left:7327;top:4097;width:1810;height:2" coordorigin="7327,4097" coordsize="1810,0" path="m7327,4097l9137,4097e" filled="false" stroked="true" strokeweight=".7pt" strokecolor="#dcdcdc">
                <v:path arrowok="t"/>
              </v:shape>
            </v:group>
            <v:group style="position:absolute;left:9125;top:4104;width:2;height:287" coordorigin="9125,4104" coordsize="2,287">
              <v:shape style="position:absolute;left:9125;top:4104;width:2;height:287" coordorigin="9125,4104" coordsize="0,287" path="m9125,4104l9125,4391e" filled="false" stroked="true" strokeweight="1.140pt" strokecolor="#dcdcdc">
                <v:path arrowok="t"/>
              </v:shape>
            </v:group>
            <v:group style="position:absolute;left:7350;top:4104;width:1764;height:287" coordorigin="7350,4104" coordsize="1764,287">
              <v:shape style="position:absolute;left:7350;top:4104;width:1764;height:287" coordorigin="7350,4104" coordsize="1764,287" path="m7350,4104l9114,4104,9114,4391,7350,4391,7350,4104xe" filled="true" fillcolor="#dcdcdc" stroked="false">
                <v:path arrowok="t"/>
                <v:fill type="solid"/>
              </v:shape>
            </v:group>
            <v:group style="position:absolute;left:9146;top:4397;width:1811;height:2" coordorigin="9146,4397" coordsize="1811,2">
              <v:shape style="position:absolute;left:9146;top:4397;width:1811;height:2" coordorigin="9146,4397" coordsize="1811,0" path="m9146,4397l10957,4397e" filled="false" stroked="true" strokeweight=".7pt" strokecolor="#dcdcdc">
                <v:path arrowok="t"/>
              </v:shape>
            </v:group>
            <v:group style="position:absolute;left:9158;top:4104;width:2;height:286" coordorigin="9158,4104" coordsize="2,286">
              <v:shape style="position:absolute;left:9158;top:4104;width:2;height:286" coordorigin="9158,4104" coordsize="0,286" path="m9158,4104l9158,4390e" filled="false" stroked="true" strokeweight="1.2pt" strokecolor="#dcdcdc">
                <v:path arrowok="t"/>
              </v:shape>
            </v:group>
            <v:group style="position:absolute;left:9146;top:4097;width:1811;height:2" coordorigin="9146,4097" coordsize="1811,2">
              <v:shape style="position:absolute;left:9146;top:4097;width:1811;height:2" coordorigin="9146,4097" coordsize="1811,0" path="m9146,4097l10957,4097e" filled="false" stroked="true" strokeweight=".7pt" strokecolor="#dcdcdc">
                <v:path arrowok="t"/>
              </v:shape>
            </v:group>
            <v:group style="position:absolute;left:10946;top:4104;width:2;height:287" coordorigin="10946,4104" coordsize="2,287">
              <v:shape style="position:absolute;left:10946;top:4104;width:2;height:287" coordorigin="10946,4104" coordsize="0,287" path="m10946,4104l10946,4391e" filled="false" stroked="true" strokeweight="1.140pt" strokecolor="#dcdcdc">
                <v:path arrowok="t"/>
              </v:shape>
            </v:group>
            <v:group style="position:absolute;left:9170;top:4104;width:1764;height:287" coordorigin="9170,4104" coordsize="1764,287">
              <v:shape style="position:absolute;left:9170;top:4104;width:1764;height:287" coordorigin="9170,4104" coordsize="1764,287" path="m9170,4391l10934,4391,10934,4104,9170,4104,9170,4391xe" filled="true" fillcolor="#dcdcdc" stroked="false">
                <v:path arrowok="t"/>
                <v:fill type="solid"/>
              </v:shape>
            </v:group>
            <v:group style="position:absolute;left:1129;top:4086;width:9838;height:2" coordorigin="1129,4086" coordsize="9838,2">
              <v:shape style="position:absolute;left:1129;top:4086;width:9838;height:2" coordorigin="1129,4086" coordsize="9838,0" path="m1129,4086l10967,4086e" filled="false" stroked="true" strokeweight=".48pt" strokecolor="#000000">
                <v:path arrowok="t"/>
              </v:shape>
            </v:group>
            <v:group style="position:absolute;left:3682;top:4091;width:2;height:314" coordorigin="3682,4091" coordsize="2,314">
              <v:shape style="position:absolute;left:3682;top:4091;width:2;height:314" coordorigin="3682,4091" coordsize="0,314" path="m3682,4091l3682,4404e" filled="false" stroked="true" strokeweight=".48pt" strokecolor="#000000">
                <v:path arrowok="t"/>
              </v:shape>
            </v:group>
            <v:group style="position:absolute;left:5502;top:4091;width:2;height:314" coordorigin="5502,4091" coordsize="2,314">
              <v:shape style="position:absolute;left:5502;top:4091;width:2;height:314" coordorigin="5502,4091" coordsize="0,314" path="m5502,4091l5502,4404e" filled="false" stroked="true" strokeweight=".48pt" strokecolor="#000000">
                <v:path arrowok="t"/>
              </v:shape>
            </v:group>
            <v:group style="position:absolute;left:7322;top:4091;width:2;height:314" coordorigin="7322,4091" coordsize="2,314">
              <v:shape style="position:absolute;left:7322;top:4091;width:2;height:314" coordorigin="7322,4091" coordsize="0,314" path="m7322,4091l7322,4404e" filled="false" stroked="true" strokeweight=".48pt" strokecolor="#000000">
                <v:path arrowok="t"/>
              </v:shape>
            </v:group>
            <v:group style="position:absolute;left:9142;top:4091;width:2;height:314" coordorigin="9142,4091" coordsize="2,314">
              <v:shape style="position:absolute;left:9142;top:4091;width:2;height:314" coordorigin="9142,4091" coordsize="0,314" path="m9142,4091l9142,4404e" filled="false" stroked="true" strokeweight=".48pt" strokecolor="#000000">
                <v:path arrowok="t"/>
              </v:shape>
            </v:group>
            <v:group style="position:absolute;left:1150;top:4415;width:2;height:314" coordorigin="1150,4415" coordsize="2,314">
              <v:shape style="position:absolute;left:1150;top:4415;width:2;height:314" coordorigin="1150,4415" coordsize="0,314" path="m1150,4415l1150,4728e" filled="false" stroked="true" strokeweight="1.140pt" strokecolor="#dcdcdc">
                <v:path arrowok="t"/>
              </v:shape>
            </v:group>
            <v:group style="position:absolute;left:3665;top:4415;width:2;height:314" coordorigin="3665,4415" coordsize="2,314">
              <v:shape style="position:absolute;left:3665;top:4415;width:2;height:314" coordorigin="3665,4415" coordsize="0,314" path="m3665,4415l3665,4728e" filled="false" stroked="true" strokeweight="1.140pt" strokecolor="#dcdcdc">
                <v:path arrowok="t"/>
              </v:shape>
            </v:group>
            <v:group style="position:absolute;left:1162;top:4414;width:2493;height:315" coordorigin="1162,4414" coordsize="2493,315">
              <v:shape style="position:absolute;left:1162;top:4414;width:2493;height:315" coordorigin="1162,4414" coordsize="2493,315" path="m1162,4728l3654,4728,3654,4414,1162,4414,1162,4728xe" filled="true" fillcolor="#dcdcdc" stroked="false">
                <v:path arrowok="t"/>
                <v:fill type="solid"/>
              </v:shape>
            </v:group>
            <v:group style="position:absolute;left:1129;top:4409;width:9838;height:2" coordorigin="1129,4409" coordsize="9838,2">
              <v:shape style="position:absolute;left:1129;top:4409;width:9838;height:2" coordorigin="1129,4409" coordsize="9838,0" path="m1129,4409l10967,4409e" filled="false" stroked="true" strokeweight=".48pt" strokecolor="#000000">
                <v:path arrowok="t"/>
              </v:shape>
            </v:group>
            <v:group style="position:absolute;left:3682;top:4414;width:2;height:315" coordorigin="3682,4414" coordsize="2,315">
              <v:shape style="position:absolute;left:3682;top:4414;width:2;height:315" coordorigin="3682,4414" coordsize="0,315" path="m3682,4414l3682,4728e" filled="false" stroked="true" strokeweight=".48pt" strokecolor="#000000">
                <v:path arrowok="t"/>
              </v:shape>
            </v:group>
            <v:group style="position:absolute;left:5502;top:4414;width:2;height:315" coordorigin="5502,4414" coordsize="2,315">
              <v:shape style="position:absolute;left:5502;top:4414;width:2;height:315" coordorigin="5502,4414" coordsize="0,315" path="m5502,4414l5502,4728e" filled="false" stroked="true" strokeweight=".48pt" strokecolor="#000000">
                <v:path arrowok="t"/>
              </v:shape>
            </v:group>
            <v:group style="position:absolute;left:7322;top:4414;width:2;height:315" coordorigin="7322,4414" coordsize="2,315">
              <v:shape style="position:absolute;left:7322;top:4414;width:2;height:315" coordorigin="7322,4414" coordsize="0,315" path="m7322,4414l7322,4728e" filled="false" stroked="true" strokeweight=".48pt" strokecolor="#000000">
                <v:path arrowok="t"/>
              </v:shape>
            </v:group>
            <v:group style="position:absolute;left:9142;top:4414;width:2;height:315" coordorigin="9142,4414" coordsize="2,315">
              <v:shape style="position:absolute;left:9142;top:4414;width:2;height:315" coordorigin="9142,4414" coordsize="0,315" path="m9142,4414l9142,4728e" filled="false" stroked="true" strokeweight=".48pt" strokecolor="#000000">
                <v:path arrowok="t"/>
              </v:shape>
            </v:group>
            <v:group style="position:absolute;left:1150;top:4738;width:2;height:314" coordorigin="1150,4738" coordsize="2,314">
              <v:shape style="position:absolute;left:1150;top:4738;width:2;height:314" coordorigin="1150,4738" coordsize="0,314" path="m1150,4738l1150,5051e" filled="false" stroked="true" strokeweight="1.140pt" strokecolor="#dcdcdc">
                <v:path arrowok="t"/>
              </v:shape>
            </v:group>
            <v:group style="position:absolute;left:3665;top:4738;width:2;height:314" coordorigin="3665,4738" coordsize="2,314">
              <v:shape style="position:absolute;left:3665;top:4738;width:2;height:314" coordorigin="3665,4738" coordsize="0,314" path="m3665,4738l3665,5051e" filled="false" stroked="true" strokeweight="1.140pt" strokecolor="#dcdcdc">
                <v:path arrowok="t"/>
              </v:shape>
            </v:group>
            <v:group style="position:absolute;left:1162;top:4738;width:2493;height:314" coordorigin="1162,4738" coordsize="2493,314">
              <v:shape style="position:absolute;left:1162;top:4738;width:2493;height:314" coordorigin="1162,4738" coordsize="2493,314" path="m1162,5051l3654,5051,3654,4738,1162,4738,1162,5051xe" filled="true" fillcolor="#dcdcdc" stroked="false">
                <v:path arrowok="t"/>
                <v:fill type="solid"/>
              </v:shape>
            </v:group>
            <v:group style="position:absolute;left:1129;top:4733;width:9838;height:2" coordorigin="1129,4733" coordsize="9838,2">
              <v:shape style="position:absolute;left:1129;top:4733;width:9838;height:2" coordorigin="1129,4733" coordsize="9838,0" path="m1129,4733l10967,4733e" filled="false" stroked="true" strokeweight=".48pt" strokecolor="#000000">
                <v:path arrowok="t"/>
              </v:shape>
            </v:group>
            <v:group style="position:absolute;left:3682;top:4738;width:2;height:314" coordorigin="3682,4738" coordsize="2,314">
              <v:shape style="position:absolute;left:3682;top:4738;width:2;height:314" coordorigin="3682,4738" coordsize="0,314" path="m3682,4738l3682,5051e" filled="false" stroked="true" strokeweight=".48pt" strokecolor="#000000">
                <v:path arrowok="t"/>
              </v:shape>
            </v:group>
            <v:group style="position:absolute;left:5502;top:4738;width:2;height:314" coordorigin="5502,4738" coordsize="2,314">
              <v:shape style="position:absolute;left:5502;top:4738;width:2;height:314" coordorigin="5502,4738" coordsize="0,314" path="m5502,4738l5502,5051e" filled="false" stroked="true" strokeweight=".48pt" strokecolor="#000000">
                <v:path arrowok="t"/>
              </v:shape>
            </v:group>
            <v:group style="position:absolute;left:7322;top:4738;width:2;height:314" coordorigin="7322,4738" coordsize="2,314">
              <v:shape style="position:absolute;left:7322;top:4738;width:2;height:314" coordorigin="7322,4738" coordsize="0,314" path="m7322,4738l7322,5051e" filled="false" stroked="true" strokeweight=".48pt" strokecolor="#000000">
                <v:path arrowok="t"/>
              </v:shape>
            </v:group>
            <v:group style="position:absolute;left:9142;top:4738;width:2;height:314" coordorigin="9142,4738" coordsize="2,314">
              <v:shape style="position:absolute;left:9142;top:4738;width:2;height:314" coordorigin="9142,4738" coordsize="0,314" path="m9142,4738l9142,5051e" filled="false" stroked="true" strokeweight=".48pt" strokecolor="#000000">
                <v:path arrowok="t"/>
              </v:shape>
            </v:group>
            <v:group style="position:absolute;left:1150;top:5062;width:2;height:546" coordorigin="1150,5062" coordsize="2,546">
              <v:shape style="position:absolute;left:1150;top:5062;width:2;height:546" coordorigin="1150,5062" coordsize="0,546" path="m1150,5062l1150,5608e" filled="false" stroked="true" strokeweight="1.140pt" strokecolor="#dcdcdc">
                <v:path arrowok="t"/>
              </v:shape>
            </v:group>
            <v:group style="position:absolute;left:3665;top:5062;width:2;height:546" coordorigin="3665,5062" coordsize="2,546">
              <v:shape style="position:absolute;left:3665;top:5062;width:2;height:546" coordorigin="3665,5062" coordsize="0,546" path="m3665,5062l3665,5608e" filled="false" stroked="true" strokeweight="1.140pt" strokecolor="#dcdcdc">
                <v:path arrowok="t"/>
              </v:shape>
            </v:group>
            <v:group style="position:absolute;left:1162;top:5060;width:2493;height:274" coordorigin="1162,5060" coordsize="2493,274">
              <v:shape style="position:absolute;left:1162;top:5060;width:2493;height:274" coordorigin="1162,5060" coordsize="2493,274" path="m1162,5334l3654,5334,3654,5060,1162,5060,1162,5334xe" filled="true" fillcolor="#dcdcdc" stroked="false">
                <v:path arrowok="t"/>
                <v:fill type="solid"/>
              </v:shape>
            </v:group>
            <v:group style="position:absolute;left:1162;top:5334;width:2493;height:274" coordorigin="1162,5334" coordsize="2493,274">
              <v:shape style="position:absolute;left:1162;top:5334;width:2493;height:274" coordorigin="1162,5334" coordsize="2493,274" path="m1162,5608l3654,5608,3654,5334,1162,5334,1162,5608xe" filled="true" fillcolor="#dcdcdc" stroked="false">
                <v:path arrowok="t"/>
                <v:fill type="solid"/>
              </v:shape>
            </v:group>
            <v:group style="position:absolute;left:1129;top:5056;width:9838;height:2" coordorigin="1129,5056" coordsize="9838,2">
              <v:shape style="position:absolute;left:1129;top:5056;width:9838;height:2" coordorigin="1129,5056" coordsize="9838,0" path="m1129,5056l10967,5056e" filled="false" stroked="true" strokeweight=".48pt" strokecolor="#000000">
                <v:path arrowok="t"/>
              </v:shape>
            </v:group>
            <v:group style="position:absolute;left:3682;top:5060;width:2;height:548" coordorigin="3682,5060" coordsize="2,548">
              <v:shape style="position:absolute;left:3682;top:5060;width:2;height:548" coordorigin="3682,5060" coordsize="0,548" path="m3682,5060l3682,5608e" filled="false" stroked="true" strokeweight=".48pt" strokecolor="#000000">
                <v:path arrowok="t"/>
              </v:shape>
            </v:group>
            <v:group style="position:absolute;left:5502;top:5060;width:2;height:548" coordorigin="5502,5060" coordsize="2,548">
              <v:shape style="position:absolute;left:5502;top:5060;width:2;height:548" coordorigin="5502,5060" coordsize="0,548" path="m5502,5060l5502,5608e" filled="false" stroked="true" strokeweight=".48pt" strokecolor="#000000">
                <v:path arrowok="t"/>
              </v:shape>
            </v:group>
            <v:group style="position:absolute;left:7322;top:5060;width:2;height:548" coordorigin="7322,5060" coordsize="2,548">
              <v:shape style="position:absolute;left:7322;top:5060;width:2;height:548" coordorigin="7322,5060" coordsize="0,548" path="m7322,5060l7322,5608e" filled="false" stroked="true" strokeweight=".48pt" strokecolor="#000000">
                <v:path arrowok="t"/>
              </v:shape>
            </v:group>
            <v:group style="position:absolute;left:9142;top:5060;width:2;height:548" coordorigin="9142,5060" coordsize="2,548">
              <v:shape style="position:absolute;left:9142;top:5060;width:2;height:548" coordorigin="9142,5060" coordsize="0,548" path="m9142,5060l9142,5608e" filled="false" stroked="true" strokeweight=".48pt" strokecolor="#000000">
                <v:path arrowok="t"/>
              </v:shape>
            </v:group>
            <v:group style="position:absolute;left:1139;top:6165;width:2538;height:2" coordorigin="1139,6165" coordsize="2538,2">
              <v:shape style="position:absolute;left:1139;top:6165;width:2538;height:2" coordorigin="1139,6165" coordsize="2538,0" path="m1139,6165l3677,6165e" filled="false" stroked="true" strokeweight=".1pt" strokecolor="#dcdcdc">
                <v:path arrowok="t"/>
              </v:shape>
            </v:group>
            <v:group style="position:absolute;left:1150;top:5618;width:2;height:546" coordorigin="1150,5618" coordsize="2,546">
              <v:shape style="position:absolute;left:1150;top:5618;width:2;height:546" coordorigin="1150,5618" coordsize="0,546" path="m1150,5618l1150,6164e" filled="false" stroked="true" strokeweight="1.140pt" strokecolor="#dcdcdc">
                <v:path arrowok="t"/>
              </v:shape>
            </v:group>
            <v:group style="position:absolute;left:3665;top:5618;width:2;height:546" coordorigin="3665,5618" coordsize="2,546">
              <v:shape style="position:absolute;left:3665;top:5618;width:2;height:546" coordorigin="3665,5618" coordsize="0,546" path="m3665,5618l3665,6164e" filled="false" stroked="true" strokeweight="1.140pt" strokecolor="#dcdcdc">
                <v:path arrowok="t"/>
              </v:shape>
            </v:group>
            <v:group style="position:absolute;left:1162;top:5617;width:2493;height:274" coordorigin="1162,5617" coordsize="2493,274">
              <v:shape style="position:absolute;left:1162;top:5617;width:2493;height:274" coordorigin="1162,5617" coordsize="2493,274" path="m1162,5891l3654,5891,3654,5617,1162,5617,1162,5891xe" filled="true" fillcolor="#dcdcdc" stroked="false">
                <v:path arrowok="t"/>
                <v:fill type="solid"/>
              </v:shape>
            </v:group>
            <v:group style="position:absolute;left:1162;top:5891;width:2493;height:274" coordorigin="1162,5891" coordsize="2493,274">
              <v:shape style="position:absolute;left:1162;top:5891;width:2493;height:274" coordorigin="1162,5891" coordsize="2493,274" path="m1162,6164l3654,6164,3654,5891,1162,5891,1162,6164xe" filled="true" fillcolor="#dcdcdc" stroked="false">
                <v:path arrowok="t"/>
                <v:fill type="solid"/>
              </v:shape>
            </v:group>
            <v:group style="position:absolute;left:1129;top:5612;width:9838;height:2" coordorigin="1129,5612" coordsize="9838,2">
              <v:shape style="position:absolute;left:1129;top:5612;width:9838;height:2" coordorigin="1129,5612" coordsize="9838,0" path="m1129,5612l10967,5612e" filled="false" stroked="true" strokeweight=".48pt" strokecolor="#000000">
                <v:path arrowok="t"/>
              </v:shape>
            </v:group>
            <v:group style="position:absolute;left:3682;top:5617;width:2;height:549" coordorigin="3682,5617" coordsize="2,549">
              <v:shape style="position:absolute;left:3682;top:5617;width:2;height:549" coordorigin="3682,5617" coordsize="0,549" path="m3682,5617l3682,6166e" filled="false" stroked="true" strokeweight=".48pt" strokecolor="#000000">
                <v:path arrowok="t"/>
              </v:shape>
            </v:group>
            <v:group style="position:absolute;left:5502;top:5617;width:2;height:549" coordorigin="5502,5617" coordsize="2,549">
              <v:shape style="position:absolute;left:5502;top:5617;width:2;height:549" coordorigin="5502,5617" coordsize="0,549" path="m5502,5617l5502,6166e" filled="false" stroked="true" strokeweight=".48pt" strokecolor="#000000">
                <v:path arrowok="t"/>
              </v:shape>
            </v:group>
            <v:group style="position:absolute;left:7322;top:5617;width:2;height:549" coordorigin="7322,5617" coordsize="2,549">
              <v:shape style="position:absolute;left:7322;top:5617;width:2;height:549" coordorigin="7322,5617" coordsize="0,549" path="m7322,5617l7322,6166e" filled="false" stroked="true" strokeweight=".48pt" strokecolor="#000000">
                <v:path arrowok="t"/>
              </v:shape>
            </v:group>
            <v:group style="position:absolute;left:9142;top:5617;width:2;height:549" coordorigin="9142,5617" coordsize="2,549">
              <v:shape style="position:absolute;left:9142;top:5617;width:2;height:549" coordorigin="9142,5617" coordsize="0,549" path="m9142,5617l9142,6166e" filled="false" stroked="true" strokeweight=".48pt" strokecolor="#000000">
                <v:path arrowok="t"/>
              </v:shape>
            </v:group>
            <v:group style="position:absolute;left:1150;top:6176;width:2;height:546" coordorigin="1150,6176" coordsize="2,546">
              <v:shape style="position:absolute;left:1150;top:6176;width:2;height:546" coordorigin="1150,6176" coordsize="0,546" path="m1150,6176l1150,6722e" filled="false" stroked="true" strokeweight="1.140pt" strokecolor="#dcdcdc">
                <v:path arrowok="t"/>
              </v:shape>
            </v:group>
            <v:group style="position:absolute;left:3665;top:6175;width:2;height:546" coordorigin="3665,6175" coordsize="2,546">
              <v:shape style="position:absolute;left:3665;top:6175;width:2;height:546" coordorigin="3665,6175" coordsize="0,546" path="m3665,6175l3665,6721e" filled="false" stroked="true" strokeweight="1.140pt" strokecolor="#dcdcdc">
                <v:path arrowok="t"/>
              </v:shape>
            </v:group>
            <v:group style="position:absolute;left:1162;top:6174;width:2493;height:274" coordorigin="1162,6174" coordsize="2493,274">
              <v:shape style="position:absolute;left:1162;top:6174;width:2493;height:274" coordorigin="1162,6174" coordsize="2493,274" path="m1162,6448l3654,6448,3654,6174,1162,6174,1162,6448xe" filled="true" fillcolor="#dcdcdc" stroked="false">
                <v:path arrowok="t"/>
                <v:fill type="solid"/>
              </v:shape>
            </v:group>
            <v:group style="position:absolute;left:1162;top:6448;width:2493;height:274" coordorigin="1162,6448" coordsize="2493,274">
              <v:shape style="position:absolute;left:1162;top:6448;width:2493;height:274" coordorigin="1162,6448" coordsize="2493,274" path="m1162,6721l3654,6721,3654,6448,1162,6448,1162,6721xe" filled="true" fillcolor="#dcdcdc" stroked="false">
                <v:path arrowok="t"/>
                <v:fill type="solid"/>
              </v:shape>
            </v:group>
            <v:group style="position:absolute;left:1129;top:6170;width:9838;height:2" coordorigin="1129,6170" coordsize="9838,2">
              <v:shape style="position:absolute;left:1129;top:6170;width:9838;height:2" coordorigin="1129,6170" coordsize="9838,0" path="m1129,6170l10967,6170e" filled="false" stroked="true" strokeweight=".48pt" strokecolor="#000000">
                <v:path arrowok="t"/>
              </v:shape>
            </v:group>
            <v:group style="position:absolute;left:3682;top:6175;width:2;height:548" coordorigin="3682,6175" coordsize="2,548">
              <v:shape style="position:absolute;left:3682;top:6175;width:2;height:548" coordorigin="3682,6175" coordsize="0,548" path="m3682,6175l3682,6722e" filled="false" stroked="true" strokeweight=".48pt" strokecolor="#000000">
                <v:path arrowok="t"/>
              </v:shape>
            </v:group>
            <v:group style="position:absolute;left:5502;top:6175;width:2;height:548" coordorigin="5502,6175" coordsize="2,548">
              <v:shape style="position:absolute;left:5502;top:6175;width:2;height:548" coordorigin="5502,6175" coordsize="0,548" path="m5502,6175l5502,6722e" filled="false" stroked="true" strokeweight=".48pt" strokecolor="#000000">
                <v:path arrowok="t"/>
              </v:shape>
            </v:group>
            <v:group style="position:absolute;left:7322;top:6175;width:2;height:548" coordorigin="7322,6175" coordsize="2,548">
              <v:shape style="position:absolute;left:7322;top:6175;width:2;height:548" coordorigin="7322,6175" coordsize="0,548" path="m7322,6175l7322,6722e" filled="false" stroked="true" strokeweight=".48pt" strokecolor="#000000">
                <v:path arrowok="t"/>
              </v:shape>
            </v:group>
            <v:group style="position:absolute;left:9142;top:6175;width:2;height:548" coordorigin="9142,6175" coordsize="2,548">
              <v:shape style="position:absolute;left:9142;top:6175;width:2;height:548" coordorigin="9142,6175" coordsize="0,548" path="m9142,6175l9142,6722e" filled="false" stroked="true" strokeweight=".48pt" strokecolor="#000000">
                <v:path arrowok="t"/>
              </v:shape>
            </v:group>
            <v:group style="position:absolute;left:1150;top:6732;width:2;height:314" coordorigin="1150,6732" coordsize="2,314">
              <v:shape style="position:absolute;left:1150;top:6732;width:2;height:314" coordorigin="1150,6732" coordsize="0,314" path="m1150,6732l1150,7045e" filled="false" stroked="true" strokeweight="1.140pt" strokecolor="#dcdcdc">
                <v:path arrowok="t"/>
              </v:shape>
            </v:group>
            <v:group style="position:absolute;left:3665;top:6732;width:2;height:314" coordorigin="3665,6732" coordsize="2,314">
              <v:shape style="position:absolute;left:3665;top:6732;width:2;height:314" coordorigin="3665,6732" coordsize="0,314" path="m3665,6732l3665,7045e" filled="false" stroked="true" strokeweight="1.140pt" strokecolor="#dcdcdc">
                <v:path arrowok="t"/>
              </v:shape>
            </v:group>
            <v:group style="position:absolute;left:1162;top:6732;width:2493;height:314" coordorigin="1162,6732" coordsize="2493,314">
              <v:shape style="position:absolute;left:1162;top:6732;width:2493;height:314" coordorigin="1162,6732" coordsize="2493,314" path="m1162,7045l3654,7045,3654,6732,1162,6732,1162,7045xe" filled="true" fillcolor="#dcdcdc" stroked="false">
                <v:path arrowok="t"/>
                <v:fill type="solid"/>
              </v:shape>
            </v:group>
            <v:group style="position:absolute;left:1129;top:6727;width:9838;height:2" coordorigin="1129,6727" coordsize="9838,2">
              <v:shape style="position:absolute;left:1129;top:6727;width:9838;height:2" coordorigin="1129,6727" coordsize="9838,0" path="m1129,6727l10967,6727e" filled="false" stroked="true" strokeweight=".48pt" strokecolor="#000000">
                <v:path arrowok="t"/>
              </v:shape>
            </v:group>
            <v:group style="position:absolute;left:3682;top:6732;width:2;height:314" coordorigin="3682,6732" coordsize="2,314">
              <v:shape style="position:absolute;left:3682;top:6732;width:2;height:314" coordorigin="3682,6732" coordsize="0,314" path="m3682,6732l3682,7045e" filled="false" stroked="true" strokeweight=".48pt" strokecolor="#000000">
                <v:path arrowok="t"/>
              </v:shape>
            </v:group>
            <v:group style="position:absolute;left:5502;top:6732;width:2;height:314" coordorigin="5502,6732" coordsize="2,314">
              <v:shape style="position:absolute;left:5502;top:6732;width:2;height:314" coordorigin="5502,6732" coordsize="0,314" path="m5502,6732l5502,7045e" filled="false" stroked="true" strokeweight=".48pt" strokecolor="#000000">
                <v:path arrowok="t"/>
              </v:shape>
            </v:group>
            <v:group style="position:absolute;left:7322;top:6732;width:2;height:314" coordorigin="7322,6732" coordsize="2,314">
              <v:shape style="position:absolute;left:7322;top:6732;width:2;height:314" coordorigin="7322,6732" coordsize="0,314" path="m7322,6732l7322,7045e" filled="false" stroked="true" strokeweight=".48pt" strokecolor="#000000">
                <v:path arrowok="t"/>
              </v:shape>
            </v:group>
            <v:group style="position:absolute;left:9142;top:6732;width:2;height:314" coordorigin="9142,6732" coordsize="2,314">
              <v:shape style="position:absolute;left:9142;top:6732;width:2;height:314" coordorigin="9142,6732" coordsize="0,314" path="m9142,6732l9142,7045e" filled="false" stroked="true" strokeweight=".48pt" strokecolor="#000000">
                <v:path arrowok="t"/>
              </v:shape>
            </v:group>
            <v:group style="position:absolute;left:1150;top:7055;width:2;height:548" coordorigin="1150,7055" coordsize="2,548">
              <v:shape style="position:absolute;left:1150;top:7055;width:2;height:548" coordorigin="1150,7055" coordsize="0,548" path="m1150,7055l1150,7602e" filled="false" stroked="true" strokeweight="1.140pt" strokecolor="#dcdcdc">
                <v:path arrowok="t"/>
              </v:shape>
            </v:group>
            <v:group style="position:absolute;left:3665;top:7055;width:2;height:548" coordorigin="3665,7055" coordsize="2,548">
              <v:shape style="position:absolute;left:3665;top:7055;width:2;height:548" coordorigin="3665,7055" coordsize="0,548" path="m3665,7055l3665,7602e" filled="false" stroked="true" strokeweight="1.140pt" strokecolor="#dcdcdc">
                <v:path arrowok="t"/>
              </v:shape>
            </v:group>
            <v:group style="position:absolute;left:1162;top:7055;width:2493;height:274" coordorigin="1162,7055" coordsize="2493,274">
              <v:shape style="position:absolute;left:1162;top:7055;width:2493;height:274" coordorigin="1162,7055" coordsize="2493,274" path="m1162,7328l3654,7328,3654,7055,1162,7055,1162,7328xe" filled="true" fillcolor="#dcdcdc" stroked="false">
                <v:path arrowok="t"/>
                <v:fill type="solid"/>
              </v:shape>
            </v:group>
            <v:group style="position:absolute;left:1162;top:7328;width:2493;height:274" coordorigin="1162,7328" coordsize="2493,274">
              <v:shape style="position:absolute;left:1162;top:7328;width:2493;height:274" coordorigin="1162,7328" coordsize="2493,274" path="m1162,7602l3654,7602,3654,7328,1162,7328,1162,7602xe" filled="true" fillcolor="#dcdcdc" stroked="false">
                <v:path arrowok="t"/>
                <v:fill type="solid"/>
              </v:shape>
            </v:group>
            <v:group style="position:absolute;left:1129;top:7050;width:9838;height:2" coordorigin="1129,7050" coordsize="9838,2">
              <v:shape style="position:absolute;left:1129;top:7050;width:9838;height:2" coordorigin="1129,7050" coordsize="9838,0" path="m1129,7050l10967,7050e" filled="false" stroked="true" strokeweight=".48pt" strokecolor="#000000">
                <v:path arrowok="t"/>
              </v:shape>
            </v:group>
            <v:group style="position:absolute;left:3682;top:7055;width:2;height:548" coordorigin="3682,7055" coordsize="2,548">
              <v:shape style="position:absolute;left:3682;top:7055;width:2;height:548" coordorigin="3682,7055" coordsize="0,548" path="m3682,7055l3682,7602e" filled="false" stroked="true" strokeweight=".48pt" strokecolor="#000000">
                <v:path arrowok="t"/>
              </v:shape>
            </v:group>
            <v:group style="position:absolute;left:5502;top:7055;width:2;height:548" coordorigin="5502,7055" coordsize="2,548">
              <v:shape style="position:absolute;left:5502;top:7055;width:2;height:548" coordorigin="5502,7055" coordsize="0,548" path="m5502,7055l5502,7602e" filled="false" stroked="true" strokeweight=".48pt" strokecolor="#000000">
                <v:path arrowok="t"/>
              </v:shape>
            </v:group>
            <v:group style="position:absolute;left:7322;top:7055;width:2;height:548" coordorigin="7322,7055" coordsize="2,548">
              <v:shape style="position:absolute;left:7322;top:7055;width:2;height:548" coordorigin="7322,7055" coordsize="0,548" path="m7322,7055l7322,7602e" filled="false" stroked="true" strokeweight=".48pt" strokecolor="#000000">
                <v:path arrowok="t"/>
              </v:shape>
            </v:group>
            <v:group style="position:absolute;left:9142;top:7055;width:2;height:548" coordorigin="9142,7055" coordsize="2,548">
              <v:shape style="position:absolute;left:9142;top:7055;width:2;height:548" coordorigin="9142,7055" coordsize="0,548" path="m9142,7055l9142,7602e" filled="false" stroked="true" strokeweight=".48pt" strokecolor="#000000">
                <v:path arrowok="t"/>
              </v:shape>
            </v:group>
            <v:group style="position:absolute;left:1139;top:7925;width:2538;height:2" coordorigin="1139,7925" coordsize="2538,2">
              <v:shape style="position:absolute;left:1139;top:7925;width:2538;height:2" coordorigin="1139,7925" coordsize="2538,0" path="m1139,7925l3677,7925e" filled="false" stroked="true" strokeweight=".1pt" strokecolor="#dcdcdc">
                <v:path arrowok="t"/>
              </v:shape>
            </v:group>
            <v:group style="position:absolute;left:1150;top:7612;width:2;height:312" coordorigin="1150,7612" coordsize="2,312">
              <v:shape style="position:absolute;left:1150;top:7612;width:2;height:312" coordorigin="1150,7612" coordsize="0,312" path="m1150,7612l1150,7924e" filled="false" stroked="true" strokeweight="1.140pt" strokecolor="#dcdcdc">
                <v:path arrowok="t"/>
              </v:shape>
            </v:group>
            <v:group style="position:absolute;left:3665;top:7612;width:2;height:314" coordorigin="3665,7612" coordsize="2,314">
              <v:shape style="position:absolute;left:3665;top:7612;width:2;height:314" coordorigin="3665,7612" coordsize="0,314" path="m3665,7612l3665,7925e" filled="false" stroked="true" strokeweight="1.140pt" strokecolor="#dcdcdc">
                <v:path arrowok="t"/>
              </v:shape>
            </v:group>
            <v:group style="position:absolute;left:1162;top:7612;width:2493;height:314" coordorigin="1162,7612" coordsize="2493,314">
              <v:shape style="position:absolute;left:1162;top:7612;width:2493;height:314" coordorigin="1162,7612" coordsize="2493,314" path="m1162,7925l3654,7925,3654,7612,1162,7612,1162,7925xe" filled="true" fillcolor="#dcdcdc" stroked="false">
                <v:path arrowok="t"/>
                <v:fill type="solid"/>
              </v:shape>
            </v:group>
            <v:group style="position:absolute;left:1129;top:7607;width:9838;height:2" coordorigin="1129,7607" coordsize="9838,2">
              <v:shape style="position:absolute;left:1129;top:7607;width:9838;height:2" coordorigin="1129,7607" coordsize="9838,0" path="m1129,7607l10967,7607e" filled="false" stroked="true" strokeweight=".48pt" strokecolor="#000000">
                <v:path arrowok="t"/>
              </v:shape>
            </v:group>
            <v:group style="position:absolute;left:3682;top:7612;width:2;height:315" coordorigin="3682,7612" coordsize="2,315">
              <v:shape style="position:absolute;left:3682;top:7612;width:2;height:315" coordorigin="3682,7612" coordsize="0,315" path="m3682,7612l3682,7926e" filled="false" stroked="true" strokeweight=".48pt" strokecolor="#000000">
                <v:path arrowok="t"/>
              </v:shape>
            </v:group>
            <v:group style="position:absolute;left:5502;top:7612;width:2;height:315" coordorigin="5502,7612" coordsize="2,315">
              <v:shape style="position:absolute;left:5502;top:7612;width:2;height:315" coordorigin="5502,7612" coordsize="0,315" path="m5502,7612l5502,7926e" filled="false" stroked="true" strokeweight=".48pt" strokecolor="#000000">
                <v:path arrowok="t"/>
              </v:shape>
            </v:group>
            <v:group style="position:absolute;left:7322;top:7612;width:2;height:315" coordorigin="7322,7612" coordsize="2,315">
              <v:shape style="position:absolute;left:7322;top:7612;width:2;height:315" coordorigin="7322,7612" coordsize="0,315" path="m7322,7612l7322,7926e" filled="false" stroked="true" strokeweight=".48pt" strokecolor="#000000">
                <v:path arrowok="t"/>
              </v:shape>
            </v:group>
            <v:group style="position:absolute;left:9142;top:7612;width:2;height:315" coordorigin="9142,7612" coordsize="2,315">
              <v:shape style="position:absolute;left:9142;top:7612;width:2;height:315" coordorigin="9142,7612" coordsize="0,315" path="m9142,7612l9142,7926e" filled="false" stroked="true" strokeweight=".48pt" strokecolor="#000000">
                <v:path arrowok="t"/>
              </v:shape>
            </v:group>
            <v:group style="position:absolute;left:1150;top:7936;width:2;height:314" coordorigin="1150,7936" coordsize="2,314">
              <v:shape style="position:absolute;left:1150;top:7936;width:2;height:314" coordorigin="1150,7936" coordsize="0,314" path="m1150,7936l1150,8249e" filled="false" stroked="true" strokeweight="1.140pt" strokecolor="#dcdcdc">
                <v:path arrowok="t"/>
              </v:shape>
            </v:group>
            <v:group style="position:absolute;left:3665;top:7936;width:2;height:314" coordorigin="3665,7936" coordsize="2,314">
              <v:shape style="position:absolute;left:3665;top:7936;width:2;height:314" coordorigin="3665,7936" coordsize="0,314" path="m3665,7936l3665,8249e" filled="false" stroked="true" strokeweight="1.140pt" strokecolor="#dcdcdc">
                <v:path arrowok="t"/>
              </v:shape>
            </v:group>
            <v:group style="position:absolute;left:1162;top:7936;width:2493;height:314" coordorigin="1162,7936" coordsize="2493,314">
              <v:shape style="position:absolute;left:1162;top:7936;width:2493;height:314" coordorigin="1162,7936" coordsize="2493,314" path="m1162,8249l3654,8249,3654,7936,1162,7936,1162,8249xe" filled="true" fillcolor="#dcdcdc" stroked="false">
                <v:path arrowok="t"/>
                <v:fill type="solid"/>
              </v:shape>
            </v:group>
            <v:group style="position:absolute;left:1129;top:7931;width:9838;height:2" coordorigin="1129,7931" coordsize="9838,2">
              <v:shape style="position:absolute;left:1129;top:7931;width:9838;height:2" coordorigin="1129,7931" coordsize="9838,0" path="m1129,7931l10967,7931e" filled="false" stroked="true" strokeweight=".48pt" strokecolor="#000000">
                <v:path arrowok="t"/>
              </v:shape>
            </v:group>
            <v:group style="position:absolute;left:3682;top:7936;width:2;height:314" coordorigin="3682,7936" coordsize="2,314">
              <v:shape style="position:absolute;left:3682;top:7936;width:2;height:314" coordorigin="3682,7936" coordsize="0,314" path="m3682,7936l3682,8249e" filled="false" stroked="true" strokeweight=".48pt" strokecolor="#000000">
                <v:path arrowok="t"/>
              </v:shape>
            </v:group>
            <v:group style="position:absolute;left:5502;top:7936;width:2;height:314" coordorigin="5502,7936" coordsize="2,314">
              <v:shape style="position:absolute;left:5502;top:7936;width:2;height:314" coordorigin="5502,7936" coordsize="0,314" path="m5502,7936l5502,8249e" filled="false" stroked="true" strokeweight=".48pt" strokecolor="#000000">
                <v:path arrowok="t"/>
              </v:shape>
            </v:group>
            <v:group style="position:absolute;left:7322;top:7936;width:2;height:314" coordorigin="7322,7936" coordsize="2,314">
              <v:shape style="position:absolute;left:7322;top:7936;width:2;height:314" coordorigin="7322,7936" coordsize="0,314" path="m7322,7936l7322,8249e" filled="false" stroked="true" strokeweight=".48pt" strokecolor="#000000">
                <v:path arrowok="t"/>
              </v:shape>
            </v:group>
            <v:group style="position:absolute;left:9142;top:7936;width:2;height:314" coordorigin="9142,7936" coordsize="2,314">
              <v:shape style="position:absolute;left:9142;top:7936;width:2;height:314" coordorigin="9142,7936" coordsize="0,314" path="m9142,7936l9142,8249e" filled="false" stroked="true" strokeweight=".48pt" strokecolor="#000000">
                <v:path arrowok="t"/>
              </v:shape>
            </v:group>
            <v:group style="position:absolute;left:1150;top:8260;width:2;height:546" coordorigin="1150,8260" coordsize="2,546">
              <v:shape style="position:absolute;left:1150;top:8260;width:2;height:546" coordorigin="1150,8260" coordsize="0,546" path="m1150,8260l1150,8806e" filled="false" stroked="true" strokeweight="1.140pt" strokecolor="#dcdcdc">
                <v:path arrowok="t"/>
              </v:shape>
            </v:group>
            <v:group style="position:absolute;left:3665;top:8260;width:2;height:546" coordorigin="3665,8260" coordsize="2,546">
              <v:shape style="position:absolute;left:3665;top:8260;width:2;height:546" coordorigin="3665,8260" coordsize="0,546" path="m3665,8260l3665,8806e" filled="false" stroked="true" strokeweight="1.140pt" strokecolor="#dcdcdc">
                <v:path arrowok="t"/>
              </v:shape>
            </v:group>
            <v:group style="position:absolute;left:1162;top:8258;width:2493;height:274" coordorigin="1162,8258" coordsize="2493,274">
              <v:shape style="position:absolute;left:1162;top:8258;width:2493;height:274" coordorigin="1162,8258" coordsize="2493,274" path="m1162,8532l3654,8532,3654,8258,1162,8258,1162,8532xe" filled="true" fillcolor="#dcdcdc" stroked="false">
                <v:path arrowok="t"/>
                <v:fill type="solid"/>
              </v:shape>
            </v:group>
            <v:group style="position:absolute;left:1162;top:8532;width:2493;height:274" coordorigin="1162,8532" coordsize="2493,274">
              <v:shape style="position:absolute;left:1162;top:8532;width:2493;height:274" coordorigin="1162,8532" coordsize="2493,274" path="m1162,8806l3654,8806,3654,8532,1162,8532,1162,8806xe" filled="true" fillcolor="#dcdcdc" stroked="false">
                <v:path arrowok="t"/>
                <v:fill type="solid"/>
              </v:shape>
            </v:group>
            <v:group style="position:absolute;left:1129;top:8254;width:9838;height:2" coordorigin="1129,8254" coordsize="9838,2">
              <v:shape style="position:absolute;left:1129;top:8254;width:9838;height:2" coordorigin="1129,8254" coordsize="9838,0" path="m1129,8254l10967,8254e" filled="false" stroked="true" strokeweight=".48pt" strokecolor="#000000">
                <v:path arrowok="t"/>
              </v:shape>
            </v:group>
            <v:group style="position:absolute;left:3682;top:8258;width:2;height:548" coordorigin="3682,8258" coordsize="2,548">
              <v:shape style="position:absolute;left:3682;top:8258;width:2;height:548" coordorigin="3682,8258" coordsize="0,548" path="m3682,8258l3682,8806e" filled="false" stroked="true" strokeweight=".48pt" strokecolor="#000000">
                <v:path arrowok="t"/>
              </v:shape>
            </v:group>
            <v:group style="position:absolute;left:5502;top:8258;width:2;height:548" coordorigin="5502,8258" coordsize="2,548">
              <v:shape style="position:absolute;left:5502;top:8258;width:2;height:548" coordorigin="5502,8258" coordsize="0,548" path="m5502,8258l5502,8806e" filled="false" stroked="true" strokeweight=".48pt" strokecolor="#000000">
                <v:path arrowok="t"/>
              </v:shape>
            </v:group>
            <v:group style="position:absolute;left:7322;top:8258;width:2;height:548" coordorigin="7322,8258" coordsize="2,548">
              <v:shape style="position:absolute;left:7322;top:8258;width:2;height:548" coordorigin="7322,8258" coordsize="0,548" path="m7322,8258l7322,8806e" filled="false" stroked="true" strokeweight=".48pt" strokecolor="#000000">
                <v:path arrowok="t"/>
              </v:shape>
            </v:group>
            <v:group style="position:absolute;left:9142;top:8258;width:2;height:548" coordorigin="9142,8258" coordsize="2,548">
              <v:shape style="position:absolute;left:9142;top:8258;width:2;height:548" coordorigin="9142,8258" coordsize="0,548" path="m9142,8258l9142,8806e" filled="false" stroked="true" strokeweight=".48pt" strokecolor="#000000">
                <v:path arrowok="t"/>
              </v:shape>
            </v:group>
            <v:group style="position:absolute;left:1150;top:8816;width:2;height:546" coordorigin="1150,8816" coordsize="2,546">
              <v:shape style="position:absolute;left:1150;top:8816;width:2;height:546" coordorigin="1150,8816" coordsize="0,546" path="m1150,8816l1150,9362e" filled="false" stroked="true" strokeweight="1.140pt" strokecolor="#dcdcdc">
                <v:path arrowok="t"/>
              </v:shape>
            </v:group>
            <v:group style="position:absolute;left:3665;top:8816;width:2;height:546" coordorigin="3665,8816" coordsize="2,546">
              <v:shape style="position:absolute;left:3665;top:8816;width:2;height:546" coordorigin="3665,8816" coordsize="0,546" path="m3665,8816l3665,9362e" filled="false" stroked="true" strokeweight="1.140pt" strokecolor="#dcdcdc">
                <v:path arrowok="t"/>
              </v:shape>
            </v:group>
            <v:group style="position:absolute;left:1162;top:8815;width:2493;height:274" coordorigin="1162,8815" coordsize="2493,274">
              <v:shape style="position:absolute;left:1162;top:8815;width:2493;height:274" coordorigin="1162,8815" coordsize="2493,274" path="m1162,9089l3654,9089,3654,8815,1162,8815,1162,9089xe" filled="true" fillcolor="#dcdcdc" stroked="false">
                <v:path arrowok="t"/>
                <v:fill type="solid"/>
              </v:shape>
            </v:group>
            <v:group style="position:absolute;left:1162;top:9089;width:2493;height:274" coordorigin="1162,9089" coordsize="2493,274">
              <v:shape style="position:absolute;left:1162;top:9089;width:2493;height:274" coordorigin="1162,9089" coordsize="2493,274" path="m1162,9362l3654,9362,3654,9089,1162,9089,1162,9362xe" filled="true" fillcolor="#dcdcdc" stroked="false">
                <v:path arrowok="t"/>
                <v:fill type="solid"/>
              </v:shape>
            </v:group>
            <v:group style="position:absolute;left:1129;top:8810;width:9838;height:2" coordorigin="1129,8810" coordsize="9838,2">
              <v:shape style="position:absolute;left:1129;top:8810;width:9838;height:2" coordorigin="1129,8810" coordsize="9838,0" path="m1129,8810l10967,8810e" filled="false" stroked="true" strokeweight=".48pt" strokecolor="#000000">
                <v:path arrowok="t"/>
              </v:shape>
            </v:group>
            <v:group style="position:absolute;left:3682;top:8815;width:2;height:548" coordorigin="3682,8815" coordsize="2,548">
              <v:shape style="position:absolute;left:3682;top:8815;width:2;height:548" coordorigin="3682,8815" coordsize="0,548" path="m3682,8815l3682,9362e" filled="false" stroked="true" strokeweight=".48pt" strokecolor="#000000">
                <v:path arrowok="t"/>
              </v:shape>
            </v:group>
            <v:group style="position:absolute;left:5502;top:8815;width:2;height:548" coordorigin="5502,8815" coordsize="2,548">
              <v:shape style="position:absolute;left:5502;top:8815;width:2;height:548" coordorigin="5502,8815" coordsize="0,548" path="m5502,8815l5502,9362e" filled="false" stroked="true" strokeweight=".48pt" strokecolor="#000000">
                <v:path arrowok="t"/>
              </v:shape>
            </v:group>
            <v:group style="position:absolute;left:7322;top:8815;width:2;height:548" coordorigin="7322,8815" coordsize="2,548">
              <v:shape style="position:absolute;left:7322;top:8815;width:2;height:548" coordorigin="7322,8815" coordsize="0,548" path="m7322,8815l7322,9362e" filled="false" stroked="true" strokeweight=".48pt" strokecolor="#000000">
                <v:path arrowok="t"/>
              </v:shape>
            </v:group>
            <v:group style="position:absolute;left:9142;top:8815;width:2;height:548" coordorigin="9142,8815" coordsize="2,548">
              <v:shape style="position:absolute;left:9142;top:8815;width:2;height:548" coordorigin="9142,8815" coordsize="0,548" path="m9142,8815l9142,9362e" filled="false" stroked="true" strokeweight=".48pt" strokecolor="#000000">
                <v:path arrowok="t"/>
              </v:shape>
            </v:group>
            <v:group style="position:absolute;left:1150;top:9373;width:2;height:314" coordorigin="1150,9373" coordsize="2,314">
              <v:shape style="position:absolute;left:1150;top:9373;width:2;height:314" coordorigin="1150,9373" coordsize="0,314" path="m1150,9373l1150,9686e" filled="false" stroked="true" strokeweight="1.140pt" strokecolor="#dcdcdc">
                <v:path arrowok="t"/>
              </v:shape>
            </v:group>
            <v:group style="position:absolute;left:3665;top:9373;width:2;height:314" coordorigin="3665,9373" coordsize="2,314">
              <v:shape style="position:absolute;left:3665;top:9373;width:2;height:314" coordorigin="3665,9373" coordsize="0,314" path="m3665,9373l3665,9686e" filled="false" stroked="true" strokeweight="1.140pt" strokecolor="#dcdcdc">
                <v:path arrowok="t"/>
              </v:shape>
            </v:group>
            <v:group style="position:absolute;left:1162;top:9372;width:2493;height:315" coordorigin="1162,9372" coordsize="2493,315">
              <v:shape style="position:absolute;left:1162;top:9372;width:2493;height:315" coordorigin="1162,9372" coordsize="2493,315" path="m1162,9686l3654,9686,3654,9372,1162,9372,1162,9686xe" filled="true" fillcolor="#dcdcdc" stroked="false">
                <v:path arrowok="t"/>
                <v:fill type="solid"/>
              </v:shape>
            </v:group>
            <v:group style="position:absolute;left:1129;top:9367;width:9838;height:2" coordorigin="1129,9367" coordsize="9838,2">
              <v:shape style="position:absolute;left:1129;top:9367;width:9838;height:2" coordorigin="1129,9367" coordsize="9838,0" path="m1129,9367l10967,9367e" filled="false" stroked="true" strokeweight=".48pt" strokecolor="#000000">
                <v:path arrowok="t"/>
              </v:shape>
            </v:group>
            <v:group style="position:absolute;left:3682;top:9372;width:2;height:315" coordorigin="3682,9372" coordsize="2,315">
              <v:shape style="position:absolute;left:3682;top:9372;width:2;height:315" coordorigin="3682,9372" coordsize="0,315" path="m3682,9372l3682,9686e" filled="false" stroked="true" strokeweight=".48pt" strokecolor="#000000">
                <v:path arrowok="t"/>
              </v:shape>
            </v:group>
            <v:group style="position:absolute;left:5502;top:9372;width:2;height:315" coordorigin="5502,9372" coordsize="2,315">
              <v:shape style="position:absolute;left:5502;top:9372;width:2;height:315" coordorigin="5502,9372" coordsize="0,315" path="m5502,9372l5502,9686e" filled="false" stroked="true" strokeweight=".48pt" strokecolor="#000000">
                <v:path arrowok="t"/>
              </v:shape>
            </v:group>
            <v:group style="position:absolute;left:7322;top:9372;width:2;height:315" coordorigin="7322,9372" coordsize="2,315">
              <v:shape style="position:absolute;left:7322;top:9372;width:2;height:315" coordorigin="7322,9372" coordsize="0,315" path="m7322,9372l7322,9686e" filled="false" stroked="true" strokeweight=".48pt" strokecolor="#000000">
                <v:path arrowok="t"/>
              </v:shape>
            </v:group>
            <v:group style="position:absolute;left:9142;top:9372;width:2;height:315" coordorigin="9142,9372" coordsize="2,315">
              <v:shape style="position:absolute;left:9142;top:9372;width:2;height:315" coordorigin="9142,9372" coordsize="0,315" path="m9142,9372l9142,9686e" filled="false" stroked="true" strokeweight=".48pt" strokecolor="#000000">
                <v:path arrowok="t"/>
              </v:shape>
            </v:group>
            <v:group style="position:absolute;left:1150;top:9696;width:2;height:548" coordorigin="1150,9696" coordsize="2,548">
              <v:shape style="position:absolute;left:1150;top:9696;width:2;height:548" coordorigin="1150,9696" coordsize="0,548" path="m1150,9696l1150,10243e" filled="false" stroked="true" strokeweight="1.140pt" strokecolor="#dcdcdc">
                <v:path arrowok="t"/>
              </v:shape>
            </v:group>
            <v:group style="position:absolute;left:3665;top:9696;width:2;height:548" coordorigin="3665,9696" coordsize="2,548">
              <v:shape style="position:absolute;left:3665;top:9696;width:2;height:548" coordorigin="3665,9696" coordsize="0,548" path="m3665,9696l3665,10243e" filled="false" stroked="true" strokeweight="1.140pt" strokecolor="#dcdcdc">
                <v:path arrowok="t"/>
              </v:shape>
            </v:group>
            <v:group style="position:absolute;left:1162;top:9696;width:2493;height:274" coordorigin="1162,9696" coordsize="2493,274">
              <v:shape style="position:absolute;left:1162;top:9696;width:2493;height:274" coordorigin="1162,9696" coordsize="2493,274" path="m1162,9970l3654,9970,3654,9696,1162,9696,1162,9970xe" filled="true" fillcolor="#dcdcdc" stroked="false">
                <v:path arrowok="t"/>
                <v:fill type="solid"/>
              </v:shape>
            </v:group>
            <v:group style="position:absolute;left:1162;top:9970;width:2493;height:274" coordorigin="1162,9970" coordsize="2493,274">
              <v:shape style="position:absolute;left:1162;top:9970;width:2493;height:274" coordorigin="1162,9970" coordsize="2493,274" path="m1162,10243l3654,10243,3654,9970,1162,9970,1162,10243xe" filled="true" fillcolor="#dcdcdc" stroked="false">
                <v:path arrowok="t"/>
                <v:fill type="solid"/>
              </v:shape>
            </v:group>
            <v:group style="position:absolute;left:1129;top:9691;width:9838;height:2" coordorigin="1129,9691" coordsize="9838,2">
              <v:shape style="position:absolute;left:1129;top:9691;width:9838;height:2" coordorigin="1129,9691" coordsize="9838,0" path="m1129,9691l10967,9691e" filled="false" stroked="true" strokeweight=".48pt" strokecolor="#000000">
                <v:path arrowok="t"/>
              </v:shape>
            </v:group>
            <v:group style="position:absolute;left:3682;top:9696;width:2;height:548" coordorigin="3682,9696" coordsize="2,548">
              <v:shape style="position:absolute;left:3682;top:9696;width:2;height:548" coordorigin="3682,9696" coordsize="0,548" path="m3682,9696l3682,10243e" filled="false" stroked="true" strokeweight=".48pt" strokecolor="#000000">
                <v:path arrowok="t"/>
              </v:shape>
            </v:group>
            <v:group style="position:absolute;left:5502;top:9696;width:2;height:548" coordorigin="5502,9696" coordsize="2,548">
              <v:shape style="position:absolute;left:5502;top:9696;width:2;height:548" coordorigin="5502,9696" coordsize="0,548" path="m5502,9696l5502,10243e" filled="false" stroked="true" strokeweight=".48pt" strokecolor="#000000">
                <v:path arrowok="t"/>
              </v:shape>
            </v:group>
            <v:group style="position:absolute;left:7322;top:9696;width:2;height:548" coordorigin="7322,9696" coordsize="2,548">
              <v:shape style="position:absolute;left:7322;top:9696;width:2;height:548" coordorigin="7322,9696" coordsize="0,548" path="m7322,9696l7322,10243e" filled="false" stroked="true" strokeweight=".48pt" strokecolor="#000000">
                <v:path arrowok="t"/>
              </v:shape>
            </v:group>
            <v:group style="position:absolute;left:9142;top:9696;width:2;height:548" coordorigin="9142,9696" coordsize="2,548">
              <v:shape style="position:absolute;left:9142;top:9696;width:2;height:548" coordorigin="9142,9696" coordsize="0,548" path="m9142,9696l9142,10243e" filled="false" stroked="true" strokeweight=".48pt" strokecolor="#000000">
                <v:path arrowok="t"/>
              </v:shape>
            </v:group>
            <v:group style="position:absolute;left:1150;top:10253;width:2;height:548" coordorigin="1150,10253" coordsize="2,548">
              <v:shape style="position:absolute;left:1150;top:10253;width:2;height:548" coordorigin="1150,10253" coordsize="0,548" path="m1150,10253l1150,10800e" filled="false" stroked="true" strokeweight="1.140pt" strokecolor="#dcdcdc">
                <v:path arrowok="t"/>
              </v:shape>
            </v:group>
            <v:group style="position:absolute;left:3665;top:10253;width:2;height:548" coordorigin="3665,10253" coordsize="2,548">
              <v:shape style="position:absolute;left:3665;top:10253;width:2;height:548" coordorigin="3665,10253" coordsize="0,548" path="m3665,10253l3665,10800e" filled="false" stroked="true" strokeweight="1.140pt" strokecolor="#dcdcdc">
                <v:path arrowok="t"/>
              </v:shape>
            </v:group>
            <v:group style="position:absolute;left:1162;top:10253;width:2493;height:274" coordorigin="1162,10253" coordsize="2493,274">
              <v:shape style="position:absolute;left:1162;top:10253;width:2493;height:274" coordorigin="1162,10253" coordsize="2493,274" path="m1162,10526l3654,10526,3654,10253,1162,10253,1162,10526xe" filled="true" fillcolor="#dcdcdc" stroked="false">
                <v:path arrowok="t"/>
                <v:fill type="solid"/>
              </v:shape>
            </v:group>
            <v:group style="position:absolute;left:1162;top:10526;width:2493;height:274" coordorigin="1162,10526" coordsize="2493,274">
              <v:shape style="position:absolute;left:1162;top:10526;width:2493;height:274" coordorigin="1162,10526" coordsize="2493,274" path="m1162,10800l3654,10800,3654,10526,1162,10526,1162,10800xe" filled="true" fillcolor="#dcdcdc" stroked="false">
                <v:path arrowok="t"/>
                <v:fill type="solid"/>
              </v:shape>
            </v:group>
            <v:group style="position:absolute;left:3686;top:10670;width:1811;height:130" coordorigin="3686,10670" coordsize="1811,130">
              <v:shape style="position:absolute;left:3686;top:10670;width:1811;height:130" coordorigin="3686,10670" coordsize="1811,130" path="m3686,10800l5497,10800,5497,10670,3686,10670,3686,10800xe" filled="true" fillcolor="#dcdcdc" stroked="false">
                <v:path arrowok="t"/>
                <v:fill type="solid"/>
              </v:shape>
            </v:group>
            <v:group style="position:absolute;left:3698;top:10382;width:2;height:288" coordorigin="3698,10382" coordsize="2,288">
              <v:shape style="position:absolute;left:3698;top:10382;width:2;height:288" coordorigin="3698,10382" coordsize="0,288" path="m3698,10382l3698,10670e" filled="false" stroked="true" strokeweight="1.2pt" strokecolor="#dcdcdc">
                <v:path arrowok="t"/>
              </v:shape>
            </v:group>
            <v:group style="position:absolute;left:3686;top:10252;width:1811;height:130" coordorigin="3686,10252" coordsize="1811,130">
              <v:shape style="position:absolute;left:3686;top:10252;width:1811;height:130" coordorigin="3686,10252" coordsize="1811,130" path="m3686,10382l5497,10382,5497,10252,3686,10252,3686,10382xe" filled="true" fillcolor="#dcdcdc" stroked="false">
                <v:path arrowok="t"/>
                <v:fill type="solid"/>
              </v:shape>
            </v:group>
            <v:group style="position:absolute;left:5486;top:10382;width:2;height:287" coordorigin="5486,10382" coordsize="2,287">
              <v:shape style="position:absolute;left:5486;top:10382;width:2;height:287" coordorigin="5486,10382" coordsize="0,287" path="m5486,10382l5486,10669e" filled="false" stroked="true" strokeweight="1.140pt" strokecolor="#dcdcdc">
                <v:path arrowok="t"/>
              </v:shape>
            </v:group>
            <v:group style="position:absolute;left:3710;top:10382;width:1764;height:287" coordorigin="3710,10382" coordsize="1764,287">
              <v:shape style="position:absolute;left:3710;top:10382;width:1764;height:287" coordorigin="3710,10382" coordsize="1764,287" path="m3710,10669l5474,10669,5474,10382,3710,10382,3710,10669xe" filled="true" fillcolor="#dcdcdc" stroked="false">
                <v:path arrowok="t"/>
                <v:fill type="solid"/>
              </v:shape>
            </v:group>
            <v:group style="position:absolute;left:5507;top:10670;width:1811;height:130" coordorigin="5507,10670" coordsize="1811,130">
              <v:shape style="position:absolute;left:5507;top:10670;width:1811;height:130" coordorigin="5507,10670" coordsize="1811,130" path="m5507,10800l7318,10800,7318,10670,5507,10670,5507,10800xe" filled="true" fillcolor="#dcdcdc" stroked="false">
                <v:path arrowok="t"/>
                <v:fill type="solid"/>
              </v:shape>
            </v:group>
            <v:group style="position:absolute;left:5518;top:10382;width:2;height:288" coordorigin="5518,10382" coordsize="2,288">
              <v:shape style="position:absolute;left:5518;top:10382;width:2;height:288" coordorigin="5518,10382" coordsize="0,288" path="m5518,10382l5518,10670e" filled="false" stroked="true" strokeweight="1.140pt" strokecolor="#dcdcdc">
                <v:path arrowok="t"/>
              </v:shape>
            </v:group>
            <v:group style="position:absolute;left:5507;top:10252;width:1811;height:130" coordorigin="5507,10252" coordsize="1811,130">
              <v:shape style="position:absolute;left:5507;top:10252;width:1811;height:130" coordorigin="5507,10252" coordsize="1811,130" path="m5507,10382l7318,10382,7318,10252,5507,10252,5507,10382xe" filled="true" fillcolor="#dcdcdc" stroked="false">
                <v:path arrowok="t"/>
                <v:fill type="solid"/>
              </v:shape>
            </v:group>
            <v:group style="position:absolute;left:7306;top:10382;width:2;height:287" coordorigin="7306,10382" coordsize="2,287">
              <v:shape style="position:absolute;left:7306;top:10382;width:2;height:287" coordorigin="7306,10382" coordsize="0,287" path="m7306,10382l7306,10669e" filled="false" stroked="true" strokeweight="1.2pt" strokecolor="#dcdcdc">
                <v:path arrowok="t"/>
              </v:shape>
            </v:group>
            <v:group style="position:absolute;left:5530;top:10382;width:1764;height:287" coordorigin="5530,10382" coordsize="1764,287">
              <v:shape style="position:absolute;left:5530;top:10382;width:1764;height:287" coordorigin="5530,10382" coordsize="1764,287" path="m5530,10669l7294,10669,7294,10382,5530,10382,5530,10669xe" filled="true" fillcolor="#dcdcdc" stroked="false">
                <v:path arrowok="t"/>
                <v:fill type="solid"/>
              </v:shape>
            </v:group>
            <v:group style="position:absolute;left:7327;top:10670;width:1810;height:130" coordorigin="7327,10670" coordsize="1810,130">
              <v:shape style="position:absolute;left:7327;top:10670;width:1810;height:130" coordorigin="7327,10670" coordsize="1810,130" path="m7327,10800l9137,10800,9137,10670,7327,10670,7327,10800xe" filled="true" fillcolor="#dcdcdc" stroked="false">
                <v:path arrowok="t"/>
                <v:fill type="solid"/>
              </v:shape>
            </v:group>
            <v:group style="position:absolute;left:7339;top:10382;width:2;height:288" coordorigin="7339,10382" coordsize="2,288">
              <v:shape style="position:absolute;left:7339;top:10382;width:2;height:288" coordorigin="7339,10382" coordsize="0,288" path="m7339,10382l7339,10670e" filled="false" stroked="true" strokeweight="1.140pt" strokecolor="#dcdcdc">
                <v:path arrowok="t"/>
              </v:shape>
            </v:group>
            <v:group style="position:absolute;left:7327;top:10252;width:1810;height:130" coordorigin="7327,10252" coordsize="1810,130">
              <v:shape style="position:absolute;left:7327;top:10252;width:1810;height:130" coordorigin="7327,10252" coordsize="1810,130" path="m7327,10382l9137,10382,9137,10252,7327,10252,7327,10382xe" filled="true" fillcolor="#dcdcdc" stroked="false">
                <v:path arrowok="t"/>
                <v:fill type="solid"/>
              </v:shape>
            </v:group>
            <v:group style="position:absolute;left:9125;top:10382;width:2;height:287" coordorigin="9125,10382" coordsize="2,287">
              <v:shape style="position:absolute;left:9125;top:10382;width:2;height:287" coordorigin="9125,10382" coordsize="0,287" path="m9125,10382l9125,10669e" filled="false" stroked="true" strokeweight="1.140pt" strokecolor="#dcdcdc">
                <v:path arrowok="t"/>
              </v:shape>
            </v:group>
            <v:group style="position:absolute;left:7350;top:10382;width:1764;height:287" coordorigin="7350,10382" coordsize="1764,287">
              <v:shape style="position:absolute;left:7350;top:10382;width:1764;height:287" coordorigin="7350,10382" coordsize="1764,287" path="m7350,10382l9114,10382,9114,10669,7350,10669,7350,10382xe" filled="true" fillcolor="#dcdcdc" stroked="false">
                <v:path arrowok="t"/>
                <v:fill type="solid"/>
              </v:shape>
            </v:group>
            <v:group style="position:absolute;left:9146;top:10670;width:1811;height:130" coordorigin="9146,10670" coordsize="1811,130">
              <v:shape style="position:absolute;left:9146;top:10670;width:1811;height:130" coordorigin="9146,10670" coordsize="1811,130" path="m9146,10800l10957,10800,10957,10670,9146,10670,9146,10800xe" filled="true" fillcolor="#dcdcdc" stroked="false">
                <v:path arrowok="t"/>
                <v:fill type="solid"/>
              </v:shape>
            </v:group>
            <v:group style="position:absolute;left:9158;top:10382;width:2;height:288" coordorigin="9158,10382" coordsize="2,288">
              <v:shape style="position:absolute;left:9158;top:10382;width:2;height:288" coordorigin="9158,10382" coordsize="0,288" path="m9158,10382l9158,10670e" filled="false" stroked="true" strokeweight="1.2pt" strokecolor="#dcdcdc">
                <v:path arrowok="t"/>
              </v:shape>
            </v:group>
            <v:group style="position:absolute;left:9146;top:10252;width:1811;height:130" coordorigin="9146,10252" coordsize="1811,130">
              <v:shape style="position:absolute;left:9146;top:10252;width:1811;height:130" coordorigin="9146,10252" coordsize="1811,130" path="m9146,10382l10957,10382,10957,10252,9146,10252,9146,10382xe" filled="true" fillcolor="#dcdcdc" stroked="false">
                <v:path arrowok="t"/>
                <v:fill type="solid"/>
              </v:shape>
            </v:group>
            <v:group style="position:absolute;left:10946;top:10382;width:2;height:287" coordorigin="10946,10382" coordsize="2,287">
              <v:shape style="position:absolute;left:10946;top:10382;width:2;height:287" coordorigin="10946,10382" coordsize="0,287" path="m10946,10382l10946,10669e" filled="false" stroked="true" strokeweight="1.140pt" strokecolor="#dcdcdc">
                <v:path arrowok="t"/>
              </v:shape>
            </v:group>
            <v:group style="position:absolute;left:9170;top:10382;width:1764;height:287" coordorigin="9170,10382" coordsize="1764,287">
              <v:shape style="position:absolute;left:9170;top:10382;width:1764;height:287" coordorigin="9170,10382" coordsize="1764,287" path="m9170,10669l10934,10669,10934,10382,9170,10382,9170,10669xe" filled="true" fillcolor="#dcdcdc" stroked="false">
                <v:path arrowok="t"/>
                <v:fill type="solid"/>
              </v:shape>
            </v:group>
            <v:group style="position:absolute;left:1129;top:10248;width:9838;height:2" coordorigin="1129,10248" coordsize="9838,2">
              <v:shape style="position:absolute;left:1129;top:10248;width:9838;height:2" coordorigin="1129,10248" coordsize="9838,0" path="m1129,10248l10967,10248e" filled="false" stroked="true" strokeweight=".48pt" strokecolor="#000000">
                <v:path arrowok="t"/>
              </v:shape>
            </v:group>
            <v:group style="position:absolute;left:3682;top:10253;width:2;height:548" coordorigin="3682,10253" coordsize="2,548">
              <v:shape style="position:absolute;left:3682;top:10253;width:2;height:548" coordorigin="3682,10253" coordsize="0,548" path="m3682,10253l3682,10800e" filled="false" stroked="true" strokeweight=".48pt" strokecolor="#000000">
                <v:path arrowok="t"/>
              </v:shape>
            </v:group>
            <v:group style="position:absolute;left:5502;top:10253;width:2;height:548" coordorigin="5502,10253" coordsize="2,548">
              <v:shape style="position:absolute;left:5502;top:10253;width:2;height:548" coordorigin="5502,10253" coordsize="0,548" path="m5502,10253l5502,10800e" filled="false" stroked="true" strokeweight=".48pt" strokecolor="#000000">
                <v:path arrowok="t"/>
              </v:shape>
            </v:group>
            <v:group style="position:absolute;left:7322;top:10253;width:2;height:548" coordorigin="7322,10253" coordsize="2,548">
              <v:shape style="position:absolute;left:7322;top:10253;width:2;height:548" coordorigin="7322,10253" coordsize="0,548" path="m7322,10253l7322,10800e" filled="false" stroked="true" strokeweight=".48pt" strokecolor="#000000">
                <v:path arrowok="t"/>
              </v:shape>
            </v:group>
            <v:group style="position:absolute;left:9142;top:10253;width:2;height:548" coordorigin="9142,10253" coordsize="2,548">
              <v:shape style="position:absolute;left:9142;top:10253;width:2;height:548" coordorigin="9142,10253" coordsize="0,548" path="m9142,10253l9142,10800e" filled="false" stroked="true" strokeweight=".48pt" strokecolor="#000000">
                <v:path arrowok="t"/>
              </v:shape>
            </v:group>
            <v:group style="position:absolute;left:1139;top:11123;width:2538;height:2" coordorigin="1139,11123" coordsize="2538,2">
              <v:shape style="position:absolute;left:1139;top:11123;width:2538;height:2" coordorigin="1139,11123" coordsize="2538,0" path="m1139,11123l3677,11123e" filled="false" stroked="true" strokeweight=".1pt" strokecolor="#dcdcdc">
                <v:path arrowok="t"/>
              </v:shape>
            </v:group>
            <v:group style="position:absolute;left:1150;top:10810;width:2;height:312" coordorigin="1150,10810" coordsize="2,312">
              <v:shape style="position:absolute;left:1150;top:10810;width:2;height:312" coordorigin="1150,10810" coordsize="0,312" path="m1150,10810l1150,11122e" filled="false" stroked="true" strokeweight="1.140pt" strokecolor="#dcdcdc">
                <v:path arrowok="t"/>
              </v:shape>
            </v:group>
            <v:group style="position:absolute;left:3665;top:10810;width:2;height:314" coordorigin="3665,10810" coordsize="2,314">
              <v:shape style="position:absolute;left:3665;top:10810;width:2;height:314" coordorigin="3665,10810" coordsize="0,314" path="m3665,10810l3665,11123e" filled="false" stroked="true" strokeweight="1.140pt" strokecolor="#dcdcdc">
                <v:path arrowok="t"/>
              </v:shape>
            </v:group>
            <v:group style="position:absolute;left:1162;top:10810;width:2493;height:314" coordorigin="1162,10810" coordsize="2493,314">
              <v:shape style="position:absolute;left:1162;top:10810;width:2493;height:314" coordorigin="1162,10810" coordsize="2493,314" path="m1162,11123l3654,11123,3654,10810,1162,10810,1162,11123xe" filled="true" fillcolor="#dcdcdc" stroked="false">
                <v:path arrowok="t"/>
                <v:fill type="solid"/>
              </v:shape>
            </v:group>
            <v:group style="position:absolute;left:1129;top:10805;width:9838;height:2" coordorigin="1129,10805" coordsize="9838,2">
              <v:shape style="position:absolute;left:1129;top:10805;width:9838;height:2" coordorigin="1129,10805" coordsize="9838,0" path="m1129,10805l10967,10805e" filled="false" stroked="true" strokeweight=".48pt" strokecolor="#000000">
                <v:path arrowok="t"/>
              </v:shape>
            </v:group>
            <v:group style="position:absolute;left:3682;top:10810;width:2;height:315" coordorigin="3682,10810" coordsize="2,315">
              <v:shape style="position:absolute;left:3682;top:10810;width:2;height:315" coordorigin="3682,10810" coordsize="0,315" path="m3682,10810l3682,11124e" filled="false" stroked="true" strokeweight=".48pt" strokecolor="#000000">
                <v:path arrowok="t"/>
              </v:shape>
            </v:group>
            <v:group style="position:absolute;left:5502;top:10810;width:2;height:315" coordorigin="5502,10810" coordsize="2,315">
              <v:shape style="position:absolute;left:5502;top:10810;width:2;height:315" coordorigin="5502,10810" coordsize="0,315" path="m5502,10810l5502,11124e" filled="false" stroked="true" strokeweight=".48pt" strokecolor="#000000">
                <v:path arrowok="t"/>
              </v:shape>
            </v:group>
            <v:group style="position:absolute;left:7322;top:10810;width:2;height:315" coordorigin="7322,10810" coordsize="2,315">
              <v:shape style="position:absolute;left:7322;top:10810;width:2;height:315" coordorigin="7322,10810" coordsize="0,315" path="m7322,10810l7322,11124e" filled="false" stroked="true" strokeweight=".48pt" strokecolor="#000000">
                <v:path arrowok="t"/>
              </v:shape>
            </v:group>
            <v:group style="position:absolute;left:9142;top:10810;width:2;height:315" coordorigin="9142,10810" coordsize="2,315">
              <v:shape style="position:absolute;left:9142;top:10810;width:2;height:315" coordorigin="9142,10810" coordsize="0,315" path="m9142,10810l9142,11124e" filled="false" stroked="true" strokeweight=".48pt" strokecolor="#000000">
                <v:path arrowok="t"/>
              </v:shape>
            </v:group>
            <v:group style="position:absolute;left:1150;top:11134;width:2;height:546" coordorigin="1150,11134" coordsize="2,546">
              <v:shape style="position:absolute;left:1150;top:11134;width:2;height:546" coordorigin="1150,11134" coordsize="0,546" path="m1150,11134l1150,11680e" filled="false" stroked="true" strokeweight="1.140pt" strokecolor="#dcdcdc">
                <v:path arrowok="t"/>
              </v:shape>
            </v:group>
            <v:group style="position:absolute;left:3665;top:11134;width:2;height:546" coordorigin="3665,11134" coordsize="2,546">
              <v:shape style="position:absolute;left:3665;top:11134;width:2;height:546" coordorigin="3665,11134" coordsize="0,546" path="m3665,11134l3665,11680e" filled="false" stroked="true" strokeweight="1.140pt" strokecolor="#dcdcdc">
                <v:path arrowok="t"/>
              </v:shape>
            </v:group>
            <v:group style="position:absolute;left:1162;top:11134;width:2493;height:273" coordorigin="1162,11134" coordsize="2493,273">
              <v:shape style="position:absolute;left:1162;top:11134;width:2493;height:273" coordorigin="1162,11134" coordsize="2493,273" path="m1162,11406l3654,11406,3654,11134,1162,11134,1162,11406xe" filled="true" fillcolor="#dcdcdc" stroked="false">
                <v:path arrowok="t"/>
                <v:fill type="solid"/>
              </v:shape>
            </v:group>
            <v:group style="position:absolute;left:1162;top:11406;width:2493;height:274" coordorigin="1162,11406" coordsize="2493,274">
              <v:shape style="position:absolute;left:1162;top:11406;width:2493;height:274" coordorigin="1162,11406" coordsize="2493,274" path="m1162,11680l3654,11680,3654,11406,1162,11406,1162,11680xe" filled="true" fillcolor="#dcdcdc" stroked="false">
                <v:path arrowok="t"/>
                <v:fill type="solid"/>
              </v:shape>
            </v:group>
            <v:group style="position:absolute;left:1129;top:11129;width:9838;height:2" coordorigin="1129,11129" coordsize="9838,2">
              <v:shape style="position:absolute;left:1129;top:11129;width:9838;height:2" coordorigin="1129,11129" coordsize="9838,0" path="m1129,11129l10967,11129e" filled="false" stroked="true" strokeweight=".48pt" strokecolor="#000000">
                <v:path arrowok="t"/>
              </v:shape>
            </v:group>
            <v:group style="position:absolute;left:3682;top:11134;width:2;height:548" coordorigin="3682,11134" coordsize="2,548">
              <v:shape style="position:absolute;left:3682;top:11134;width:2;height:548" coordorigin="3682,11134" coordsize="0,548" path="m3682,11134l3682,11681e" filled="false" stroked="true" strokeweight=".48pt" strokecolor="#000000">
                <v:path arrowok="t"/>
              </v:shape>
            </v:group>
            <v:group style="position:absolute;left:5502;top:11134;width:2;height:548" coordorigin="5502,11134" coordsize="2,548">
              <v:shape style="position:absolute;left:5502;top:11134;width:2;height:548" coordorigin="5502,11134" coordsize="0,548" path="m5502,11134l5502,11681e" filled="false" stroked="true" strokeweight=".48pt" strokecolor="#000000">
                <v:path arrowok="t"/>
              </v:shape>
            </v:group>
            <v:group style="position:absolute;left:7322;top:11134;width:2;height:548" coordorigin="7322,11134" coordsize="2,548">
              <v:shape style="position:absolute;left:7322;top:11134;width:2;height:548" coordorigin="7322,11134" coordsize="0,548" path="m7322,11134l7322,11681e" filled="false" stroked="true" strokeweight=".48pt" strokecolor="#000000">
                <v:path arrowok="t"/>
              </v:shape>
            </v:group>
            <v:group style="position:absolute;left:9142;top:11134;width:2;height:548" coordorigin="9142,11134" coordsize="2,548">
              <v:shape style="position:absolute;left:9142;top:11134;width:2;height:548" coordorigin="9142,11134" coordsize="0,548" path="m9142,11134l9142,11681e" filled="false" stroked="true" strokeweight=".48pt" strokecolor="#000000">
                <v:path arrowok="t"/>
              </v:shape>
            </v:group>
            <v:group style="position:absolute;left:1150;top:11690;width:2;height:314" coordorigin="1150,11690" coordsize="2,314">
              <v:shape style="position:absolute;left:1150;top:11690;width:2;height:314" coordorigin="1150,11690" coordsize="0,314" path="m1150,11690l1150,12004e" filled="false" stroked="true" strokeweight="1.140pt" strokecolor="#dcdcdc">
                <v:path arrowok="t"/>
              </v:shape>
            </v:group>
            <v:group style="position:absolute;left:3665;top:11690;width:2;height:314" coordorigin="3665,11690" coordsize="2,314">
              <v:shape style="position:absolute;left:3665;top:11690;width:2;height:314" coordorigin="3665,11690" coordsize="0,314" path="m3665,11690l3665,12004e" filled="false" stroked="true" strokeweight="1.140pt" strokecolor="#dcdcdc">
                <v:path arrowok="t"/>
              </v:shape>
            </v:group>
            <v:group style="position:absolute;left:1162;top:11690;width:2493;height:314" coordorigin="1162,11690" coordsize="2493,314">
              <v:shape style="position:absolute;left:1162;top:11690;width:2493;height:314" coordorigin="1162,11690" coordsize="2493,314" path="m1162,12004l3654,12004,3654,11690,1162,11690,1162,12004xe" filled="true" fillcolor="#dcdcdc" stroked="false">
                <v:path arrowok="t"/>
                <v:fill type="solid"/>
              </v:shape>
            </v:group>
            <v:group style="position:absolute;left:1129;top:11686;width:9838;height:2" coordorigin="1129,11686" coordsize="9838,2">
              <v:shape style="position:absolute;left:1129;top:11686;width:9838;height:2" coordorigin="1129,11686" coordsize="9838,0" path="m1129,11686l10967,11686e" filled="false" stroked="true" strokeweight=".48pt" strokecolor="#000000">
                <v:path arrowok="t"/>
              </v:shape>
            </v:group>
            <v:group style="position:absolute;left:3682;top:11690;width:2;height:314" coordorigin="3682,11690" coordsize="2,314">
              <v:shape style="position:absolute;left:3682;top:11690;width:2;height:314" coordorigin="3682,11690" coordsize="0,314" path="m3682,11690l3682,12004e" filled="false" stroked="true" strokeweight=".48pt" strokecolor="#000000">
                <v:path arrowok="t"/>
              </v:shape>
            </v:group>
            <v:group style="position:absolute;left:5502;top:11690;width:2;height:314" coordorigin="5502,11690" coordsize="2,314">
              <v:shape style="position:absolute;left:5502;top:11690;width:2;height:314" coordorigin="5502,11690" coordsize="0,314" path="m5502,11690l5502,12004e" filled="false" stroked="true" strokeweight=".48pt" strokecolor="#000000">
                <v:path arrowok="t"/>
              </v:shape>
            </v:group>
            <v:group style="position:absolute;left:7322;top:11690;width:2;height:314" coordorigin="7322,11690" coordsize="2,314">
              <v:shape style="position:absolute;left:7322;top:11690;width:2;height:314" coordorigin="7322,11690" coordsize="0,314" path="m7322,11690l7322,12004e" filled="false" stroked="true" strokeweight=".48pt" strokecolor="#000000">
                <v:path arrowok="t"/>
              </v:shape>
            </v:group>
            <v:group style="position:absolute;left:9142;top:11690;width:2;height:314" coordorigin="9142,11690" coordsize="2,314">
              <v:shape style="position:absolute;left:9142;top:11690;width:2;height:314" coordorigin="9142,11690" coordsize="0,314" path="m9142,11690l9142,12004e" filled="false" stroked="true" strokeweight=".48pt" strokecolor="#000000">
                <v:path arrowok="t"/>
              </v:shape>
            </v:group>
            <v:group style="position:absolute;left:1139;top:12327;width:2538;height:2" coordorigin="1139,12327" coordsize="2538,2">
              <v:shape style="position:absolute;left:1139;top:12327;width:2538;height:2" coordorigin="1139,12327" coordsize="2538,0" path="m1139,12327l3677,12327e" filled="false" stroked="true" strokeweight=".1pt" strokecolor="#dcdcdc">
                <v:path arrowok="t"/>
              </v:shape>
            </v:group>
            <v:group style="position:absolute;left:1150;top:12014;width:2;height:312" coordorigin="1150,12014" coordsize="2,312">
              <v:shape style="position:absolute;left:1150;top:12014;width:2;height:312" coordorigin="1150,12014" coordsize="0,312" path="m1150,12014l1150,12326e" filled="false" stroked="true" strokeweight="1.140pt" strokecolor="#dcdcdc">
                <v:path arrowok="t"/>
              </v:shape>
            </v:group>
            <v:group style="position:absolute;left:3665;top:12013;width:2;height:314" coordorigin="3665,12013" coordsize="2,314">
              <v:shape style="position:absolute;left:3665;top:12013;width:2;height:314" coordorigin="3665,12013" coordsize="0,314" path="m3665,12013l3665,12326e" filled="false" stroked="true" strokeweight="1.140pt" strokecolor="#dcdcdc">
                <v:path arrowok="t"/>
              </v:shape>
            </v:group>
            <v:group style="position:absolute;left:1162;top:12013;width:2493;height:314" coordorigin="1162,12013" coordsize="2493,314">
              <v:shape style="position:absolute;left:1162;top:12013;width:2493;height:314" coordorigin="1162,12013" coordsize="2493,314" path="m1162,12326l3654,12326,3654,12013,1162,12013,1162,12326xe" filled="true" fillcolor="#dcdcdc" stroked="false">
                <v:path arrowok="t"/>
                <v:fill type="solid"/>
              </v:shape>
            </v:group>
            <v:group style="position:absolute;left:1129;top:12008;width:9838;height:2" coordorigin="1129,12008" coordsize="9838,2">
              <v:shape style="position:absolute;left:1129;top:12008;width:9838;height:2" coordorigin="1129,12008" coordsize="9838,0" path="m1129,12008l10967,12008e" filled="false" stroked="true" strokeweight=".48pt" strokecolor="#000000">
                <v:path arrowok="t"/>
              </v:shape>
            </v:group>
            <v:group style="position:absolute;left:3682;top:12013;width:2;height:315" coordorigin="3682,12013" coordsize="2,315">
              <v:shape style="position:absolute;left:3682;top:12013;width:2;height:315" coordorigin="3682,12013" coordsize="0,315" path="m3682,12013l3682,12328e" filled="false" stroked="true" strokeweight=".48pt" strokecolor="#000000">
                <v:path arrowok="t"/>
              </v:shape>
            </v:group>
            <v:group style="position:absolute;left:5502;top:12013;width:2;height:315" coordorigin="5502,12013" coordsize="2,315">
              <v:shape style="position:absolute;left:5502;top:12013;width:2;height:315" coordorigin="5502,12013" coordsize="0,315" path="m5502,12013l5502,12328e" filled="false" stroked="true" strokeweight=".48pt" strokecolor="#000000">
                <v:path arrowok="t"/>
              </v:shape>
            </v:group>
            <v:group style="position:absolute;left:7322;top:12013;width:2;height:315" coordorigin="7322,12013" coordsize="2,315">
              <v:shape style="position:absolute;left:7322;top:12013;width:2;height:315" coordorigin="7322,12013" coordsize="0,315" path="m7322,12013l7322,12328e" filled="false" stroked="true" strokeweight=".48pt" strokecolor="#000000">
                <v:path arrowok="t"/>
              </v:shape>
            </v:group>
            <v:group style="position:absolute;left:9142;top:12013;width:2;height:315" coordorigin="9142,12013" coordsize="2,315">
              <v:shape style="position:absolute;left:9142;top:12013;width:2;height:315" coordorigin="9142,12013" coordsize="0,315" path="m9142,12013l9142,12328e" filled="false" stroked="true" strokeweight=".48pt" strokecolor="#000000">
                <v:path arrowok="t"/>
              </v:shape>
            </v:group>
            <v:group style="position:absolute;left:1150;top:12338;width:2;height:546" coordorigin="1150,12338" coordsize="2,546">
              <v:shape style="position:absolute;left:1150;top:12338;width:2;height:546" coordorigin="1150,12338" coordsize="0,546" path="m1150,12338l1150,12884e" filled="false" stroked="true" strokeweight="1.140pt" strokecolor="#dcdcdc">
                <v:path arrowok="t"/>
              </v:shape>
            </v:group>
            <v:group style="position:absolute;left:3665;top:12337;width:2;height:546" coordorigin="3665,12337" coordsize="2,546">
              <v:shape style="position:absolute;left:3665;top:12337;width:2;height:546" coordorigin="3665,12337" coordsize="0,546" path="m3665,12337l3665,12883e" filled="false" stroked="true" strokeweight="1.140pt" strokecolor="#dcdcdc">
                <v:path arrowok="t"/>
              </v:shape>
            </v:group>
            <v:group style="position:absolute;left:1162;top:12337;width:2493;height:274" coordorigin="1162,12337" coordsize="2493,274">
              <v:shape style="position:absolute;left:1162;top:12337;width:2493;height:274" coordorigin="1162,12337" coordsize="2493,274" path="m1162,12611l3654,12611,3654,12337,1162,12337,1162,12611xe" filled="true" fillcolor="#dcdcdc" stroked="false">
                <v:path arrowok="t"/>
                <v:fill type="solid"/>
              </v:shape>
            </v:group>
            <v:group style="position:absolute;left:1162;top:12611;width:2493;height:273" coordorigin="1162,12611" coordsize="2493,273">
              <v:shape style="position:absolute;left:1162;top:12611;width:2493;height:273" coordorigin="1162,12611" coordsize="2493,273" path="m1162,12883l3654,12883,3654,12611,1162,12611,1162,12883xe" filled="true" fillcolor="#dcdcdc" stroked="false">
                <v:path arrowok="t"/>
                <v:fill type="solid"/>
              </v:shape>
            </v:group>
            <v:group style="position:absolute;left:1129;top:12332;width:9838;height:2" coordorigin="1129,12332" coordsize="9838,2">
              <v:shape style="position:absolute;left:1129;top:12332;width:9838;height:2" coordorigin="1129,12332" coordsize="9838,0" path="m1129,12332l10967,12332e" filled="false" stroked="true" strokeweight=".48pt" strokecolor="#000000">
                <v:path arrowok="t"/>
              </v:shape>
            </v:group>
            <v:group style="position:absolute;left:3682;top:12337;width:2;height:548" coordorigin="3682,12337" coordsize="2,548">
              <v:shape style="position:absolute;left:3682;top:12337;width:2;height:548" coordorigin="3682,12337" coordsize="0,548" path="m3682,12337l3682,12884e" filled="false" stroked="true" strokeweight=".48pt" strokecolor="#000000">
                <v:path arrowok="t"/>
              </v:shape>
            </v:group>
            <v:group style="position:absolute;left:5502;top:12337;width:2;height:548" coordorigin="5502,12337" coordsize="2,548">
              <v:shape style="position:absolute;left:5502;top:12337;width:2;height:548" coordorigin="5502,12337" coordsize="0,548" path="m5502,12337l5502,12884e" filled="false" stroked="true" strokeweight=".48pt" strokecolor="#000000">
                <v:path arrowok="t"/>
              </v:shape>
            </v:group>
            <v:group style="position:absolute;left:7322;top:12337;width:2;height:548" coordorigin="7322,12337" coordsize="2,548">
              <v:shape style="position:absolute;left:7322;top:12337;width:2;height:548" coordorigin="7322,12337" coordsize="0,548" path="m7322,12337l7322,12884e" filled="false" stroked="true" strokeweight=".48pt" strokecolor="#000000">
                <v:path arrowok="t"/>
              </v:shape>
            </v:group>
            <v:group style="position:absolute;left:9142;top:12337;width:2;height:548" coordorigin="9142,12337" coordsize="2,548">
              <v:shape style="position:absolute;left:9142;top:12337;width:2;height:548" coordorigin="9142,12337" coordsize="0,548" path="m9142,12337l9142,12884e" filled="false" stroked="true" strokeweight=".48pt" strokecolor="#000000">
                <v:path arrowok="t"/>
              </v:shape>
            </v:group>
            <v:group style="position:absolute;left:1150;top:12894;width:2;height:314" coordorigin="1150,12894" coordsize="2,314">
              <v:shape style="position:absolute;left:1150;top:12894;width:2;height:314" coordorigin="1150,12894" coordsize="0,314" path="m1150,12894l1150,13207e" filled="false" stroked="true" strokeweight="1.140pt" strokecolor="#dcdcdc">
                <v:path arrowok="t"/>
              </v:shape>
            </v:group>
            <v:group style="position:absolute;left:3665;top:12894;width:2;height:314" coordorigin="3665,12894" coordsize="2,314">
              <v:shape style="position:absolute;left:3665;top:12894;width:2;height:314" coordorigin="3665,12894" coordsize="0,314" path="m3665,12894l3665,13207e" filled="false" stroked="true" strokeweight="1.140pt" strokecolor="#dcdcdc">
                <v:path arrowok="t"/>
              </v:shape>
            </v:group>
            <v:group style="position:absolute;left:1162;top:12894;width:2493;height:314" coordorigin="1162,12894" coordsize="2493,314">
              <v:shape style="position:absolute;left:1162;top:12894;width:2493;height:314" coordorigin="1162,12894" coordsize="2493,314" path="m1162,13207l3654,13207,3654,12894,1162,12894,1162,13207xe" filled="true" fillcolor="#dcdcdc" stroked="false">
                <v:path arrowok="t"/>
                <v:fill type="solid"/>
              </v:shape>
            </v:group>
            <v:group style="position:absolute;left:1129;top:12889;width:9838;height:2" coordorigin="1129,12889" coordsize="9838,2">
              <v:shape style="position:absolute;left:1129;top:12889;width:9838;height:2" coordorigin="1129,12889" coordsize="9838,0" path="m1129,12889l10967,12889e" filled="false" stroked="true" strokeweight=".48pt" strokecolor="#000000">
                <v:path arrowok="t"/>
              </v:shape>
            </v:group>
            <v:group style="position:absolute;left:3682;top:12894;width:2;height:314" coordorigin="3682,12894" coordsize="2,314">
              <v:shape style="position:absolute;left:3682;top:12894;width:2;height:314" coordorigin="3682,12894" coordsize="0,314" path="m3682,12894l3682,13207e" filled="false" stroked="true" strokeweight=".48pt" strokecolor="#000000">
                <v:path arrowok="t"/>
              </v:shape>
            </v:group>
            <v:group style="position:absolute;left:5502;top:12894;width:2;height:314" coordorigin="5502,12894" coordsize="2,314">
              <v:shape style="position:absolute;left:5502;top:12894;width:2;height:314" coordorigin="5502,12894" coordsize="0,314" path="m5502,12894l5502,13207e" filled="false" stroked="true" strokeweight=".48pt" strokecolor="#000000">
                <v:path arrowok="t"/>
              </v:shape>
            </v:group>
            <v:group style="position:absolute;left:7322;top:12894;width:2;height:314" coordorigin="7322,12894" coordsize="2,314">
              <v:shape style="position:absolute;left:7322;top:12894;width:2;height:314" coordorigin="7322,12894" coordsize="0,314" path="m7322,12894l7322,13207e" filled="false" stroked="true" strokeweight=".48pt" strokecolor="#000000">
                <v:path arrowok="t"/>
              </v:shape>
            </v:group>
            <v:group style="position:absolute;left:9142;top:12894;width:2;height:314" coordorigin="9142,12894" coordsize="2,314">
              <v:shape style="position:absolute;left:9142;top:12894;width:2;height:314" coordorigin="9142,12894" coordsize="0,314" path="m9142,12894l9142,13207e" filled="false" stroked="true" strokeweight=".48pt" strokecolor="#000000">
                <v:path arrowok="t"/>
              </v:shape>
            </v:group>
            <v:group style="position:absolute;left:1139;top:13531;width:2538;height:2" coordorigin="1139,13531" coordsize="2538,2">
              <v:shape style="position:absolute;left:1139;top:13531;width:2538;height:2" coordorigin="1139,13531" coordsize="2538,0" path="m1139,13531l3677,13531e" filled="false" stroked="true" strokeweight=".1pt" strokecolor="#dcdcdc">
                <v:path arrowok="t"/>
              </v:shape>
            </v:group>
            <v:group style="position:absolute;left:1150;top:13218;width:2;height:312" coordorigin="1150,13218" coordsize="2,312">
              <v:shape style="position:absolute;left:1150;top:13218;width:2;height:312" coordorigin="1150,13218" coordsize="0,312" path="m1150,13218l1150,13530e" filled="false" stroked="true" strokeweight="1.140pt" strokecolor="#dcdcdc">
                <v:path arrowok="t"/>
              </v:shape>
            </v:group>
            <v:group style="position:absolute;left:3665;top:13218;width:2;height:312" coordorigin="3665,13218" coordsize="2,312">
              <v:shape style="position:absolute;left:3665;top:13218;width:2;height:312" coordorigin="3665,13218" coordsize="0,312" path="m3665,13218l3665,13530e" filled="false" stroked="true" strokeweight="1.140pt" strokecolor="#dcdcdc">
                <v:path arrowok="t"/>
              </v:shape>
            </v:group>
            <v:group style="position:absolute;left:1162;top:13217;width:2493;height:314" coordorigin="1162,13217" coordsize="2493,314">
              <v:shape style="position:absolute;left:1162;top:13217;width:2493;height:314" coordorigin="1162,13217" coordsize="2493,314" path="m1162,13530l3654,13530,3654,13217,1162,13217,1162,13530xe" filled="true" fillcolor="#dcdcdc" stroked="false">
                <v:path arrowok="t"/>
                <v:fill type="solid"/>
              </v:shape>
            </v:group>
            <v:group style="position:absolute;left:1129;top:13212;width:9838;height:2" coordorigin="1129,13212" coordsize="9838,2">
              <v:shape style="position:absolute;left:1129;top:13212;width:9838;height:2" coordorigin="1129,13212" coordsize="9838,0" path="m1129,13212l10967,13212e" filled="false" stroked="true" strokeweight=".48pt" strokecolor="#000000">
                <v:path arrowok="t"/>
              </v:shape>
            </v:group>
            <v:group style="position:absolute;left:3682;top:13217;width:2;height:315" coordorigin="3682,13217" coordsize="2,315">
              <v:shape style="position:absolute;left:3682;top:13217;width:2;height:315" coordorigin="3682,13217" coordsize="0,315" path="m3682,13217l3682,13531e" filled="false" stroked="true" strokeweight=".48pt" strokecolor="#000000">
                <v:path arrowok="t"/>
              </v:shape>
            </v:group>
            <v:group style="position:absolute;left:5502;top:13217;width:2;height:315" coordorigin="5502,13217" coordsize="2,315">
              <v:shape style="position:absolute;left:5502;top:13217;width:2;height:315" coordorigin="5502,13217" coordsize="0,315" path="m5502,13217l5502,13531e" filled="false" stroked="true" strokeweight=".48pt" strokecolor="#000000">
                <v:path arrowok="t"/>
              </v:shape>
            </v:group>
            <v:group style="position:absolute;left:7322;top:13217;width:2;height:315" coordorigin="7322,13217" coordsize="2,315">
              <v:shape style="position:absolute;left:7322;top:13217;width:2;height:315" coordorigin="7322,13217" coordsize="0,315" path="m7322,13217l7322,13531e" filled="false" stroked="true" strokeweight=".48pt" strokecolor="#000000">
                <v:path arrowok="t"/>
              </v:shape>
            </v:group>
            <v:group style="position:absolute;left:9142;top:13217;width:2;height:315" coordorigin="9142,13217" coordsize="2,315">
              <v:shape style="position:absolute;left:9142;top:13217;width:2;height:315" coordorigin="9142,13217" coordsize="0,315" path="m9142,13217l9142,13531e" filled="false" stroked="true" strokeweight=".48pt" strokecolor="#000000">
                <v:path arrowok="t"/>
              </v:shape>
            </v:group>
            <v:group style="position:absolute;left:1150;top:13541;width:2;height:548" coordorigin="1150,13541" coordsize="2,548">
              <v:shape style="position:absolute;left:1150;top:13541;width:2;height:548" coordorigin="1150,13541" coordsize="0,548" path="m1150,13541l1150,14088e" filled="false" stroked="true" strokeweight="1.140pt" strokecolor="#dcdcdc">
                <v:path arrowok="t"/>
              </v:shape>
            </v:group>
            <v:group style="position:absolute;left:3665;top:13541;width:2;height:548" coordorigin="3665,13541" coordsize="2,548">
              <v:shape style="position:absolute;left:3665;top:13541;width:2;height:548" coordorigin="3665,13541" coordsize="0,548" path="m3665,13541l3665,14088e" filled="false" stroked="true" strokeweight="1.140pt" strokecolor="#dcdcdc">
                <v:path arrowok="t"/>
              </v:shape>
            </v:group>
            <v:group style="position:absolute;left:1162;top:13541;width:2493;height:274" coordorigin="1162,13541" coordsize="2493,274">
              <v:shape style="position:absolute;left:1162;top:13541;width:2493;height:274" coordorigin="1162,13541" coordsize="2493,274" path="m1162,13814l3654,13814,3654,13541,1162,13541,1162,13814xe" filled="true" fillcolor="#dcdcdc" stroked="false">
                <v:path arrowok="t"/>
                <v:fill type="solid"/>
              </v:shape>
            </v:group>
            <v:group style="position:absolute;left:1162;top:13814;width:2493;height:274" coordorigin="1162,13814" coordsize="2493,274">
              <v:shape style="position:absolute;left:1162;top:13814;width:2493;height:274" coordorigin="1162,13814" coordsize="2493,274" path="m1162,14088l3654,14088,3654,13814,1162,13814,1162,14088xe" filled="true" fillcolor="#dcdcdc" stroked="false">
                <v:path arrowok="t"/>
                <v:fill type="solid"/>
              </v:shape>
            </v:group>
            <v:group style="position:absolute;left:1129;top:13536;width:9838;height:2" coordorigin="1129,13536" coordsize="9838,2">
              <v:shape style="position:absolute;left:1129;top:13536;width:9838;height:2" coordorigin="1129,13536" coordsize="9838,0" path="m1129,13536l10967,13536e" filled="false" stroked="true" strokeweight=".48pt" strokecolor="#000000">
                <v:path arrowok="t"/>
              </v:shape>
            </v:group>
            <v:group style="position:absolute;left:3682;top:13541;width:2;height:548" coordorigin="3682,13541" coordsize="2,548">
              <v:shape style="position:absolute;left:3682;top:13541;width:2;height:548" coordorigin="3682,13541" coordsize="0,548" path="m3682,13541l3682,14088e" filled="false" stroked="true" strokeweight=".48pt" strokecolor="#000000">
                <v:path arrowok="t"/>
              </v:shape>
            </v:group>
            <v:group style="position:absolute;left:5502;top:13541;width:2;height:548" coordorigin="5502,13541" coordsize="2,548">
              <v:shape style="position:absolute;left:5502;top:13541;width:2;height:548" coordorigin="5502,13541" coordsize="0,548" path="m5502,13541l5502,14088e" filled="false" stroked="true" strokeweight=".48pt" strokecolor="#000000">
                <v:path arrowok="t"/>
              </v:shape>
            </v:group>
            <v:group style="position:absolute;left:7322;top:13541;width:2;height:548" coordorigin="7322,13541" coordsize="2,548">
              <v:shape style="position:absolute;left:7322;top:13541;width:2;height:548" coordorigin="7322,13541" coordsize="0,548" path="m7322,13541l7322,14088e" filled="false" stroked="true" strokeweight=".48pt" strokecolor="#000000">
                <v:path arrowok="t"/>
              </v:shape>
            </v:group>
            <v:group style="position:absolute;left:9142;top:13541;width:2;height:548" coordorigin="9142,13541" coordsize="2,548">
              <v:shape style="position:absolute;left:9142;top:13541;width:2;height:548" coordorigin="9142,13541" coordsize="0,548" path="m9142,13541l9142,14088e" filled="false" stroked="true" strokeweight=".48pt" strokecolor="#000000">
                <v:path arrowok="t"/>
              </v:shape>
            </v:group>
            <v:group style="position:absolute;left:1150;top:14098;width:2;height:548" coordorigin="1150,14098" coordsize="2,548">
              <v:shape style="position:absolute;left:1150;top:14098;width:2;height:548" coordorigin="1150,14098" coordsize="0,548" path="m1150,14098l1150,14645e" filled="false" stroked="true" strokeweight="1.140pt" strokecolor="#dcdcdc">
                <v:path arrowok="t"/>
              </v:shape>
            </v:group>
            <v:group style="position:absolute;left:3665;top:14098;width:2;height:548" coordorigin="3665,14098" coordsize="2,548">
              <v:shape style="position:absolute;left:3665;top:14098;width:2;height:548" coordorigin="3665,14098" coordsize="0,548" path="m3665,14098l3665,14645e" filled="false" stroked="true" strokeweight="1.140pt" strokecolor="#dcdcdc">
                <v:path arrowok="t"/>
              </v:shape>
            </v:group>
            <v:group style="position:absolute;left:1162;top:14098;width:2493;height:274" coordorigin="1162,14098" coordsize="2493,274">
              <v:shape style="position:absolute;left:1162;top:14098;width:2493;height:274" coordorigin="1162,14098" coordsize="2493,274" path="m1162,14371l3654,14371,3654,14098,1162,14098,1162,14371xe" filled="true" fillcolor="#dcdcdc" stroked="false">
                <v:path arrowok="t"/>
                <v:fill type="solid"/>
              </v:shape>
            </v:group>
            <v:group style="position:absolute;left:1162;top:14371;width:2493;height:274" coordorigin="1162,14371" coordsize="2493,274">
              <v:shape style="position:absolute;left:1162;top:14371;width:2493;height:274" coordorigin="1162,14371" coordsize="2493,274" path="m1162,14645l3654,14645,3654,14371,1162,14371,1162,14645xe" filled="true" fillcolor="#dcdcdc" stroked="false">
                <v:path arrowok="t"/>
                <v:fill type="solid"/>
              </v:shape>
            </v:group>
            <v:group style="position:absolute;left:1129;top:14093;width:9838;height:2" coordorigin="1129,14093" coordsize="9838,2">
              <v:shape style="position:absolute;left:1129;top:14093;width:9838;height:2" coordorigin="1129,14093" coordsize="9838,0" path="m1129,14093l10967,14093e" filled="false" stroked="true" strokeweight=".48pt" strokecolor="#000000">
                <v:path arrowok="t"/>
              </v:shape>
            </v:group>
            <v:group style="position:absolute;left:3682;top:14098;width:2;height:548" coordorigin="3682,14098" coordsize="2,548">
              <v:shape style="position:absolute;left:3682;top:14098;width:2;height:548" coordorigin="3682,14098" coordsize="0,548" path="m3682,14098l3682,14645e" filled="false" stroked="true" strokeweight=".48pt" strokecolor="#000000">
                <v:path arrowok="t"/>
              </v:shape>
            </v:group>
            <v:group style="position:absolute;left:5502;top:14098;width:2;height:548" coordorigin="5502,14098" coordsize="2,548">
              <v:shape style="position:absolute;left:5502;top:14098;width:2;height:548" coordorigin="5502,14098" coordsize="0,548" path="m5502,14098l5502,14645e" filled="false" stroked="true" strokeweight=".48pt" strokecolor="#000000">
                <v:path arrowok="t"/>
              </v:shape>
            </v:group>
            <v:group style="position:absolute;left:7322;top:14098;width:2;height:548" coordorigin="7322,14098" coordsize="2,548">
              <v:shape style="position:absolute;left:7322;top:14098;width:2;height:548" coordorigin="7322,14098" coordsize="0,548" path="m7322,14098l7322,14645e" filled="false" stroked="true" strokeweight=".48pt" strokecolor="#000000">
                <v:path arrowok="t"/>
              </v:shape>
            </v:group>
            <v:group style="position:absolute;left:9142;top:14098;width:2;height:548" coordorigin="9142,14098" coordsize="2,548">
              <v:shape style="position:absolute;left:9142;top:14098;width:2;height:548" coordorigin="9142,14098" coordsize="0,548" path="m9142,14098l9142,14645e" filled="false" stroked="true" strokeweight=".48pt" strokecolor="#000000">
                <v:path arrowok="t"/>
              </v:shape>
            </v:group>
            <v:group style="position:absolute;left:1150;top:14654;width:2;height:548" coordorigin="1150,14654" coordsize="2,548">
              <v:shape style="position:absolute;left:1150;top:14654;width:2;height:548" coordorigin="1150,14654" coordsize="0,548" path="m1150,14654l1150,15202e" filled="false" stroked="true" strokeweight="1.140pt" strokecolor="#dcdcdc">
                <v:path arrowok="t"/>
              </v:shape>
            </v:group>
            <v:group style="position:absolute;left:3665;top:14654;width:2;height:548" coordorigin="3665,14654" coordsize="2,548">
              <v:shape style="position:absolute;left:3665;top:14654;width:2;height:548" coordorigin="3665,14654" coordsize="0,548" path="m3665,14654l3665,15202e" filled="false" stroked="true" strokeweight="1.140pt" strokecolor="#dcdcdc">
                <v:path arrowok="t"/>
              </v:shape>
            </v:group>
            <v:group style="position:absolute;left:1162;top:14654;width:2493;height:274" coordorigin="1162,14654" coordsize="2493,274">
              <v:shape style="position:absolute;left:1162;top:14654;width:2493;height:274" coordorigin="1162,14654" coordsize="2493,274" path="m1162,14928l3654,14928,3654,14654,1162,14654,1162,14928xe" filled="true" fillcolor="#dcdcdc" stroked="false">
                <v:path arrowok="t"/>
                <v:fill type="solid"/>
              </v:shape>
            </v:group>
            <v:group style="position:absolute;left:1162;top:14928;width:2493;height:274" coordorigin="1162,14928" coordsize="2493,274">
              <v:shape style="position:absolute;left:1162;top:14928;width:2493;height:274" coordorigin="1162,14928" coordsize="2493,274" path="m1162,15202l3654,15202,3654,14928,1162,14928,1162,15202xe" filled="true" fillcolor="#dcdcdc" stroked="false">
                <v:path arrowok="t"/>
                <v:fill type="solid"/>
              </v:shape>
            </v:group>
            <v:group style="position:absolute;left:1129;top:14650;width:9838;height:2" coordorigin="1129,14650" coordsize="9838,2">
              <v:shape style="position:absolute;left:1129;top:14650;width:9838;height:2" coordorigin="1129,14650" coordsize="9838,0" path="m1129,14650l10967,14650e" filled="false" stroked="true" strokeweight=".48pt" strokecolor="#000000">
                <v:path arrowok="t"/>
              </v:shape>
            </v:group>
            <v:group style="position:absolute;left:1134;top:1440;width:2;height:13772" coordorigin="1134,1440" coordsize="2,13772">
              <v:shape style="position:absolute;left:1134;top:1440;width:2;height:13772" coordorigin="1134,1440" coordsize="0,13772" path="m1134,1440l1134,15211e" filled="false" stroked="true" strokeweight=".48pt" strokecolor="#000000">
                <v:path arrowok="t"/>
              </v:shape>
            </v:group>
            <v:group style="position:absolute;left:1129;top:15206;width:2548;height:2" coordorigin="1129,15206" coordsize="2548,2">
              <v:shape style="position:absolute;left:1129;top:15206;width:2548;height:2" coordorigin="1129,15206" coordsize="2548,0" path="m1129,15206l3677,15206e" filled="false" stroked="true" strokeweight=".48pt" strokecolor="#000000">
                <v:path arrowok="t"/>
              </v:shape>
            </v:group>
            <v:group style="position:absolute;left:3682;top:14654;width:2;height:557" coordorigin="3682,14654" coordsize="2,557">
              <v:shape style="position:absolute;left:3682;top:14654;width:2;height:557" coordorigin="3682,14654" coordsize="0,557" path="m3682,14654l3682,15211e" filled="false" stroked="true" strokeweight=".48pt" strokecolor="#000000">
                <v:path arrowok="t"/>
              </v:shape>
            </v:group>
            <v:group style="position:absolute;left:3686;top:15206;width:1811;height:2" coordorigin="3686,15206" coordsize="1811,2">
              <v:shape style="position:absolute;left:3686;top:15206;width:1811;height:2" coordorigin="3686,15206" coordsize="1811,0" path="m3686,15206l5497,15206e" filled="false" stroked="true" strokeweight=".48pt" strokecolor="#000000">
                <v:path arrowok="t"/>
              </v:shape>
            </v:group>
            <v:group style="position:absolute;left:5502;top:14654;width:2;height:557" coordorigin="5502,14654" coordsize="2,557">
              <v:shape style="position:absolute;left:5502;top:14654;width:2;height:557" coordorigin="5502,14654" coordsize="0,557" path="m5502,14654l5502,15211e" filled="false" stroked="true" strokeweight=".48pt" strokecolor="#000000">
                <v:path arrowok="t"/>
              </v:shape>
            </v:group>
            <v:group style="position:absolute;left:5507;top:15206;width:1811;height:2" coordorigin="5507,15206" coordsize="1811,2">
              <v:shape style="position:absolute;left:5507;top:15206;width:1811;height:2" coordorigin="5507,15206" coordsize="1811,0" path="m5507,15206l7318,15206e" filled="false" stroked="true" strokeweight=".48pt" strokecolor="#000000">
                <v:path arrowok="t"/>
              </v:shape>
            </v:group>
            <v:group style="position:absolute;left:7322;top:14654;width:2;height:557" coordorigin="7322,14654" coordsize="2,557">
              <v:shape style="position:absolute;left:7322;top:14654;width:2;height:557" coordorigin="7322,14654" coordsize="0,557" path="m7322,14654l7322,15211e" filled="false" stroked="true" strokeweight=".48pt" strokecolor="#000000">
                <v:path arrowok="t"/>
              </v:shape>
            </v:group>
            <v:group style="position:absolute;left:7327;top:15206;width:1810;height:2" coordorigin="7327,15206" coordsize="1810,2">
              <v:shape style="position:absolute;left:7327;top:15206;width:1810;height:2" coordorigin="7327,15206" coordsize="1810,0" path="m7327,15206l9137,15206e" filled="false" stroked="true" strokeweight=".48pt" strokecolor="#000000">
                <v:path arrowok="t"/>
              </v:shape>
            </v:group>
            <v:group style="position:absolute;left:9142;top:14654;width:2;height:557" coordorigin="9142,14654" coordsize="2,557">
              <v:shape style="position:absolute;left:9142;top:14654;width:2;height:557" coordorigin="9142,14654" coordsize="0,557" path="m9142,14654l9142,15211e" filled="false" stroked="true" strokeweight=".48pt" strokecolor="#000000">
                <v:path arrowok="t"/>
              </v:shape>
            </v:group>
            <v:group style="position:absolute;left:9146;top:15206;width:1811;height:2" coordorigin="9146,15206" coordsize="1811,2">
              <v:shape style="position:absolute;left:9146;top:15206;width:1811;height:2" coordorigin="9146,15206" coordsize="1811,0" path="m9146,15206l10957,15206e" filled="false" stroked="true" strokeweight=".48pt" strokecolor="#000000">
                <v:path arrowok="t"/>
              </v:shape>
            </v:group>
            <v:group style="position:absolute;left:10962;top:1440;width:2;height:13772" coordorigin="10962,1440" coordsize="2,13772">
              <v:shape style="position:absolute;left:10962;top:1440;width:2;height:13772" coordorigin="10962,1440" coordsize="0,13772" path="m10962,1440l10962,15211e" filled="false" stroked="true" strokeweight=".48pt" strokecolor="#000000">
                <v:path arrowok="t"/>
              </v:shape>
            </v:group>
            <w10:wrap type="none"/>
          </v:group>
        </w:pict>
      </w:r>
    </w:p>
    <w:p>
      <w:pPr>
        <w:spacing w:line="240" w:lineRule="auto" w:before="8"/>
        <w:rPr>
          <w:rFonts w:ascii="Times New Roman" w:hAnsi="Times New Roman" w:cs="Times New Roman" w:eastAsia="Times New Roman" w:hint="default"/>
          <w:sz w:val="19"/>
          <w:szCs w:val="19"/>
        </w:rPr>
      </w:pPr>
    </w:p>
    <w:tbl>
      <w:tblPr>
        <w:tblW w:w="0" w:type="auto"/>
        <w:jc w:val="left"/>
        <w:tblInd w:w="165"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32" w:lineRule="exact" w:before="38"/>
              <w:ind w:left="16"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13,469,726.41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5,873,351.74</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6,930,435.16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2,661,967.15</w:t>
            </w:r>
          </w:p>
        </w:tc>
      </w:tr>
      <w:tr>
        <w:trPr>
          <w:trHeight w:val="32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37,021,458.06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18"/>
                <w:szCs w:val="18"/>
              </w:rPr>
            </w:pPr>
            <w:r>
              <w:rPr>
                <w:rFonts w:ascii="Times New Roman"/>
                <w:spacing w:val="-1"/>
                <w:sz w:val="18"/>
              </w:rPr>
              <w:t>30,762,041.81</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36,275,952.77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30,707,624.39</w:t>
            </w: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93,061,759.43</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71,613,450.18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73,524,495.51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53,441,814.76</w:t>
            </w:r>
          </w:p>
        </w:tc>
      </w:tr>
      <w:tr>
        <w:trPr>
          <w:trHeight w:val="324"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55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18"/>
                <w:szCs w:val="18"/>
              </w:rPr>
            </w:pPr>
            <w:r>
              <w:rPr>
                <w:rFonts w:ascii="Times New Roman"/>
                <w:spacing w:val="-1"/>
                <w:sz w:val="18"/>
              </w:rPr>
              <w:t>286,303,156.44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278,978,754.75</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18"/>
                <w:szCs w:val="18"/>
              </w:rPr>
            </w:pPr>
            <w:r>
              <w:rPr>
                <w:rFonts w:ascii="Times New Roman"/>
                <w:spacing w:val="-1"/>
                <w:sz w:val="18"/>
              </w:rPr>
              <w:t>242,094,564.17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18"/>
                <w:szCs w:val="18"/>
              </w:rPr>
            </w:pPr>
            <w:r>
              <w:rPr>
                <w:rFonts w:ascii="Times New Roman"/>
                <w:spacing w:val="-1"/>
                <w:sz w:val="18"/>
              </w:rPr>
              <w:t>241,325,087.03</w:t>
            </w:r>
          </w:p>
        </w:tc>
      </w:tr>
      <w:tr>
        <w:trPr>
          <w:trHeight w:val="56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12,721,648.94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12,671,203.58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42,302,725.31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40,181,684.55</w:t>
            </w:r>
          </w:p>
        </w:tc>
      </w:tr>
      <w:tr>
        <w:trPr>
          <w:trHeight w:val="309"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
              <w:ind w:left="16"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nil" w:sz="6" w:space="0" w:color="auto"/>
              <w:left w:val="nil" w:sz="6" w:space="0" w:color="auto"/>
              <w:bottom w:val="nil" w:sz="6" w:space="0" w:color="auto"/>
              <w:right w:val="nil" w:sz="6" w:space="0" w:color="auto"/>
            </w:tcBorders>
            <w:shd w:val="clear" w:color="auto" w:fill="DCDCDC"/>
          </w:tcPr>
          <w:p>
            <w:pPr/>
          </w:p>
        </w:tc>
        <w:tc>
          <w:tcPr>
            <w:tcW w:w="1820" w:type="dxa"/>
            <w:tcBorders>
              <w:top w:val="nil" w:sz="6" w:space="0" w:color="auto"/>
              <w:left w:val="nil" w:sz="6" w:space="0" w:color="auto"/>
              <w:bottom w:val="nil" w:sz="6" w:space="0" w:color="auto"/>
              <w:right w:val="nil" w:sz="6" w:space="0" w:color="auto"/>
            </w:tcBorders>
            <w:shd w:val="clear" w:color="auto" w:fill="DCDCDC"/>
          </w:tcPr>
          <w:p>
            <w:pPr/>
          </w:p>
        </w:tc>
        <w:tc>
          <w:tcPr>
            <w:tcW w:w="1819" w:type="dxa"/>
            <w:tcBorders>
              <w:top w:val="nil" w:sz="6" w:space="0" w:color="auto"/>
              <w:left w:val="nil" w:sz="6" w:space="0" w:color="auto"/>
              <w:bottom w:val="nil" w:sz="6" w:space="0" w:color="auto"/>
              <w:right w:val="nil" w:sz="6" w:space="0" w:color="auto"/>
            </w:tcBorders>
            <w:shd w:val="clear" w:color="auto" w:fill="DCDCDC"/>
          </w:tcPr>
          <w:p>
            <w:pPr/>
          </w:p>
        </w:tc>
        <w:tc>
          <w:tcPr>
            <w:tcW w:w="1820" w:type="dxa"/>
            <w:tcBorders>
              <w:top w:val="nil" w:sz="6" w:space="0" w:color="auto"/>
              <w:left w:val="nil" w:sz="6" w:space="0" w:color="auto"/>
              <w:bottom w:val="nil" w:sz="6" w:space="0" w:color="auto"/>
              <w:right w:val="nil" w:sz="6" w:space="0" w:color="auto"/>
            </w:tcBorders>
            <w:shd w:val="clear" w:color="auto" w:fill="DCDCDC"/>
          </w:tcPr>
          <w:p>
            <w:pPr/>
          </w:p>
        </w:tc>
      </w:tr>
      <w:tr>
        <w:trPr>
          <w:trHeight w:val="331"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
              <w:jc w:val="right"/>
              <w:rPr>
                <w:rFonts w:ascii="Times New Roman" w:hAnsi="Times New Roman" w:cs="Times New Roman" w:eastAsia="Times New Roman" w:hint="default"/>
                <w:sz w:val="18"/>
                <w:szCs w:val="18"/>
              </w:rPr>
            </w:pPr>
            <w:r>
              <w:rPr>
                <w:rFonts w:ascii="Times New Roman"/>
                <w:spacing w:val="-1"/>
                <w:sz w:val="18"/>
              </w:rPr>
              <w:t>5,000,000.00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2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2,530,750.00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750.00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30,000.00</w:t>
            </w:r>
          </w:p>
        </w:tc>
      </w:tr>
      <w:tr>
        <w:trPr>
          <w:trHeight w:val="558"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3"/>
              <w:ind w:left="16"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32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55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2,530,750.00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z w:val="18"/>
              </w:rPr>
              <w:t>750.00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5,200,000.00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5,030,000.00</w:t>
            </w: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43,834,159.91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40,330,042.98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26,705,656.09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24,924,928.36</w:t>
            </w:r>
          </w:p>
        </w:tc>
      </w:tr>
      <w:tr>
        <w:trPr>
          <w:trHeight w:val="324"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18"/>
                <w:szCs w:val="18"/>
              </w:rPr>
            </w:pPr>
            <w:r>
              <w:rPr>
                <w:rFonts w:ascii="Times New Roman"/>
                <w:spacing w:val="-1"/>
                <w:sz w:val="18"/>
              </w:rPr>
              <w:t>7,000,000.00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z w:val="18"/>
              </w:rPr>
              <w:t>480,000.00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z w:val="18"/>
              </w:rPr>
              <w:t>530,000.00</w:t>
            </w:r>
          </w:p>
        </w:tc>
      </w:tr>
      <w:tr>
        <w:trPr>
          <w:trHeight w:val="32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324"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55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43,834,159.91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18"/>
                <w:szCs w:val="18"/>
              </w:rPr>
            </w:pPr>
            <w:r>
              <w:rPr>
                <w:rFonts w:ascii="Times New Roman"/>
                <w:spacing w:val="-1"/>
                <w:sz w:val="18"/>
              </w:rPr>
              <w:t>47,330,042.98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27,185,656.09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25,454,928.36</w:t>
            </w:r>
          </w:p>
        </w:tc>
      </w:tr>
      <w:tr>
        <w:trPr>
          <w:trHeight w:val="621"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-41,303,409.91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-47,329,292.98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-21,985,656.09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-20,424,928.36</w:t>
            </w:r>
          </w:p>
        </w:tc>
      </w:tr>
      <w:tr>
        <w:trPr>
          <w:trHeight w:val="42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4" w:lineRule="exact"/>
              <w:ind w:left="19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6"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nil" w:sz="6" w:space="0" w:color="auto"/>
              <w:left w:val="nil" w:sz="6" w:space="0" w:color="auto"/>
              <w:bottom w:val="nil" w:sz="6" w:space="0" w:color="auto"/>
              <w:right w:val="nil" w:sz="6" w:space="0" w:color="auto"/>
            </w:tcBorders>
            <w:shd w:val="clear" w:color="auto" w:fill="DCDCDC"/>
          </w:tcPr>
          <w:p>
            <w:pPr/>
          </w:p>
        </w:tc>
        <w:tc>
          <w:tcPr>
            <w:tcW w:w="1820" w:type="dxa"/>
            <w:tcBorders>
              <w:top w:val="nil" w:sz="6" w:space="0" w:color="auto"/>
              <w:left w:val="nil" w:sz="6" w:space="0" w:color="auto"/>
              <w:bottom w:val="nil" w:sz="6" w:space="0" w:color="auto"/>
              <w:right w:val="nil" w:sz="6" w:space="0" w:color="auto"/>
            </w:tcBorders>
            <w:shd w:val="clear" w:color="auto" w:fill="DCDCDC"/>
          </w:tcPr>
          <w:p>
            <w:pPr/>
          </w:p>
        </w:tc>
        <w:tc>
          <w:tcPr>
            <w:tcW w:w="1819" w:type="dxa"/>
            <w:tcBorders>
              <w:top w:val="nil" w:sz="6" w:space="0" w:color="auto"/>
              <w:left w:val="nil" w:sz="6" w:space="0" w:color="auto"/>
              <w:bottom w:val="nil" w:sz="6" w:space="0" w:color="auto"/>
              <w:right w:val="nil" w:sz="6" w:space="0" w:color="auto"/>
            </w:tcBorders>
            <w:shd w:val="clear" w:color="auto" w:fill="DCDCDC"/>
          </w:tcPr>
          <w:p>
            <w:pPr/>
          </w:p>
        </w:tc>
        <w:tc>
          <w:tcPr>
            <w:tcW w:w="1820" w:type="dxa"/>
            <w:tcBorders>
              <w:top w:val="nil" w:sz="6" w:space="0" w:color="auto"/>
              <w:left w:val="nil" w:sz="6" w:space="0" w:color="auto"/>
              <w:bottom w:val="nil" w:sz="6" w:space="0" w:color="auto"/>
              <w:right w:val="nil" w:sz="6" w:space="0" w:color="auto"/>
            </w:tcBorders>
            <w:shd w:val="clear" w:color="auto" w:fill="DCDCDC"/>
          </w:tcPr>
          <w:p>
            <w:pPr/>
          </w:p>
        </w:tc>
      </w:tr>
      <w:tr>
        <w:trPr>
          <w:trHeight w:val="389"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0"/>
              <w:ind w:left="37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
              <w:jc w:val="right"/>
              <w:rPr>
                <w:rFonts w:ascii="Times New Roman" w:hAnsi="Times New Roman" w:cs="Times New Roman" w:eastAsia="Times New Roman" w:hint="default"/>
                <w:sz w:val="18"/>
                <w:szCs w:val="18"/>
              </w:rPr>
            </w:pPr>
            <w:r>
              <w:rPr>
                <w:rFonts w:ascii="Times New Roman"/>
                <w:spacing w:val="-1"/>
                <w:sz w:val="18"/>
              </w:rPr>
              <w:t>302,400,000.00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
              <w:jc w:val="right"/>
              <w:rPr>
                <w:rFonts w:ascii="Times New Roman" w:hAnsi="Times New Roman" w:cs="Times New Roman" w:eastAsia="Times New Roman" w:hint="default"/>
                <w:sz w:val="18"/>
                <w:szCs w:val="18"/>
              </w:rPr>
            </w:pPr>
            <w:r>
              <w:rPr>
                <w:rFonts w:ascii="Times New Roman"/>
                <w:spacing w:val="-1"/>
                <w:sz w:val="18"/>
              </w:rPr>
              <w:t>302,400,000.00</w:t>
            </w: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32" w:lineRule="exact" w:before="38"/>
              <w:ind w:left="16"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32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12,800,000.00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12,800,000.00</w:t>
            </w:r>
          </w:p>
        </w:tc>
      </w:tr>
      <w:tr>
        <w:trPr>
          <w:trHeight w:val="324"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323"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55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18"/>
                <w:szCs w:val="18"/>
              </w:rPr>
            </w:pPr>
            <w:r>
              <w:rPr>
                <w:rFonts w:ascii="Times New Roman"/>
                <w:spacing w:val="-1"/>
                <w:sz w:val="18"/>
              </w:rPr>
              <w:t>302,400,000.00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302,400,000.00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12,800,000.00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12,800,000.00</w:t>
            </w:r>
          </w:p>
        </w:tc>
      </w:tr>
      <w:tr>
        <w:trPr>
          <w:trHeight w:val="324"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13,565,418.36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18"/>
                <w:szCs w:val="18"/>
              </w:rPr>
            </w:pPr>
            <w:r>
              <w:rPr>
                <w:rFonts w:ascii="Times New Roman"/>
                <w:spacing w:val="-1"/>
                <w:sz w:val="18"/>
              </w:rPr>
              <w:t>12,800,000.00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12,800,000.00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18"/>
                <w:szCs w:val="18"/>
              </w:rPr>
            </w:pPr>
            <w:r>
              <w:rPr>
                <w:rFonts w:ascii="Times New Roman"/>
                <w:spacing w:val="-1"/>
                <w:sz w:val="18"/>
              </w:rPr>
              <w:t>12,800,000.00</w:t>
            </w: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9"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1,020,543.62</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979,085.95</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15,232,233.61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15,182,704.06</w:t>
            </w: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7" w:hRule="exact"/>
        </w:trPr>
        <w:tc>
          <w:tcPr>
            <w:tcW w:w="252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4"/>
              <w:ind w:left="16" w:right="161"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15,522,411.34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15,522,411.34</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50,000.00</w:t>
            </w:r>
          </w:p>
        </w:tc>
        <w:tc>
          <w:tcPr>
            <w:tcW w:w="182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30,108,373.32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29,301,497.29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28,082,233.61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27,982,704.06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272,291,626.68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273,098,502.71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-15,282,233.61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-15,182,704.06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w w:val="95"/>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243,709,865.71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238,440,413.31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5,034,835.61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4,574,052.13</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50,231,007.85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49,729,612.77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45,196,172.24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45,155,560.64</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w w:val="95"/>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293,940,873.56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288,170,026.08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50,231,007.85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49,729,612.77</w:t>
            </w:r>
          </w:p>
        </w:tc>
      </w:tr>
    </w:tbl>
    <w:p>
      <w:pPr>
        <w:tabs>
          <w:tab w:pos="3123" w:val="left" w:leader="none"/>
          <w:tab w:pos="7443" w:val="left" w:leader="none"/>
        </w:tabs>
        <w:spacing w:before="10"/>
        <w:ind w:left="694" w:right="303"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after="0"/>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pStyle w:val="Heading2"/>
        <w:spacing w:line="240" w:lineRule="auto" w:before="144"/>
        <w:ind w:left="6357" w:right="5772"/>
        <w:jc w:val="center"/>
        <w:rPr>
          <w:b w:val="0"/>
          <w:bCs w:val="0"/>
        </w:rPr>
      </w:pPr>
      <w:r>
        <w:rPr/>
        <w:t>合并所有者权益变动表</w:t>
      </w:r>
      <w:r>
        <w:rPr>
          <w:b w:val="0"/>
          <w:bCs w:val="0"/>
        </w:rPr>
      </w:r>
    </w:p>
    <w:p>
      <w:pPr>
        <w:tabs>
          <w:tab w:pos="7033" w:val="left" w:leader="none"/>
          <w:tab w:pos="12298" w:val="left" w:leader="none"/>
        </w:tabs>
        <w:spacing w:before="223"/>
        <w:ind w:left="19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971"/>
        <w:gridCol w:w="1440"/>
        <w:gridCol w:w="1476"/>
        <w:gridCol w:w="1044"/>
        <w:gridCol w:w="1440"/>
        <w:gridCol w:w="1476"/>
        <w:gridCol w:w="676"/>
        <w:gridCol w:w="1088"/>
        <w:gridCol w:w="2136"/>
      </w:tblGrid>
      <w:tr>
        <w:trPr>
          <w:trHeight w:val="322" w:hRule="exact"/>
        </w:trPr>
        <w:tc>
          <w:tcPr>
            <w:tcW w:w="397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90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07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971" w:type="dxa"/>
            <w:vMerge/>
            <w:tcBorders>
              <w:left w:val="single" w:sz="4" w:space="0" w:color="000000"/>
              <w:right w:val="single" w:sz="4" w:space="0" w:color="000000"/>
            </w:tcBorders>
          </w:tcPr>
          <w:p>
            <w:pPr/>
          </w:p>
        </w:tc>
        <w:tc>
          <w:tcPr>
            <w:tcW w:w="75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088" w:type="dxa"/>
            <w:vMerge w:val="restart"/>
            <w:tcBorders>
              <w:top w:val="single" w:sz="4" w:space="0" w:color="000000"/>
              <w:left w:val="single" w:sz="4" w:space="0" w:color="000000"/>
              <w:right w:val="single" w:sz="4" w:space="0" w:color="000000"/>
            </w:tcBorders>
          </w:tcPr>
          <w:p>
            <w:pPr>
              <w:pStyle w:val="TableParagraph"/>
              <w:spacing w:line="316" w:lineRule="auto" w:before="10"/>
              <w:ind w:left="357" w:right="176" w:hanging="18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b/>
                <w:bCs/>
                <w:w w:val="9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c>
          <w:tcPr>
            <w:tcW w:w="2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3" w:hRule="exact"/>
        </w:trPr>
        <w:tc>
          <w:tcPr>
            <w:tcW w:w="397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088" w:type="dxa"/>
            <w:vMerge/>
            <w:tcBorders>
              <w:left w:val="single" w:sz="4" w:space="0" w:color="000000"/>
              <w:bottom w:val="single" w:sz="4" w:space="0" w:color="000000"/>
              <w:right w:val="single" w:sz="4" w:space="0" w:color="000000"/>
            </w:tcBorders>
          </w:tcPr>
          <w:p>
            <w:pPr/>
          </w:p>
        </w:tc>
        <w:tc>
          <w:tcPr>
            <w:tcW w:w="2136" w:type="dxa"/>
            <w:vMerge/>
            <w:tcBorders>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2,741,307.14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15,026,270.18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83,110,213.24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148,877,790.56</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2,741,307.14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15,026,270.18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83,110,213.24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148,877,790.56</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269,885,083.00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75,053,409.55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369,206,836.39</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83,321,753.39</w:t>
            </w: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83,321,753.39</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（二）直接计入股东权益的利得或损失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63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6" w:firstLine="360"/>
              <w:jc w:val="left"/>
              <w:rPr>
                <w:rFonts w:ascii="宋体" w:hAnsi="宋体" w:cs="宋体" w:eastAsia="宋体" w:hint="default"/>
                <w:sz w:val="18"/>
                <w:szCs w:val="18"/>
              </w:rPr>
            </w:pPr>
            <w:r>
              <w:rPr>
                <w:rFonts w:ascii="宋体" w:hAnsi="宋体" w:cs="宋体" w:eastAsia="宋体" w:hint="default"/>
                <w:sz w:val="18"/>
                <w:szCs w:val="18"/>
              </w:rPr>
              <w:t>2、权益法下被投资单位其他股东权益变动 的影响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3、与计入股东权益项目相关的所得税影响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83,321,753.39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83,321,753.39</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269,885,083.00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285,885,083.00</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269,885,083.00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285,885,083.00</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2、对股东的分配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12"/>
          <w:footerReference w:type="default" r:id="rId13"/>
          <w:pgSz w:w="16840" w:h="11910" w:orient="landscape"/>
          <w:pgMar w:header="877" w:footer="938" w:top="1100" w:bottom="1120" w:left="940" w:right="920"/>
          <w:pgNumType w:start="53"/>
        </w:sectPr>
      </w:pPr>
    </w:p>
    <w:p>
      <w:pPr>
        <w:spacing w:line="240" w:lineRule="auto" w:before="2"/>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971"/>
        <w:gridCol w:w="1440"/>
        <w:gridCol w:w="1476"/>
        <w:gridCol w:w="1044"/>
        <w:gridCol w:w="1440"/>
        <w:gridCol w:w="1476"/>
        <w:gridCol w:w="676"/>
        <w:gridCol w:w="1088"/>
        <w:gridCol w:w="2136"/>
      </w:tblGrid>
      <w:tr>
        <w:trPr>
          <w:trHeight w:val="317" w:hRule="exact"/>
        </w:trPr>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w:t>
            </w:r>
          </w:p>
        </w:tc>
        <w:tc>
          <w:tcPr>
            <w:tcW w:w="1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center"/>
              <w:rPr>
                <w:rFonts w:ascii="宋体" w:hAnsi="宋体" w:cs="宋体" w:eastAsia="宋体" w:hint="default"/>
                <w:sz w:val="18"/>
                <w:szCs w:val="18"/>
              </w:rPr>
            </w:pPr>
            <w:r>
              <w:rPr>
                <w:rFonts w:ascii="宋体"/>
                <w:sz w:val="18"/>
              </w:rPr>
              <w:t>-</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272,626,390.14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23,294,614.02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158,163,622.79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3" w:right="0"/>
              <w:jc w:val="left"/>
              <w:rPr>
                <w:rFonts w:ascii="宋体" w:hAnsi="宋体" w:cs="宋体" w:eastAsia="宋体" w:hint="default"/>
                <w:sz w:val="18"/>
                <w:szCs w:val="18"/>
              </w:rPr>
            </w:pPr>
            <w:r>
              <w:rPr>
                <w:rFonts w:ascii="宋体"/>
                <w:sz w:val="18"/>
              </w:rPr>
              <w:t>518,084,626.95</w:t>
            </w:r>
          </w:p>
        </w:tc>
      </w:tr>
    </w:tbl>
    <w:p>
      <w:pPr>
        <w:tabs>
          <w:tab w:pos="6403" w:val="left" w:leader="none"/>
          <w:tab w:pos="11623" w:val="left" w:leader="none"/>
        </w:tabs>
        <w:spacing w:before="51"/>
        <w:ind w:left="2353"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8"/>
        <w:ind w:left="6357" w:right="5208"/>
        <w:jc w:val="center"/>
        <w:rPr>
          <w:b w:val="0"/>
          <w:bCs w:val="0"/>
        </w:rPr>
      </w:pPr>
      <w:r>
        <w:rPr/>
        <w:t>合并所有者权益变动表（续）</w:t>
      </w:r>
      <w:r>
        <w:rPr>
          <w:b w:val="0"/>
          <w:bCs w:val="0"/>
        </w:rPr>
      </w:r>
    </w:p>
    <w:p>
      <w:pPr>
        <w:tabs>
          <w:tab w:pos="7033" w:val="left" w:leader="none"/>
          <w:tab w:pos="12298" w:val="left" w:leader="none"/>
        </w:tabs>
        <w:spacing w:before="223"/>
        <w:ind w:left="19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3965"/>
        <w:gridCol w:w="1620"/>
        <w:gridCol w:w="1440"/>
        <w:gridCol w:w="1080"/>
        <w:gridCol w:w="1440"/>
        <w:gridCol w:w="1566"/>
        <w:gridCol w:w="594"/>
        <w:gridCol w:w="1476"/>
        <w:gridCol w:w="1764"/>
      </w:tblGrid>
      <w:tr>
        <w:trPr>
          <w:trHeight w:val="322" w:hRule="exact"/>
        </w:trPr>
        <w:tc>
          <w:tcPr>
            <w:tcW w:w="39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903"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09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2006</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965" w:type="dxa"/>
            <w:vMerge/>
            <w:tcBorders>
              <w:left w:val="single" w:sz="4" w:space="0" w:color="000000"/>
              <w:right w:val="single" w:sz="4" w:space="0" w:color="000000"/>
            </w:tcBorders>
          </w:tcPr>
          <w:p>
            <w:pPr/>
          </w:p>
        </w:tc>
        <w:tc>
          <w:tcPr>
            <w:tcW w:w="77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7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3" w:hRule="exact"/>
        </w:trPr>
        <w:tc>
          <w:tcPr>
            <w:tcW w:w="3965"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4" w:space="0" w:color="000000"/>
              <w:bottom w:val="single" w:sz="4" w:space="0" w:color="000000"/>
              <w:right w:val="single" w:sz="4" w:space="0" w:color="000000"/>
            </w:tcBorders>
          </w:tcPr>
          <w:p>
            <w:pPr/>
          </w:p>
        </w:tc>
        <w:tc>
          <w:tcPr>
            <w:tcW w:w="1764" w:type="dxa"/>
            <w:vMerge/>
            <w:tcBorders>
              <w:left w:val="single" w:sz="4" w:space="0" w:color="000000"/>
              <w:bottom w:val="single" w:sz="4" w:space="0" w:color="000000"/>
              <w:right w:val="single" w:sz="4" w:space="0" w:color="000000"/>
            </w:tcBorders>
          </w:tcPr>
          <w:p>
            <w:pP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2,195,899.00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9,983,805.71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51,825,450.68</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976,746.49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112,981,901.88</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2,195,899.00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9,983,805.71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51,825,450.68</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976,746.49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112,981,901.88</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5,042,464.47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31,284,762.56</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(976,746.49)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35,895,888.68</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50,743,678.06</w:t>
            </w: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47,198.59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50,790,876.65</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（二）直接计入股东权益的利得或损失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3,548.97</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(1,023,945.08)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(494,987.97)</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635"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20" w:firstLine="360"/>
              <w:jc w:val="left"/>
              <w:rPr>
                <w:rFonts w:ascii="宋体" w:hAnsi="宋体" w:cs="宋体" w:eastAsia="宋体" w:hint="default"/>
                <w:sz w:val="18"/>
                <w:szCs w:val="18"/>
              </w:rPr>
            </w:pPr>
            <w:r>
              <w:rPr>
                <w:rFonts w:ascii="宋体" w:hAnsi="宋体" w:cs="宋体" w:eastAsia="宋体" w:hint="default"/>
                <w:sz w:val="18"/>
                <w:szCs w:val="18"/>
              </w:rPr>
              <w:t>2、权益法下被投资单位其他股东权益 变动的影响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3、与计入股东权益项目相关的所得税影响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3,548.97</w:t>
            </w: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(1,023,945.08)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(494,987.97)</w:t>
            </w:r>
          </w:p>
        </w:tc>
      </w:tr>
    </w:tbl>
    <w:p>
      <w:pPr>
        <w:spacing w:after="0" w:line="240" w:lineRule="auto"/>
        <w:jc w:val="right"/>
        <w:rPr>
          <w:rFonts w:ascii="宋体" w:hAnsi="宋体" w:cs="宋体" w:eastAsia="宋体" w:hint="default"/>
          <w:sz w:val="18"/>
          <w:szCs w:val="18"/>
        </w:rPr>
        <w:sectPr>
          <w:pgSz w:w="16840" w:h="11910" w:orient="landscape"/>
          <w:pgMar w:header="877" w:footer="938" w:top="1100" w:bottom="1120" w:left="940" w:right="640"/>
        </w:sectPr>
      </w:pPr>
    </w:p>
    <w:p>
      <w:pPr>
        <w:spacing w:line="240" w:lineRule="auto" w:before="2"/>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3965"/>
        <w:gridCol w:w="1620"/>
        <w:gridCol w:w="1440"/>
        <w:gridCol w:w="1080"/>
        <w:gridCol w:w="1440"/>
        <w:gridCol w:w="1566"/>
        <w:gridCol w:w="594"/>
        <w:gridCol w:w="1476"/>
        <w:gridCol w:w="1764"/>
      </w:tblGrid>
      <w:tr>
        <w:trPr>
          <w:trHeight w:val="317" w:hRule="exact"/>
        </w:trPr>
        <w:tc>
          <w:tcPr>
            <w:tcW w:w="3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25"/>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1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50,747,227.03</w:t>
            </w:r>
          </w:p>
        </w:tc>
        <w:tc>
          <w:tcPr>
            <w:tcW w:w="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(976,746.49)</w:t>
            </w:r>
          </w:p>
        </w:tc>
        <w:tc>
          <w:tcPr>
            <w:tcW w:w="1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50,295,888.68</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5"/>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5,062,464.47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(19,462,464.47)</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(14,400,000.00)</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5,062,464.47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(5,062,464.47)</w:t>
            </w: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2、对股东的分配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(14,400,000.00)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(14,400,000.00)</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5"/>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2"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9"/>
              <w:jc w:val="right"/>
              <w:rPr>
                <w:rFonts w:ascii="宋体" w:hAnsi="宋体" w:cs="宋体" w:eastAsia="宋体" w:hint="default"/>
                <w:sz w:val="18"/>
                <w:szCs w:val="18"/>
              </w:rPr>
            </w:pPr>
            <w:r>
              <w:rPr>
                <w:rFonts w:ascii="宋体"/>
                <w:sz w:val="18"/>
              </w:rPr>
              <w:t>-</w:t>
            </w:r>
          </w:p>
        </w:tc>
      </w:tr>
      <w:tr>
        <w:trPr>
          <w:trHeight w:val="32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7" w:right="0"/>
              <w:jc w:val="left"/>
              <w:rPr>
                <w:rFonts w:ascii="宋体" w:hAnsi="宋体" w:cs="宋体" w:eastAsia="宋体" w:hint="default"/>
                <w:sz w:val="18"/>
                <w:szCs w:val="18"/>
              </w:rPr>
            </w:pPr>
            <w:r>
              <w:rPr>
                <w:rFonts w:ascii="宋体"/>
                <w:sz w:val="18"/>
              </w:rPr>
              <w:t>48,000,000.00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2,741,307.14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15,026,270.18</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83,110,213.24</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1"/>
              <w:jc w:val="right"/>
              <w:rPr>
                <w:rFonts w:ascii="宋体" w:hAnsi="宋体" w:cs="宋体" w:eastAsia="宋体" w:hint="default"/>
                <w:sz w:val="18"/>
                <w:szCs w:val="18"/>
              </w:rPr>
            </w:pPr>
            <w:r>
              <w:rPr>
                <w:rFonts w:ascii="宋体"/>
                <w:sz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148,877,790.56</w:t>
            </w:r>
          </w:p>
        </w:tc>
      </w:tr>
    </w:tbl>
    <w:p>
      <w:pPr>
        <w:tabs>
          <w:tab w:pos="4203" w:val="left" w:leader="none"/>
          <w:tab w:pos="9423" w:val="left" w:leader="none"/>
        </w:tabs>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8"/>
        <w:rPr>
          <w:rFonts w:ascii="宋体" w:hAnsi="宋体" w:cs="宋体" w:eastAsia="宋体" w:hint="default"/>
          <w:sz w:val="14"/>
          <w:szCs w:val="14"/>
        </w:rPr>
      </w:pPr>
    </w:p>
    <w:p>
      <w:pPr>
        <w:pStyle w:val="Heading2"/>
        <w:spacing w:line="240" w:lineRule="auto"/>
        <w:ind w:left="6317" w:right="5771"/>
        <w:jc w:val="center"/>
        <w:rPr>
          <w:b w:val="0"/>
          <w:bCs w:val="0"/>
        </w:rPr>
      </w:pPr>
      <w:r>
        <w:rPr/>
        <w:t>母公司所有者权益变动表</w:t>
      </w:r>
      <w:r>
        <w:rPr>
          <w:b w:val="0"/>
          <w:bCs w:val="0"/>
        </w:rPr>
      </w:r>
    </w:p>
    <w:p>
      <w:pPr>
        <w:tabs>
          <w:tab w:pos="6993" w:val="left" w:leader="none"/>
          <w:tab w:pos="12258" w:val="left" w:leader="none"/>
        </w:tabs>
        <w:spacing w:before="223"/>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5060"/>
        <w:gridCol w:w="1580"/>
        <w:gridCol w:w="1900"/>
        <w:gridCol w:w="1241"/>
        <w:gridCol w:w="1600"/>
        <w:gridCol w:w="1700"/>
        <w:gridCol w:w="1686"/>
      </w:tblGrid>
      <w:tr>
        <w:trPr>
          <w:trHeight w:val="323" w:hRule="exact"/>
        </w:trPr>
        <w:tc>
          <w:tcPr>
            <w:tcW w:w="50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90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7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5060"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6"/>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48,000,000.00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2,741,307.14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5"/>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15,026,270.18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80,288,481.94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146,056,059.26</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48,000,000.00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2,741,307.14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5"/>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15,026,270.18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80,288,481.94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146,056,059.26</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16,000,000.00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269,885,083.00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5"/>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74,415,094.60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368,568,521.44</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82,683,438.44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82,683,438.44</w:t>
            </w:r>
          </w:p>
        </w:tc>
      </w:tr>
    </w:tbl>
    <w:p>
      <w:pPr>
        <w:spacing w:after="0" w:line="240" w:lineRule="auto"/>
        <w:jc w:val="right"/>
        <w:rPr>
          <w:rFonts w:ascii="宋体" w:hAnsi="宋体" w:cs="宋体" w:eastAsia="宋体" w:hint="default"/>
          <w:sz w:val="18"/>
          <w:szCs w:val="18"/>
        </w:rPr>
        <w:sectPr>
          <w:pgSz w:w="16840" w:h="11910" w:orient="landscape"/>
          <w:pgMar w:header="877" w:footer="938" w:top="1100" w:bottom="1120" w:left="980" w:right="640"/>
        </w:sectPr>
      </w:pPr>
    </w:p>
    <w:p>
      <w:pPr>
        <w:spacing w:line="240" w:lineRule="auto" w:before="5"/>
        <w:rPr>
          <w:rFonts w:ascii="Times New Roman" w:hAnsi="Times New Roman" w:cs="Times New Roman" w:eastAsia="Times New Roman" w:hint="default"/>
          <w:sz w:val="27"/>
          <w:szCs w:val="27"/>
        </w:rPr>
      </w:pPr>
      <w:r>
        <w:rPr/>
        <w:pict>
          <v:shape style="position:absolute;margin-left:56.210999pt;margin-top:464.399994pt;width:750.3pt;height:48.8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20"/>
                    <w:gridCol w:w="1582"/>
                    <w:gridCol w:w="1720"/>
                    <w:gridCol w:w="1340"/>
                    <w:gridCol w:w="1620"/>
                    <w:gridCol w:w="1790"/>
                    <w:gridCol w:w="1920"/>
                  </w:tblGrid>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5"/>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8" w:right="0"/>
                          <w:jc w:val="left"/>
                          <w:rPr>
                            <w:rFonts w:ascii="宋体" w:hAnsi="宋体" w:cs="宋体" w:eastAsia="宋体" w:hint="default"/>
                            <w:sz w:val="18"/>
                            <w:szCs w:val="18"/>
                          </w:rPr>
                        </w:pPr>
                        <w:r>
                          <w:rPr>
                            <w:rFonts w:ascii="宋体"/>
                            <w:sz w:val="18"/>
                          </w:rPr>
                          <w:t>48,000,000.00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6" w:right="0"/>
                          <w:jc w:val="left"/>
                          <w:rPr>
                            <w:rFonts w:ascii="宋体" w:hAnsi="宋体" w:cs="宋体" w:eastAsia="宋体" w:hint="default"/>
                            <w:sz w:val="18"/>
                            <w:szCs w:val="18"/>
                          </w:rPr>
                        </w:pPr>
                        <w:r>
                          <w:rPr>
                            <w:rFonts w:ascii="宋体"/>
                            <w:sz w:val="18"/>
                          </w:rPr>
                          <w:t>2,195,899.00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7" w:right="0"/>
                          <w:jc w:val="left"/>
                          <w:rPr>
                            <w:rFonts w:ascii="宋体" w:hAnsi="宋体" w:cs="宋体" w:eastAsia="宋体" w:hint="default"/>
                            <w:sz w:val="18"/>
                            <w:szCs w:val="18"/>
                          </w:rPr>
                        </w:pPr>
                        <w:r>
                          <w:rPr>
                            <w:rFonts w:ascii="宋体"/>
                            <w:sz w:val="18"/>
                          </w:rPr>
                          <w:t>9,983,805.71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8" w:right="0"/>
                          <w:jc w:val="left"/>
                          <w:rPr>
                            <w:rFonts w:ascii="宋体" w:hAnsi="宋体" w:cs="宋体" w:eastAsia="宋体" w:hint="default"/>
                            <w:sz w:val="18"/>
                            <w:szCs w:val="18"/>
                          </w:rPr>
                        </w:pPr>
                        <w:r>
                          <w:rPr>
                            <w:rFonts w:ascii="宋体"/>
                            <w:sz w:val="18"/>
                          </w:rPr>
                          <w:t>49,651,917.61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7" w:right="0"/>
                          <w:jc w:val="left"/>
                          <w:rPr>
                            <w:rFonts w:ascii="宋体" w:hAnsi="宋体" w:cs="宋体" w:eastAsia="宋体" w:hint="default"/>
                            <w:sz w:val="18"/>
                            <w:szCs w:val="18"/>
                          </w:rPr>
                        </w:pPr>
                        <w:r>
                          <w:rPr>
                            <w:rFonts w:ascii="宋体"/>
                            <w:sz w:val="18"/>
                          </w:rPr>
                          <w:t>109,831,622.32</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bl>
                <w:p>
                  <w:pPr/>
                </w:p>
              </w:txbxContent>
            </v:textbox>
            <w10:wrap type="none"/>
          </v:shape>
        </w:pict>
      </w:r>
    </w:p>
    <w:tbl>
      <w:tblPr>
        <w:tblW w:w="0" w:type="auto"/>
        <w:jc w:val="left"/>
        <w:tblInd w:w="144" w:type="dxa"/>
        <w:tblLayout w:type="fixed"/>
        <w:tblCellMar>
          <w:top w:w="0" w:type="dxa"/>
          <w:left w:w="0" w:type="dxa"/>
          <w:bottom w:w="0" w:type="dxa"/>
          <w:right w:w="0" w:type="dxa"/>
        </w:tblCellMar>
        <w:tblLook w:val="01E0"/>
      </w:tblPr>
      <w:tblGrid>
        <w:gridCol w:w="5060"/>
        <w:gridCol w:w="1580"/>
        <w:gridCol w:w="1900"/>
        <w:gridCol w:w="1241"/>
        <w:gridCol w:w="1600"/>
        <w:gridCol w:w="1700"/>
        <w:gridCol w:w="1686"/>
      </w:tblGrid>
      <w:tr>
        <w:trPr>
          <w:trHeight w:val="317" w:hRule="exact"/>
        </w:trPr>
        <w:tc>
          <w:tcPr>
            <w:tcW w:w="5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（二）直接计入股东权益的利得或损失</w:t>
            </w:r>
          </w:p>
        </w:tc>
        <w:tc>
          <w:tcPr>
            <w:tcW w:w="1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95"/>
              <w:jc w:val="right"/>
              <w:rPr>
                <w:rFonts w:ascii="宋体" w:hAnsi="宋体" w:cs="宋体" w:eastAsia="宋体" w:hint="default"/>
                <w:sz w:val="18"/>
                <w:szCs w:val="18"/>
              </w:rPr>
            </w:pPr>
            <w:r>
              <w:rPr>
                <w:rFonts w:ascii="宋体"/>
                <w:sz w:val="18"/>
              </w:rPr>
              <w:t>-</w:t>
            </w:r>
          </w:p>
        </w:tc>
        <w:tc>
          <w:tcPr>
            <w:tcW w:w="1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44"/>
              <w:jc w:val="right"/>
              <w:rPr>
                <w:rFonts w:ascii="宋体" w:hAnsi="宋体" w:cs="宋体" w:eastAsia="宋体" w:hint="default"/>
                <w:sz w:val="18"/>
                <w:szCs w:val="18"/>
              </w:rPr>
            </w:pPr>
            <w:r>
              <w:rPr>
                <w:rFonts w:ascii="宋体"/>
                <w:sz w:val="18"/>
              </w:rPr>
              <w:t>-</w:t>
            </w:r>
          </w:p>
        </w:tc>
        <w:tc>
          <w:tcPr>
            <w:tcW w:w="12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26"/>
              <w:jc w:val="right"/>
              <w:rPr>
                <w:rFonts w:ascii="宋体" w:hAnsi="宋体" w:cs="宋体" w:eastAsia="宋体" w:hint="default"/>
                <w:sz w:val="18"/>
                <w:szCs w:val="18"/>
              </w:rPr>
            </w:pPr>
            <w:r>
              <w:rPr>
                <w:rFonts w:ascii="宋体"/>
                <w:sz w:val="18"/>
              </w:rPr>
              <w:t>-</w:t>
            </w:r>
          </w:p>
        </w:tc>
        <w:tc>
          <w:tcPr>
            <w:tcW w:w="1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14"/>
              <w:jc w:val="right"/>
              <w:rPr>
                <w:rFonts w:ascii="宋体" w:hAnsi="宋体" w:cs="宋体" w:eastAsia="宋体" w:hint="default"/>
                <w:sz w:val="18"/>
                <w:szCs w:val="18"/>
              </w:rPr>
            </w:pPr>
            <w:r>
              <w:rPr>
                <w:rFonts w:ascii="宋体"/>
                <w:sz w:val="18"/>
              </w:rPr>
              <w:t>-</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25"/>
              <w:jc w:val="right"/>
              <w:rPr>
                <w:rFonts w:ascii="宋体" w:hAnsi="宋体" w:cs="宋体" w:eastAsia="宋体" w:hint="default"/>
                <w:sz w:val="18"/>
                <w:szCs w:val="18"/>
              </w:rPr>
            </w:pPr>
            <w:r>
              <w:rPr>
                <w:rFonts w:ascii="宋体"/>
                <w:sz w:val="18"/>
              </w:rPr>
              <w:t>-</w:t>
            </w:r>
          </w:p>
        </w:tc>
        <w:tc>
          <w:tcPr>
            <w:tcW w:w="1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2、权益法下被投资单位其他股东权益变动的影响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3、与计入股东权益项目相关的所得税影响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5"/>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4"/>
              <w:jc w:val="right"/>
              <w:rPr>
                <w:rFonts w:ascii="宋体" w:hAnsi="宋体" w:cs="宋体" w:eastAsia="宋体" w:hint="default"/>
                <w:sz w:val="18"/>
                <w:szCs w:val="18"/>
              </w:rPr>
            </w:pPr>
            <w:r>
              <w:rPr>
                <w:rFonts w:ascii="宋体"/>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6"/>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82,683,438.44</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16,000,000.00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269,885,083.00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5"/>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5"/>
              <w:jc w:val="right"/>
              <w:rPr>
                <w:rFonts w:ascii="宋体" w:hAnsi="宋体" w:cs="宋体" w:eastAsia="宋体" w:hint="default"/>
                <w:sz w:val="18"/>
                <w:szCs w:val="18"/>
              </w:rPr>
            </w:pPr>
            <w:r>
              <w:rPr>
                <w:rFonts w:ascii="宋体"/>
                <w:sz w:val="18"/>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285,885,083.00</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16,000,000.00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269,885,083.00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285,885,083.00</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5"/>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4"/>
              <w:jc w:val="right"/>
              <w:rPr>
                <w:rFonts w:ascii="宋体" w:hAnsi="宋体" w:cs="宋体" w:eastAsia="宋体" w:hint="default"/>
                <w:sz w:val="18"/>
                <w:szCs w:val="18"/>
              </w:rPr>
            </w:pPr>
            <w:r>
              <w:rPr>
                <w:rFonts w:ascii="宋体"/>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6"/>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(8,268,343.84)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2、对股东的分配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5"/>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4"/>
              <w:jc w:val="right"/>
              <w:rPr>
                <w:rFonts w:ascii="宋体" w:hAnsi="宋体" w:cs="宋体" w:eastAsia="宋体" w:hint="default"/>
                <w:sz w:val="18"/>
                <w:szCs w:val="18"/>
              </w:rPr>
            </w:pPr>
            <w:r>
              <w:rPr>
                <w:rFonts w:ascii="宋体"/>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6"/>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5"/>
              <w:jc w:val="right"/>
              <w:rPr>
                <w:rFonts w:ascii="宋体" w:hAnsi="宋体" w:cs="宋体" w:eastAsia="宋体" w:hint="default"/>
                <w:sz w:val="18"/>
                <w:szCs w:val="18"/>
              </w:rPr>
            </w:pPr>
            <w:r>
              <w:rPr>
                <w:rFonts w:ascii="宋体"/>
                <w:sz w:val="18"/>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2"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sz w:val="18"/>
              </w:rPr>
              <w:t>-</w:t>
            </w:r>
          </w:p>
        </w:tc>
      </w:tr>
      <w:tr>
        <w:trPr>
          <w:trHeight w:val="32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64,000,000.00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272,626,390.14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5"/>
              <w:jc w:val="right"/>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23,294,614.02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154,703,576.54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514,624,580.70</w:t>
            </w:r>
          </w:p>
        </w:tc>
      </w:tr>
    </w:tbl>
    <w:tbl>
      <w:tblPr>
        <w:tblW w:w="0" w:type="auto"/>
        <w:jc w:val="left"/>
        <w:tblInd w:w="118" w:type="dxa"/>
        <w:tblLayout w:type="fixed"/>
        <w:tblCellMar>
          <w:top w:w="0" w:type="dxa"/>
          <w:left w:w="0" w:type="dxa"/>
          <w:bottom w:w="0" w:type="dxa"/>
          <w:right w:w="0" w:type="dxa"/>
        </w:tblCellMar>
        <w:tblLook w:val="01E0"/>
      </w:tblPr>
      <w:tblGrid>
        <w:gridCol w:w="4632"/>
        <w:gridCol w:w="5882"/>
        <w:gridCol w:w="3190"/>
      </w:tblGrid>
      <w:tr>
        <w:trPr>
          <w:trHeight w:val="418"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95" w:right="0"/>
              <w:jc w:val="left"/>
              <w:rPr>
                <w:rFonts w:ascii="宋体" w:hAnsi="宋体" w:cs="宋体" w:eastAsia="宋体" w:hint="default"/>
                <w:sz w:val="18"/>
                <w:szCs w:val="18"/>
              </w:rPr>
            </w:pPr>
            <w:r>
              <w:rPr>
                <w:rFonts w:ascii="宋体" w:hAnsi="宋体" w:cs="宋体" w:eastAsia="宋体" w:hint="default"/>
                <w:sz w:val="18"/>
                <w:szCs w:val="18"/>
              </w:rPr>
              <w:t>法定代表人：左强</w:t>
            </w:r>
          </w:p>
        </w:tc>
        <w:tc>
          <w:tcPr>
            <w:tcW w:w="58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2" w:right="0"/>
              <w:jc w:val="left"/>
              <w:rPr>
                <w:rFonts w:ascii="宋体" w:hAnsi="宋体" w:cs="宋体" w:eastAsia="宋体" w:hint="default"/>
                <w:sz w:val="18"/>
                <w:szCs w:val="18"/>
              </w:rPr>
            </w:pPr>
            <w:r>
              <w:rPr>
                <w:rFonts w:ascii="宋体" w:hAnsi="宋体" w:cs="宋体" w:eastAsia="宋体" w:hint="default"/>
                <w:sz w:val="18"/>
                <w:szCs w:val="18"/>
              </w:rPr>
              <w:t>主管会计负责人：  龙浩</w:t>
            </w: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50" w:right="0"/>
              <w:jc w:val="left"/>
              <w:rPr>
                <w:rFonts w:ascii="宋体" w:hAnsi="宋体" w:cs="宋体" w:eastAsia="宋体" w:hint="default"/>
                <w:sz w:val="18"/>
                <w:szCs w:val="18"/>
              </w:rPr>
            </w:pPr>
            <w:r>
              <w:rPr>
                <w:rFonts w:ascii="宋体" w:hAnsi="宋体" w:cs="宋体" w:eastAsia="宋体" w:hint="default"/>
                <w:sz w:val="18"/>
                <w:szCs w:val="18"/>
              </w:rPr>
              <w:t>会计机构负责人：吴彩霞</w:t>
            </w:r>
          </w:p>
        </w:tc>
      </w:tr>
      <w:tr>
        <w:trPr>
          <w:trHeight w:val="558" w:hRule="exact"/>
        </w:trPr>
        <w:tc>
          <w:tcPr>
            <w:tcW w:w="4632" w:type="dxa"/>
            <w:tcBorders>
              <w:top w:val="nil" w:sz="6" w:space="0" w:color="auto"/>
              <w:left w:val="nil" w:sz="6" w:space="0" w:color="auto"/>
              <w:bottom w:val="nil" w:sz="6" w:space="0" w:color="auto"/>
              <w:right w:val="nil" w:sz="6" w:space="0" w:color="auto"/>
            </w:tcBorders>
          </w:tcPr>
          <w:p>
            <w:pPr/>
          </w:p>
        </w:tc>
        <w:tc>
          <w:tcPr>
            <w:tcW w:w="588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97" w:right="0"/>
              <w:jc w:val="left"/>
              <w:rPr>
                <w:rFonts w:ascii="宋体" w:hAnsi="宋体" w:cs="宋体" w:eastAsia="宋体" w:hint="default"/>
                <w:sz w:val="28"/>
                <w:szCs w:val="28"/>
              </w:rPr>
            </w:pPr>
            <w:r>
              <w:rPr>
                <w:rFonts w:ascii="宋体" w:hAnsi="宋体" w:cs="宋体" w:eastAsia="宋体" w:hint="default"/>
                <w:b/>
                <w:bCs/>
                <w:sz w:val="28"/>
                <w:szCs w:val="28"/>
              </w:rPr>
              <w:t>母公司所有者权益变动表（续）</w:t>
            </w:r>
            <w:r>
              <w:rPr>
                <w:rFonts w:ascii="宋体" w:hAnsi="宋体" w:cs="宋体" w:eastAsia="宋体" w:hint="default"/>
                <w:sz w:val="28"/>
                <w:szCs w:val="28"/>
              </w:rPr>
            </w:r>
          </w:p>
        </w:tc>
        <w:tc>
          <w:tcPr>
            <w:tcW w:w="3190" w:type="dxa"/>
            <w:tcBorders>
              <w:top w:val="nil" w:sz="6" w:space="0" w:color="auto"/>
              <w:left w:val="nil" w:sz="6" w:space="0" w:color="auto"/>
              <w:bottom w:val="nil" w:sz="6" w:space="0" w:color="auto"/>
              <w:right w:val="nil" w:sz="6" w:space="0" w:color="auto"/>
            </w:tcBorders>
          </w:tcPr>
          <w:p>
            <w:pPr/>
          </w:p>
        </w:tc>
      </w:tr>
      <w:tr>
        <w:trPr>
          <w:trHeight w:val="430"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tc>
        <w:tc>
          <w:tcPr>
            <w:tcW w:w="588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24"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6840" w:h="11910" w:orient="landscape"/>
          <w:pgMar w:header="877" w:footer="938" w:top="1100" w:bottom="1120" w:left="980" w:right="600"/>
        </w:sectPr>
      </w:pPr>
    </w:p>
    <w:p>
      <w:pPr>
        <w:spacing w:line="240" w:lineRule="auto" w:before="10"/>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5020"/>
        <w:gridCol w:w="1582"/>
        <w:gridCol w:w="1720"/>
        <w:gridCol w:w="1340"/>
        <w:gridCol w:w="1620"/>
        <w:gridCol w:w="1790"/>
        <w:gridCol w:w="1920"/>
      </w:tblGrid>
      <w:tr>
        <w:trPr>
          <w:trHeight w:val="317" w:hRule="exact"/>
        </w:trPr>
        <w:tc>
          <w:tcPr>
            <w:tcW w:w="5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790" w:type="dxa"/>
            <w:tcBorders>
              <w:top w:val="nil" w:sz="6" w:space="0" w:color="auto"/>
              <w:left w:val="single" w:sz="4" w:space="0" w:color="000000"/>
              <w:bottom w:val="single" w:sz="4" w:space="0" w:color="000000"/>
              <w:right w:val="single" w:sz="4" w:space="0" w:color="000000"/>
            </w:tcBorders>
          </w:tcPr>
          <w:p>
            <w:pPr/>
          </w:p>
        </w:tc>
        <w:tc>
          <w:tcPr>
            <w:tcW w:w="19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64"/>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48,000,000.00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2,195,899.00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9,983,805.71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49,651,917.61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109,831,622.32</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6"/>
              <w:jc w:val="right"/>
              <w:rPr>
                <w:rFonts w:ascii="宋体" w:hAnsi="宋体" w:cs="宋体" w:eastAsia="宋体" w:hint="default"/>
                <w:sz w:val="18"/>
                <w:szCs w:val="18"/>
              </w:rPr>
            </w:pPr>
            <w:r>
              <w:rPr>
                <w:rFonts w:ascii="宋体"/>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5,042,464.47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30,636,564.33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36,224,436.94</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50,099,028.80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50,099,028.80</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（二）直接计入股东权益的利得或损失</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6"/>
              <w:jc w:val="right"/>
              <w:rPr>
                <w:rFonts w:ascii="宋体" w:hAnsi="宋体" w:cs="宋体" w:eastAsia="宋体" w:hint="default"/>
                <w:sz w:val="18"/>
                <w:szCs w:val="18"/>
              </w:rPr>
            </w:pPr>
            <w:r>
              <w:rPr>
                <w:rFonts w:ascii="宋体"/>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5"/>
              <w:jc w:val="right"/>
              <w:rPr>
                <w:rFonts w:ascii="宋体" w:hAnsi="宋体" w:cs="宋体" w:eastAsia="宋体" w:hint="default"/>
                <w:sz w:val="18"/>
                <w:szCs w:val="18"/>
              </w:rPr>
            </w:pPr>
            <w:r>
              <w:rPr>
                <w:rFonts w:ascii="宋体"/>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525,408.14</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2、权益法下被投资单位其他股东权益变动的影响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3、与计入股东权益项目相关的所得税影响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525,408.14</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6"/>
              <w:jc w:val="right"/>
              <w:rPr>
                <w:rFonts w:ascii="宋体" w:hAnsi="宋体" w:cs="宋体" w:eastAsia="宋体" w:hint="default"/>
                <w:sz w:val="18"/>
                <w:szCs w:val="18"/>
              </w:rPr>
            </w:pPr>
            <w:r>
              <w:rPr>
                <w:rFonts w:ascii="宋体"/>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545,408.14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50,099,028.80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50,624,436.94</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6"/>
              <w:jc w:val="right"/>
              <w:rPr>
                <w:rFonts w:ascii="宋体" w:hAnsi="宋体" w:cs="宋体" w:eastAsia="宋体" w:hint="default"/>
                <w:sz w:val="18"/>
                <w:szCs w:val="18"/>
              </w:rPr>
            </w:pPr>
            <w:r>
              <w:rPr>
                <w:rFonts w:ascii="宋体"/>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4"/>
              <w:jc w:val="right"/>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5"/>
              <w:jc w:val="right"/>
              <w:rPr>
                <w:rFonts w:ascii="宋体" w:hAnsi="宋体" w:cs="宋体" w:eastAsia="宋体" w:hint="default"/>
                <w:sz w:val="18"/>
                <w:szCs w:val="18"/>
              </w:rPr>
            </w:pPr>
            <w:r>
              <w:rPr>
                <w:rFonts w:ascii="宋体"/>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6"/>
              <w:jc w:val="right"/>
              <w:rPr>
                <w:rFonts w:ascii="宋体" w:hAnsi="宋体" w:cs="宋体" w:eastAsia="宋体" w:hint="default"/>
                <w:sz w:val="18"/>
                <w:szCs w:val="18"/>
              </w:rPr>
            </w:pPr>
            <w:r>
              <w:rPr>
                <w:rFonts w:ascii="宋体"/>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4"/>
              <w:jc w:val="right"/>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5,062,464.47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(19,462,464.47)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(14,400,000.00)</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5,062,464.47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(5,062,464.47)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2、对股东的分配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(14,400,000.00)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(14,400,000.00)</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440"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86"/>
              <w:jc w:val="right"/>
              <w:rPr>
                <w:rFonts w:ascii="宋体" w:hAnsi="宋体" w:cs="宋体" w:eastAsia="宋体" w:hint="default"/>
                <w:sz w:val="18"/>
                <w:szCs w:val="18"/>
              </w:rPr>
            </w:pPr>
            <w:r>
              <w:rPr>
                <w:rFonts w:ascii="宋体"/>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44"/>
              <w:jc w:val="right"/>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35"/>
              <w:jc w:val="right"/>
              <w:rPr>
                <w:rFonts w:ascii="宋体" w:hAnsi="宋体" w:cs="宋体" w:eastAsia="宋体" w:hint="default"/>
                <w:sz w:val="18"/>
                <w:szCs w:val="18"/>
              </w:rPr>
            </w:pPr>
            <w:r>
              <w:rPr>
                <w:rFonts w:ascii="宋体"/>
                <w:sz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15"/>
              <w:jc w:val="right"/>
              <w:rPr>
                <w:rFonts w:ascii="宋体" w:hAnsi="宋体" w:cs="宋体" w:eastAsia="宋体" w:hint="default"/>
                <w:sz w:val="18"/>
                <w:szCs w:val="18"/>
              </w:rPr>
            </w:pPr>
            <w:r>
              <w:rPr>
                <w:rFonts w:ascii="宋体"/>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2"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z w:val="18"/>
              </w:rPr>
              <w:t>-</w:t>
            </w:r>
          </w:p>
        </w:tc>
      </w:tr>
      <w:tr>
        <w:trPr>
          <w:trHeight w:val="323" w:hRule="exact"/>
        </w:trPr>
        <w:tc>
          <w:tcPr>
            <w:tcW w:w="5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48,000,000.00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2,741,307.14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15,026,270.18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80,288,481.94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146,056,059.26</w:t>
            </w:r>
          </w:p>
        </w:tc>
      </w:tr>
    </w:tbl>
    <w:p>
      <w:pPr>
        <w:tabs>
          <w:tab w:pos="6363" w:val="left" w:leader="none"/>
          <w:tab w:pos="11583" w:val="left" w:leader="none"/>
        </w:tabs>
        <w:spacing w:before="51"/>
        <w:ind w:left="2313"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after="0"/>
        <w:jc w:val="left"/>
        <w:rPr>
          <w:rFonts w:ascii="宋体" w:hAnsi="宋体" w:cs="宋体" w:eastAsia="宋体" w:hint="default"/>
          <w:sz w:val="18"/>
          <w:szCs w:val="18"/>
        </w:rPr>
        <w:sectPr>
          <w:pgSz w:w="16840" w:h="11910" w:orient="landscape"/>
          <w:pgMar w:header="877" w:footer="938" w:top="1100" w:bottom="1120" w:left="98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424" w:lineRule="auto" w:before="1"/>
        <w:ind w:left="3074" w:right="3152" w:firstLine="0"/>
        <w:jc w:val="center"/>
        <w:rPr>
          <w:rFonts w:ascii="黑体" w:hAnsi="黑体" w:cs="黑体" w:eastAsia="黑体" w:hint="default"/>
          <w:sz w:val="32"/>
          <w:szCs w:val="32"/>
        </w:rPr>
      </w:pPr>
      <w:r>
        <w:rPr>
          <w:rFonts w:ascii="黑体" w:hAnsi="黑体" w:cs="黑体" w:eastAsia="黑体" w:hint="default"/>
          <w:b/>
          <w:bCs/>
          <w:spacing w:val="8"/>
          <w:w w:val="95"/>
          <w:sz w:val="32"/>
          <w:szCs w:val="32"/>
        </w:rPr>
        <w:t>荣信电力电子股份有限公司</w:t>
      </w:r>
      <w:r>
        <w:rPr>
          <w:rFonts w:ascii="黑体" w:hAnsi="黑体" w:cs="黑体" w:eastAsia="黑体" w:hint="default"/>
          <w:b/>
          <w:bCs/>
          <w:spacing w:val="20"/>
          <w:w w:val="95"/>
          <w:sz w:val="32"/>
          <w:szCs w:val="32"/>
        </w:rPr>
        <w:t> </w:t>
      </w:r>
      <w:r>
        <w:rPr>
          <w:rFonts w:ascii="黑体" w:hAnsi="黑体" w:cs="黑体" w:eastAsia="黑体" w:hint="default"/>
          <w:b/>
          <w:bCs/>
          <w:spacing w:val="8"/>
          <w:sz w:val="32"/>
          <w:szCs w:val="32"/>
        </w:rPr>
        <w:t>财务报表附注</w:t>
      </w:r>
      <w:r>
        <w:rPr>
          <w:rFonts w:ascii="黑体" w:hAnsi="黑体" w:cs="黑体" w:eastAsia="黑体" w:hint="default"/>
          <w:sz w:val="32"/>
          <w:szCs w:val="32"/>
        </w:rPr>
      </w:r>
    </w:p>
    <w:p>
      <w:pPr>
        <w:spacing w:before="120"/>
        <w:ind w:left="0" w:right="84" w:firstLine="0"/>
        <w:jc w:val="center"/>
        <w:rPr>
          <w:rFonts w:ascii="黑体" w:hAnsi="黑体" w:cs="黑体" w:eastAsia="黑体" w:hint="default"/>
          <w:sz w:val="21"/>
          <w:szCs w:val="21"/>
        </w:rPr>
      </w:pPr>
      <w:r>
        <w:rPr>
          <w:rFonts w:ascii="黑体" w:hAnsi="黑体" w:cs="黑体" w:eastAsia="黑体" w:hint="default"/>
          <w:b/>
          <w:bCs/>
          <w:spacing w:val="7"/>
          <w:sz w:val="21"/>
          <w:szCs w:val="21"/>
        </w:rPr>
        <w:t>二零零七年度</w:t>
      </w:r>
      <w:r>
        <w:rPr>
          <w:rFonts w:ascii="黑体" w:hAnsi="黑体" w:cs="黑体" w:eastAsia="黑体" w:hint="default"/>
          <w:spacing w:val="7"/>
          <w:sz w:val="21"/>
          <w:szCs w:val="21"/>
        </w:rPr>
      </w:r>
    </w:p>
    <w:p>
      <w:pPr>
        <w:spacing w:line="240" w:lineRule="auto" w:before="11"/>
        <w:rPr>
          <w:rFonts w:ascii="黑体" w:hAnsi="黑体" w:cs="黑体" w:eastAsia="黑体" w:hint="default"/>
          <w:b/>
          <w:bCs/>
          <w:sz w:val="18"/>
          <w:szCs w:val="18"/>
        </w:rPr>
      </w:pPr>
    </w:p>
    <w:p>
      <w:pPr>
        <w:spacing w:before="44"/>
        <w:ind w:left="0" w:right="228" w:firstLine="0"/>
        <w:jc w:val="right"/>
        <w:rPr>
          <w:rFonts w:ascii="宋体" w:hAnsi="宋体" w:cs="宋体" w:eastAsia="宋体" w:hint="default"/>
          <w:sz w:val="18"/>
          <w:szCs w:val="18"/>
        </w:rPr>
      </w:pPr>
      <w:r>
        <w:rPr>
          <w:rFonts w:ascii="宋体" w:hAnsi="宋体" w:cs="宋体" w:eastAsia="宋体" w:hint="default"/>
          <w:spacing w:val="7"/>
          <w:sz w:val="18"/>
          <w:szCs w:val="18"/>
        </w:rPr>
        <w:t>单位：人民币元</w:t>
      </w:r>
      <w:r>
        <w:rPr>
          <w:rFonts w:ascii="宋体" w:hAnsi="宋体" w:cs="宋体" w:eastAsia="宋体" w:hint="default"/>
          <w:sz w:val="18"/>
          <w:szCs w:val="18"/>
        </w:rPr>
      </w:r>
    </w:p>
    <w:p>
      <w:pPr>
        <w:spacing w:line="240" w:lineRule="auto" w:before="7"/>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9"/>
          <w:szCs w:val="9"/>
        </w:rPr>
      </w:pPr>
    </w:p>
    <w:p>
      <w:pPr>
        <w:pStyle w:val="Heading4"/>
        <w:spacing w:line="240" w:lineRule="auto"/>
        <w:ind w:right="214"/>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pStyle w:val="BodyText"/>
        <w:spacing w:line="288" w:lineRule="auto" w:before="205"/>
        <w:ind w:right="100" w:firstLine="510"/>
        <w:jc w:val="left"/>
      </w:pPr>
      <w:r>
        <w:rPr>
          <w:spacing w:val="2"/>
        </w:rPr>
        <w:t>本公司原名为“鞍山荣信电力电子有限公司”</w:t>
      </w:r>
      <w:r>
        <w:rPr>
          <w:rFonts w:ascii="Times New Roman" w:hAnsi="Times New Roman" w:cs="Times New Roman" w:eastAsia="Times New Roman" w:hint="default"/>
          <w:spacing w:val="2"/>
        </w:rPr>
        <w:t>,</w:t>
      </w:r>
      <w:r>
        <w:rPr>
          <w:spacing w:val="2"/>
        </w:rPr>
        <w:t>系由鞍山市电子电力公司</w:t>
      </w:r>
      <w:r>
        <w:rPr>
          <w:rFonts w:ascii="Times New Roman" w:hAnsi="Times New Roman" w:cs="Times New Roman" w:eastAsia="Times New Roman" w:hint="default"/>
          <w:spacing w:val="2"/>
        </w:rPr>
        <w:t>(</w:t>
      </w:r>
      <w:r>
        <w:rPr>
          <w:spacing w:val="2"/>
        </w:rPr>
        <w:t>以下简称“鞍</w:t>
      </w:r>
      <w:r>
        <w:rPr/>
        <w:t> </w:t>
      </w:r>
      <w:r>
        <w:rPr>
          <w:spacing w:val="3"/>
        </w:rPr>
        <w:t>山电子电力”</w:t>
      </w:r>
      <w:r>
        <w:rPr>
          <w:rFonts w:ascii="Times New Roman" w:hAnsi="Times New Roman" w:cs="Times New Roman" w:eastAsia="Times New Roman" w:hint="default"/>
          <w:spacing w:val="3"/>
        </w:rPr>
        <w:t>)</w:t>
      </w:r>
      <w:r>
        <w:rPr>
          <w:spacing w:val="3"/>
        </w:rPr>
        <w:t>和辽宁科发实业公司</w:t>
      </w:r>
      <w:r>
        <w:rPr>
          <w:rFonts w:ascii="Times New Roman" w:hAnsi="Times New Roman" w:cs="Times New Roman" w:eastAsia="Times New Roman" w:hint="default"/>
          <w:spacing w:val="3"/>
        </w:rPr>
        <w:t>(</w:t>
      </w:r>
      <w:r>
        <w:rPr>
          <w:spacing w:val="3"/>
        </w:rPr>
        <w:t>以下简称“辽宁科发”</w:t>
      </w:r>
      <w:r>
        <w:rPr>
          <w:rFonts w:ascii="Times New Roman" w:hAnsi="Times New Roman" w:cs="Times New Roman" w:eastAsia="Times New Roman" w:hint="default"/>
          <w:spacing w:val="3"/>
        </w:rPr>
        <w:t>)</w:t>
      </w:r>
      <w:r>
        <w:rPr>
          <w:spacing w:val="3"/>
        </w:rPr>
        <w:t>共同投资成立的有限责任公司，</w:t>
      </w:r>
      <w:r>
        <w:rPr>
          <w:spacing w:val="-103"/>
        </w:rPr>
        <w:t> </w:t>
      </w:r>
      <w:r>
        <w:rPr>
          <w:spacing w:val="-103"/>
        </w:rPr>
      </w:r>
      <w:r>
        <w:rPr>
          <w:spacing w:val="6"/>
        </w:rPr>
        <w:t>注册资本为</w:t>
      </w:r>
      <w:r>
        <w:rPr>
          <w:spacing w:val="-46"/>
        </w:rPr>
        <w:t> </w:t>
      </w:r>
      <w:r>
        <w:rPr>
          <w:rFonts w:ascii="Times New Roman" w:hAnsi="Times New Roman" w:cs="Times New Roman" w:eastAsia="Times New Roman" w:hint="default"/>
          <w:spacing w:val="2"/>
        </w:rPr>
        <w:t>8,700,000.00</w:t>
      </w:r>
      <w:r>
        <w:rPr>
          <w:rFonts w:ascii="Times New Roman" w:hAnsi="Times New Roman" w:cs="Times New Roman" w:eastAsia="Times New Roman" w:hint="default"/>
          <w:spacing w:val="11"/>
        </w:rPr>
        <w:t> </w:t>
      </w:r>
      <w:r>
        <w:rPr>
          <w:spacing w:val="6"/>
        </w:rPr>
        <w:t>人民币元，于一九九八年十一月十九日领取了注册号为</w:t>
      </w:r>
      <w:r>
        <w:rPr>
          <w:spacing w:val="-46"/>
        </w:rPr>
        <w:t> </w:t>
      </w:r>
      <w:r>
        <w:rPr>
          <w:rFonts w:ascii="Times New Roman" w:hAnsi="Times New Roman" w:cs="Times New Roman" w:eastAsia="Times New Roman" w:hint="default"/>
          <w:spacing w:val="2"/>
        </w:rPr>
        <w:t>11888731</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8"/>
        </w:rPr>
        <w:t>的企业法人营业执照。</w:t>
      </w:r>
      <w:r>
        <w:rPr/>
      </w:r>
    </w:p>
    <w:p>
      <w:pPr>
        <w:pStyle w:val="BodyText"/>
        <w:spacing w:line="297" w:lineRule="auto" w:before="157"/>
        <w:ind w:right="207" w:firstLine="510"/>
        <w:jc w:val="both"/>
      </w:pPr>
      <w:r>
        <w:rPr>
          <w:spacing w:val="6"/>
        </w:rPr>
        <w:t>根据二零零零年八月公司第一次临时股东大会批准，本公司吸收深圳市深港产学研创</w:t>
      </w:r>
      <w:r>
        <w:rPr>
          <w:spacing w:val="8"/>
        </w:rPr>
        <w:t> </w:t>
      </w:r>
      <w:r>
        <w:rPr>
          <w:spacing w:val="26"/>
        </w:rPr>
        <w:t>业投资有限公司</w:t>
      </w:r>
      <w:r>
        <w:rPr>
          <w:rFonts w:ascii="Times New Roman" w:hAnsi="Times New Roman" w:cs="Times New Roman" w:eastAsia="Times New Roman" w:hint="default"/>
          <w:spacing w:val="26"/>
        </w:rPr>
        <w:t>(</w:t>
      </w:r>
      <w:r>
        <w:rPr>
          <w:rFonts w:ascii="Times New Roman" w:hAnsi="Times New Roman" w:cs="Times New Roman" w:eastAsia="Times New Roman" w:hint="default"/>
          <w:spacing w:val="-26"/>
        </w:rPr>
        <w:t> </w:t>
      </w:r>
      <w:r>
        <w:rPr>
          <w:spacing w:val="28"/>
        </w:rPr>
        <w:t>以下简称“深港产学研”</w:t>
      </w:r>
      <w:r>
        <w:rPr>
          <w:rFonts w:ascii="Times New Roman" w:hAnsi="Times New Roman" w:cs="Times New Roman" w:eastAsia="Times New Roman" w:hint="default"/>
          <w:spacing w:val="28"/>
        </w:rPr>
        <w:t>)</w:t>
      </w:r>
      <w:r>
        <w:rPr>
          <w:spacing w:val="28"/>
        </w:rPr>
        <w:t>、左强等五位新股东，公司注册资本由</w:t>
      </w:r>
      <w:r>
        <w:rPr>
          <w:spacing w:val="-107"/>
        </w:rPr>
        <w:t> </w:t>
      </w:r>
      <w:r>
        <w:rPr>
          <w:rFonts w:ascii="Times New Roman" w:hAnsi="Times New Roman" w:cs="Times New Roman" w:eastAsia="Times New Roman" w:hint="default"/>
          <w:spacing w:val="3"/>
        </w:rPr>
        <w:t>8,700,000.00</w:t>
      </w:r>
      <w:r>
        <w:rPr>
          <w:rFonts w:ascii="Times New Roman" w:hAnsi="Times New Roman" w:cs="Times New Roman" w:eastAsia="Times New Roman" w:hint="default"/>
          <w:spacing w:val="-1"/>
        </w:rPr>
        <w:t> </w:t>
      </w:r>
      <w:r>
        <w:rPr>
          <w:spacing w:val="6"/>
        </w:rPr>
        <w:t>人民币元增至</w:t>
      </w:r>
      <w:r>
        <w:rPr>
          <w:spacing w:val="-56"/>
        </w:rPr>
        <w:t> </w:t>
      </w:r>
      <w:r>
        <w:rPr>
          <w:rFonts w:ascii="Times New Roman" w:hAnsi="Times New Roman" w:cs="Times New Roman" w:eastAsia="Times New Roman" w:hint="default"/>
          <w:spacing w:val="3"/>
        </w:rPr>
        <w:t>26,000,000.00</w:t>
      </w:r>
      <w:r>
        <w:rPr>
          <w:rFonts w:ascii="Times New Roman" w:hAnsi="Times New Roman" w:cs="Times New Roman" w:eastAsia="Times New Roman" w:hint="default"/>
        </w:rPr>
        <w:t> </w:t>
      </w:r>
      <w:r>
        <w:rPr>
          <w:spacing w:val="7"/>
        </w:rPr>
        <w:t>人民币元</w:t>
      </w:r>
      <w:r>
        <w:rPr>
          <w:rFonts w:ascii="Times New Roman" w:hAnsi="Times New Roman" w:cs="Times New Roman" w:eastAsia="Times New Roman" w:hint="default"/>
          <w:spacing w:val="7"/>
        </w:rPr>
        <w:t>,</w:t>
      </w:r>
      <w:r>
        <w:rPr>
          <w:spacing w:val="7"/>
        </w:rPr>
        <w:t>于二零零零年九月八日领取了注册号为</w:t>
      </w:r>
      <w:r>
        <w:rPr/>
      </w:r>
    </w:p>
    <w:p>
      <w:pPr>
        <w:pStyle w:val="BodyText"/>
        <w:spacing w:line="240" w:lineRule="auto" w:before="3"/>
        <w:ind w:right="214"/>
        <w:jc w:val="left"/>
      </w:pPr>
      <w:r>
        <w:rPr>
          <w:rFonts w:ascii="Times New Roman" w:hAnsi="Times New Roman" w:cs="Times New Roman" w:eastAsia="Times New Roman" w:hint="default"/>
          <w:spacing w:val="2"/>
        </w:rPr>
        <w:t>2103001100223</w:t>
      </w:r>
      <w:r>
        <w:rPr>
          <w:rFonts w:ascii="Times New Roman" w:hAnsi="Times New Roman" w:cs="Times New Roman" w:eastAsia="Times New Roman" w:hint="default"/>
          <w:spacing w:val="8"/>
        </w:rPr>
        <w:t> </w:t>
      </w:r>
      <w:r>
        <w:rPr>
          <w:spacing w:val="8"/>
        </w:rPr>
        <w:t>的企业法人营业执照。</w:t>
      </w:r>
      <w:r>
        <w:rPr/>
      </w:r>
    </w:p>
    <w:p>
      <w:pPr>
        <w:pStyle w:val="BodyText"/>
        <w:spacing w:line="292" w:lineRule="auto" w:before="188"/>
        <w:ind w:right="205" w:firstLine="510"/>
        <w:jc w:val="both"/>
      </w:pPr>
      <w:r>
        <w:rPr>
          <w:spacing w:val="13"/>
        </w:rPr>
        <w:t>根据公司二零零零年第三次股东大会决议和公司股东于二零零零年九月二十日签订 </w:t>
      </w:r>
      <w:r>
        <w:rPr>
          <w:spacing w:val="7"/>
        </w:rPr>
        <w:t>的《发起人协议书》</w:t>
      </w:r>
      <w:r>
        <w:rPr>
          <w:rFonts w:ascii="Times New Roman" w:hAnsi="Times New Roman" w:cs="Times New Roman" w:eastAsia="Times New Roman" w:hint="default"/>
          <w:spacing w:val="7"/>
        </w:rPr>
        <w:t>,</w:t>
      </w:r>
      <w:r>
        <w:rPr>
          <w:spacing w:val="7"/>
        </w:rPr>
        <w:t>全体股东作为共同发起人</w:t>
      </w:r>
      <w:r>
        <w:rPr>
          <w:rFonts w:ascii="Times New Roman" w:hAnsi="Times New Roman" w:cs="Times New Roman" w:eastAsia="Times New Roman" w:hint="default"/>
          <w:spacing w:val="7"/>
        </w:rPr>
        <w:t>,</w:t>
      </w:r>
      <w:r>
        <w:rPr>
          <w:spacing w:val="7"/>
        </w:rPr>
        <w:t>将本公司整体改组为股份有限公司</w:t>
      </w:r>
      <w:r>
        <w:rPr>
          <w:rFonts w:ascii="Times New Roman" w:hAnsi="Times New Roman" w:cs="Times New Roman" w:eastAsia="Times New Roman" w:hint="default"/>
          <w:spacing w:val="7"/>
        </w:rPr>
        <w:t>,</w:t>
      </w:r>
      <w:r>
        <w:rPr>
          <w:spacing w:val="7"/>
        </w:rPr>
        <w:t>并于二</w:t>
      </w:r>
      <w:r>
        <w:rPr>
          <w:spacing w:val="-87"/>
        </w:rPr>
        <w:t> </w:t>
      </w:r>
      <w:r>
        <w:rPr>
          <w:spacing w:val="7"/>
        </w:rPr>
        <w:t>零零零年十一月六日经辽宁省人民政府以辽政</w:t>
      </w:r>
      <w:r>
        <w:rPr>
          <w:rFonts w:ascii="Times New Roman" w:hAnsi="Times New Roman" w:cs="Times New Roman" w:eastAsia="Times New Roman" w:hint="default"/>
          <w:spacing w:val="7"/>
        </w:rPr>
        <w:t>[2000]268</w:t>
      </w:r>
      <w:r>
        <w:rPr>
          <w:rFonts w:ascii="Times New Roman" w:hAnsi="Times New Roman" w:cs="Times New Roman" w:eastAsia="Times New Roman" w:hint="default"/>
          <w:spacing w:val="69"/>
        </w:rPr>
        <w:t> </w:t>
      </w:r>
      <w:r>
        <w:rPr>
          <w:spacing w:val="9"/>
        </w:rPr>
        <w:t>号文《关于同意鞍山荣信电力电 </w:t>
      </w:r>
      <w:r>
        <w:rPr>
          <w:spacing w:val="5"/>
        </w:rPr>
        <w:t>子有限公司变更为股份有限公司的批复》批准。二零零零年十一月十日</w:t>
      </w:r>
      <w:r>
        <w:rPr>
          <w:rFonts w:ascii="Times New Roman" w:hAnsi="Times New Roman" w:cs="Times New Roman" w:eastAsia="Times New Roman" w:hint="default"/>
          <w:spacing w:val="5"/>
        </w:rPr>
        <w:t>,</w:t>
      </w:r>
      <w:r>
        <w:rPr>
          <w:spacing w:val="5"/>
        </w:rPr>
        <w:t>本公司向辽宁省工</w:t>
      </w:r>
      <w:r>
        <w:rPr>
          <w:spacing w:val="-116"/>
        </w:rPr>
        <w:t> </w:t>
      </w:r>
      <w:r>
        <w:rPr>
          <w:spacing w:val="-116"/>
        </w:rPr>
      </w:r>
      <w:r>
        <w:rPr>
          <w:spacing w:val="31"/>
        </w:rPr>
        <w:t>商行政管理局换领了注册号为</w:t>
      </w:r>
      <w:r>
        <w:rPr>
          <w:spacing w:val="44"/>
        </w:rPr>
        <w:t> </w:t>
      </w:r>
      <w:r>
        <w:rPr>
          <w:rFonts w:ascii="Times New Roman" w:hAnsi="Times New Roman" w:cs="Times New Roman" w:eastAsia="Times New Roman" w:hint="default"/>
          <w:spacing w:val="3"/>
        </w:rPr>
        <w:t>2100001050674</w:t>
      </w:r>
      <w:r>
        <w:rPr>
          <w:rFonts w:ascii="Times New Roman" w:hAnsi="Times New Roman" w:cs="Times New Roman" w:eastAsia="Times New Roman" w:hint="default"/>
          <w:spacing w:val="38"/>
        </w:rPr>
        <w:t> </w:t>
      </w:r>
      <w:r>
        <w:rPr>
          <w:spacing w:val="30"/>
        </w:rPr>
        <w:t>号的企业法人营业执照</w:t>
      </w:r>
      <w:r>
        <w:rPr>
          <w:spacing w:val="-86"/>
        </w:rPr>
        <w:t> </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spacing w:val="27"/>
        </w:rPr>
        <w:t>股本变更为</w:t>
      </w:r>
      <w:r>
        <w:rPr>
          <w:spacing w:val="-118"/>
        </w:rPr>
        <w:t> </w:t>
      </w:r>
      <w:r>
        <w:rPr>
          <w:rFonts w:ascii="Times New Roman" w:hAnsi="Times New Roman" w:cs="Times New Roman" w:eastAsia="Times New Roman" w:hint="default"/>
          <w:spacing w:val="3"/>
        </w:rPr>
        <w:t>26,310,000.00</w:t>
      </w:r>
      <w:r>
        <w:rPr>
          <w:rFonts w:ascii="Times New Roman" w:hAnsi="Times New Roman" w:cs="Times New Roman" w:eastAsia="Times New Roman" w:hint="default"/>
          <w:spacing w:val="33"/>
        </w:rPr>
        <w:t> </w:t>
      </w:r>
      <w:r>
        <w:rPr>
          <w:spacing w:val="3"/>
        </w:rPr>
        <w:t>人民币元，将本公司名称变更为“鞍山荣信电力电子股份有限公司”。</w:t>
      </w:r>
    </w:p>
    <w:p>
      <w:pPr>
        <w:pStyle w:val="BodyText"/>
        <w:spacing w:line="292" w:lineRule="auto" w:before="130"/>
        <w:ind w:left="154" w:right="228" w:firstLine="510"/>
        <w:jc w:val="both"/>
      </w:pPr>
      <w:r>
        <w:rPr>
          <w:spacing w:val="8"/>
        </w:rPr>
        <w:t>二零零三年二月十八日</w:t>
      </w:r>
      <w:r>
        <w:rPr>
          <w:rFonts w:ascii="Times New Roman" w:hAnsi="Times New Roman" w:cs="Times New Roman" w:eastAsia="Times New Roman" w:hint="default"/>
          <w:spacing w:val="8"/>
        </w:rPr>
        <w:t>,</w:t>
      </w:r>
      <w:r>
        <w:rPr>
          <w:spacing w:val="8"/>
        </w:rPr>
        <w:t>根据二零零三年度公司临时股东大会决议</w:t>
      </w:r>
      <w:r>
        <w:rPr>
          <w:rFonts w:ascii="Times New Roman" w:hAnsi="Times New Roman" w:cs="Times New Roman" w:eastAsia="Times New Roman" w:hint="default"/>
          <w:spacing w:val="8"/>
        </w:rPr>
        <w:t>,</w:t>
      </w:r>
      <w:r>
        <w:rPr>
          <w:spacing w:val="8"/>
        </w:rPr>
        <w:t>本公司新老股东进</w:t>
      </w:r>
      <w:r>
        <w:rPr>
          <w:spacing w:val="9"/>
        </w:rPr>
        <w:t> </w:t>
      </w:r>
      <w:r>
        <w:rPr>
          <w:spacing w:val="7"/>
        </w:rPr>
        <w:t>行增资扩股。并于二零零三年九月十八日经辽宁省人民政府辽政</w:t>
      </w:r>
      <w:r>
        <w:rPr>
          <w:rFonts w:ascii="Times New Roman" w:hAnsi="Times New Roman" w:cs="Times New Roman" w:eastAsia="Times New Roman" w:hint="default"/>
          <w:spacing w:val="7"/>
        </w:rPr>
        <w:t>[2003]189</w:t>
      </w:r>
      <w:r>
        <w:rPr>
          <w:rFonts w:ascii="Times New Roman" w:hAnsi="Times New Roman" w:cs="Times New Roman" w:eastAsia="Times New Roman" w:hint="default"/>
          <w:spacing w:val="15"/>
        </w:rPr>
        <w:t> </w:t>
      </w:r>
      <w:r>
        <w:rPr>
          <w:spacing w:val="9"/>
        </w:rPr>
        <w:t>号文《关于同</w:t>
      </w:r>
      <w:r>
        <w:rPr>
          <w:spacing w:val="-118"/>
        </w:rPr>
        <w:t> </w:t>
      </w:r>
      <w:r>
        <w:rPr>
          <w:spacing w:val="7"/>
        </w:rPr>
        <w:t>意鞍山荣信电力电子股份有限公司增资扩股的批复》批准。本公司已于二零零三年十月十</w:t>
      </w:r>
      <w:r>
        <w:rPr>
          <w:spacing w:val="8"/>
        </w:rPr>
        <w:t> </w:t>
      </w:r>
      <w:r>
        <w:rPr>
          <w:spacing w:val="7"/>
        </w:rPr>
        <w:t>日办理了相应的工商变更登记手续</w:t>
      </w:r>
      <w:r>
        <w:rPr>
          <w:rFonts w:ascii="Times New Roman" w:hAnsi="Times New Roman" w:cs="Times New Roman" w:eastAsia="Times New Roman" w:hint="default"/>
          <w:spacing w:val="7"/>
        </w:rPr>
        <w:t>,</w:t>
      </w:r>
      <w:r>
        <w:rPr>
          <w:spacing w:val="7"/>
        </w:rPr>
        <w:t>股本由</w:t>
      </w:r>
      <w:r>
        <w:rPr>
          <w:spacing w:val="-42"/>
        </w:rPr>
        <w:t> </w:t>
      </w:r>
      <w:r>
        <w:rPr>
          <w:rFonts w:ascii="Times New Roman" w:hAnsi="Times New Roman" w:cs="Times New Roman" w:eastAsia="Times New Roman" w:hint="default"/>
          <w:spacing w:val="2"/>
        </w:rPr>
        <w:t>26,310,000.00</w:t>
      </w:r>
      <w:r>
        <w:rPr>
          <w:rFonts w:ascii="Times New Roman" w:hAnsi="Times New Roman" w:cs="Times New Roman" w:eastAsia="Times New Roman" w:hint="default"/>
          <w:spacing w:val="16"/>
        </w:rPr>
        <w:t> </w:t>
      </w:r>
      <w:r>
        <w:rPr>
          <w:spacing w:val="6"/>
        </w:rPr>
        <w:t>人民币元增至</w:t>
      </w:r>
      <w:r>
        <w:rPr>
          <w:spacing w:val="-43"/>
        </w:rPr>
        <w:t> </w:t>
      </w:r>
      <w:r>
        <w:rPr>
          <w:rFonts w:ascii="Times New Roman" w:hAnsi="Times New Roman" w:cs="Times New Roman" w:eastAsia="Times New Roman" w:hint="default"/>
          <w:spacing w:val="2"/>
        </w:rPr>
        <w:t>34,200,000.00</w:t>
      </w:r>
      <w:r>
        <w:rPr>
          <w:rFonts w:ascii="Times New Roman" w:hAnsi="Times New Roman" w:cs="Times New Roman" w:eastAsia="Times New Roman" w:hint="default"/>
          <w:spacing w:val="15"/>
        </w:rPr>
        <w:t> </w:t>
      </w:r>
      <w:r>
        <w:rPr>
          <w:spacing w:val="7"/>
        </w:rPr>
        <w:t>人民</w:t>
      </w:r>
      <w:r>
        <w:rPr>
          <w:spacing w:val="-117"/>
        </w:rPr>
        <w:t> </w:t>
      </w:r>
      <w:r>
        <w:rPr>
          <w:spacing w:val="7"/>
        </w:rPr>
        <w:t>币元。</w:t>
      </w:r>
      <w:r>
        <w:rPr/>
      </w:r>
    </w:p>
    <w:p>
      <w:pPr>
        <w:pStyle w:val="BodyText"/>
        <w:spacing w:line="297" w:lineRule="auto" w:before="152"/>
        <w:ind w:right="224" w:firstLine="510"/>
        <w:jc w:val="both"/>
      </w:pPr>
      <w:r>
        <w:rPr>
          <w:spacing w:val="13"/>
        </w:rPr>
        <w:t>根据二零零五年公司第二次临时股东大会决议及二零零五年五月十一日经辽宁省人 </w:t>
      </w:r>
      <w:r>
        <w:rPr>
          <w:spacing w:val="5"/>
        </w:rPr>
        <w:t>民政府以辽政</w:t>
      </w:r>
      <w:r>
        <w:rPr>
          <w:rFonts w:ascii="Times New Roman" w:hAnsi="Times New Roman" w:cs="Times New Roman" w:eastAsia="Times New Roman" w:hint="default"/>
          <w:spacing w:val="5"/>
        </w:rPr>
        <w:t>[2005]127</w:t>
      </w:r>
      <w:r>
        <w:rPr>
          <w:rFonts w:ascii="Times New Roman" w:hAnsi="Times New Roman" w:cs="Times New Roman" w:eastAsia="Times New Roman" w:hint="default"/>
          <w:spacing w:val="32"/>
        </w:rPr>
        <w:t> </w:t>
      </w:r>
      <w:r>
        <w:rPr>
          <w:spacing w:val="8"/>
        </w:rPr>
        <w:t>号文《辽宁省人民政府关于鞍山荣信电力电子股份有限公司变更</w:t>
      </w:r>
      <w:r>
        <w:rPr>
          <w:spacing w:val="-114"/>
        </w:rPr>
        <w:t> </w:t>
      </w:r>
      <w:r>
        <w:rPr>
          <w:spacing w:val="-114"/>
        </w:rPr>
      </w:r>
      <w:r>
        <w:rPr>
          <w:spacing w:val="4"/>
        </w:rPr>
        <w:t>名称的批复》批准，将本公司名称变更为“辽宁荣信电力电子股份有限公司”。</w:t>
      </w:r>
    </w:p>
    <w:p>
      <w:pPr>
        <w:pStyle w:val="BodyText"/>
        <w:spacing w:line="297" w:lineRule="auto" w:before="148"/>
        <w:ind w:right="228" w:firstLine="510"/>
        <w:jc w:val="both"/>
      </w:pPr>
      <w:r>
        <w:rPr>
          <w:spacing w:val="6"/>
        </w:rPr>
        <w:t>根据本公司二零零五年第三次临时股东会议决议，并经二零零五年十二月十二日辽宁</w:t>
      </w:r>
      <w:r>
        <w:rPr>
          <w:spacing w:val="7"/>
        </w:rPr>
        <w:t> </w:t>
      </w:r>
      <w:r>
        <w:rPr>
          <w:spacing w:val="5"/>
        </w:rPr>
        <w:t>省人民政府辽政</w:t>
      </w:r>
      <w:r>
        <w:rPr>
          <w:rFonts w:ascii="Times New Roman" w:hAnsi="Times New Roman" w:cs="Times New Roman" w:eastAsia="Times New Roman" w:hint="default"/>
          <w:spacing w:val="5"/>
        </w:rPr>
        <w:t>[2005]353</w:t>
      </w:r>
      <w:r>
        <w:rPr>
          <w:rFonts w:ascii="Times New Roman" w:hAnsi="Times New Roman" w:cs="Times New Roman" w:eastAsia="Times New Roman" w:hint="default"/>
          <w:spacing w:val="36"/>
        </w:rPr>
        <w:t> </w:t>
      </w:r>
      <w:r>
        <w:rPr>
          <w:spacing w:val="8"/>
        </w:rPr>
        <w:t>号文《辽宁省人民政府关于辽宁荣信电力电子股份有限公司变</w:t>
      </w:r>
      <w:r>
        <w:rPr>
          <w:spacing w:val="-114"/>
        </w:rPr>
        <w:t> </w:t>
      </w:r>
      <w:r>
        <w:rPr>
          <w:spacing w:val="-114"/>
        </w:rPr>
      </w:r>
      <w:r>
        <w:rPr>
          <w:spacing w:val="7"/>
        </w:rPr>
        <w:t>更注册资本的批复》批准，本公司股本由 </w:t>
      </w:r>
      <w:r>
        <w:rPr>
          <w:rFonts w:ascii="Times New Roman" w:hAnsi="Times New Roman" w:cs="Times New Roman" w:eastAsia="Times New Roman" w:hint="default"/>
          <w:spacing w:val="3"/>
        </w:rPr>
        <w:t>34,200,000.00 </w:t>
      </w:r>
      <w:r>
        <w:rPr>
          <w:spacing w:val="6"/>
        </w:rPr>
        <w:t>人民币元增至 </w:t>
      </w:r>
      <w:r>
        <w:rPr>
          <w:rFonts w:ascii="Times New Roman" w:hAnsi="Times New Roman" w:cs="Times New Roman" w:eastAsia="Times New Roman" w:hint="default"/>
          <w:spacing w:val="3"/>
        </w:rPr>
        <w:t>48,000,000.00 </w:t>
      </w:r>
      <w:r>
        <w:rPr>
          <w:spacing w:val="8"/>
        </w:rPr>
        <w:t>人民</w:t>
      </w:r>
      <w:r>
        <w:rPr/>
      </w:r>
    </w:p>
    <w:p>
      <w:pPr>
        <w:spacing w:after="0" w:line="297" w:lineRule="auto"/>
        <w:jc w:val="both"/>
        <w:sectPr>
          <w:headerReference w:type="default" r:id="rId14"/>
          <w:footerReference w:type="default" r:id="rId15"/>
          <w:pgSz w:w="11910" w:h="16840"/>
          <w:pgMar w:header="877" w:footer="1022" w:top="1060" w:bottom="1220" w:left="980" w:right="900"/>
          <w:pgNumType w:start="58"/>
        </w:sectPr>
      </w:pPr>
    </w:p>
    <w:p>
      <w:pPr>
        <w:spacing w:line="240" w:lineRule="auto" w:before="4"/>
        <w:rPr>
          <w:rFonts w:ascii="宋体" w:hAnsi="宋体" w:cs="宋体" w:eastAsia="宋体" w:hint="default"/>
          <w:sz w:val="26"/>
          <w:szCs w:val="26"/>
        </w:rPr>
      </w:pPr>
    </w:p>
    <w:p>
      <w:pPr>
        <w:pStyle w:val="BodyText"/>
        <w:spacing w:line="240" w:lineRule="auto" w:before="26"/>
        <w:ind w:left="154" w:right="214"/>
        <w:jc w:val="left"/>
      </w:pPr>
      <w:r>
        <w:rPr>
          <w:spacing w:val="7"/>
        </w:rPr>
        <w:t>币元。并于二零零五年十二月十九日办理完毕工商变更登记手续。</w:t>
      </w:r>
      <w:r>
        <w:rPr/>
      </w:r>
    </w:p>
    <w:p>
      <w:pPr>
        <w:pStyle w:val="BodyText"/>
        <w:spacing w:line="288" w:lineRule="auto" w:before="205"/>
        <w:ind w:right="229" w:firstLine="510"/>
        <w:jc w:val="both"/>
      </w:pPr>
      <w:r>
        <w:rPr>
          <w:spacing w:val="6"/>
        </w:rPr>
        <w:t>二零零七年三月七日，经中国证券监督管理委员会证监发行字</w:t>
      </w:r>
      <w:r>
        <w:rPr>
          <w:rFonts w:ascii="Times New Roman" w:hAnsi="Times New Roman" w:cs="Times New Roman" w:eastAsia="Times New Roman" w:hint="default"/>
          <w:spacing w:val="6"/>
        </w:rPr>
        <w:t>[2007]47</w:t>
      </w:r>
      <w:r>
        <w:rPr>
          <w:rFonts w:ascii="Times New Roman" w:hAnsi="Times New Roman" w:cs="Times New Roman" w:eastAsia="Times New Roman" w:hint="default"/>
          <w:spacing w:val="13"/>
        </w:rPr>
        <w:t> </w:t>
      </w:r>
      <w:r>
        <w:rPr>
          <w:spacing w:val="3"/>
        </w:rPr>
        <w:t>号文核准，本</w:t>
      </w:r>
      <w:r>
        <w:rPr/>
        <w:t> </w:t>
      </w:r>
      <w:r>
        <w:rPr>
          <w:spacing w:val="7"/>
        </w:rPr>
        <w:t>公司于二零零七年三月十六日向社会公开发行人民币普通股</w:t>
      </w:r>
      <w:r>
        <w:rPr>
          <w:rFonts w:ascii="Times New Roman" w:hAnsi="Times New Roman" w:cs="Times New Roman" w:eastAsia="Times New Roman" w:hint="default"/>
          <w:spacing w:val="7"/>
        </w:rPr>
        <w:t>(A</w:t>
      </w:r>
      <w:r>
        <w:rPr>
          <w:rFonts w:ascii="Times New Roman" w:hAnsi="Times New Roman" w:cs="Times New Roman" w:eastAsia="Times New Roman" w:hint="default"/>
          <w:spacing w:val="28"/>
        </w:rPr>
        <w:t> </w:t>
      </w:r>
      <w:r>
        <w:rPr>
          <w:spacing w:val="4"/>
        </w:rPr>
        <w:t>股</w:t>
      </w:r>
      <w:r>
        <w:rPr>
          <w:rFonts w:ascii="Times New Roman" w:hAnsi="Times New Roman" w:cs="Times New Roman" w:eastAsia="Times New Roman" w:hint="default"/>
          <w:spacing w:val="4"/>
        </w:rPr>
        <w:t>)</w:t>
      </w:r>
      <w:r>
        <w:rPr>
          <w:spacing w:val="4"/>
        </w:rPr>
        <w:t>股票</w:t>
      </w:r>
      <w:r>
        <w:rPr>
          <w:spacing w:val="-27"/>
        </w:rPr>
        <w:t> </w:t>
      </w:r>
      <w:r>
        <w:rPr>
          <w:rFonts w:ascii="Times New Roman" w:hAnsi="Times New Roman" w:cs="Times New Roman" w:eastAsia="Times New Roman" w:hint="default"/>
          <w:spacing w:val="2"/>
        </w:rPr>
        <w:t>16,000,000</w:t>
      </w:r>
      <w:r>
        <w:rPr>
          <w:rFonts w:ascii="Times New Roman" w:hAnsi="Times New Roman" w:cs="Times New Roman" w:eastAsia="Times New Roman" w:hint="default"/>
          <w:spacing w:val="31"/>
        </w:rPr>
        <w:t> </w:t>
      </w:r>
      <w:r>
        <w:rPr>
          <w:spacing w:val="7"/>
        </w:rPr>
        <w:t>股，每</w:t>
      </w:r>
      <w:r>
        <w:rPr>
          <w:spacing w:val="-118"/>
        </w:rPr>
        <w:t> </w:t>
      </w:r>
      <w:r>
        <w:rPr>
          <w:spacing w:val="4"/>
        </w:rPr>
        <w:t>股面值</w:t>
      </w:r>
      <w:r>
        <w:rPr>
          <w:spacing w:val="-51"/>
        </w:rPr>
        <w:t> </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5"/>
        </w:rPr>
        <w:t> </w:t>
      </w:r>
      <w:r>
        <w:rPr>
          <w:spacing w:val="5"/>
        </w:rPr>
        <w:t>人民币元，并于二零零七年三月二十八日在深圳证券交易所上市交易。本公司</w:t>
      </w:r>
      <w:r>
        <w:rPr/>
      </w:r>
    </w:p>
    <w:p>
      <w:pPr>
        <w:pStyle w:val="BodyText"/>
        <w:spacing w:line="290" w:lineRule="auto" w:before="14"/>
        <w:ind w:right="214"/>
        <w:jc w:val="left"/>
      </w:pPr>
      <w:r>
        <w:rPr>
          <w:spacing w:val="6"/>
        </w:rPr>
        <w:t>发行后总股本为</w:t>
      </w:r>
      <w:r>
        <w:rPr>
          <w:spacing w:val="-35"/>
        </w:rPr>
        <w:t> </w:t>
      </w:r>
      <w:r>
        <w:rPr>
          <w:rFonts w:ascii="Times New Roman" w:hAnsi="Times New Roman" w:cs="Times New Roman" w:eastAsia="Times New Roman" w:hint="default"/>
          <w:spacing w:val="2"/>
        </w:rPr>
        <w:t>64,000,000.00</w:t>
      </w:r>
      <w:r>
        <w:rPr>
          <w:rFonts w:ascii="Times New Roman" w:hAnsi="Times New Roman" w:cs="Times New Roman" w:eastAsia="Times New Roman" w:hint="default"/>
          <w:spacing w:val="22"/>
        </w:rPr>
        <w:t> </w:t>
      </w:r>
      <w:r>
        <w:rPr>
          <w:spacing w:val="3"/>
        </w:rPr>
        <w:t>人民币元。并于二零零七年四月十日办理完毕工商变更登记</w:t>
      </w:r>
      <w:r>
        <w:rPr>
          <w:spacing w:val="-114"/>
        </w:rPr>
        <w:t> </w:t>
      </w:r>
      <w:r>
        <w:rPr>
          <w:spacing w:val="-114"/>
        </w:rPr>
      </w:r>
      <w:r>
        <w:rPr>
          <w:spacing w:val="7"/>
        </w:rPr>
        <w:t>手续。</w:t>
      </w:r>
      <w:r>
        <w:rPr/>
      </w:r>
    </w:p>
    <w:p>
      <w:pPr>
        <w:pStyle w:val="BodyText"/>
        <w:spacing w:line="304" w:lineRule="auto" w:before="155"/>
        <w:ind w:right="229" w:firstLine="510"/>
        <w:jc w:val="both"/>
      </w:pPr>
      <w:r>
        <w:rPr>
          <w:spacing w:val="6"/>
        </w:rPr>
        <w:t>根据本公司二零零七年第一次临时股东会议决议，将本公司名称变更为“荣信电力电</w:t>
      </w:r>
      <w:r>
        <w:rPr>
          <w:spacing w:val="7"/>
        </w:rPr>
        <w:t> </w:t>
      </w:r>
      <w:r>
        <w:rPr>
          <w:spacing w:val="6"/>
        </w:rPr>
        <w:t>子股份有限公司”。并于二零零七年七月十一日办理完毕工商变更登记手续，向辽宁省工</w:t>
      </w:r>
      <w:r>
        <w:rPr>
          <w:spacing w:val="-100"/>
        </w:rPr>
        <w:t> </w:t>
      </w:r>
      <w:r>
        <w:rPr>
          <w:spacing w:val="-100"/>
        </w:rPr>
      </w:r>
      <w:r>
        <w:rPr>
          <w:spacing w:val="7"/>
        </w:rPr>
        <w:t>商行政管理局换领了注册号为 </w:t>
      </w:r>
      <w:r>
        <w:rPr>
          <w:rFonts w:ascii="Times New Roman" w:hAnsi="Times New Roman" w:cs="Times New Roman" w:eastAsia="Times New Roman" w:hint="default"/>
          <w:spacing w:val="2"/>
        </w:rPr>
        <w:t>210000004920217</w:t>
      </w:r>
      <w:r>
        <w:rPr>
          <w:rFonts w:ascii="Times New Roman" w:hAnsi="Times New Roman" w:cs="Times New Roman" w:eastAsia="Times New Roman" w:hint="default"/>
          <w:spacing w:val="-35"/>
        </w:rPr>
        <w:t> </w:t>
      </w:r>
      <w:r>
        <w:rPr>
          <w:spacing w:val="8"/>
        </w:rPr>
        <w:t>号的企业法人营业执照。</w:t>
      </w:r>
      <w:r>
        <w:rPr/>
      </w:r>
    </w:p>
    <w:p>
      <w:pPr>
        <w:pStyle w:val="BodyText"/>
        <w:spacing w:line="240" w:lineRule="auto" w:before="115"/>
        <w:ind w:left="663" w:right="214"/>
        <w:jc w:val="left"/>
      </w:pPr>
      <w:r>
        <w:rPr>
          <w:spacing w:val="7"/>
        </w:rPr>
        <w:t>本公司系国家规划布局内重点软件企业，国家火炬计划重点高新技术企业。</w:t>
      </w:r>
      <w:r>
        <w:rPr/>
      </w:r>
    </w:p>
    <w:p>
      <w:pPr>
        <w:pStyle w:val="BodyText"/>
        <w:spacing w:line="292" w:lineRule="auto" w:before="205"/>
        <w:ind w:right="229" w:firstLine="510"/>
        <w:jc w:val="both"/>
      </w:pPr>
      <w:r>
        <w:rPr>
          <w:spacing w:val="4"/>
        </w:rPr>
        <w:t>本公司的经营范围为：高压动态无功补偿装置</w:t>
      </w:r>
      <w:r>
        <w:rPr>
          <w:rFonts w:ascii="Times New Roman" w:hAnsi="Times New Roman" w:cs="Times New Roman" w:eastAsia="Times New Roman" w:hint="default"/>
          <w:spacing w:val="4"/>
        </w:rPr>
        <w:t>(SVC)</w:t>
      </w:r>
      <w:r>
        <w:rPr>
          <w:spacing w:val="4"/>
        </w:rPr>
        <w:t>、智能瓦斯排放装置</w:t>
      </w:r>
      <w:r>
        <w:rPr>
          <w:rFonts w:ascii="Times New Roman" w:hAnsi="Times New Roman" w:cs="Times New Roman" w:eastAsia="Times New Roman" w:hint="default"/>
          <w:spacing w:val="4"/>
        </w:rPr>
        <w:t>(MABZ)</w:t>
      </w:r>
      <w:r>
        <w:rPr>
          <w:spacing w:val="4"/>
        </w:rPr>
        <w:t>、电</w:t>
      </w:r>
      <w:r>
        <w:rPr>
          <w:spacing w:val="-21"/>
        </w:rPr>
        <w:t> </w:t>
      </w:r>
      <w:r>
        <w:rPr>
          <w:spacing w:val="7"/>
        </w:rPr>
        <w:t>力滤波装置</w:t>
      </w:r>
      <w:r>
        <w:rPr>
          <w:rFonts w:ascii="Times New Roman" w:hAnsi="Times New Roman" w:cs="Times New Roman" w:eastAsia="Times New Roman" w:hint="default"/>
          <w:spacing w:val="7"/>
        </w:rPr>
        <w:t>(FC)</w:t>
      </w:r>
      <w:r>
        <w:rPr>
          <w:spacing w:val="7"/>
        </w:rPr>
        <w:t>、高压变频调速装置</w:t>
      </w:r>
      <w:r>
        <w:rPr>
          <w:rFonts w:ascii="Times New Roman" w:hAnsi="Times New Roman" w:cs="Times New Roman" w:eastAsia="Times New Roman" w:hint="default"/>
          <w:spacing w:val="7"/>
        </w:rPr>
        <w:t>(HVC)</w:t>
      </w:r>
      <w:r>
        <w:rPr>
          <w:spacing w:val="7"/>
        </w:rPr>
        <w:t>及其他电力电子装置的设计、制造；经营本企</w:t>
      </w:r>
      <w:r>
        <w:rPr>
          <w:spacing w:val="-84"/>
        </w:rPr>
        <w:t> </w:t>
      </w:r>
      <w:r>
        <w:rPr>
          <w:spacing w:val="6"/>
        </w:rPr>
        <w:t>业及所属企业自产产品及相关技术的出口业务；经营本企业及所属企业生产科研所需的原</w:t>
      </w:r>
      <w:r>
        <w:rPr>
          <w:spacing w:val="-90"/>
        </w:rPr>
        <w:t> </w:t>
      </w:r>
      <w:r>
        <w:rPr>
          <w:spacing w:val="-90"/>
        </w:rPr>
      </w:r>
      <w:r>
        <w:rPr>
          <w:spacing w:val="4"/>
        </w:rPr>
        <w:t>辅材料、机械设备、仪器仪表及相关技术进口业务</w:t>
      </w:r>
      <w:r>
        <w:rPr>
          <w:rFonts w:ascii="Times New Roman" w:hAnsi="Times New Roman" w:cs="Times New Roman" w:eastAsia="Times New Roman" w:hint="default"/>
          <w:spacing w:val="4"/>
        </w:rPr>
        <w:t>(</w:t>
      </w:r>
      <w:r>
        <w:rPr>
          <w:spacing w:val="4"/>
        </w:rPr>
        <w:t>国家限定公司经营和国家禁止进出口的</w:t>
      </w:r>
      <w:r>
        <w:rPr>
          <w:spacing w:val="-86"/>
        </w:rPr>
        <w:t> </w:t>
      </w:r>
      <w:r>
        <w:rPr>
          <w:spacing w:val="7"/>
        </w:rPr>
        <w:t>商品及技术除外</w:t>
      </w:r>
      <w:r>
        <w:rPr>
          <w:rFonts w:ascii="Times New Roman" w:hAnsi="Times New Roman" w:cs="Times New Roman" w:eastAsia="Times New Roman" w:hint="default"/>
          <w:spacing w:val="7"/>
        </w:rPr>
        <w:t>)</w:t>
      </w:r>
      <w:r>
        <w:rPr>
          <w:spacing w:val="7"/>
        </w:rPr>
        <w:t>；经营进料加工和“三来一补”业务。</w:t>
      </w:r>
      <w:r>
        <w:rPr/>
      </w:r>
    </w:p>
    <w:p>
      <w:pPr>
        <w:pStyle w:val="BodyText"/>
        <w:spacing w:line="304" w:lineRule="auto" w:before="129"/>
        <w:ind w:right="228" w:firstLine="510"/>
        <w:jc w:val="both"/>
      </w:pPr>
      <w:r>
        <w:rPr>
          <w:spacing w:val="6"/>
        </w:rPr>
        <w:t>本公司的基本组织架构为：股东大会是公司的权力机构，董事会是股东大会的执行机</w:t>
      </w:r>
      <w:r>
        <w:rPr>
          <w:spacing w:val="8"/>
        </w:rPr>
        <w:t> </w:t>
      </w:r>
      <w:r>
        <w:rPr>
          <w:spacing w:val="6"/>
        </w:rPr>
        <w:t>构，总经理负责公司的日常经营管理工作，监事会是公司的内部监督机构。公司下设办公</w:t>
      </w:r>
      <w:r>
        <w:rPr>
          <w:spacing w:val="-95"/>
        </w:rPr>
        <w:t> </w:t>
      </w:r>
      <w:r>
        <w:rPr>
          <w:spacing w:val="-95"/>
        </w:rPr>
      </w:r>
      <w:r>
        <w:rPr>
          <w:spacing w:val="6"/>
        </w:rPr>
        <w:t>室、管理部、工程部、生产部、财务部、审计部、质控部、市场部、工艺部、供应部、技</w:t>
      </w:r>
      <w:r>
        <w:rPr>
          <w:spacing w:val="-107"/>
        </w:rPr>
        <w:t> </w:t>
      </w:r>
      <w:r>
        <w:rPr>
          <w:spacing w:val="-107"/>
        </w:rPr>
      </w:r>
      <w:r>
        <w:rPr>
          <w:spacing w:val="5"/>
        </w:rPr>
        <w:t>术商务部、</w:t>
      </w:r>
      <w:r>
        <w:rPr>
          <w:rFonts w:ascii="Times New Roman" w:hAnsi="Times New Roman" w:cs="Times New Roman" w:eastAsia="Times New Roman" w:hint="default"/>
          <w:spacing w:val="5"/>
        </w:rPr>
        <w:t>SVC </w:t>
      </w:r>
      <w:r>
        <w:rPr>
          <w:spacing w:val="4"/>
        </w:rPr>
        <w:t>部、</w:t>
      </w:r>
      <w:r>
        <w:rPr>
          <w:rFonts w:ascii="Times New Roman" w:hAnsi="Times New Roman" w:cs="Times New Roman" w:eastAsia="Times New Roman" w:hint="default"/>
          <w:spacing w:val="4"/>
        </w:rPr>
        <w:t>MABZ </w:t>
      </w:r>
      <w:r>
        <w:rPr>
          <w:spacing w:val="4"/>
        </w:rPr>
        <w:t>部、</w:t>
      </w:r>
      <w:r>
        <w:rPr>
          <w:rFonts w:ascii="Times New Roman" w:hAnsi="Times New Roman" w:cs="Times New Roman" w:eastAsia="Times New Roman" w:hint="default"/>
          <w:spacing w:val="4"/>
        </w:rPr>
        <w:t>HVC</w:t>
      </w:r>
      <w:r>
        <w:rPr>
          <w:rFonts w:ascii="Times New Roman" w:hAnsi="Times New Roman" w:cs="Times New Roman" w:eastAsia="Times New Roman" w:hint="default"/>
          <w:spacing w:val="17"/>
        </w:rPr>
        <w:t> </w:t>
      </w:r>
      <w:r>
        <w:rPr>
          <w:spacing w:val="8"/>
        </w:rPr>
        <w:t>部等部门。</w:t>
      </w:r>
      <w:r>
        <w:rPr/>
      </w:r>
    </w:p>
    <w:p>
      <w:pPr>
        <w:pStyle w:val="BodyText"/>
        <w:spacing w:line="288" w:lineRule="auto" w:before="115"/>
        <w:ind w:right="100" w:firstLine="510"/>
        <w:jc w:val="left"/>
      </w:pPr>
      <w:r>
        <w:rPr>
          <w:spacing w:val="9"/>
        </w:rPr>
        <w:t>本公司拥有诚和伟业</w:t>
      </w:r>
      <w:r>
        <w:rPr>
          <w:rFonts w:ascii="Times New Roman" w:hAnsi="Times New Roman" w:cs="Times New Roman" w:eastAsia="Times New Roman" w:hint="default"/>
          <w:spacing w:val="9"/>
        </w:rPr>
        <w:t>(</w:t>
      </w:r>
      <w:r>
        <w:rPr>
          <w:spacing w:val="9"/>
        </w:rPr>
        <w:t>北京</w:t>
      </w:r>
      <w:r>
        <w:rPr>
          <w:rFonts w:ascii="Times New Roman" w:hAnsi="Times New Roman" w:cs="Times New Roman" w:eastAsia="Times New Roman" w:hint="default"/>
          <w:spacing w:val="9"/>
        </w:rPr>
        <w:t>)</w:t>
      </w:r>
      <w:r>
        <w:rPr>
          <w:spacing w:val="9"/>
        </w:rPr>
        <w:t>科技发展有限公司</w:t>
      </w:r>
      <w:r>
        <w:rPr>
          <w:rFonts w:ascii="Times New Roman" w:hAnsi="Times New Roman" w:cs="Times New Roman" w:eastAsia="Times New Roman" w:hint="default"/>
          <w:spacing w:val="9"/>
        </w:rPr>
        <w:t>(</w:t>
      </w:r>
      <w:r>
        <w:rPr>
          <w:spacing w:val="9"/>
        </w:rPr>
        <w:t>以下简称“诚和伟业”</w:t>
      </w:r>
      <w:r>
        <w:rPr>
          <w:rFonts w:ascii="Times New Roman" w:hAnsi="Times New Roman" w:cs="Times New Roman" w:eastAsia="Times New Roman" w:hint="default"/>
          <w:spacing w:val="9"/>
        </w:rPr>
        <w:t>)</w:t>
      </w:r>
      <w:r>
        <w:rPr>
          <w:spacing w:val="9"/>
        </w:rPr>
        <w:t>、鞍山荣信科</w:t>
      </w:r>
      <w:r>
        <w:rPr>
          <w:spacing w:val="11"/>
        </w:rPr>
        <w:t> </w:t>
      </w:r>
      <w:r>
        <w:rPr/>
        <w:t>技有限公司</w:t>
      </w:r>
      <w:r>
        <w:rPr>
          <w:rFonts w:ascii="Times New Roman" w:hAnsi="Times New Roman" w:cs="Times New Roman" w:eastAsia="Times New Roman" w:hint="default"/>
        </w:rPr>
        <w:t>(</w:t>
      </w:r>
      <w:r>
        <w:rPr/>
        <w:t>以下简称“荣信科技”</w:t>
      </w:r>
      <w:r>
        <w:rPr>
          <w:rFonts w:ascii="Times New Roman" w:hAnsi="Times New Roman" w:cs="Times New Roman" w:eastAsia="Times New Roman" w:hint="default"/>
        </w:rPr>
        <w:t>)</w:t>
      </w:r>
      <w:r>
        <w:rPr/>
        <w:t>、上海清方荣信电子有限公司</w:t>
      </w:r>
      <w:r>
        <w:rPr>
          <w:rFonts w:ascii="Times New Roman" w:hAnsi="Times New Roman" w:cs="Times New Roman" w:eastAsia="Times New Roman" w:hint="default"/>
        </w:rPr>
        <w:t>(</w:t>
      </w:r>
      <w:r>
        <w:rPr/>
        <w:t>以下简称“清方荣信”</w:t>
      </w:r>
      <w:r>
        <w:rPr>
          <w:rFonts w:ascii="Times New Roman" w:hAnsi="Times New Roman" w:cs="Times New Roman" w:eastAsia="Times New Roman" w:hint="default"/>
        </w:rPr>
        <w:t>)</w:t>
      </w:r>
      <w:r>
        <w:rPr/>
        <w:t>、</w:t>
      </w:r>
      <w:r>
        <w:rPr>
          <w:spacing w:val="-61"/>
        </w:rPr>
        <w:t> </w:t>
      </w:r>
      <w:r>
        <w:rPr>
          <w:spacing w:val="4"/>
        </w:rPr>
        <w:t>荣信嘉时</w:t>
      </w:r>
      <w:r>
        <w:rPr>
          <w:rFonts w:ascii="Times New Roman" w:hAnsi="Times New Roman" w:cs="Times New Roman" w:eastAsia="Times New Roman" w:hint="default"/>
          <w:spacing w:val="4"/>
        </w:rPr>
        <w:t>(</w:t>
      </w:r>
      <w:r>
        <w:rPr>
          <w:spacing w:val="4"/>
        </w:rPr>
        <w:t>北京</w:t>
      </w:r>
      <w:r>
        <w:rPr>
          <w:rFonts w:ascii="Times New Roman" w:hAnsi="Times New Roman" w:cs="Times New Roman" w:eastAsia="Times New Roman" w:hint="default"/>
          <w:spacing w:val="4"/>
        </w:rPr>
        <w:t>)</w:t>
      </w:r>
      <w:r>
        <w:rPr>
          <w:spacing w:val="4"/>
        </w:rPr>
        <w:t>科技发展有限公司</w:t>
      </w:r>
      <w:r>
        <w:rPr>
          <w:rFonts w:ascii="Times New Roman" w:hAnsi="Times New Roman" w:cs="Times New Roman" w:eastAsia="Times New Roman" w:hint="default"/>
          <w:spacing w:val="4"/>
        </w:rPr>
        <w:t>(</w:t>
      </w:r>
      <w:r>
        <w:rPr>
          <w:spacing w:val="4"/>
        </w:rPr>
        <w:t>以下简称“荣信嘉时”</w:t>
      </w:r>
      <w:r>
        <w:rPr>
          <w:rFonts w:ascii="Times New Roman" w:hAnsi="Times New Roman" w:cs="Times New Roman" w:eastAsia="Times New Roman" w:hint="default"/>
          <w:spacing w:val="4"/>
        </w:rPr>
        <w:t>)</w:t>
      </w:r>
      <w:r>
        <w:rPr>
          <w:spacing w:val="4"/>
        </w:rPr>
        <w:t>四家全资子公司；拥有北京荣信</w:t>
      </w:r>
      <w:r>
        <w:rPr>
          <w:spacing w:val="-107"/>
        </w:rPr>
        <w:t> </w:t>
      </w:r>
      <w:r>
        <w:rPr>
          <w:spacing w:val="-107"/>
        </w:rPr>
      </w:r>
      <w:r>
        <w:rPr>
          <w:spacing w:val="7"/>
        </w:rPr>
        <w:t>电通科技发展有限公司</w:t>
      </w:r>
      <w:r>
        <w:rPr>
          <w:rFonts w:ascii="Times New Roman" w:hAnsi="Times New Roman" w:cs="Times New Roman" w:eastAsia="Times New Roman" w:hint="default"/>
          <w:spacing w:val="7"/>
        </w:rPr>
        <w:t>(</w:t>
      </w:r>
      <w:r>
        <w:rPr>
          <w:spacing w:val="7"/>
        </w:rPr>
        <w:t>以下简称“荣信电通”</w:t>
      </w:r>
      <w:r>
        <w:rPr>
          <w:rFonts w:ascii="Times New Roman" w:hAnsi="Times New Roman" w:cs="Times New Roman" w:eastAsia="Times New Roman" w:hint="default"/>
          <w:spacing w:val="7"/>
        </w:rPr>
        <w:t>)</w:t>
      </w:r>
      <w:r>
        <w:rPr>
          <w:spacing w:val="7"/>
        </w:rPr>
        <w:t>一家参股公司。</w:t>
      </w:r>
      <w:r>
        <w:rPr/>
      </w:r>
    </w:p>
    <w:p>
      <w:pPr>
        <w:pStyle w:val="Heading4"/>
        <w:spacing w:line="240" w:lineRule="auto" w:before="165"/>
        <w:ind w:right="214"/>
        <w:jc w:val="left"/>
        <w:rPr>
          <w:rFonts w:ascii="黑体" w:hAnsi="黑体" w:cs="黑体" w:eastAsia="黑体" w:hint="default"/>
          <w:b w:val="0"/>
          <w:bCs w:val="0"/>
        </w:rPr>
      </w:pPr>
      <w:r>
        <w:rPr>
          <w:rFonts w:ascii="黑体" w:hAnsi="黑体" w:cs="黑体" w:eastAsia="黑体" w:hint="default"/>
        </w:rPr>
        <w:t>二、财务报表的编制基础</w:t>
      </w:r>
      <w:r>
        <w:rPr>
          <w:rFonts w:ascii="黑体" w:hAnsi="黑体" w:cs="黑体" w:eastAsia="黑体" w:hint="default"/>
          <w:b w:val="0"/>
          <w:bCs w:val="0"/>
        </w:rPr>
      </w:r>
    </w:p>
    <w:p>
      <w:pPr>
        <w:spacing w:line="240" w:lineRule="auto" w:before="13"/>
        <w:rPr>
          <w:rFonts w:ascii="黑体" w:hAnsi="黑体" w:cs="黑体" w:eastAsia="黑体" w:hint="default"/>
          <w:b/>
          <w:bCs/>
          <w:sz w:val="17"/>
          <w:szCs w:val="17"/>
        </w:rPr>
      </w:pPr>
    </w:p>
    <w:p>
      <w:pPr>
        <w:pStyle w:val="BodyText"/>
        <w:spacing w:line="319" w:lineRule="auto"/>
        <w:ind w:right="125" w:firstLine="480"/>
        <w:jc w:val="both"/>
      </w:pPr>
      <w:r>
        <w:rPr>
          <w:spacing w:val="-3"/>
        </w:rPr>
        <w:t>本公司以持续经营为基础，根据实际发生的交易和事项，按照中华人民共和国财政部令第</w:t>
      </w:r>
      <w:r>
        <w:rPr/>
        <w:t> </w:t>
      </w:r>
      <w:r>
        <w:rPr>
          <w:rFonts w:ascii="Times New Roman" w:hAnsi="Times New Roman" w:cs="Times New Roman" w:eastAsia="Times New Roman" w:hint="default"/>
        </w:rPr>
        <w:t>33 </w:t>
      </w:r>
      <w:r>
        <w:rPr/>
        <w:t>号和财政部财会</w:t>
      </w:r>
      <w:r>
        <w:rPr>
          <w:rFonts w:ascii="Times New Roman" w:hAnsi="Times New Roman" w:cs="Times New Roman" w:eastAsia="Times New Roman" w:hint="default"/>
        </w:rPr>
        <w:t>[2006]3</w:t>
      </w:r>
      <w:r>
        <w:rPr>
          <w:rFonts w:ascii="Times New Roman" w:hAnsi="Times New Roman" w:cs="Times New Roman" w:eastAsia="Times New Roman" w:hint="default"/>
          <w:spacing w:val="-22"/>
        </w:rPr>
        <w:t> </w:t>
      </w:r>
      <w:r>
        <w:rPr/>
        <w:t>号文规定的《企业会计准则——基本准则》和其他各项具体会计准 </w:t>
      </w:r>
      <w:r>
        <w:rPr>
          <w:spacing w:val="-3"/>
        </w:rPr>
        <w:t>则</w:t>
      </w:r>
      <w:r>
        <w:rPr>
          <w:rFonts w:ascii="Times New Roman" w:hAnsi="Times New Roman" w:cs="Times New Roman" w:eastAsia="Times New Roman" w:hint="default"/>
          <w:spacing w:val="-3"/>
        </w:rPr>
        <w:t>(</w:t>
      </w:r>
      <w:r>
        <w:rPr>
          <w:spacing w:val="-3"/>
        </w:rPr>
        <w:t>以下简称“新《企业会计准则》”</w:t>
      </w:r>
      <w:r>
        <w:rPr>
          <w:rFonts w:ascii="Times New Roman" w:hAnsi="Times New Roman" w:cs="Times New Roman" w:eastAsia="Times New Roman" w:hint="default"/>
          <w:spacing w:val="-3"/>
        </w:rPr>
        <w:t>)</w:t>
      </w:r>
      <w:r>
        <w:rPr>
          <w:spacing w:val="-3"/>
        </w:rPr>
        <w:t>的规定进行确认和计量，在此基础上编制财务报表。</w:t>
      </w:r>
    </w:p>
    <w:p>
      <w:pPr>
        <w:pStyle w:val="BodyText"/>
        <w:spacing w:line="321" w:lineRule="auto" w:before="129"/>
        <w:ind w:right="125" w:firstLine="480"/>
        <w:jc w:val="both"/>
      </w:pPr>
      <w:r>
        <w:rPr>
          <w:spacing w:val="-4"/>
        </w:rPr>
        <w:t>本公司自二零零七年一月一日起执行新《企业会计准则》。根据中国证券监督管理委员会</w:t>
      </w:r>
      <w:r>
        <w:rPr/>
        <w:t> 证监会计字</w:t>
      </w:r>
      <w:r>
        <w:rPr>
          <w:rFonts w:ascii="Times New Roman" w:hAnsi="Times New Roman" w:cs="Times New Roman" w:eastAsia="Times New Roman" w:hint="default"/>
        </w:rPr>
        <w:t>[2007]10</w:t>
      </w:r>
      <w:r>
        <w:rPr>
          <w:rFonts w:ascii="Times New Roman" w:hAnsi="Times New Roman" w:cs="Times New Roman" w:eastAsia="Times New Roman" w:hint="default"/>
          <w:spacing w:val="-3"/>
        </w:rPr>
        <w:t> </w:t>
      </w:r>
      <w:r>
        <w:rPr>
          <w:spacing w:val="-4"/>
        </w:rPr>
        <w:t>号《公开发行证券的公司信息披露规范问答第</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号——新旧会计准则过度 </w:t>
      </w:r>
      <w:r>
        <w:rPr>
          <w:spacing w:val="-3"/>
        </w:rPr>
        <w:t>期间比较财务会计信息的编制和披露》的规定。二零零七年度财务报表按新《企业会计准则第</w:t>
      </w:r>
      <w:r>
        <w:rPr>
          <w:spacing w:val="-96"/>
        </w:rPr>
        <w:t> </w:t>
      </w:r>
      <w:r>
        <w:rPr>
          <w:spacing w:val="-96"/>
        </w:rPr>
      </w:r>
      <w:r>
        <w:rPr>
          <w:rFonts w:ascii="Times New Roman" w:hAnsi="Times New Roman" w:cs="Times New Roman" w:eastAsia="Times New Roman" w:hint="default"/>
        </w:rPr>
        <w:t>38 </w:t>
      </w:r>
      <w:r>
        <w:rPr>
          <w:rFonts w:ascii="Times New Roman" w:hAnsi="Times New Roman" w:cs="Times New Roman" w:eastAsia="Times New Roman" w:hint="default"/>
          <w:spacing w:val="3"/>
        </w:rPr>
        <w:t> </w:t>
      </w:r>
      <w:r>
        <w:rPr/>
        <w:t>号——首次执行企业会计准则》的规定，对本公司涉及该准则第五条至第十九条的需追溯</w:t>
      </w:r>
    </w:p>
    <w:p>
      <w:pPr>
        <w:spacing w:after="0" w:line="321" w:lineRule="auto"/>
        <w:jc w:val="both"/>
        <w:sectPr>
          <w:pgSz w:w="11910" w:h="16840"/>
          <w:pgMar w:header="877" w:footer="1022" w:top="1100" w:bottom="1220" w:left="980" w:right="900"/>
        </w:sectPr>
      </w:pPr>
    </w:p>
    <w:p>
      <w:pPr>
        <w:spacing w:line="240" w:lineRule="auto" w:before="8"/>
        <w:rPr>
          <w:rFonts w:ascii="宋体" w:hAnsi="宋体" w:cs="宋体" w:eastAsia="宋体" w:hint="default"/>
          <w:sz w:val="28"/>
          <w:szCs w:val="28"/>
        </w:rPr>
      </w:pPr>
    </w:p>
    <w:p>
      <w:pPr>
        <w:pStyle w:val="BodyText"/>
        <w:spacing w:line="240" w:lineRule="auto" w:before="26"/>
        <w:ind w:left="154" w:right="0"/>
        <w:jc w:val="left"/>
      </w:pPr>
      <w:r>
        <w:rPr/>
        <w:t>事项进行了追溯调整。</w:t>
      </w:r>
    </w:p>
    <w:p>
      <w:pPr>
        <w:spacing w:line="240" w:lineRule="auto" w:before="13"/>
        <w:rPr>
          <w:rFonts w:ascii="宋体" w:hAnsi="宋体" w:cs="宋体" w:eastAsia="宋体" w:hint="default"/>
          <w:sz w:val="17"/>
          <w:szCs w:val="17"/>
        </w:rPr>
      </w:pPr>
    </w:p>
    <w:p>
      <w:pPr>
        <w:pStyle w:val="Heading4"/>
        <w:spacing w:line="240" w:lineRule="auto" w:before="0"/>
        <w:ind w:right="0"/>
        <w:jc w:val="left"/>
        <w:rPr>
          <w:rFonts w:ascii="黑体" w:hAnsi="黑体" w:cs="黑体" w:eastAsia="黑体" w:hint="default"/>
          <w:b w:val="0"/>
          <w:bCs w:val="0"/>
        </w:rPr>
      </w:pPr>
      <w:r>
        <w:rPr>
          <w:rFonts w:ascii="黑体" w:hAnsi="黑体" w:cs="黑体" w:eastAsia="黑体" w:hint="default"/>
        </w:rPr>
        <w:t>三、遵循企业会计准则的声明</w:t>
      </w:r>
      <w:r>
        <w:rPr>
          <w:rFonts w:ascii="黑体" w:hAnsi="黑体" w:cs="黑体" w:eastAsia="黑体" w:hint="default"/>
          <w:b w:val="0"/>
          <w:bCs w:val="0"/>
        </w:rPr>
      </w:r>
    </w:p>
    <w:p>
      <w:pPr>
        <w:spacing w:line="240" w:lineRule="auto" w:before="1"/>
        <w:rPr>
          <w:rFonts w:ascii="黑体" w:hAnsi="黑体" w:cs="黑体" w:eastAsia="黑体" w:hint="default"/>
          <w:b/>
          <w:bCs/>
          <w:sz w:val="18"/>
          <w:szCs w:val="18"/>
        </w:rPr>
      </w:pPr>
    </w:p>
    <w:p>
      <w:pPr>
        <w:pStyle w:val="BodyText"/>
        <w:spacing w:line="328" w:lineRule="auto"/>
        <w:ind w:right="0" w:firstLine="480"/>
        <w:jc w:val="left"/>
      </w:pPr>
      <w:r>
        <w:rPr>
          <w:spacing w:val="-3"/>
        </w:rPr>
        <w:t>本公司声明：本年度编制的财务报表符合企业会计准则的要求，真实、完整地反映了本公</w:t>
      </w:r>
      <w:r>
        <w:rPr/>
        <w:t> 司的财务状况、经营成果和现金流量等有关信息。</w:t>
      </w:r>
    </w:p>
    <w:p>
      <w:pPr>
        <w:pStyle w:val="Heading4"/>
        <w:spacing w:line="240" w:lineRule="auto" w:before="146"/>
        <w:ind w:right="0"/>
        <w:jc w:val="left"/>
        <w:rPr>
          <w:rFonts w:ascii="黑体" w:hAnsi="黑体" w:cs="黑体" w:eastAsia="黑体" w:hint="default"/>
          <w:b w:val="0"/>
          <w:bCs w:val="0"/>
        </w:rPr>
      </w:pPr>
      <w:r>
        <w:rPr>
          <w:rFonts w:ascii="黑体" w:hAnsi="黑体" w:cs="黑体" w:eastAsia="黑体" w:hint="default"/>
        </w:rPr>
        <w:t>四、主要会计政策和会计估计</w:t>
      </w:r>
      <w:r>
        <w:rPr>
          <w:rFonts w:ascii="黑体" w:hAnsi="黑体" w:cs="黑体" w:eastAsia="黑体" w:hint="default"/>
          <w:b w:val="0"/>
          <w:bCs w:val="0"/>
        </w:rPr>
      </w:r>
    </w:p>
    <w:p>
      <w:pPr>
        <w:spacing w:line="240" w:lineRule="auto" w:before="1"/>
        <w:rPr>
          <w:rFonts w:ascii="黑体" w:hAnsi="黑体" w:cs="黑体" w:eastAsia="黑体" w:hint="default"/>
          <w:b/>
          <w:bCs/>
          <w:sz w:val="18"/>
          <w:szCs w:val="18"/>
        </w:rPr>
      </w:pPr>
    </w:p>
    <w:p>
      <w:pPr>
        <w:spacing w:line="408" w:lineRule="auto" w:before="0"/>
        <w:ind w:left="664" w:right="233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4"/>
          <w:sz w:val="24"/>
          <w:szCs w:val="24"/>
        </w:rPr>
        <w:t> </w:t>
      </w:r>
      <w:r>
        <w:rPr>
          <w:rFonts w:ascii="宋体" w:hAnsi="宋体" w:cs="宋体" w:eastAsia="宋体" w:hint="default"/>
          <w:b/>
          <w:bCs/>
          <w:spacing w:val="9"/>
          <w:sz w:val="24"/>
          <w:szCs w:val="24"/>
        </w:rPr>
        <w:t>会计年度</w:t>
      </w:r>
      <w:r>
        <w:rPr>
          <w:rFonts w:ascii="宋体" w:hAnsi="宋体" w:cs="宋体" w:eastAsia="宋体" w:hint="default"/>
          <w:b/>
          <w:bCs/>
          <w:spacing w:val="9"/>
          <w:w w:val="99"/>
          <w:sz w:val="24"/>
          <w:szCs w:val="24"/>
        </w:rPr>
        <w:t> </w:t>
      </w:r>
      <w:r>
        <w:rPr>
          <w:rFonts w:ascii="宋体" w:hAnsi="宋体" w:cs="宋体" w:eastAsia="宋体" w:hint="default"/>
          <w:spacing w:val="7"/>
          <w:sz w:val="24"/>
          <w:szCs w:val="24"/>
        </w:rPr>
        <w:t>自公历每年一月一日起至十二月三十一日止为一个会计年度。</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12"/>
          <w:sz w:val="24"/>
          <w:szCs w:val="24"/>
        </w:rPr>
        <w:t> </w:t>
      </w:r>
      <w:r>
        <w:rPr>
          <w:rFonts w:ascii="宋体" w:hAnsi="宋体" w:cs="宋体" w:eastAsia="宋体" w:hint="default"/>
          <w:b/>
          <w:bCs/>
          <w:spacing w:val="8"/>
          <w:sz w:val="24"/>
          <w:szCs w:val="24"/>
        </w:rPr>
        <w:t>记账本位币</w:t>
      </w:r>
      <w:r>
        <w:rPr>
          <w:rFonts w:ascii="宋体" w:hAnsi="宋体" w:cs="宋体" w:eastAsia="宋体" w:hint="default"/>
          <w:sz w:val="24"/>
          <w:szCs w:val="24"/>
        </w:rPr>
      </w:r>
    </w:p>
    <w:p>
      <w:pPr>
        <w:pStyle w:val="BodyText"/>
        <w:spacing w:line="240" w:lineRule="auto" w:before="32"/>
        <w:ind w:left="664" w:right="0"/>
        <w:jc w:val="left"/>
      </w:pPr>
      <w:r>
        <w:rPr>
          <w:spacing w:val="8"/>
        </w:rPr>
        <w:t>以人民币为记账本位币。</w:t>
      </w:r>
      <w:r>
        <w:rPr/>
      </w:r>
    </w:p>
    <w:p>
      <w:pPr>
        <w:spacing w:line="240" w:lineRule="auto" w:before="13"/>
        <w:rPr>
          <w:rFonts w:ascii="宋体" w:hAnsi="宋体" w:cs="宋体" w:eastAsia="宋体" w:hint="default"/>
          <w:sz w:val="17"/>
          <w:szCs w:val="17"/>
        </w:rPr>
      </w:pPr>
    </w:p>
    <w:p>
      <w:pPr>
        <w:pStyle w:val="BodyText"/>
        <w:spacing w:line="396" w:lineRule="auto"/>
        <w:ind w:left="664" w:right="20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4"/>
        </w:rPr>
        <w:t> </w:t>
      </w:r>
      <w:r>
        <w:rPr>
          <w:rFonts w:ascii="宋体" w:hAnsi="宋体" w:cs="宋体" w:eastAsia="宋体" w:hint="default"/>
          <w:b/>
          <w:bCs/>
          <w:spacing w:val="9"/>
        </w:rPr>
        <w:t>记账基础</w:t>
      </w:r>
      <w:r>
        <w:rPr>
          <w:rFonts w:ascii="宋体" w:hAnsi="宋体" w:cs="宋体" w:eastAsia="宋体" w:hint="default"/>
          <w:b/>
          <w:bCs/>
          <w:spacing w:val="9"/>
          <w:w w:val="99"/>
        </w:rPr>
        <w:t> </w:t>
      </w:r>
      <w:r>
        <w:rPr/>
        <w:t>本公司会计核算以权责发生制为记账基础。除交易性金融资产、非同一控制下的企业合</w:t>
      </w:r>
    </w:p>
    <w:p>
      <w:pPr>
        <w:pStyle w:val="BodyText"/>
        <w:spacing w:line="275" w:lineRule="exact"/>
        <w:ind w:left="154" w:right="0"/>
        <w:jc w:val="left"/>
      </w:pPr>
      <w:r>
        <w:rPr/>
        <w:t>并、具有商业实质的非货币性资产交换、债务重组、投资者投入非货币资产等以公允价值入</w:t>
      </w:r>
    </w:p>
    <w:p>
      <w:pPr>
        <w:pStyle w:val="BodyText"/>
        <w:spacing w:line="240" w:lineRule="auto" w:before="115"/>
        <w:ind w:left="154" w:right="0"/>
        <w:jc w:val="left"/>
      </w:pPr>
      <w:r>
        <w:rPr/>
        <w:t>账外，均采用历史成本记账。</w:t>
      </w:r>
    </w:p>
    <w:p>
      <w:pPr>
        <w:spacing w:line="240" w:lineRule="auto" w:before="13"/>
        <w:rPr>
          <w:rFonts w:ascii="宋体" w:hAnsi="宋体" w:cs="宋体" w:eastAsia="宋体" w:hint="default"/>
          <w:sz w:val="17"/>
          <w:szCs w:val="17"/>
        </w:rPr>
      </w:pPr>
    </w:p>
    <w:p>
      <w:pPr>
        <w:spacing w:line="384" w:lineRule="auto" w:before="0"/>
        <w:ind w:left="664" w:right="0"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15"/>
          <w:sz w:val="24"/>
          <w:szCs w:val="24"/>
        </w:rPr>
        <w:t> </w:t>
      </w:r>
      <w:r>
        <w:rPr>
          <w:rFonts w:ascii="宋体" w:hAnsi="宋体" w:cs="宋体" w:eastAsia="宋体" w:hint="default"/>
          <w:b/>
          <w:bCs/>
          <w:sz w:val="24"/>
          <w:szCs w:val="24"/>
        </w:rPr>
        <w:t>现金等价物的确定标准</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r>
        <w:rPr>
          <w:rFonts w:ascii="宋体" w:hAnsi="宋体" w:cs="宋体" w:eastAsia="宋体" w:hint="default"/>
          <w:spacing w:val="5"/>
          <w:sz w:val="24"/>
          <w:szCs w:val="24"/>
        </w:rPr>
        <w:t>本公司将持有的期限短、流动性强、易于转换为已知金额现金且价值变动风险很小的</w:t>
      </w:r>
      <w:r>
        <w:rPr>
          <w:rFonts w:ascii="宋体" w:hAnsi="宋体" w:cs="宋体" w:eastAsia="宋体" w:hint="default"/>
          <w:sz w:val="24"/>
          <w:szCs w:val="24"/>
        </w:rPr>
      </w:r>
    </w:p>
    <w:p>
      <w:pPr>
        <w:pStyle w:val="BodyText"/>
        <w:spacing w:line="286" w:lineRule="exact"/>
        <w:ind w:left="154" w:right="0"/>
        <w:jc w:val="left"/>
      </w:pPr>
      <w:r>
        <w:rPr>
          <w:spacing w:val="8"/>
        </w:rPr>
        <w:t>投资等视为现金等价物。</w:t>
      </w:r>
      <w:r>
        <w:rPr/>
      </w:r>
    </w:p>
    <w:p>
      <w:pPr>
        <w:pStyle w:val="BodyText"/>
        <w:spacing w:line="400" w:lineRule="auto" w:before="186"/>
        <w:ind w:left="649" w:right="0" w:firstLine="2"/>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15"/>
        </w:rPr>
        <w:t> </w:t>
      </w:r>
      <w:r>
        <w:rPr>
          <w:rFonts w:ascii="宋体" w:hAnsi="宋体" w:cs="宋体" w:eastAsia="宋体" w:hint="default"/>
          <w:b/>
          <w:bCs/>
        </w:rPr>
        <w:t>外币业务核算方法</w:t>
      </w:r>
      <w:r>
        <w:rPr>
          <w:rFonts w:ascii="宋体" w:hAnsi="宋体" w:cs="宋体" w:eastAsia="宋体" w:hint="default"/>
          <w:b/>
          <w:bCs/>
          <w:spacing w:val="1"/>
          <w:w w:val="99"/>
        </w:rPr>
        <w:t> </w:t>
      </w:r>
      <w:r>
        <w:rPr>
          <w:spacing w:val="7"/>
        </w:rPr>
        <w:t>本公司涉及外币的经济业务，采用交易发生当日的即期汇率折算为人民币记账。</w:t>
      </w:r>
      <w:r>
        <w:rPr>
          <w:spacing w:val="-87"/>
        </w:rPr>
        <w:t> </w:t>
      </w:r>
      <w:r>
        <w:rPr>
          <w:spacing w:val="-87"/>
        </w:rPr>
      </w:r>
      <w:r>
        <w:rPr>
          <w:spacing w:val="-1"/>
        </w:rPr>
        <w:t>于资产负债表日，外币货币性项目采用资产负债表日的即期汇率折算为人民币，所产生</w:t>
      </w:r>
    </w:p>
    <w:p>
      <w:pPr>
        <w:pStyle w:val="BodyText"/>
        <w:spacing w:line="278" w:lineRule="exact"/>
        <w:ind w:left="154" w:right="0"/>
        <w:jc w:val="left"/>
      </w:pPr>
      <w:r>
        <w:rPr/>
        <w:t>的折算差额除了为购建或生产符合资本化条件的资产而借入的外币专门借款产生的汇兑差额</w:t>
      </w:r>
    </w:p>
    <w:p>
      <w:pPr>
        <w:pStyle w:val="BodyText"/>
        <w:spacing w:line="240" w:lineRule="auto" w:before="127"/>
        <w:ind w:left="154" w:right="0"/>
        <w:jc w:val="left"/>
      </w:pPr>
      <w:r>
        <w:rPr/>
        <w:t>按资本化的原则处理外，直接计入当期损益。</w:t>
      </w:r>
    </w:p>
    <w:p>
      <w:pPr>
        <w:spacing w:line="240" w:lineRule="auto" w:before="9"/>
        <w:rPr>
          <w:rFonts w:ascii="宋体" w:hAnsi="宋体" w:cs="宋体" w:eastAsia="宋体" w:hint="default"/>
          <w:sz w:val="13"/>
          <w:szCs w:val="13"/>
        </w:rPr>
      </w:pPr>
    </w:p>
    <w:p>
      <w:pPr>
        <w:pStyle w:val="BodyText"/>
        <w:spacing w:line="240" w:lineRule="auto" w:before="26"/>
        <w:ind w:left="664" w:right="0"/>
        <w:jc w:val="left"/>
      </w:pPr>
      <w:r>
        <w:rPr/>
        <w:t>以历史成本计量的外币非货币性项目，于资产负债表日采用交易发生当日的即期汇率折</w:t>
      </w:r>
    </w:p>
    <w:p>
      <w:pPr>
        <w:pStyle w:val="BodyText"/>
        <w:spacing w:line="240" w:lineRule="auto" w:before="126"/>
        <w:ind w:left="154" w:right="0"/>
        <w:jc w:val="left"/>
      </w:pPr>
      <w:r>
        <w:rPr/>
        <w:t>算。</w:t>
      </w:r>
    </w:p>
    <w:p>
      <w:pPr>
        <w:spacing w:line="240" w:lineRule="auto" w:before="10"/>
        <w:rPr>
          <w:rFonts w:ascii="宋体" w:hAnsi="宋体" w:cs="宋体" w:eastAsia="宋体" w:hint="default"/>
          <w:sz w:val="16"/>
          <w:szCs w:val="16"/>
        </w:rPr>
      </w:pPr>
    </w:p>
    <w:p>
      <w:pPr>
        <w:pStyle w:val="Heading4"/>
        <w:spacing w:line="374" w:lineRule="auto"/>
        <w:ind w:right="7748" w:firstLine="15"/>
        <w:jc w:val="left"/>
        <w:rPr>
          <w:b w:val="0"/>
          <w:bCs w:val="0"/>
        </w:rPr>
      </w:pPr>
      <w:r>
        <w:rPr>
          <w:rFonts w:ascii="Times New Roman" w:hAnsi="Times New Roman" w:cs="Times New Roman" w:eastAsia="Times New Roman" w:hint="default"/>
          <w:spacing w:val="8"/>
        </w:rPr>
        <w:t>6</w:t>
      </w:r>
      <w:r>
        <w:rPr>
          <w:spacing w:val="8"/>
        </w:rPr>
        <w:t>．金融资产</w:t>
      </w:r>
      <w:r>
        <w:rPr>
          <w:spacing w:val="9"/>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55"/>
        </w:rPr>
        <w:t> </w:t>
      </w:r>
      <w:r>
        <w:rPr/>
        <w:t>分类和计量</w:t>
      </w:r>
      <w:r>
        <w:rPr>
          <w:b w:val="0"/>
          <w:bCs w:val="0"/>
        </w:rPr>
      </w:r>
    </w:p>
    <w:p>
      <w:pPr>
        <w:pStyle w:val="BodyText"/>
        <w:spacing w:line="412" w:lineRule="auto" w:before="19"/>
        <w:ind w:left="634" w:right="0"/>
        <w:jc w:val="left"/>
      </w:pPr>
      <w:r>
        <w:rPr/>
        <w:t>① 公允价值计量且其变动计入当期损益的金融资产或金融负债 </w:t>
      </w:r>
      <w:r>
        <w:rPr>
          <w:spacing w:val="-3"/>
        </w:rPr>
        <w:t>以公允价值计量且其变动计入当期损益的金融资产的股票、债券、基金，以及不作为有效</w:t>
      </w:r>
    </w:p>
    <w:p>
      <w:pPr>
        <w:spacing w:after="0" w:line="412" w:lineRule="auto"/>
        <w:jc w:val="left"/>
        <w:sectPr>
          <w:pgSz w:w="11910" w:h="16840"/>
          <w:pgMar w:header="877" w:footer="1022" w:top="1100" w:bottom="1220" w:left="980" w:right="920"/>
        </w:sectPr>
      </w:pPr>
    </w:p>
    <w:p>
      <w:pPr>
        <w:spacing w:line="240" w:lineRule="auto" w:before="4"/>
        <w:rPr>
          <w:rFonts w:ascii="宋体" w:hAnsi="宋体" w:cs="宋体" w:eastAsia="宋体" w:hint="default"/>
          <w:sz w:val="29"/>
          <w:szCs w:val="29"/>
        </w:rPr>
      </w:pPr>
    </w:p>
    <w:p>
      <w:pPr>
        <w:pStyle w:val="BodyText"/>
        <w:spacing w:line="336" w:lineRule="auto" w:before="26"/>
        <w:ind w:left="154" w:right="226"/>
        <w:jc w:val="both"/>
      </w:pPr>
      <w:r>
        <w:rPr>
          <w:spacing w:val="-3"/>
        </w:rPr>
        <w:t>套期工具的衍生工具，按照取得时的公允价值作为初始确认金额，相关的交易费用在发生时计</w:t>
      </w:r>
      <w:r>
        <w:rPr>
          <w:spacing w:val="-97"/>
        </w:rPr>
        <w:t> </w:t>
      </w:r>
      <w:r>
        <w:rPr>
          <w:spacing w:val="-97"/>
        </w:rPr>
      </w:r>
      <w:r>
        <w:rPr>
          <w:spacing w:val="-3"/>
        </w:rPr>
        <w:t>入当期损益。支付的价款中包含已宣告但尚未发放的现金股利或已到付息期但尚未领取的债券</w:t>
      </w:r>
      <w:r>
        <w:rPr>
          <w:spacing w:val="-96"/>
        </w:rPr>
        <w:t> </w:t>
      </w:r>
      <w:r>
        <w:rPr>
          <w:spacing w:val="-96"/>
        </w:rPr>
      </w:r>
      <w:r>
        <w:rPr/>
        <w:t>利息，单独确认为应收项目。</w:t>
      </w:r>
    </w:p>
    <w:p>
      <w:pPr>
        <w:pStyle w:val="BodyText"/>
        <w:spacing w:line="336" w:lineRule="auto" w:before="128"/>
        <w:ind w:left="154" w:right="226" w:firstLine="480"/>
        <w:jc w:val="both"/>
      </w:pPr>
      <w:r>
        <w:rPr>
          <w:spacing w:val="-3"/>
        </w:rPr>
        <w:t>在持有以公允价值计量且其变动计入当期损益的金融资产期间取得的利息或现金股利，确</w:t>
      </w:r>
      <w:r>
        <w:rPr/>
        <w:t> </w:t>
      </w:r>
      <w:r>
        <w:rPr>
          <w:spacing w:val="-3"/>
        </w:rPr>
        <w:t>认为投资收益。于资产负债表日，本公司将以公允价值计量且其变动计入当期损益的金融资产</w:t>
      </w:r>
      <w:r>
        <w:rPr>
          <w:spacing w:val="-97"/>
        </w:rPr>
        <w:t> </w:t>
      </w:r>
      <w:r>
        <w:rPr>
          <w:spacing w:val="-97"/>
        </w:rPr>
      </w:r>
      <w:r>
        <w:rPr/>
        <w:t>或金融负债的公允价值变动计入当期损益。</w:t>
      </w:r>
    </w:p>
    <w:p>
      <w:pPr>
        <w:pStyle w:val="BodyText"/>
        <w:spacing w:line="336" w:lineRule="auto" w:before="128"/>
        <w:ind w:left="154" w:right="110" w:firstLine="480"/>
        <w:jc w:val="left"/>
      </w:pPr>
      <w:r>
        <w:rPr/>
        <w:t>处置该金融资产或金融负债时，其公允价值与初始入账金额之间的差额确认为投资收益， 同时调整公允价值变动损益。</w:t>
      </w:r>
    </w:p>
    <w:p>
      <w:pPr>
        <w:pStyle w:val="BodyText"/>
        <w:spacing w:line="412" w:lineRule="auto" w:before="89"/>
        <w:ind w:left="634" w:right="110"/>
        <w:jc w:val="left"/>
      </w:pPr>
      <w:r>
        <w:rPr/>
        <w:t>② 持有至到期投资 </w:t>
      </w:r>
      <w:r>
        <w:rPr>
          <w:spacing w:val="-3"/>
        </w:rPr>
        <w:t>持有至到期投资按取得时的公允价值和相关交易费用之和作为初始确认金额。支付的价款</w:t>
      </w:r>
    </w:p>
    <w:p>
      <w:pPr>
        <w:pStyle w:val="BodyText"/>
        <w:spacing w:line="269" w:lineRule="exact"/>
        <w:ind w:left="154" w:right="0"/>
        <w:jc w:val="both"/>
      </w:pPr>
      <w:r>
        <w:rPr/>
        <w:t>中包含的已到付息期但尚未领取的债券利息，单独确认为应收项目。</w:t>
      </w:r>
    </w:p>
    <w:p>
      <w:pPr>
        <w:spacing w:line="240" w:lineRule="auto" w:before="2"/>
        <w:rPr>
          <w:rFonts w:ascii="宋体" w:hAnsi="宋体" w:cs="宋体" w:eastAsia="宋体" w:hint="default"/>
          <w:sz w:val="17"/>
          <w:szCs w:val="17"/>
        </w:rPr>
      </w:pPr>
    </w:p>
    <w:p>
      <w:pPr>
        <w:pStyle w:val="BodyText"/>
        <w:spacing w:line="336" w:lineRule="auto"/>
        <w:ind w:left="154" w:right="0" w:firstLine="480"/>
        <w:jc w:val="left"/>
      </w:pPr>
      <w:r>
        <w:rPr/>
        <w:t>持有至到期投资在持有期间按照摊余成本和实际利率计算确认利息收入，计入投资收益。 </w:t>
      </w:r>
      <w:r>
        <w:rPr>
          <w:spacing w:val="-3"/>
        </w:rPr>
        <w:t>实际利率在取得持有至到期投资时确定，在该持有至到期投资预期存续期间或适用的更短期间</w:t>
      </w:r>
      <w:r>
        <w:rPr>
          <w:spacing w:val="-96"/>
        </w:rPr>
        <w:t> </w:t>
      </w:r>
      <w:r>
        <w:rPr>
          <w:spacing w:val="-96"/>
        </w:rPr>
      </w:r>
      <w:r>
        <w:rPr>
          <w:spacing w:val="-6"/>
        </w:rPr>
        <w:t>内保持不变。实际利率与票面利率差别较小的，也可按票面利率计算利息收入，计入投资收益。</w:t>
      </w:r>
    </w:p>
    <w:p>
      <w:pPr>
        <w:pStyle w:val="BodyText"/>
        <w:spacing w:line="240" w:lineRule="auto" w:before="130"/>
        <w:ind w:left="634" w:right="110"/>
        <w:jc w:val="left"/>
      </w:pPr>
      <w:r>
        <w:rPr/>
        <w:t>处置持有至到期投资时，将所取得价款与该投资账面价值之间的差额计入投资收益。</w:t>
      </w:r>
    </w:p>
    <w:p>
      <w:pPr>
        <w:pStyle w:val="BodyText"/>
        <w:spacing w:line="412" w:lineRule="auto" w:before="185"/>
        <w:ind w:left="634" w:right="110"/>
        <w:jc w:val="left"/>
      </w:pPr>
      <w:r>
        <w:rPr/>
        <w:t>③ 应收款项 </w:t>
      </w:r>
      <w:r>
        <w:rPr>
          <w:spacing w:val="-3"/>
        </w:rPr>
        <w:t>应收款项是指在活跃市场中没有报价、回收金额固定或可确定的非衍生金融资产，包括应</w:t>
      </w:r>
    </w:p>
    <w:p>
      <w:pPr>
        <w:pStyle w:val="BodyText"/>
        <w:spacing w:line="268" w:lineRule="exact"/>
        <w:ind w:left="154" w:right="0"/>
        <w:jc w:val="both"/>
      </w:pPr>
      <w:r>
        <w:rPr/>
        <w:t>收账款和其他应收款等。</w:t>
      </w:r>
    </w:p>
    <w:p>
      <w:pPr>
        <w:spacing w:line="240" w:lineRule="auto" w:before="2"/>
        <w:rPr>
          <w:rFonts w:ascii="宋体" w:hAnsi="宋体" w:cs="宋体" w:eastAsia="宋体" w:hint="default"/>
          <w:sz w:val="17"/>
          <w:szCs w:val="17"/>
        </w:rPr>
      </w:pPr>
    </w:p>
    <w:p>
      <w:pPr>
        <w:pStyle w:val="BodyText"/>
        <w:spacing w:line="336" w:lineRule="auto"/>
        <w:ind w:left="154" w:right="226" w:firstLine="480"/>
        <w:jc w:val="both"/>
      </w:pPr>
      <w:r>
        <w:rPr>
          <w:spacing w:val="-3"/>
        </w:rPr>
        <w:t>对外销售商品、提供劳务或其他代垫款项形成的应收款项，按从客户或被代垫方签署的合</w:t>
      </w:r>
      <w:r>
        <w:rPr/>
        <w:t> </w:t>
      </w:r>
      <w:r>
        <w:rPr>
          <w:spacing w:val="-3"/>
        </w:rPr>
        <w:t>同或协议价款的公允价值作为初始确认金额；收回或处置应收款项时将取得的价款与该应收款</w:t>
      </w:r>
      <w:r>
        <w:rPr>
          <w:spacing w:val="-96"/>
        </w:rPr>
        <w:t> </w:t>
      </w:r>
      <w:r>
        <w:rPr>
          <w:spacing w:val="-96"/>
        </w:rPr>
      </w:r>
      <w:r>
        <w:rPr/>
        <w:t>项账面价值之间的差额计入当期损益。</w:t>
      </w:r>
    </w:p>
    <w:p>
      <w:pPr>
        <w:pStyle w:val="BodyText"/>
        <w:spacing w:line="427" w:lineRule="auto" w:before="89"/>
        <w:ind w:left="634" w:right="110"/>
        <w:jc w:val="left"/>
      </w:pPr>
      <w:r>
        <w:rPr/>
        <w:t>④ 可供出售金融资产 </w:t>
      </w:r>
      <w:r>
        <w:rPr>
          <w:spacing w:val="-3"/>
        </w:rPr>
        <w:t>没有划分为以公允价值计量且其变动计入当期损益的金融资产、持有至到期投资和应收款</w:t>
      </w:r>
    </w:p>
    <w:p>
      <w:pPr>
        <w:pStyle w:val="BodyText"/>
        <w:spacing w:line="253" w:lineRule="exact"/>
        <w:ind w:left="154" w:right="0"/>
        <w:jc w:val="both"/>
      </w:pPr>
      <w:r>
        <w:rPr/>
        <w:t>项的归为此类。</w:t>
      </w:r>
    </w:p>
    <w:p>
      <w:pPr>
        <w:spacing w:line="240" w:lineRule="auto" w:before="10"/>
        <w:rPr>
          <w:rFonts w:ascii="宋体" w:hAnsi="宋体" w:cs="宋体" w:eastAsia="宋体" w:hint="default"/>
          <w:sz w:val="18"/>
          <w:szCs w:val="18"/>
        </w:rPr>
      </w:pPr>
    </w:p>
    <w:p>
      <w:pPr>
        <w:pStyle w:val="BodyText"/>
        <w:spacing w:line="336" w:lineRule="auto"/>
        <w:ind w:left="154" w:right="110" w:firstLine="480"/>
        <w:jc w:val="left"/>
      </w:pPr>
      <w:r>
        <w:rPr/>
        <w:t>可供出售金融资产按取得该金融资产的公允价值和相关交易费用之和作为初始确认金额。 </w:t>
      </w:r>
      <w:r>
        <w:rPr>
          <w:spacing w:val="-3"/>
        </w:rPr>
        <w:t>支付的价款中包含的已到付息期但尚未领取的债券利息或已宣告但尚未发放的现金股利，单独</w:t>
      </w:r>
      <w:r>
        <w:rPr>
          <w:spacing w:val="-96"/>
        </w:rPr>
        <w:t> </w:t>
      </w:r>
      <w:r>
        <w:rPr>
          <w:spacing w:val="-96"/>
        </w:rPr>
      </w:r>
      <w:r>
        <w:rPr/>
        <w:t>确认为应收项目。</w:t>
      </w:r>
    </w:p>
    <w:p>
      <w:pPr>
        <w:pStyle w:val="BodyText"/>
        <w:spacing w:line="240" w:lineRule="auto" w:before="149"/>
        <w:ind w:left="634" w:right="110"/>
        <w:jc w:val="left"/>
      </w:pPr>
      <w:r>
        <w:rPr>
          <w:spacing w:val="-3"/>
        </w:rPr>
        <w:t>可供出售金融资产持有期间取得的利息或现金股利，计入投资收益。于资产负债表日，可</w:t>
      </w:r>
    </w:p>
    <w:p>
      <w:pPr>
        <w:spacing w:after="0" w:line="240" w:lineRule="auto"/>
        <w:jc w:val="left"/>
        <w:sectPr>
          <w:pgSz w:w="11910" w:h="16840"/>
          <w:pgMar w:header="877" w:footer="1022" w:top="1100" w:bottom="1220" w:left="980" w:right="800"/>
        </w:sectPr>
      </w:pPr>
    </w:p>
    <w:p>
      <w:pPr>
        <w:spacing w:line="240" w:lineRule="auto" w:before="4"/>
        <w:rPr>
          <w:rFonts w:ascii="宋体" w:hAnsi="宋体" w:cs="宋体" w:eastAsia="宋体" w:hint="default"/>
          <w:sz w:val="29"/>
          <w:szCs w:val="29"/>
        </w:rPr>
      </w:pPr>
    </w:p>
    <w:p>
      <w:pPr>
        <w:pStyle w:val="BodyText"/>
        <w:spacing w:line="405" w:lineRule="auto" w:before="26"/>
        <w:ind w:left="633" w:right="0" w:hanging="480"/>
        <w:jc w:val="left"/>
      </w:pPr>
      <w:r>
        <w:rPr/>
        <w:t>供出售金融资产以公允价值计量，且公允价值变动计入资本公积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 </w:t>
      </w:r>
      <w:r>
        <w:rPr>
          <w:spacing w:val="-3"/>
        </w:rPr>
        <w:t>处置可供出售金融资产时，将取得的价款与该金融资产账面价值之间的差额，计入投资损</w:t>
      </w:r>
    </w:p>
    <w:p>
      <w:pPr>
        <w:pStyle w:val="BodyText"/>
        <w:spacing w:line="274" w:lineRule="exact"/>
        <w:ind w:right="0"/>
        <w:jc w:val="left"/>
      </w:pPr>
      <w:r>
        <w:rPr>
          <w:spacing w:val="-3"/>
        </w:rPr>
        <w:t>益；同时将原直接计入所有者权益的公允价值变动累计额对应处置部分的金额转出，计入投资</w:t>
      </w:r>
    </w:p>
    <w:p>
      <w:pPr>
        <w:pStyle w:val="BodyText"/>
        <w:spacing w:line="240" w:lineRule="auto" w:before="126"/>
        <w:ind w:right="0"/>
        <w:jc w:val="left"/>
      </w:pPr>
      <w:r>
        <w:rPr/>
        <w:t>损益。</w:t>
      </w:r>
    </w:p>
    <w:p>
      <w:pPr>
        <w:pStyle w:val="Heading4"/>
        <w:spacing w:line="240" w:lineRule="auto" w:before="206"/>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6"/>
        </w:rPr>
        <w:t> </w:t>
      </w:r>
      <w:r>
        <w:rPr/>
        <w:t>减值损失</w:t>
      </w:r>
      <w:r>
        <w:rPr>
          <w:b w:val="0"/>
          <w:bCs w:val="0"/>
        </w:rPr>
      </w:r>
    </w:p>
    <w:p>
      <w:pPr>
        <w:pStyle w:val="BodyText"/>
        <w:spacing w:line="326" w:lineRule="auto" w:before="206"/>
        <w:ind w:right="105" w:firstLine="480"/>
        <w:jc w:val="both"/>
      </w:pPr>
      <w:r>
        <w:rPr/>
        <w:t>① 除以公允价值计量且其变动计入当期损益的交易性金融资产外，本公司于资产负债表 日对持有至到期投资、应收款项</w:t>
      </w:r>
      <w:r>
        <w:rPr>
          <w:rFonts w:ascii="Times New Roman" w:hAnsi="Times New Roman" w:cs="Times New Roman" w:eastAsia="Times New Roman" w:hint="default"/>
        </w:rPr>
        <w:t>(</w:t>
      </w:r>
      <w:r>
        <w:rPr/>
        <w:t>附注四</w:t>
      </w:r>
      <w:r>
        <w:rPr>
          <w:spacing w:val="-18"/>
        </w:rPr>
        <w:t> </w:t>
      </w:r>
      <w:r>
        <w:rPr>
          <w:rFonts w:ascii="Times New Roman" w:hAnsi="Times New Roman" w:cs="Times New Roman" w:eastAsia="Times New Roman" w:hint="default"/>
        </w:rPr>
        <w:t>7)</w:t>
      </w:r>
      <w:r>
        <w:rPr/>
        <w:t>，有客观证据表明其发生了减值的，按预计未来现 </w:t>
      </w:r>
      <w:r>
        <w:rPr>
          <w:spacing w:val="-1"/>
        </w:rPr>
        <w:t>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现值低于账面价值的差额，计提减值准备。如果有客</w:t>
      </w:r>
      <w:r>
        <w:rPr>
          <w:spacing w:val="-117"/>
        </w:rPr>
        <w:t> </w:t>
      </w:r>
      <w:r>
        <w:rPr>
          <w:spacing w:val="-117"/>
        </w:rPr>
      </w:r>
      <w:r>
        <w:rPr>
          <w:spacing w:val="-3"/>
        </w:rPr>
        <w:t>观证据表明该等金融资产价值已恢复，且客观上与确认该损失后发生的事项有关，原确认的减</w:t>
      </w:r>
      <w:r>
        <w:rPr>
          <w:spacing w:val="-97"/>
        </w:rPr>
        <w:t> </w:t>
      </w:r>
      <w:r>
        <w:rPr>
          <w:spacing w:val="-97"/>
        </w:rPr>
      </w:r>
      <w:r>
        <w:rPr/>
        <w:t>值损失予以转回，计入当期损益。</w:t>
      </w:r>
    </w:p>
    <w:p>
      <w:pPr>
        <w:pStyle w:val="BodyText"/>
        <w:spacing w:line="304" w:lineRule="auto" w:before="98"/>
        <w:ind w:right="106" w:firstLine="480"/>
        <w:jc w:val="both"/>
      </w:pPr>
      <w:r>
        <w:rPr/>
        <w:t>② 对于可供出售的金融资产，当其公允价值发生较大幅度或非暂时性下降，原直接计入 </w:t>
      </w:r>
      <w:r>
        <w:rPr>
          <w:spacing w:val="-3"/>
        </w:rPr>
        <w:t>股东权益的因公允价值下降形成的累计损失计入减值损失。如期后公允价值上升且客观上与确</w:t>
      </w:r>
      <w:r>
        <w:rPr>
          <w:spacing w:val="-96"/>
        </w:rPr>
        <w:t> </w:t>
      </w:r>
      <w:r>
        <w:rPr>
          <w:spacing w:val="-96"/>
        </w:rPr>
      </w:r>
      <w:r>
        <w:rPr/>
        <w:t>认原减值损失确认后发生的事项有关的，原确认的减值损失予以转回，直接计入股东权益。</w:t>
      </w:r>
    </w:p>
    <w:p>
      <w:pPr>
        <w:pStyle w:val="Heading4"/>
        <w:spacing w:line="240" w:lineRule="auto" w:before="120"/>
        <w:ind w:right="0"/>
        <w:jc w:val="left"/>
        <w:rPr>
          <w:b w:val="0"/>
          <w:bCs w:val="0"/>
        </w:rPr>
      </w:pPr>
      <w:r>
        <w:rPr>
          <w:rFonts w:ascii="Times New Roman" w:hAnsi="Times New Roman" w:cs="Times New Roman" w:eastAsia="Times New Roman" w:hint="default"/>
        </w:rPr>
        <w:t>7.  </w:t>
      </w:r>
      <w:r>
        <w:rPr/>
        <w:t>应收款项及坏账准备</w:t>
      </w:r>
      <w:r>
        <w:rPr>
          <w:b w:val="0"/>
          <w:bCs w:val="0"/>
        </w:rPr>
      </w:r>
    </w:p>
    <w:p>
      <w:pPr>
        <w:pStyle w:val="BodyText"/>
        <w:spacing w:line="379" w:lineRule="auto" w:before="168"/>
        <w:ind w:left="633" w:right="951" w:firstLine="2"/>
        <w:jc w:val="left"/>
      </w:pPr>
      <w:r>
        <w:rPr>
          <w:rFonts w:ascii="Times New Roman" w:hAnsi="Times New Roman" w:cs="Times New Roman" w:eastAsia="Times New Roman" w:hint="default"/>
          <w:b/>
          <w:bCs/>
        </w:rPr>
        <w:t>(1) </w:t>
      </w:r>
      <w:r>
        <w:rPr>
          <w:rFonts w:ascii="宋体" w:hAnsi="宋体" w:cs="宋体" w:eastAsia="宋体" w:hint="default"/>
          <w:b/>
          <w:bCs/>
        </w:rPr>
        <w:t>坏账确认标准</w:t>
      </w:r>
      <w:r>
        <w:rPr>
          <w:rFonts w:ascii="宋体" w:hAnsi="宋体" w:cs="宋体" w:eastAsia="宋体" w:hint="default"/>
          <w:b/>
          <w:bCs/>
          <w:spacing w:val="1"/>
          <w:w w:val="99"/>
        </w:rPr>
        <w:t> </w:t>
      </w:r>
      <w:r>
        <w:rPr/>
        <w:t>债务人破产或死亡，以其破产财产或者遗产清偿后，仍然不能收回的应收款项； 债务人逾期未履行偿债义务超过三年而且有明显特征表明无法收回的应收款项。 其他确凿证据表明无法收回或收回的可能性不大的应收款项。</w:t>
      </w:r>
    </w:p>
    <w:p>
      <w:pPr>
        <w:spacing w:line="362" w:lineRule="auto" w:before="66"/>
        <w:ind w:left="649" w:right="233" w:hanging="1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坏账准备的计提方法</w:t>
      </w:r>
      <w:r>
        <w:rPr>
          <w:rFonts w:ascii="宋体" w:hAnsi="宋体" w:cs="宋体" w:eastAsia="宋体" w:hint="default"/>
          <w:b/>
          <w:bCs/>
          <w:w w:val="99"/>
          <w:sz w:val="24"/>
          <w:szCs w:val="24"/>
        </w:rPr>
        <w:t> </w:t>
      </w:r>
      <w:r>
        <w:rPr>
          <w:rFonts w:ascii="宋体" w:hAnsi="宋体" w:cs="宋体" w:eastAsia="宋体" w:hint="default"/>
          <w:spacing w:val="6"/>
          <w:sz w:val="24"/>
          <w:szCs w:val="24"/>
        </w:rPr>
        <w:t>对于预付款项以及单项金额重大的应收账款、其他应收款，单独进行减值测试。当存</w:t>
      </w:r>
    </w:p>
    <w:p>
      <w:pPr>
        <w:pStyle w:val="BodyText"/>
        <w:spacing w:line="277" w:lineRule="exact"/>
        <w:ind w:right="0"/>
        <w:jc w:val="left"/>
      </w:pPr>
      <w:r>
        <w:rPr/>
        <w:t>在客观证据表明本公司将无法按应收款项的原有条款收回所有款项时，根据其预计未来现金</w:t>
      </w:r>
    </w:p>
    <w:p>
      <w:pPr>
        <w:pStyle w:val="BodyText"/>
        <w:spacing w:line="398" w:lineRule="auto" w:before="85"/>
        <w:ind w:left="663" w:right="201" w:hanging="510"/>
        <w:jc w:val="left"/>
      </w:pPr>
      <w:r>
        <w:rPr/>
        <w:t>流量现值低于其账面价值的差额，单独进行减值测试，计提坏账准备。 对于单项金额非重大的应收款项，与经单独测试后未减值的应收款项一起按信用风险特</w:t>
      </w:r>
    </w:p>
    <w:p>
      <w:pPr>
        <w:pStyle w:val="BodyText"/>
        <w:spacing w:line="241" w:lineRule="exact"/>
        <w:ind w:right="0"/>
        <w:jc w:val="left"/>
      </w:pPr>
      <w:r>
        <w:rPr/>
        <w:t>征划分为若干组合，根据以前年度与之相同或相类似的、具有类似信用风险特征的应收账款</w:t>
      </w:r>
    </w:p>
    <w:p>
      <w:pPr>
        <w:pStyle w:val="BodyText"/>
        <w:spacing w:line="307" w:lineRule="auto" w:before="85"/>
        <w:ind w:right="0"/>
        <w:jc w:val="left"/>
      </w:pPr>
      <w:r>
        <w:rPr/>
        <w:t>组合的实际损失率为基础，结合现时情况确定资产负债表日各项组合计提坏账准备的比例，</w:t>
      </w:r>
      <w:r>
        <w:rPr>
          <w:spacing w:val="-83"/>
        </w:rPr>
        <w:t> </w:t>
      </w:r>
      <w:r>
        <w:rPr>
          <w:spacing w:val="-83"/>
        </w:rPr>
      </w:r>
      <w:r>
        <w:rPr>
          <w:spacing w:val="3"/>
        </w:rPr>
        <w:t>据此计算应计提的坏账准备。本公司坏账准备计提比例为：</w:t>
      </w:r>
      <w:r>
        <w:rPr/>
      </w:r>
    </w:p>
    <w:p>
      <w:pPr>
        <w:spacing w:line="240" w:lineRule="auto" w:before="10"/>
        <w:rPr>
          <w:rFonts w:ascii="宋体" w:hAnsi="宋体" w:cs="宋体" w:eastAsia="宋体" w:hint="default"/>
          <w:sz w:val="18"/>
          <w:szCs w:val="18"/>
        </w:rPr>
      </w:pPr>
    </w:p>
    <w:tbl>
      <w:tblPr>
        <w:tblW w:w="0" w:type="auto"/>
        <w:jc w:val="left"/>
        <w:tblInd w:w="685" w:type="dxa"/>
        <w:tblLayout w:type="fixed"/>
        <w:tblCellMar>
          <w:top w:w="0" w:type="dxa"/>
          <w:left w:w="0" w:type="dxa"/>
          <w:bottom w:w="0" w:type="dxa"/>
          <w:right w:w="0" w:type="dxa"/>
        </w:tblCellMar>
        <w:tblLook w:val="01E0"/>
      </w:tblPr>
      <w:tblGrid>
        <w:gridCol w:w="1741"/>
        <w:gridCol w:w="1800"/>
        <w:gridCol w:w="1938"/>
      </w:tblGrid>
      <w:tr>
        <w:trPr>
          <w:trHeight w:val="327" w:hRule="exact"/>
        </w:trPr>
        <w:tc>
          <w:tcPr>
            <w:tcW w:w="1741"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pacing w:val="-5"/>
                <w:sz w:val="18"/>
                <w:szCs w:val="18"/>
              </w:rPr>
              <w:t>账龄</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pacing w:val="-5"/>
                <w:sz w:val="18"/>
                <w:szCs w:val="18"/>
              </w:rPr>
              <w:t>计提比例</w:t>
            </w:r>
            <w:r>
              <w:rPr>
                <w:rFonts w:ascii="宋体" w:hAnsi="宋体" w:cs="宋体" w:eastAsia="宋体" w:hint="default"/>
                <w:sz w:val="18"/>
                <w:szCs w:val="18"/>
              </w:rPr>
            </w:r>
          </w:p>
        </w:tc>
      </w:tr>
      <w:tr>
        <w:trPr>
          <w:trHeight w:val="497" w:hRule="exact"/>
        </w:trPr>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pacing w:val="-5"/>
                <w:sz w:val="18"/>
                <w:szCs w:val="18"/>
              </w:rPr>
              <w:t>一年以内</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3" w:right="0"/>
              <w:jc w:val="center"/>
              <w:rPr>
                <w:rFonts w:ascii="Times New Roman" w:hAnsi="Times New Roman" w:cs="Times New Roman" w:eastAsia="Times New Roman" w:hint="default"/>
                <w:sz w:val="18"/>
                <w:szCs w:val="18"/>
              </w:rPr>
            </w:pPr>
            <w:r>
              <w:rPr>
                <w:rFonts w:ascii="Times New Roman"/>
                <w:spacing w:val="-3"/>
                <w:sz w:val="18"/>
              </w:rPr>
              <w:t>5%</w:t>
            </w:r>
            <w:r>
              <w:rPr>
                <w:rFonts w:ascii="Times New Roman"/>
                <w:sz w:val="18"/>
              </w:rPr>
            </w:r>
          </w:p>
        </w:tc>
      </w:tr>
      <w:tr>
        <w:trPr>
          <w:trHeight w:val="335" w:hRule="exact"/>
        </w:trPr>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18"/>
                <w:szCs w:val="18"/>
              </w:rPr>
            </w:pPr>
            <w:r>
              <w:rPr>
                <w:rFonts w:ascii="宋体" w:hAnsi="宋体" w:cs="宋体" w:eastAsia="宋体" w:hint="default"/>
                <w:spacing w:val="-5"/>
                <w:sz w:val="18"/>
                <w:szCs w:val="18"/>
              </w:rPr>
              <w:t>一至二年</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Times New Roman" w:hAnsi="Times New Roman" w:cs="Times New Roman" w:eastAsia="Times New Roman" w:hint="default"/>
                <w:sz w:val="18"/>
                <w:szCs w:val="18"/>
              </w:rPr>
            </w:pPr>
            <w:r>
              <w:rPr>
                <w:rFonts w:ascii="Times New Roman"/>
                <w:spacing w:val="-3"/>
                <w:sz w:val="18"/>
              </w:rPr>
              <w:t>10%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22" w:top="1100" w:bottom="1220" w:left="98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485" w:type="dxa"/>
        <w:tblLayout w:type="fixed"/>
        <w:tblCellMar>
          <w:top w:w="0" w:type="dxa"/>
          <w:left w:w="0" w:type="dxa"/>
          <w:bottom w:w="0" w:type="dxa"/>
          <w:right w:w="0" w:type="dxa"/>
        </w:tblCellMar>
        <w:tblLook w:val="01E0"/>
      </w:tblPr>
      <w:tblGrid>
        <w:gridCol w:w="2730"/>
        <w:gridCol w:w="2349"/>
      </w:tblGrid>
      <w:tr>
        <w:trPr>
          <w:trHeight w:val="335"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pacing w:val="-5"/>
                <w:sz w:val="18"/>
                <w:szCs w:val="18"/>
              </w:rPr>
              <w:t>二至三年</w:t>
            </w:r>
            <w:r>
              <w:rPr>
                <w:rFonts w:ascii="宋体" w:hAnsi="宋体" w:cs="宋体" w:eastAsia="宋体" w:hint="default"/>
                <w:sz w:val="18"/>
                <w:szCs w:val="18"/>
              </w:rPr>
            </w:r>
          </w:p>
        </w:tc>
        <w:tc>
          <w:tcPr>
            <w:tcW w:w="2349" w:type="dxa"/>
            <w:tcBorders>
              <w:top w:val="nil" w:sz="6" w:space="0" w:color="auto"/>
              <w:left w:val="nil" w:sz="6" w:space="0" w:color="auto"/>
              <w:bottom w:val="nil" w:sz="6" w:space="0" w:color="auto"/>
              <w:right w:val="nil" w:sz="6" w:space="0" w:color="auto"/>
            </w:tcBorders>
          </w:tcPr>
          <w:p>
            <w:pPr>
              <w:pStyle w:val="TableParagraph"/>
              <w:spacing w:line="194" w:lineRule="exact"/>
              <w:ind w:right="198"/>
              <w:jc w:val="right"/>
              <w:rPr>
                <w:rFonts w:ascii="Times New Roman" w:hAnsi="Times New Roman" w:cs="Times New Roman" w:eastAsia="Times New Roman" w:hint="default"/>
                <w:sz w:val="18"/>
                <w:szCs w:val="18"/>
              </w:rPr>
            </w:pPr>
            <w:r>
              <w:rPr>
                <w:rFonts w:ascii="Times New Roman"/>
                <w:spacing w:val="-3"/>
                <w:sz w:val="18"/>
              </w:rPr>
              <w:t>20%</w:t>
            </w:r>
            <w:r>
              <w:rPr>
                <w:rFonts w:ascii="Times New Roman"/>
                <w:sz w:val="18"/>
              </w:rPr>
            </w:r>
          </w:p>
        </w:tc>
      </w:tr>
      <w:tr>
        <w:trPr>
          <w:trHeight w:val="335"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18"/>
                <w:szCs w:val="18"/>
              </w:rPr>
            </w:pPr>
            <w:r>
              <w:rPr>
                <w:rFonts w:ascii="宋体" w:hAnsi="宋体" w:cs="宋体" w:eastAsia="宋体" w:hint="default"/>
                <w:spacing w:val="-5"/>
                <w:sz w:val="18"/>
                <w:szCs w:val="18"/>
              </w:rPr>
              <w:t>三年以上</w:t>
            </w:r>
            <w:r>
              <w:rPr>
                <w:rFonts w:ascii="宋体" w:hAnsi="宋体" w:cs="宋体" w:eastAsia="宋体" w:hint="default"/>
                <w:sz w:val="18"/>
                <w:szCs w:val="18"/>
              </w:rPr>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8"/>
              <w:jc w:val="right"/>
              <w:rPr>
                <w:rFonts w:ascii="Times New Roman" w:hAnsi="Times New Roman" w:cs="Times New Roman" w:eastAsia="Times New Roman" w:hint="default"/>
                <w:sz w:val="18"/>
                <w:szCs w:val="18"/>
              </w:rPr>
            </w:pPr>
            <w:r>
              <w:rPr>
                <w:rFonts w:ascii="Times New Roman"/>
                <w:spacing w:val="-3"/>
                <w:sz w:val="18"/>
              </w:rPr>
              <w:t>30%</w:t>
            </w:r>
            <w:r>
              <w:rPr>
                <w:rFonts w:ascii="Times New Roman"/>
                <w:sz w:val="18"/>
              </w:rPr>
            </w:r>
          </w:p>
        </w:tc>
      </w:tr>
    </w:tbl>
    <w:p>
      <w:pPr>
        <w:spacing w:line="240" w:lineRule="auto" w:before="2"/>
        <w:rPr>
          <w:rFonts w:ascii="宋体" w:hAnsi="宋体" w:cs="宋体" w:eastAsia="宋体" w:hint="default"/>
          <w:sz w:val="21"/>
          <w:szCs w:val="21"/>
        </w:rPr>
      </w:pPr>
    </w:p>
    <w:p>
      <w:pPr>
        <w:pStyle w:val="BodyText"/>
        <w:spacing w:line="415" w:lineRule="auto" w:before="26"/>
        <w:ind w:left="664" w:right="218"/>
        <w:jc w:val="left"/>
      </w:pPr>
      <w:r>
        <w:rPr>
          <w:rFonts w:ascii="Times New Roman" w:hAnsi="Times New Roman" w:cs="Times New Roman" w:eastAsia="Times New Roman" w:hint="default"/>
          <w:b/>
          <w:bCs/>
        </w:rPr>
        <w:t>8.</w:t>
      </w:r>
      <w:r>
        <w:rPr>
          <w:rFonts w:ascii="Times New Roman" w:hAnsi="Times New Roman" w:cs="Times New Roman" w:eastAsia="Times New Roman" w:hint="default"/>
          <w:b/>
          <w:bCs/>
          <w:spacing w:val="11"/>
        </w:rPr>
        <w:t> </w:t>
      </w:r>
      <w:r>
        <w:rPr>
          <w:rFonts w:ascii="宋体" w:hAnsi="宋体" w:cs="宋体" w:eastAsia="宋体" w:hint="default"/>
          <w:b/>
          <w:bCs/>
          <w:spacing w:val="9"/>
        </w:rPr>
        <w:t>存货与生产成本核算方法</w:t>
      </w:r>
      <w:r>
        <w:rPr>
          <w:rFonts w:ascii="宋体" w:hAnsi="宋体" w:cs="宋体" w:eastAsia="宋体" w:hint="default"/>
          <w:b/>
          <w:bCs/>
          <w:spacing w:val="9"/>
          <w:w w:val="99"/>
        </w:rPr>
        <w:t> </w:t>
      </w:r>
      <w:r>
        <w:rPr/>
        <w:t>存货包括原材料、在产品、产成品和周转材料，按实际成本进行初始计量。 </w:t>
      </w:r>
      <w:r>
        <w:rPr>
          <w:spacing w:val="-1"/>
        </w:rPr>
        <w:t>存货发出时的成本按加权平均法核算，产成品和在产品成本包括原材料、直接人工以及</w:t>
      </w:r>
    </w:p>
    <w:p>
      <w:pPr>
        <w:pStyle w:val="BodyText"/>
        <w:spacing w:line="265" w:lineRule="exact"/>
        <w:ind w:left="154" w:right="0"/>
        <w:jc w:val="both"/>
      </w:pPr>
      <w:r>
        <w:rPr/>
        <w:t>在正常生产能力下按照一定方法分配的制造费用。周转材料包括低值易耗品和包装物等，周</w:t>
      </w:r>
    </w:p>
    <w:p>
      <w:pPr>
        <w:pStyle w:val="BodyText"/>
        <w:spacing w:line="427" w:lineRule="auto" w:before="125"/>
        <w:ind w:left="664" w:right="218" w:hanging="510"/>
        <w:jc w:val="left"/>
      </w:pPr>
      <w:r>
        <w:rPr/>
        <w:t>转材料在领用时采用一次转销法核算成本。 </w:t>
      </w:r>
      <w:r>
        <w:rPr>
          <w:spacing w:val="-1"/>
        </w:rPr>
        <w:t>本公司对存货采用永续盘存制。于资产负债表日，再对存货进行实地盘点，依实地盘点</w:t>
      </w:r>
    </w:p>
    <w:p>
      <w:pPr>
        <w:pStyle w:val="BodyText"/>
        <w:spacing w:line="253" w:lineRule="exact"/>
        <w:ind w:left="154" w:right="0"/>
        <w:jc w:val="both"/>
      </w:pPr>
      <w:r>
        <w:rPr/>
        <w:t>结果调整依永续盘存制核算下的存货。</w:t>
      </w:r>
    </w:p>
    <w:p>
      <w:pPr>
        <w:spacing w:line="240" w:lineRule="auto" w:before="10"/>
        <w:rPr>
          <w:rFonts w:ascii="宋体" w:hAnsi="宋体" w:cs="宋体" w:eastAsia="宋体" w:hint="default"/>
          <w:sz w:val="18"/>
          <w:szCs w:val="18"/>
        </w:rPr>
      </w:pPr>
    </w:p>
    <w:p>
      <w:pPr>
        <w:pStyle w:val="BodyText"/>
        <w:spacing w:line="336" w:lineRule="auto"/>
        <w:ind w:left="154" w:right="220" w:firstLine="510"/>
        <w:jc w:val="both"/>
      </w:pPr>
      <w:r>
        <w:rPr>
          <w:spacing w:val="-1"/>
        </w:rPr>
        <w:t>存货跌价准备按存货成本高于其可变现净值的差额计提。可变现净值按日常活动中，以</w:t>
      </w:r>
      <w:r>
        <w:rPr/>
        <w:t> 存货的估计售价减去至完工时估计将要发生的成本、估计的销售费用以及相关税费后的金额 确定。</w:t>
      </w:r>
    </w:p>
    <w:p>
      <w:pPr>
        <w:pStyle w:val="Heading4"/>
        <w:spacing w:line="240" w:lineRule="auto" w:before="149"/>
        <w:ind w:left="652" w:right="218"/>
        <w:jc w:val="left"/>
        <w:rPr>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9"/>
        </w:rPr>
        <w:t> </w:t>
      </w:r>
      <w:r>
        <w:rPr>
          <w:spacing w:val="8"/>
        </w:rPr>
        <w:t>长期股权投资</w:t>
      </w:r>
      <w:r>
        <w:rPr>
          <w:b w:val="0"/>
          <w:bCs w:val="0"/>
        </w:rPr>
      </w:r>
    </w:p>
    <w:p>
      <w:pPr>
        <w:spacing w:line="405" w:lineRule="auto" w:before="188"/>
        <w:ind w:left="649" w:right="218" w:hanging="1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分类和计量</w:t>
      </w:r>
      <w:r>
        <w:rPr>
          <w:rFonts w:ascii="宋体" w:hAnsi="宋体" w:cs="宋体" w:eastAsia="宋体" w:hint="default"/>
          <w:b/>
          <w:bCs/>
          <w:w w:val="99"/>
          <w:sz w:val="24"/>
          <w:szCs w:val="24"/>
        </w:rPr>
        <w:t> </w:t>
      </w:r>
      <w:r>
        <w:rPr>
          <w:rFonts w:ascii="宋体" w:hAnsi="宋体" w:cs="宋体" w:eastAsia="宋体" w:hint="default"/>
          <w:spacing w:val="-2"/>
          <w:sz w:val="24"/>
          <w:szCs w:val="24"/>
        </w:rPr>
        <w:t>长期股权投资包括本公司对子公司的股权投资、本公司对合营企业和联营企业的股权投</w:t>
      </w:r>
      <w:r>
        <w:rPr>
          <w:rFonts w:ascii="宋体" w:hAnsi="宋体" w:cs="宋体" w:eastAsia="宋体" w:hint="default"/>
          <w:sz w:val="24"/>
          <w:szCs w:val="24"/>
        </w:rPr>
      </w:r>
    </w:p>
    <w:p>
      <w:pPr>
        <w:pStyle w:val="BodyText"/>
        <w:spacing w:line="274" w:lineRule="exact"/>
        <w:ind w:left="154" w:right="0"/>
        <w:jc w:val="both"/>
      </w:pPr>
      <w:r>
        <w:rPr>
          <w:spacing w:val="-4"/>
        </w:rPr>
        <w:t>资以及本公司对被投资单位不具有控制、共同控制或重大影响，并且在活跃市场中没有报价、</w:t>
      </w:r>
      <w:r>
        <w:rPr/>
      </w:r>
    </w:p>
    <w:p>
      <w:pPr>
        <w:pStyle w:val="BodyText"/>
        <w:spacing w:line="240" w:lineRule="auto" w:before="126"/>
        <w:ind w:left="154" w:right="0"/>
        <w:jc w:val="both"/>
      </w:pPr>
      <w:r>
        <w:rPr/>
        <w:t>公允价值不能可靠计量的长期股权投资。</w:t>
      </w:r>
    </w:p>
    <w:p>
      <w:pPr>
        <w:spacing w:line="240" w:lineRule="auto" w:before="10"/>
        <w:rPr>
          <w:rFonts w:ascii="宋体" w:hAnsi="宋体" w:cs="宋体" w:eastAsia="宋体" w:hint="default"/>
          <w:sz w:val="18"/>
          <w:szCs w:val="18"/>
        </w:rPr>
      </w:pPr>
    </w:p>
    <w:p>
      <w:pPr>
        <w:pStyle w:val="BodyText"/>
        <w:spacing w:line="427" w:lineRule="auto"/>
        <w:ind w:left="649" w:right="218"/>
        <w:jc w:val="left"/>
      </w:pPr>
      <w:r>
        <w:rPr/>
        <w:t>① 子公司 </w:t>
      </w:r>
      <w:r>
        <w:rPr>
          <w:spacing w:val="-1"/>
        </w:rPr>
        <w:t>子公司是指本集团能够对其实施控制，即有权决定其财务和经营政策，并能据以从其经</w:t>
      </w:r>
    </w:p>
    <w:p>
      <w:pPr>
        <w:pStyle w:val="BodyText"/>
        <w:spacing w:line="253" w:lineRule="exact"/>
        <w:ind w:left="154" w:right="0"/>
        <w:jc w:val="both"/>
      </w:pPr>
      <w:r>
        <w:rPr/>
        <w:t>营活动中获取利益的被投资单位。在确定能否对被投资单位实施控制时，被投资单位当期可</w:t>
      </w:r>
    </w:p>
    <w:p>
      <w:pPr>
        <w:pStyle w:val="BodyText"/>
        <w:spacing w:line="336" w:lineRule="auto" w:before="125"/>
        <w:ind w:left="154" w:right="220"/>
        <w:jc w:val="both"/>
      </w:pPr>
      <w:r>
        <w:rPr/>
        <w:t>转换公司债券、当期可执行认股权证等潜在表决权因素亦同时予以考虑。对子公司投资，在 本公司个别财务报表中按照成本法确定的金额列示，在编制合并财务报表时按权益法调整后 进行合并。</w:t>
      </w:r>
    </w:p>
    <w:p>
      <w:pPr>
        <w:pStyle w:val="BodyText"/>
        <w:spacing w:line="336" w:lineRule="auto" w:before="149"/>
        <w:ind w:left="154" w:right="102" w:firstLine="495"/>
        <w:jc w:val="both"/>
      </w:pPr>
      <w:r>
        <w:rPr/>
        <w:t>采用成本法核算的长期股权投资按照初始投资成本计量。被投资单位宣告分派的现金股 利或利润，确认为当期投资收益。确认的投资收益，仅限于被投资单位接受投资后产生的累 </w:t>
      </w:r>
      <w:r>
        <w:rPr>
          <w:spacing w:val="-3"/>
        </w:rPr>
        <w:t>积净利润的分配额，所获得的利润或现金股利超过上述数额的部分作为初始投资成本的收回。</w:t>
      </w:r>
    </w:p>
    <w:p>
      <w:pPr>
        <w:pStyle w:val="BodyText"/>
        <w:spacing w:line="427" w:lineRule="auto" w:before="149"/>
        <w:ind w:left="649" w:right="218"/>
        <w:jc w:val="left"/>
      </w:pPr>
      <w:r>
        <w:rPr/>
        <w:t>② 合营企业和联营企业 </w:t>
      </w:r>
      <w:r>
        <w:rPr>
          <w:spacing w:val="-2"/>
        </w:rPr>
        <w:t>合营企业是指本公司与其他方对其实施共同控制的被投资单位；联营企业是指本公司对</w:t>
      </w:r>
      <w:r>
        <w:rPr/>
      </w:r>
    </w:p>
    <w:p>
      <w:pPr>
        <w:spacing w:after="0" w:line="427" w:lineRule="auto"/>
        <w:jc w:val="left"/>
        <w:sectPr>
          <w:pgSz w:w="11910" w:h="16840"/>
          <w:pgMar w:header="877" w:footer="1022" w:top="1100" w:bottom="1220" w:left="980" w:right="940"/>
        </w:sectPr>
      </w:pPr>
    </w:p>
    <w:p>
      <w:pPr>
        <w:spacing w:line="240" w:lineRule="auto" w:before="4"/>
        <w:rPr>
          <w:rFonts w:ascii="宋体" w:hAnsi="宋体" w:cs="宋体" w:eastAsia="宋体" w:hint="default"/>
          <w:sz w:val="29"/>
          <w:szCs w:val="29"/>
        </w:rPr>
      </w:pPr>
    </w:p>
    <w:p>
      <w:pPr>
        <w:pStyle w:val="BodyText"/>
        <w:spacing w:line="398" w:lineRule="auto" w:before="26"/>
        <w:ind w:left="649" w:right="215" w:hanging="496"/>
        <w:jc w:val="left"/>
      </w:pPr>
      <w:r>
        <w:rPr/>
        <w:t>其财务和经营决策具有重大影响的被投资单位。 对合营企业和联营企业投资按照实际成本进行初始计量，并采用权益法进行后续计量。</w:t>
      </w:r>
    </w:p>
    <w:p>
      <w:pPr>
        <w:pStyle w:val="BodyText"/>
        <w:spacing w:line="241" w:lineRule="exact"/>
        <w:ind w:right="0"/>
        <w:jc w:val="left"/>
      </w:pPr>
      <w:r>
        <w:rPr/>
        <w:t>初始投资成本大于投资时应享有被投资单位可辨认净资产公允价值份额的，其差额包含在初</w:t>
      </w:r>
    </w:p>
    <w:p>
      <w:pPr>
        <w:pStyle w:val="BodyText"/>
        <w:spacing w:line="307" w:lineRule="auto" w:before="85"/>
        <w:ind w:right="231"/>
        <w:jc w:val="left"/>
      </w:pPr>
      <w:r>
        <w:rPr/>
        <w:t>始投资成本中；初始投资成本小于投资时应享有被投资单位可辨认净资产公允价值份额的， 其差额计入当期损益，同时调整长期股权投资成本。</w:t>
      </w:r>
    </w:p>
    <w:p>
      <w:pPr>
        <w:pStyle w:val="BodyText"/>
        <w:spacing w:line="304" w:lineRule="auto" w:before="138"/>
        <w:ind w:right="114" w:firstLine="495"/>
        <w:jc w:val="left"/>
      </w:pPr>
      <w:r>
        <w:rPr/>
        <w:t>采用权益法核算时，本公司按应享有或应分担的被投资单位的净损益份额确认当期投资</w:t>
      </w:r>
      <w:r>
        <w:rPr>
          <w:spacing w:val="-1"/>
        </w:rPr>
        <w:t> </w:t>
      </w:r>
      <w:r>
        <w:rPr/>
        <w:t>损益。确认被投资单位发生的净亏损，以长期股权投资的账面价值以及其他实质上构成对被</w:t>
      </w:r>
      <w:r>
        <w:rPr/>
        <w:t> 投资单位净投资的长期权益减记至零为限，但本公司负有承担额外损失义务且符合或有事项 准则所规定的预计负债确认条件的，继续确认投资损失和预计负债。被投资单位除净损益以 外股东权益的其他变动，在持股比例不变的情况下，本公司按照持股比例计算应享有或承担 的部分直接计入资本公积。被投资单位分派的利润或现金股利于宣告分派时按照本公司应分 得的部分，相应减少长期股权投资的账面价值。本公司与被投资单位之间的交易产生的未实 </w:t>
      </w:r>
      <w:r>
        <w:rPr>
          <w:spacing w:val="-3"/>
        </w:rPr>
        <w:t>现损益在本公司拥有被投资单位的权益范围内予以抵销，但该交易所转让的资产发生减值的，</w:t>
      </w:r>
      <w:r>
        <w:rPr>
          <w:spacing w:val="-111"/>
        </w:rPr>
        <w:t> </w:t>
      </w:r>
      <w:r>
        <w:rPr>
          <w:spacing w:val="-111"/>
        </w:rPr>
      </w:r>
      <w:r>
        <w:rPr/>
        <w:t>相应的未实现损失不予抵销。</w:t>
      </w:r>
    </w:p>
    <w:p>
      <w:pPr>
        <w:pStyle w:val="BodyText"/>
        <w:spacing w:line="396" w:lineRule="auto" w:before="140"/>
        <w:ind w:left="649" w:right="0"/>
        <w:jc w:val="left"/>
      </w:pPr>
      <w:r>
        <w:rPr/>
        <w:t>③ 其他股权投资 </w:t>
      </w:r>
      <w:r>
        <w:rPr>
          <w:spacing w:val="-1"/>
        </w:rPr>
        <w:t>其他股权投资是指本集团对被投资单位不具有控制、共同控制或重大影响，并且在活跃</w:t>
      </w:r>
    </w:p>
    <w:p>
      <w:pPr>
        <w:pStyle w:val="BodyText"/>
        <w:spacing w:line="245" w:lineRule="exact"/>
        <w:ind w:right="0"/>
        <w:jc w:val="left"/>
      </w:pPr>
      <w:r>
        <w:rPr/>
        <w:t>市场中没有报价、公允价值不能可靠计量的长期股权投资，采用成本法核算。</w:t>
      </w:r>
    </w:p>
    <w:p>
      <w:pPr>
        <w:pStyle w:val="BodyText"/>
        <w:spacing w:line="376" w:lineRule="auto" w:before="205"/>
        <w:ind w:left="633" w:right="0" w:firstLine="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59"/>
        </w:rPr>
        <w:t> </w:t>
      </w:r>
      <w:r>
        <w:rPr>
          <w:rFonts w:ascii="宋体" w:hAnsi="宋体" w:cs="宋体" w:eastAsia="宋体" w:hint="default"/>
          <w:b/>
          <w:bCs/>
        </w:rPr>
        <w:t>减值准备</w:t>
      </w:r>
      <w:r>
        <w:rPr>
          <w:rFonts w:ascii="宋体" w:hAnsi="宋体" w:cs="宋体" w:eastAsia="宋体" w:hint="default"/>
          <w:b/>
          <w:bCs/>
          <w:w w:val="99"/>
        </w:rPr>
        <w:t> </w:t>
      </w:r>
      <w:r>
        <w:rPr>
          <w:spacing w:val="-3"/>
        </w:rPr>
        <w:t>于资产负债表日，当长期股权投资的可收回金额低于其账面价值时，账面价值减记至可收</w:t>
      </w:r>
    </w:p>
    <w:p>
      <w:pPr>
        <w:pStyle w:val="BodyText"/>
        <w:spacing w:line="263" w:lineRule="exact"/>
        <w:ind w:right="0"/>
        <w:jc w:val="left"/>
      </w:pPr>
      <w:r>
        <w:rPr/>
        <w:t>回金额 。</w:t>
      </w:r>
    </w:p>
    <w:p>
      <w:pPr>
        <w:pStyle w:val="Heading4"/>
        <w:spacing w:line="240" w:lineRule="auto" w:before="205"/>
        <w:ind w:left="651" w:right="0"/>
        <w:jc w:val="left"/>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14"/>
        </w:rPr>
        <w:t> </w:t>
      </w:r>
      <w:r>
        <w:rPr>
          <w:spacing w:val="9"/>
        </w:rPr>
        <w:t>固定资产</w:t>
      </w:r>
      <w:r>
        <w:rPr>
          <w:b w:val="0"/>
          <w:bCs w:val="0"/>
        </w:rPr>
      </w:r>
    </w:p>
    <w:p>
      <w:pPr>
        <w:spacing w:line="376" w:lineRule="auto" w:before="187"/>
        <w:ind w:left="649" w:right="0" w:hanging="1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宋体" w:hAnsi="宋体" w:cs="宋体" w:eastAsia="宋体" w:hint="default"/>
          <w:b/>
          <w:bCs/>
          <w:sz w:val="24"/>
          <w:szCs w:val="24"/>
        </w:rPr>
        <w:t>固定资产确认标准</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固定资产是指为生产商品、提供劳务、出租或经营管理而持有的且使用寿命超过一个</w:t>
      </w:r>
      <w:r>
        <w:rPr>
          <w:rFonts w:ascii="宋体" w:hAnsi="宋体" w:cs="宋体" w:eastAsia="宋体" w:hint="default"/>
          <w:sz w:val="24"/>
          <w:szCs w:val="24"/>
        </w:rPr>
      </w:r>
    </w:p>
    <w:p>
      <w:pPr>
        <w:pStyle w:val="BodyText"/>
        <w:spacing w:line="263" w:lineRule="exact"/>
        <w:ind w:right="0"/>
        <w:jc w:val="left"/>
      </w:pPr>
      <w:r>
        <w:rPr>
          <w:spacing w:val="8"/>
        </w:rPr>
        <w:t>会计年度的有形资产。</w:t>
      </w:r>
      <w:r>
        <w:rPr/>
      </w:r>
    </w:p>
    <w:p>
      <w:pPr>
        <w:spacing w:line="405" w:lineRule="auto" w:before="205"/>
        <w:ind w:left="663" w:right="0" w:hanging="2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 </w:t>
      </w:r>
      <w:r>
        <w:rPr>
          <w:rFonts w:ascii="宋体" w:hAnsi="宋体" w:cs="宋体" w:eastAsia="宋体" w:hint="default"/>
          <w:b/>
          <w:bCs/>
          <w:sz w:val="24"/>
          <w:szCs w:val="24"/>
        </w:rPr>
        <w:t>固定资产分类</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固定资产分为房屋及建筑物、机器设备、办公设备、交通工具、仪器仪表设备、房屋</w:t>
      </w:r>
      <w:r>
        <w:rPr>
          <w:rFonts w:ascii="宋体" w:hAnsi="宋体" w:cs="宋体" w:eastAsia="宋体" w:hint="default"/>
          <w:sz w:val="24"/>
          <w:szCs w:val="24"/>
        </w:rPr>
      </w:r>
    </w:p>
    <w:p>
      <w:pPr>
        <w:pStyle w:val="BodyText"/>
        <w:spacing w:line="274" w:lineRule="exact"/>
        <w:ind w:right="0"/>
        <w:jc w:val="left"/>
      </w:pPr>
      <w:r>
        <w:rPr>
          <w:spacing w:val="8"/>
        </w:rPr>
        <w:t>装修及其他设备。</w:t>
      </w:r>
      <w:r>
        <w:rPr/>
      </w:r>
    </w:p>
    <w:p>
      <w:pPr>
        <w:spacing w:line="362" w:lineRule="auto" w:before="206"/>
        <w:ind w:left="633" w:right="455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 </w:t>
      </w:r>
      <w:r>
        <w:rPr>
          <w:rFonts w:ascii="宋体" w:hAnsi="宋体" w:cs="宋体" w:eastAsia="宋体" w:hint="default"/>
          <w:b/>
          <w:bCs/>
          <w:sz w:val="24"/>
          <w:szCs w:val="24"/>
        </w:rPr>
        <w:t>固定资产计量</w:t>
      </w:r>
      <w:r>
        <w:rPr>
          <w:rFonts w:ascii="宋体" w:hAnsi="宋体" w:cs="宋体" w:eastAsia="宋体" w:hint="default"/>
          <w:b/>
          <w:bCs/>
          <w:spacing w:val="1"/>
          <w:w w:val="99"/>
          <w:sz w:val="24"/>
          <w:szCs w:val="24"/>
        </w:rPr>
        <w:t> </w:t>
      </w:r>
      <w:r>
        <w:rPr>
          <w:rFonts w:ascii="宋体" w:hAnsi="宋体" w:cs="宋体" w:eastAsia="宋体" w:hint="default"/>
          <w:sz w:val="24"/>
          <w:szCs w:val="24"/>
        </w:rPr>
        <w:t>固定资产按照购置或新建时的初始成本计量。</w:t>
      </w:r>
    </w:p>
    <w:p>
      <w:pPr>
        <w:pStyle w:val="BodyText"/>
        <w:spacing w:line="240" w:lineRule="auto" w:before="122"/>
        <w:ind w:left="663" w:right="0"/>
        <w:jc w:val="left"/>
      </w:pPr>
      <w:r>
        <w:rPr/>
        <w:t>与固定资产有关的后续支出，在相关的经济利益很可能流入本公司且其成本能够可靠的</w:t>
      </w:r>
    </w:p>
    <w:p>
      <w:pPr>
        <w:spacing w:after="0" w:line="240" w:lineRule="auto"/>
        <w:jc w:val="left"/>
        <w:sectPr>
          <w:footerReference w:type="default" r:id="rId16"/>
          <w:pgSz w:w="11910" w:h="16840"/>
          <w:pgMar w:footer="1022" w:header="877" w:top="1100" w:bottom="1220" w:left="980" w:right="920"/>
          <w:pgNumType w:start="64"/>
        </w:sectPr>
      </w:pPr>
    </w:p>
    <w:p>
      <w:pPr>
        <w:spacing w:line="240" w:lineRule="auto" w:before="4"/>
        <w:rPr>
          <w:rFonts w:ascii="宋体" w:hAnsi="宋体" w:cs="宋体" w:eastAsia="宋体" w:hint="default"/>
          <w:sz w:val="29"/>
          <w:szCs w:val="29"/>
        </w:rPr>
      </w:pPr>
    </w:p>
    <w:p>
      <w:pPr>
        <w:pStyle w:val="BodyText"/>
        <w:spacing w:line="336" w:lineRule="auto" w:before="26"/>
        <w:ind w:right="231"/>
        <w:jc w:val="left"/>
      </w:pPr>
      <w:r>
        <w:rPr/>
        <w:t>计量时，计入固定资产成本；对于被替换的部分，终止确认其账面价值；所有其他后续支出 于发生时计入当期损益。</w:t>
      </w:r>
    </w:p>
    <w:p>
      <w:pPr>
        <w:spacing w:line="391" w:lineRule="auto" w:before="109"/>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 </w:t>
      </w:r>
      <w:r>
        <w:rPr>
          <w:rFonts w:ascii="宋体" w:hAnsi="宋体" w:cs="宋体" w:eastAsia="宋体" w:hint="default"/>
          <w:b/>
          <w:bCs/>
          <w:sz w:val="24"/>
          <w:szCs w:val="24"/>
        </w:rPr>
        <w:t>固定资产折旧</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固定资产折旧采用年限平均法并按其入账价值减去预计净残值后在预计使用寿命内计</w:t>
      </w:r>
      <w:r>
        <w:rPr>
          <w:rFonts w:ascii="宋体" w:hAnsi="宋体" w:cs="宋体" w:eastAsia="宋体" w:hint="default"/>
          <w:sz w:val="24"/>
          <w:szCs w:val="24"/>
        </w:rPr>
      </w:r>
    </w:p>
    <w:p>
      <w:pPr>
        <w:pStyle w:val="BodyText"/>
        <w:spacing w:line="289" w:lineRule="exact"/>
        <w:ind w:right="0"/>
        <w:jc w:val="left"/>
      </w:pPr>
      <w:r>
        <w:rPr/>
        <w:t>提。对计提了减值准备的固定资产，则在未来期间按扣除减值准备后的账面价值及依据尚可</w:t>
      </w:r>
    </w:p>
    <w:p>
      <w:pPr>
        <w:pStyle w:val="BodyText"/>
        <w:spacing w:line="240" w:lineRule="auto" w:before="126"/>
        <w:ind w:right="0"/>
        <w:jc w:val="left"/>
      </w:pPr>
      <w:r>
        <w:rPr>
          <w:spacing w:val="4"/>
        </w:rPr>
        <w:t>使用年限确定折旧额。本公司各类别固定资产预计使用寿命、净残值率、年折旧率为：</w:t>
      </w:r>
      <w:r>
        <w:rPr/>
      </w: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2513"/>
        <w:gridCol w:w="180"/>
        <w:gridCol w:w="1808"/>
        <w:gridCol w:w="172"/>
        <w:gridCol w:w="1620"/>
        <w:gridCol w:w="188"/>
        <w:gridCol w:w="1792"/>
      </w:tblGrid>
      <w:tr>
        <w:trPr>
          <w:trHeight w:val="255" w:hRule="exact"/>
        </w:trPr>
        <w:tc>
          <w:tcPr>
            <w:tcW w:w="2513" w:type="dxa"/>
            <w:tcBorders>
              <w:top w:val="nil" w:sz="6" w:space="0" w:color="auto"/>
              <w:left w:val="nil" w:sz="6" w:space="0" w:color="auto"/>
              <w:bottom w:val="single" w:sz="6" w:space="0" w:color="000000"/>
              <w:right w:val="nil" w:sz="6" w:space="0" w:color="auto"/>
            </w:tcBorders>
          </w:tcPr>
          <w:p>
            <w:pPr>
              <w:pStyle w:val="TableParagraph"/>
              <w:spacing w:line="180" w:lineRule="exact"/>
              <w:ind w:right="22"/>
              <w:jc w:val="center"/>
              <w:rPr>
                <w:rFonts w:ascii="宋体" w:hAnsi="宋体" w:cs="宋体" w:eastAsia="宋体" w:hint="default"/>
                <w:sz w:val="18"/>
                <w:szCs w:val="18"/>
              </w:rPr>
            </w:pPr>
            <w:r>
              <w:rPr>
                <w:rFonts w:ascii="宋体" w:hAnsi="宋体" w:cs="宋体" w:eastAsia="宋体" w:hint="default"/>
                <w:spacing w:val="7"/>
                <w:sz w:val="18"/>
                <w:szCs w:val="18"/>
              </w:rPr>
              <w:t>资产类别</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180" w:lineRule="exact"/>
              <w:ind w:right="17"/>
              <w:jc w:val="center"/>
              <w:rPr>
                <w:rFonts w:ascii="宋体" w:hAnsi="宋体" w:cs="宋体" w:eastAsia="宋体" w:hint="default"/>
                <w:sz w:val="18"/>
                <w:szCs w:val="18"/>
              </w:rPr>
            </w:pPr>
            <w:r>
              <w:rPr>
                <w:rFonts w:ascii="宋体" w:hAnsi="宋体" w:cs="宋体" w:eastAsia="宋体" w:hint="default"/>
                <w:spacing w:val="7"/>
                <w:sz w:val="18"/>
                <w:szCs w:val="18"/>
              </w:rPr>
              <w:t>使用寿命</w:t>
            </w:r>
            <w:r>
              <w:rPr>
                <w:rFonts w:ascii="宋体" w:hAnsi="宋体" w:cs="宋体" w:eastAsia="宋体" w:hint="default"/>
                <w:sz w:val="18"/>
                <w:szCs w:val="18"/>
              </w:rPr>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180" w:lineRule="exact"/>
              <w:ind w:right="16"/>
              <w:jc w:val="center"/>
              <w:rPr>
                <w:rFonts w:ascii="宋体" w:hAnsi="宋体" w:cs="宋体" w:eastAsia="宋体" w:hint="default"/>
                <w:sz w:val="18"/>
                <w:szCs w:val="18"/>
              </w:rPr>
            </w:pPr>
            <w:r>
              <w:rPr>
                <w:rFonts w:ascii="宋体" w:hAnsi="宋体" w:cs="宋体" w:eastAsia="宋体" w:hint="default"/>
                <w:spacing w:val="7"/>
                <w:sz w:val="18"/>
                <w:szCs w:val="18"/>
              </w:rPr>
              <w:t>净残值率</w:t>
            </w:r>
            <w:r>
              <w:rPr>
                <w:rFonts w:ascii="宋体" w:hAnsi="宋体" w:cs="宋体" w:eastAsia="宋体" w:hint="default"/>
                <w:sz w:val="18"/>
                <w:szCs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single" w:sz="6" w:space="0" w:color="000000"/>
              <w:right w:val="nil" w:sz="6" w:space="0" w:color="auto"/>
            </w:tcBorders>
          </w:tcPr>
          <w:p>
            <w:pPr>
              <w:pStyle w:val="TableParagraph"/>
              <w:spacing w:line="180" w:lineRule="exact"/>
              <w:ind w:left="509" w:right="0"/>
              <w:jc w:val="left"/>
              <w:rPr>
                <w:rFonts w:ascii="宋体" w:hAnsi="宋体" w:cs="宋体" w:eastAsia="宋体" w:hint="default"/>
                <w:sz w:val="18"/>
                <w:szCs w:val="18"/>
              </w:rPr>
            </w:pPr>
            <w:r>
              <w:rPr>
                <w:rFonts w:ascii="宋体" w:hAnsi="宋体" w:cs="宋体" w:eastAsia="宋体" w:hint="default"/>
                <w:spacing w:val="7"/>
                <w:sz w:val="18"/>
                <w:szCs w:val="18"/>
              </w:rPr>
              <w:t>年折旧率</w:t>
            </w:r>
            <w:r>
              <w:rPr>
                <w:rFonts w:ascii="宋体" w:hAnsi="宋体" w:cs="宋体" w:eastAsia="宋体" w:hint="default"/>
                <w:sz w:val="18"/>
                <w:szCs w:val="18"/>
              </w:rPr>
            </w:r>
          </w:p>
        </w:tc>
      </w:tr>
      <w:tr>
        <w:trPr>
          <w:trHeight w:val="484" w:hRule="exact"/>
        </w:trPr>
        <w:tc>
          <w:tcPr>
            <w:tcW w:w="2513"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0"/>
              <w:jc w:val="left"/>
              <w:rPr>
                <w:rFonts w:ascii="宋体" w:hAnsi="宋体" w:cs="宋体" w:eastAsia="宋体" w:hint="default"/>
                <w:sz w:val="18"/>
                <w:szCs w:val="18"/>
              </w:rPr>
            </w:pPr>
            <w:r>
              <w:rPr>
                <w:rFonts w:ascii="宋体" w:hAnsi="宋体" w:cs="宋体" w:eastAsia="宋体" w:hint="default"/>
                <w:spacing w:val="7"/>
                <w:sz w:val="18"/>
                <w:szCs w:val="18"/>
              </w:rPr>
              <w:t>房屋及建筑物</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3"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single" w:sz="6" w:space="0" w:color="000000"/>
              <w:left w:val="nil" w:sz="6" w:space="0" w:color="auto"/>
              <w:bottom w:val="nil" w:sz="6" w:space="0" w:color="auto"/>
              <w:right w:val="nil" w:sz="6" w:space="0" w:color="auto"/>
            </w:tcBorders>
          </w:tcPr>
          <w:p>
            <w:pPr>
              <w:pStyle w:val="TableParagraph"/>
              <w:spacing w:line="240" w:lineRule="auto" w:before="120"/>
              <w:ind w:left="614" w:right="0"/>
              <w:jc w:val="left"/>
              <w:rPr>
                <w:rFonts w:ascii="Times New Roman" w:hAnsi="Times New Roman" w:cs="Times New Roman" w:eastAsia="Times New Roman" w:hint="default"/>
                <w:sz w:val="18"/>
                <w:szCs w:val="18"/>
              </w:rPr>
            </w:pPr>
            <w:r>
              <w:rPr>
                <w:rFonts w:ascii="Times New Roman"/>
                <w:spacing w:val="3"/>
                <w:sz w:val="18"/>
              </w:rPr>
              <w:t>2.375%</w:t>
            </w:r>
            <w:r>
              <w:rPr>
                <w:rFonts w:ascii="Times New Roman"/>
                <w:sz w:val="18"/>
              </w:rPr>
            </w:r>
          </w:p>
        </w:tc>
      </w:tr>
      <w:tr>
        <w:trPr>
          <w:trHeight w:val="478"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pacing w:val="7"/>
                <w:sz w:val="18"/>
                <w:szCs w:val="18"/>
              </w:rPr>
              <w:t>机器设备</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3"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614" w:right="0"/>
              <w:jc w:val="left"/>
              <w:rPr>
                <w:rFonts w:ascii="Times New Roman" w:hAnsi="Times New Roman" w:cs="Times New Roman" w:eastAsia="Times New Roman" w:hint="default"/>
                <w:sz w:val="18"/>
                <w:szCs w:val="18"/>
              </w:rPr>
            </w:pPr>
            <w:r>
              <w:rPr>
                <w:rFonts w:ascii="Times New Roman"/>
                <w:spacing w:val="3"/>
                <w:sz w:val="18"/>
              </w:rPr>
              <w:t>6.333%</w:t>
            </w:r>
            <w:r>
              <w:rPr>
                <w:rFonts w:ascii="Times New Roman"/>
                <w:sz w:val="18"/>
              </w:rPr>
            </w:r>
          </w:p>
        </w:tc>
      </w:tr>
      <w:tr>
        <w:trPr>
          <w:trHeight w:val="472"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pacing w:val="7"/>
                <w:sz w:val="18"/>
                <w:szCs w:val="18"/>
              </w:rPr>
              <w:t>办公设备</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2"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566" w:right="0"/>
              <w:jc w:val="left"/>
              <w:rPr>
                <w:rFonts w:ascii="Times New Roman" w:hAnsi="Times New Roman" w:cs="Times New Roman" w:eastAsia="Times New Roman" w:hint="default"/>
                <w:sz w:val="18"/>
                <w:szCs w:val="18"/>
              </w:rPr>
            </w:pPr>
            <w:r>
              <w:rPr>
                <w:rFonts w:ascii="Times New Roman"/>
                <w:spacing w:val="2"/>
                <w:sz w:val="18"/>
              </w:rPr>
              <w:t>19.000%</w:t>
            </w:r>
          </w:p>
        </w:tc>
      </w:tr>
      <w:tr>
        <w:trPr>
          <w:trHeight w:val="476"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left"/>
              <w:rPr>
                <w:rFonts w:ascii="宋体" w:hAnsi="宋体" w:cs="宋体" w:eastAsia="宋体" w:hint="default"/>
                <w:sz w:val="18"/>
                <w:szCs w:val="18"/>
              </w:rPr>
            </w:pPr>
            <w:r>
              <w:rPr>
                <w:rFonts w:ascii="宋体" w:hAnsi="宋体" w:cs="宋体" w:eastAsia="宋体" w:hint="default"/>
                <w:spacing w:val="7"/>
                <w:sz w:val="18"/>
                <w:szCs w:val="18"/>
              </w:rPr>
              <w:t>交通工具</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2"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65" w:right="0"/>
              <w:jc w:val="left"/>
              <w:rPr>
                <w:rFonts w:ascii="Times New Roman" w:hAnsi="Times New Roman" w:cs="Times New Roman" w:eastAsia="Times New Roman" w:hint="default"/>
                <w:sz w:val="18"/>
                <w:szCs w:val="18"/>
              </w:rPr>
            </w:pPr>
            <w:r>
              <w:rPr>
                <w:rFonts w:ascii="Times New Roman"/>
                <w:spacing w:val="2"/>
                <w:sz w:val="18"/>
              </w:rPr>
              <w:t>19.000%</w:t>
            </w:r>
          </w:p>
        </w:tc>
      </w:tr>
      <w:tr>
        <w:trPr>
          <w:trHeight w:val="476"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pacing w:val="7"/>
                <w:sz w:val="18"/>
                <w:szCs w:val="18"/>
              </w:rPr>
              <w:t>仪器仪表设备</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2"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65" w:right="0"/>
              <w:jc w:val="left"/>
              <w:rPr>
                <w:rFonts w:ascii="Times New Roman" w:hAnsi="Times New Roman" w:cs="Times New Roman" w:eastAsia="Times New Roman" w:hint="default"/>
                <w:sz w:val="18"/>
                <w:szCs w:val="18"/>
              </w:rPr>
            </w:pPr>
            <w:r>
              <w:rPr>
                <w:rFonts w:ascii="Times New Roman"/>
                <w:spacing w:val="2"/>
                <w:sz w:val="18"/>
              </w:rPr>
              <w:t>19.000%</w:t>
            </w:r>
          </w:p>
        </w:tc>
      </w:tr>
      <w:tr>
        <w:trPr>
          <w:trHeight w:val="476"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left"/>
              <w:rPr>
                <w:rFonts w:ascii="宋体" w:hAnsi="宋体" w:cs="宋体" w:eastAsia="宋体" w:hint="default"/>
                <w:sz w:val="18"/>
                <w:szCs w:val="18"/>
              </w:rPr>
            </w:pPr>
            <w:r>
              <w:rPr>
                <w:rFonts w:ascii="宋体" w:hAnsi="宋体" w:cs="宋体" w:eastAsia="宋体" w:hint="default"/>
                <w:spacing w:val="7"/>
                <w:sz w:val="18"/>
                <w:szCs w:val="18"/>
              </w:rPr>
              <w:t>房屋装修</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2"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65" w:right="0"/>
              <w:jc w:val="left"/>
              <w:rPr>
                <w:rFonts w:ascii="Times New Roman" w:hAnsi="Times New Roman" w:cs="Times New Roman" w:eastAsia="Times New Roman" w:hint="default"/>
                <w:sz w:val="18"/>
                <w:szCs w:val="18"/>
              </w:rPr>
            </w:pPr>
            <w:r>
              <w:rPr>
                <w:rFonts w:ascii="Times New Roman"/>
                <w:spacing w:val="2"/>
                <w:sz w:val="18"/>
              </w:rPr>
              <w:t>19.000%</w:t>
            </w:r>
          </w:p>
        </w:tc>
      </w:tr>
      <w:tr>
        <w:trPr>
          <w:trHeight w:val="338"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left"/>
              <w:rPr>
                <w:rFonts w:ascii="宋体" w:hAnsi="宋体" w:cs="宋体" w:eastAsia="宋体" w:hint="default"/>
                <w:sz w:val="18"/>
                <w:szCs w:val="18"/>
              </w:rPr>
            </w:pPr>
            <w:r>
              <w:rPr>
                <w:rFonts w:ascii="宋体" w:hAnsi="宋体" w:cs="宋体" w:eastAsia="宋体" w:hint="default"/>
                <w:spacing w:val="7"/>
                <w:sz w:val="18"/>
                <w:szCs w:val="18"/>
              </w:rPr>
              <w:t>其他设备</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 w:right="0"/>
              <w:jc w:val="center"/>
              <w:rPr>
                <w:rFonts w:ascii="Times New Roman" w:hAnsi="Times New Roman" w:cs="Times New Roman" w:eastAsia="Times New Roman" w:hint="default"/>
                <w:sz w:val="18"/>
                <w:szCs w:val="18"/>
              </w:rPr>
            </w:pPr>
            <w:r>
              <w:rPr>
                <w:rFonts w:ascii="Times New Roman"/>
                <w:spacing w:val="3"/>
                <w:sz w:val="18"/>
              </w:rPr>
              <w:t>5.00%</w:t>
            </w:r>
            <w:r>
              <w:rPr>
                <w:rFonts w:ascii="Times New Roman"/>
                <w:sz w:val="18"/>
              </w:rPr>
            </w:r>
          </w:p>
        </w:tc>
        <w:tc>
          <w:tcPr>
            <w:tcW w:w="188"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65" w:right="0"/>
              <w:jc w:val="left"/>
              <w:rPr>
                <w:rFonts w:ascii="Times New Roman" w:hAnsi="Times New Roman" w:cs="Times New Roman" w:eastAsia="Times New Roman" w:hint="default"/>
                <w:sz w:val="18"/>
                <w:szCs w:val="18"/>
              </w:rPr>
            </w:pPr>
            <w:r>
              <w:rPr>
                <w:rFonts w:ascii="Times New Roman"/>
                <w:spacing w:val="2"/>
                <w:sz w:val="18"/>
              </w:rPr>
              <w:t>19.000%</w:t>
            </w:r>
          </w:p>
        </w:tc>
      </w:tr>
    </w:tbl>
    <w:p>
      <w:pPr>
        <w:spacing w:line="240" w:lineRule="auto" w:before="3"/>
        <w:rPr>
          <w:rFonts w:ascii="宋体" w:hAnsi="宋体" w:cs="宋体" w:eastAsia="宋体" w:hint="default"/>
          <w:sz w:val="26"/>
          <w:szCs w:val="26"/>
        </w:rPr>
      </w:pPr>
    </w:p>
    <w:p>
      <w:pPr>
        <w:pStyle w:val="BodyText"/>
        <w:spacing w:line="352" w:lineRule="auto" w:before="26"/>
        <w:ind w:left="154" w:right="243" w:firstLine="489"/>
        <w:jc w:val="both"/>
      </w:pPr>
      <w:r>
        <w:rPr/>
        <w:t>于资产负债表日，对固定资产的预计使用寿命、预计净残值和折旧方法进行复核并作适 当调整。</w:t>
      </w:r>
    </w:p>
    <w:p>
      <w:pPr>
        <w:spacing w:line="420" w:lineRule="auto" w:before="152"/>
        <w:ind w:left="643" w:right="221"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 </w:t>
      </w:r>
      <w:r>
        <w:rPr>
          <w:rFonts w:ascii="宋体" w:hAnsi="宋体" w:cs="宋体" w:eastAsia="宋体" w:hint="default"/>
          <w:b/>
          <w:bCs/>
          <w:sz w:val="24"/>
          <w:szCs w:val="24"/>
        </w:rPr>
        <w:t>固定资产处置</w:t>
      </w:r>
      <w:r>
        <w:rPr>
          <w:rFonts w:ascii="宋体" w:hAnsi="宋体" w:cs="宋体" w:eastAsia="宋体" w:hint="default"/>
          <w:b/>
          <w:bCs/>
          <w:spacing w:val="1"/>
          <w:w w:val="99"/>
          <w:sz w:val="24"/>
          <w:szCs w:val="24"/>
        </w:rPr>
        <w:t> </w:t>
      </w:r>
      <w:r>
        <w:rPr>
          <w:rFonts w:ascii="宋体" w:hAnsi="宋体" w:cs="宋体" w:eastAsia="宋体" w:hint="default"/>
          <w:sz w:val="24"/>
          <w:szCs w:val="24"/>
        </w:rPr>
        <w:t>符合持有待售条件的固定资产，以账面价值与公允价值减去处置费用孰低的金额列示。</w:t>
      </w:r>
    </w:p>
    <w:p>
      <w:pPr>
        <w:pStyle w:val="BodyText"/>
        <w:spacing w:line="280" w:lineRule="exact"/>
        <w:ind w:right="0"/>
        <w:jc w:val="left"/>
      </w:pPr>
      <w:r>
        <w:rPr/>
        <w:t>公允价值减去处置费用低于原账面价值的金额，确认为资产减值损失。</w:t>
      </w:r>
    </w:p>
    <w:p>
      <w:pPr>
        <w:spacing w:line="240" w:lineRule="auto" w:before="4"/>
        <w:rPr>
          <w:rFonts w:ascii="宋体" w:hAnsi="宋体" w:cs="宋体" w:eastAsia="宋体" w:hint="default"/>
          <w:sz w:val="20"/>
          <w:szCs w:val="20"/>
        </w:rPr>
      </w:pPr>
    </w:p>
    <w:p>
      <w:pPr>
        <w:pStyle w:val="BodyText"/>
        <w:spacing w:line="352" w:lineRule="auto"/>
        <w:ind w:right="240" w:firstLine="489"/>
        <w:jc w:val="both"/>
      </w:pPr>
      <w:r>
        <w:rPr/>
        <w:t>当固定资产被处置、或者预期通过使用或处置不能产生经济利益时，终止确认该固定资 产。固定资产出售、转让、报废或毁损的处置收入扣除其账面价值和相关税费后的金额计入 当期损益。</w:t>
      </w:r>
    </w:p>
    <w:p>
      <w:pPr>
        <w:pStyle w:val="BodyText"/>
        <w:spacing w:line="405" w:lineRule="auto" w:before="92"/>
        <w:ind w:left="633" w:right="0" w:firstLine="2"/>
        <w:jc w:val="left"/>
      </w:pPr>
      <w:r>
        <w:rPr>
          <w:rFonts w:ascii="Times New Roman" w:hAnsi="Times New Roman" w:cs="Times New Roman" w:eastAsia="Times New Roman" w:hint="default"/>
          <w:b/>
          <w:bCs/>
        </w:rPr>
        <w:t>(6)</w:t>
      </w:r>
      <w:r>
        <w:rPr>
          <w:rFonts w:ascii="Times New Roman" w:hAnsi="Times New Roman" w:cs="Times New Roman" w:eastAsia="Times New Roman" w:hint="default"/>
          <w:b/>
          <w:bCs/>
          <w:spacing w:val="59"/>
        </w:rPr>
        <w:t> </w:t>
      </w:r>
      <w:r>
        <w:rPr>
          <w:rFonts w:ascii="宋体" w:hAnsi="宋体" w:cs="宋体" w:eastAsia="宋体" w:hint="default"/>
          <w:b/>
          <w:bCs/>
        </w:rPr>
        <w:t>减值准备</w:t>
      </w:r>
      <w:r>
        <w:rPr>
          <w:rFonts w:ascii="宋体" w:hAnsi="宋体" w:cs="宋体" w:eastAsia="宋体" w:hint="default"/>
          <w:b/>
          <w:bCs/>
          <w:w w:val="99"/>
        </w:rPr>
        <w:t> </w:t>
      </w:r>
      <w:r>
        <w:rPr>
          <w:spacing w:val="-3"/>
        </w:rPr>
        <w:t>于资产负债表日，当固定资产的可收回金额低于其账面价值时，账面价值减记至可收回金</w:t>
      </w:r>
    </w:p>
    <w:p>
      <w:pPr>
        <w:pStyle w:val="BodyText"/>
        <w:spacing w:line="274" w:lineRule="exact"/>
        <w:ind w:right="0"/>
        <w:jc w:val="left"/>
      </w:pPr>
      <w:r>
        <w:rPr/>
        <w:t>额。</w:t>
      </w:r>
    </w:p>
    <w:p>
      <w:pPr>
        <w:pStyle w:val="BodyText"/>
        <w:spacing w:line="403" w:lineRule="auto" w:before="206"/>
        <w:ind w:left="663" w:right="239" w:hanging="28"/>
        <w:jc w:val="left"/>
      </w:pPr>
      <w:r>
        <w:rPr>
          <w:rFonts w:ascii="Times New Roman" w:hAnsi="Times New Roman" w:cs="Times New Roman" w:eastAsia="Times New Roman" w:hint="default"/>
          <w:b/>
          <w:bCs/>
          <w:spacing w:val="-5"/>
        </w:rPr>
        <w:t>11.</w:t>
      </w:r>
      <w:r>
        <w:rPr>
          <w:rFonts w:ascii="Times New Roman" w:hAnsi="Times New Roman" w:cs="Times New Roman" w:eastAsia="Times New Roman" w:hint="default"/>
          <w:b/>
          <w:bCs/>
          <w:spacing w:val="5"/>
        </w:rPr>
        <w:t> </w:t>
      </w:r>
      <w:r>
        <w:rPr>
          <w:rFonts w:ascii="宋体" w:hAnsi="宋体" w:cs="宋体" w:eastAsia="宋体" w:hint="default"/>
          <w:b/>
          <w:bCs/>
        </w:rPr>
        <w:t>在建工程</w:t>
      </w:r>
      <w:r>
        <w:rPr>
          <w:rFonts w:ascii="宋体" w:hAnsi="宋体" w:cs="宋体" w:eastAsia="宋体" w:hint="default"/>
          <w:b/>
          <w:bCs/>
          <w:spacing w:val="1"/>
          <w:w w:val="99"/>
        </w:rPr>
        <w:t> </w:t>
      </w:r>
      <w:r>
        <w:rPr>
          <w:spacing w:val="-1"/>
        </w:rPr>
        <w:t>在建工程按实际发生的成本计量。实际成本包括建筑费用、其他为使在建工程达到预定</w:t>
      </w:r>
    </w:p>
    <w:p>
      <w:pPr>
        <w:pStyle w:val="BodyText"/>
        <w:spacing w:line="277" w:lineRule="exact"/>
        <w:ind w:right="0"/>
        <w:jc w:val="left"/>
      </w:pPr>
      <w:r>
        <w:rPr/>
        <w:t>可使用状态所发生的必要支出以及在资产达到预定可使用状态之前所发生的符合资本化条件</w:t>
      </w:r>
    </w:p>
    <w:p>
      <w:pPr>
        <w:spacing w:after="0" w:line="277" w:lineRule="exact"/>
        <w:jc w:val="left"/>
        <w:sectPr>
          <w:footerReference w:type="default" r:id="rId17"/>
          <w:pgSz w:w="11910" w:h="16840"/>
          <w:pgMar w:footer="1022" w:header="877" w:top="1100" w:bottom="1220" w:left="980" w:right="920"/>
          <w:pgNumType w:start="65"/>
        </w:sectPr>
      </w:pPr>
    </w:p>
    <w:p>
      <w:pPr>
        <w:spacing w:line="240" w:lineRule="auto" w:before="4"/>
        <w:rPr>
          <w:rFonts w:ascii="宋体" w:hAnsi="宋体" w:cs="宋体" w:eastAsia="宋体" w:hint="default"/>
          <w:sz w:val="29"/>
          <w:szCs w:val="29"/>
        </w:rPr>
      </w:pPr>
    </w:p>
    <w:p>
      <w:pPr>
        <w:pStyle w:val="BodyText"/>
        <w:spacing w:line="427" w:lineRule="auto" w:before="26"/>
        <w:ind w:left="634" w:right="0" w:hanging="480"/>
        <w:jc w:val="left"/>
      </w:pPr>
      <w:r>
        <w:rPr/>
        <w:t>的借款费用。在建工程在达到预定可使用状态时，转入固定资产并自次月起开始计提折旧。 </w:t>
      </w:r>
      <w:r>
        <w:rPr>
          <w:spacing w:val="-3"/>
        </w:rPr>
        <w:t>于资产负债表日，当在建工程的可收回金额低于其账面价值时，账面价值减记至可收回金</w:t>
      </w:r>
    </w:p>
    <w:p>
      <w:pPr>
        <w:pStyle w:val="BodyText"/>
        <w:spacing w:line="252" w:lineRule="exact"/>
        <w:ind w:left="154" w:right="0"/>
        <w:jc w:val="left"/>
      </w:pPr>
      <w:r>
        <w:rPr/>
        <w:t>额。</w:t>
      </w:r>
    </w:p>
    <w:p>
      <w:pPr>
        <w:pStyle w:val="Heading4"/>
        <w:spacing w:line="240" w:lineRule="auto" w:before="206"/>
        <w:ind w:right="0"/>
        <w:jc w:val="left"/>
        <w:rPr>
          <w:b w:val="0"/>
          <w:bCs w:val="0"/>
        </w:rPr>
      </w:pPr>
      <w:r>
        <w:rPr>
          <w:rFonts w:ascii="Times New Roman" w:hAnsi="Times New Roman" w:cs="Times New Roman" w:eastAsia="Times New Roman" w:hint="default"/>
        </w:rPr>
        <w:t>12.  </w:t>
      </w:r>
      <w:r>
        <w:rPr/>
        <w:t>借款费用</w:t>
      </w:r>
      <w:r>
        <w:rPr>
          <w:b w:val="0"/>
          <w:bCs w:val="0"/>
        </w:rPr>
      </w:r>
    </w:p>
    <w:p>
      <w:pPr>
        <w:spacing w:line="403" w:lineRule="auto" w:before="168"/>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宋体" w:hAnsi="宋体" w:cs="宋体" w:eastAsia="宋体" w:hint="default"/>
          <w:b/>
          <w:bCs/>
          <w:sz w:val="24"/>
          <w:szCs w:val="24"/>
        </w:rPr>
        <w:t>借款费用资本化的确认原则</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借款费用包括借款而发生的利息、折价或溢价的摊销和辅助费用以及因外币借款而发生的</w:t>
      </w:r>
    </w:p>
    <w:p>
      <w:pPr>
        <w:pStyle w:val="BodyText"/>
        <w:spacing w:line="277" w:lineRule="exact"/>
        <w:ind w:right="0"/>
        <w:jc w:val="left"/>
      </w:pPr>
      <w:r>
        <w:rPr/>
        <w:t>汇兑差额。借款费用同时具备下列条件时，借款费用予以资本化：</w:t>
      </w:r>
    </w:p>
    <w:p>
      <w:pPr>
        <w:spacing w:line="240" w:lineRule="auto" w:before="10"/>
        <w:rPr>
          <w:rFonts w:ascii="宋体" w:hAnsi="宋体" w:cs="宋体" w:eastAsia="宋体" w:hint="default"/>
          <w:sz w:val="18"/>
          <w:szCs w:val="18"/>
        </w:rPr>
      </w:pPr>
    </w:p>
    <w:p>
      <w:pPr>
        <w:pStyle w:val="BodyText"/>
        <w:spacing w:line="240" w:lineRule="auto"/>
        <w:ind w:left="633" w:right="0"/>
        <w:jc w:val="left"/>
      </w:pPr>
      <w:r>
        <w:rPr/>
        <w:t>① 资产支出已经发生；</w:t>
      </w:r>
    </w:p>
    <w:p>
      <w:pPr>
        <w:spacing w:line="240" w:lineRule="auto" w:before="11"/>
        <w:rPr>
          <w:rFonts w:ascii="宋体" w:hAnsi="宋体" w:cs="宋体" w:eastAsia="宋体" w:hint="default"/>
          <w:sz w:val="18"/>
          <w:szCs w:val="18"/>
        </w:rPr>
      </w:pPr>
    </w:p>
    <w:p>
      <w:pPr>
        <w:pStyle w:val="BodyText"/>
        <w:spacing w:line="240" w:lineRule="auto"/>
        <w:ind w:left="633" w:right="0"/>
        <w:jc w:val="left"/>
      </w:pPr>
      <w:r>
        <w:rPr/>
        <w:t>② 借款费用已经发生；</w:t>
      </w:r>
    </w:p>
    <w:p>
      <w:pPr>
        <w:spacing w:line="240" w:lineRule="auto" w:before="11"/>
        <w:rPr>
          <w:rFonts w:ascii="宋体" w:hAnsi="宋体" w:cs="宋体" w:eastAsia="宋体" w:hint="default"/>
          <w:sz w:val="18"/>
          <w:szCs w:val="18"/>
        </w:rPr>
      </w:pPr>
    </w:p>
    <w:p>
      <w:pPr>
        <w:pStyle w:val="BodyText"/>
        <w:spacing w:line="240" w:lineRule="auto"/>
        <w:ind w:left="633" w:right="0"/>
        <w:jc w:val="left"/>
      </w:pPr>
      <w:r>
        <w:rPr/>
        <w:t>③ 为使资产达到预定可使用或者可销售状态所必要的购建或者生产活动已经开始。</w:t>
      </w:r>
    </w:p>
    <w:p>
      <w:pPr>
        <w:spacing w:line="405" w:lineRule="auto" w:before="205"/>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资本化期间</w:t>
      </w:r>
      <w:r>
        <w:rPr>
          <w:rFonts w:ascii="宋体" w:hAnsi="宋体" w:cs="宋体" w:eastAsia="宋体" w:hint="default"/>
          <w:b/>
          <w:bCs/>
          <w:w w:val="99"/>
          <w:sz w:val="24"/>
          <w:szCs w:val="24"/>
        </w:rPr>
        <w:t> </w:t>
      </w:r>
      <w:r>
        <w:rPr>
          <w:rFonts w:ascii="宋体" w:hAnsi="宋体" w:cs="宋体" w:eastAsia="宋体" w:hint="default"/>
          <w:spacing w:val="-3"/>
          <w:sz w:val="24"/>
          <w:szCs w:val="24"/>
        </w:rPr>
        <w:t>资本化期间是指从借款费用开始资本化时点到停止资本化时点的期间，借款费用暂停资本</w:t>
      </w:r>
    </w:p>
    <w:p>
      <w:pPr>
        <w:pStyle w:val="BodyText"/>
        <w:spacing w:line="274" w:lineRule="exact"/>
        <w:ind w:right="0"/>
        <w:jc w:val="left"/>
      </w:pPr>
      <w:r>
        <w:rPr/>
        <w:t>化期间不包括在内。</w:t>
      </w:r>
    </w:p>
    <w:p>
      <w:pPr>
        <w:pStyle w:val="Heading4"/>
        <w:spacing w:line="240" w:lineRule="auto" w:before="206"/>
        <w:ind w:right="0"/>
        <w:jc w:val="left"/>
        <w:rPr>
          <w:b w:val="0"/>
          <w:bCs w:val="0"/>
        </w:rPr>
      </w:pPr>
      <w:r>
        <w:rPr>
          <w:rFonts w:ascii="Times New Roman" w:hAnsi="Times New Roman" w:cs="Times New Roman" w:eastAsia="Times New Roman" w:hint="default"/>
        </w:rPr>
        <w:t>(3)  </w:t>
      </w:r>
      <w:r>
        <w:rPr/>
        <w:t>暂停资本化期间</w:t>
      </w:r>
      <w:r>
        <w:rPr>
          <w:b w:val="0"/>
          <w:bCs w:val="0"/>
        </w:rPr>
      </w:r>
    </w:p>
    <w:p>
      <w:pPr>
        <w:spacing w:line="240" w:lineRule="auto" w:before="6"/>
        <w:rPr>
          <w:rFonts w:ascii="宋体" w:hAnsi="宋体" w:cs="宋体" w:eastAsia="宋体" w:hint="default"/>
          <w:b/>
          <w:bCs/>
          <w:sz w:val="17"/>
          <w:szCs w:val="17"/>
        </w:rPr>
      </w:pPr>
    </w:p>
    <w:p>
      <w:pPr>
        <w:pStyle w:val="BodyText"/>
        <w:spacing w:line="240" w:lineRule="auto"/>
        <w:ind w:left="633" w:right="0"/>
        <w:jc w:val="left"/>
        <w:rPr>
          <w:rFonts w:ascii="Times New Roman" w:hAnsi="Times New Roman" w:cs="Times New Roman" w:eastAsia="Times New Roman" w:hint="default"/>
        </w:rPr>
      </w:pPr>
      <w:r>
        <w:rPr>
          <w:spacing w:val="2"/>
        </w:rPr>
        <w:t>符合资本化条件的资产在购建或者生产过程中发生非正常中断、且中断时间连续超过</w:t>
      </w:r>
      <w:r>
        <w:rPr>
          <w:spacing w:val="37"/>
        </w:rPr>
        <w:t> </w:t>
      </w:r>
      <w:r>
        <w:rPr>
          <w:rFonts w:ascii="Times New Roman" w:hAnsi="Times New Roman" w:cs="Times New Roman" w:eastAsia="Times New Roman" w:hint="default"/>
        </w:rPr>
        <w:t>3</w:t>
      </w:r>
    </w:p>
    <w:p>
      <w:pPr>
        <w:pStyle w:val="BodyText"/>
        <w:spacing w:line="240" w:lineRule="auto" w:before="107"/>
        <w:ind w:right="0"/>
        <w:jc w:val="left"/>
      </w:pPr>
      <w:r>
        <w:rPr/>
        <w:t>个月的，暂停借款费用的资本化。</w:t>
      </w:r>
    </w:p>
    <w:p>
      <w:pPr>
        <w:spacing w:line="403" w:lineRule="auto" w:before="206"/>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 </w:t>
      </w:r>
      <w:r>
        <w:rPr>
          <w:rFonts w:ascii="宋体" w:hAnsi="宋体" w:cs="宋体" w:eastAsia="宋体" w:hint="default"/>
          <w:b/>
          <w:bCs/>
          <w:sz w:val="24"/>
          <w:szCs w:val="24"/>
        </w:rPr>
        <w:t>借款费用资本化金额确定</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本公司为购建或者生产符合资本化条件的资产而借入专门借款的，以专门借款当期实际发</w:t>
      </w:r>
    </w:p>
    <w:p>
      <w:pPr>
        <w:pStyle w:val="BodyText"/>
        <w:spacing w:line="277" w:lineRule="exact"/>
        <w:ind w:right="0"/>
        <w:jc w:val="left"/>
      </w:pPr>
      <w:r>
        <w:rPr/>
        <w:t>生的利息费用</w:t>
      </w:r>
      <w:r>
        <w:rPr>
          <w:spacing w:val="-99"/>
        </w:rPr>
        <w:t>，</w:t>
      </w:r>
      <w:r>
        <w:rPr/>
        <w:t>减去将尚未动用的借款资金存入银行取得的利息收入或者进行暂时性投资取得</w:t>
      </w:r>
    </w:p>
    <w:p>
      <w:pPr>
        <w:pStyle w:val="BodyText"/>
        <w:spacing w:line="427" w:lineRule="auto" w:before="125"/>
        <w:ind w:left="633" w:right="0" w:hanging="480"/>
        <w:jc w:val="left"/>
      </w:pPr>
      <w:r>
        <w:rPr/>
        <w:t>的投资收益后的金额确定。 </w:t>
      </w:r>
      <w:r>
        <w:rPr>
          <w:spacing w:val="-3"/>
        </w:rPr>
        <w:t>本公司为购建或者生产符合资本化条件的资产而占用了一般借款的，根据累计资产支出超</w:t>
      </w:r>
    </w:p>
    <w:p>
      <w:pPr>
        <w:pStyle w:val="BodyText"/>
        <w:spacing w:line="253" w:lineRule="exact"/>
        <w:ind w:right="0"/>
        <w:jc w:val="left"/>
      </w:pPr>
      <w:r>
        <w:rPr/>
        <w:t>过专门借款部分的资产支出加权平均数乘以所占用一般借款的资本化率</w:t>
      </w:r>
      <w:r>
        <w:rPr>
          <w:spacing w:val="-99"/>
        </w:rPr>
        <w:t>，</w:t>
      </w:r>
      <w:r>
        <w:rPr/>
        <w:t>计算确定一般借款应</w:t>
      </w:r>
    </w:p>
    <w:p>
      <w:pPr>
        <w:pStyle w:val="BodyText"/>
        <w:spacing w:line="240" w:lineRule="auto" w:before="125"/>
        <w:ind w:right="0"/>
        <w:jc w:val="left"/>
      </w:pPr>
      <w:r>
        <w:rPr/>
        <w:t>予以资本化的利息金额。资本化率根据一般借款加权平均利率计算确定。</w:t>
      </w:r>
    </w:p>
    <w:p>
      <w:pPr>
        <w:pStyle w:val="Heading4"/>
        <w:spacing w:line="240" w:lineRule="auto" w:before="206"/>
        <w:ind w:right="0"/>
        <w:jc w:val="left"/>
        <w:rPr>
          <w:b w:val="0"/>
          <w:bCs w:val="0"/>
        </w:rPr>
      </w:pPr>
      <w:r>
        <w:rPr>
          <w:rFonts w:ascii="Times New Roman" w:hAnsi="Times New Roman" w:cs="Times New Roman" w:eastAsia="Times New Roman" w:hint="default"/>
        </w:rPr>
        <w:t>13.  </w:t>
      </w:r>
      <w:r>
        <w:rPr/>
        <w:t>无形资产</w:t>
      </w:r>
      <w:r>
        <w:rPr>
          <w:b w:val="0"/>
          <w:bCs w:val="0"/>
        </w:rPr>
      </w:r>
    </w:p>
    <w:p>
      <w:pPr>
        <w:spacing w:line="403" w:lineRule="auto" w:before="168"/>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分类和计量</w:t>
      </w:r>
      <w:r>
        <w:rPr>
          <w:rFonts w:ascii="宋体" w:hAnsi="宋体" w:cs="宋体" w:eastAsia="宋体" w:hint="default"/>
          <w:b/>
          <w:bCs/>
          <w:w w:val="99"/>
          <w:sz w:val="24"/>
          <w:szCs w:val="24"/>
        </w:rPr>
        <w:t> </w:t>
      </w:r>
      <w:r>
        <w:rPr>
          <w:rFonts w:ascii="宋体" w:hAnsi="宋体" w:cs="宋体" w:eastAsia="宋体" w:hint="default"/>
          <w:spacing w:val="-4"/>
          <w:sz w:val="24"/>
          <w:szCs w:val="24"/>
        </w:rPr>
        <w:t>无形资产包括专利技术、非专利技术、商标权、土地使用权等，按照实际发生的成本进行</w:t>
      </w:r>
      <w:r>
        <w:rPr>
          <w:rFonts w:ascii="宋体" w:hAnsi="宋体" w:cs="宋体" w:eastAsia="宋体" w:hint="default"/>
          <w:sz w:val="24"/>
          <w:szCs w:val="24"/>
        </w:rPr>
      </w:r>
    </w:p>
    <w:p>
      <w:pPr>
        <w:pStyle w:val="BodyText"/>
        <w:spacing w:line="277" w:lineRule="exact"/>
        <w:ind w:right="0"/>
        <w:jc w:val="left"/>
      </w:pPr>
      <w:r>
        <w:rPr/>
        <w:t>初始计量。</w:t>
      </w:r>
    </w:p>
    <w:p>
      <w:pPr>
        <w:spacing w:after="0" w:line="277" w:lineRule="exact"/>
        <w:jc w:val="left"/>
        <w:sectPr>
          <w:pgSz w:w="11910" w:h="16840"/>
          <w:pgMar w:header="877" w:footer="1022" w:top="1100" w:bottom="1220" w:left="980" w:right="920"/>
        </w:sectPr>
      </w:pPr>
    </w:p>
    <w:p>
      <w:pPr>
        <w:spacing w:line="240" w:lineRule="auto" w:before="4"/>
        <w:rPr>
          <w:rFonts w:ascii="宋体" w:hAnsi="宋体" w:cs="宋体" w:eastAsia="宋体" w:hint="default"/>
          <w:sz w:val="29"/>
          <w:szCs w:val="29"/>
        </w:rPr>
      </w:pPr>
    </w:p>
    <w:p>
      <w:pPr>
        <w:pStyle w:val="BodyText"/>
        <w:spacing w:line="415" w:lineRule="auto" w:before="26"/>
        <w:ind w:left="633" w:right="1551"/>
        <w:jc w:val="left"/>
      </w:pPr>
      <w:r>
        <w:rPr/>
        <w:t>① 使用寿命有限的无形资产 本公司对专利技术、非专利技术、商标权采用直线法均按</w:t>
      </w:r>
      <w:r>
        <w:rPr>
          <w:spacing w:val="-60"/>
        </w:rPr>
        <w:t> </w:t>
      </w:r>
      <w:r>
        <w:rPr>
          <w:rFonts w:ascii="Times New Roman" w:hAnsi="Times New Roman" w:cs="Times New Roman" w:eastAsia="Times New Roman" w:hint="default"/>
        </w:rPr>
        <w:t>10 </w:t>
      </w:r>
      <w:r>
        <w:rPr/>
        <w:t>年平均摊销。 本公司对土地使用权按其规定使用年限采用直线法平均摊销。</w:t>
      </w:r>
    </w:p>
    <w:p>
      <w:pPr>
        <w:pStyle w:val="BodyText"/>
        <w:spacing w:line="412" w:lineRule="auto" w:before="71"/>
        <w:ind w:left="633" w:right="4551"/>
        <w:jc w:val="left"/>
        <w:rPr>
          <w:rFonts w:ascii="宋体" w:hAnsi="宋体" w:cs="宋体" w:eastAsia="宋体" w:hint="default"/>
        </w:rPr>
      </w:pPr>
      <w:r>
        <w:rPr/>
        <w:t>② 使用寿命不确定的无形资产 本公司对使用寿命不确定的无形资产不摊销。 </w:t>
      </w:r>
      <w:r>
        <w:rPr>
          <w:rFonts w:ascii="Times New Roman" w:hAnsi="Times New Roman" w:cs="Times New Roman" w:eastAsia="Times New Roman" w:hint="default"/>
          <w:b/>
          <w:bCs/>
        </w:rPr>
        <w:t>(2)</w:t>
      </w:r>
      <w:r>
        <w:rPr>
          <w:rFonts w:ascii="Times New Roman" w:hAnsi="Times New Roman" w:cs="Times New Roman" w:eastAsia="Times New Roman" w:hint="default"/>
          <w:b/>
          <w:bCs/>
          <w:spacing w:val="56"/>
        </w:rPr>
        <w:t> </w:t>
      </w:r>
      <w:r>
        <w:rPr>
          <w:rFonts w:ascii="宋体" w:hAnsi="宋体" w:cs="宋体" w:eastAsia="宋体" w:hint="default"/>
          <w:b/>
          <w:bCs/>
        </w:rPr>
        <w:t>定期复核</w:t>
      </w:r>
      <w:r>
        <w:rPr>
          <w:rFonts w:ascii="宋体" w:hAnsi="宋体" w:cs="宋体" w:eastAsia="宋体" w:hint="default"/>
        </w:rPr>
      </w:r>
    </w:p>
    <w:p>
      <w:pPr>
        <w:pStyle w:val="BodyText"/>
        <w:spacing w:line="336" w:lineRule="auto" w:before="37"/>
        <w:ind w:right="0" w:firstLine="480"/>
        <w:jc w:val="left"/>
      </w:pPr>
      <w:r>
        <w:rPr/>
        <w:t>于资产负债表日，对使用寿命有限的无形资产的使用寿命及摊销方法进行复核，与以前</w:t>
      </w:r>
      <w:r>
        <w:rPr>
          <w:spacing w:val="1"/>
        </w:rPr>
        <w:t> </w:t>
      </w:r>
      <w:r>
        <w:rPr/>
        <w:t>估计不同的，调整原先估计数，并按会计估计变更处理。</w:t>
      </w:r>
    </w:p>
    <w:p>
      <w:pPr>
        <w:pStyle w:val="BodyText"/>
        <w:spacing w:line="336" w:lineRule="auto" w:before="150"/>
        <w:ind w:right="0" w:firstLine="480"/>
        <w:jc w:val="left"/>
      </w:pPr>
      <w:r>
        <w:rPr/>
        <w:t>于资产负债表日，对使用寿命不确定的无形资产的使用寿命行复核，如果有证据表明该</w:t>
      </w:r>
      <w:r>
        <w:rPr>
          <w:spacing w:val="1"/>
        </w:rPr>
        <w:t> </w:t>
      </w:r>
      <w:r>
        <w:rPr/>
        <w:t>无形资产的使用寿命是有限的，则估计其使用寿命，并进行摊销。</w:t>
      </w:r>
    </w:p>
    <w:p>
      <w:pPr>
        <w:pStyle w:val="BodyText"/>
        <w:spacing w:line="336" w:lineRule="auto" w:before="149"/>
        <w:ind w:right="0" w:firstLine="480"/>
        <w:jc w:val="left"/>
      </w:pPr>
      <w:r>
        <w:rPr/>
        <w:t>于资产负债表日，如果预计某项无形资产已经不能给企业带来未来经济利益的，将该项</w:t>
      </w:r>
      <w:r>
        <w:rPr>
          <w:spacing w:val="1"/>
        </w:rPr>
        <w:t> </w:t>
      </w:r>
      <w:r>
        <w:rPr/>
        <w:t>无形资产的账面价值全部转入当期损益。</w:t>
      </w:r>
    </w:p>
    <w:p>
      <w:pPr>
        <w:pStyle w:val="BodyText"/>
        <w:spacing w:line="403" w:lineRule="auto" w:before="110"/>
        <w:ind w:left="633" w:right="0" w:firstLine="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59"/>
        </w:rPr>
        <w:t> </w:t>
      </w:r>
      <w:r>
        <w:rPr>
          <w:rFonts w:ascii="宋体" w:hAnsi="宋体" w:cs="宋体" w:eastAsia="宋体" w:hint="default"/>
          <w:b/>
          <w:bCs/>
        </w:rPr>
        <w:t>减值准备</w:t>
      </w:r>
      <w:r>
        <w:rPr>
          <w:rFonts w:ascii="宋体" w:hAnsi="宋体" w:cs="宋体" w:eastAsia="宋体" w:hint="default"/>
          <w:b/>
          <w:bCs/>
          <w:w w:val="99"/>
        </w:rPr>
        <w:t> </w:t>
      </w:r>
      <w:r>
        <w:rPr>
          <w:spacing w:val="-3"/>
        </w:rPr>
        <w:t>于资产负债表日，当无形资产的可收回金额低于其账面价值时，账面价值减记至可收回金</w:t>
      </w:r>
    </w:p>
    <w:p>
      <w:pPr>
        <w:pStyle w:val="BodyText"/>
        <w:spacing w:line="277" w:lineRule="exact"/>
        <w:ind w:right="0"/>
        <w:jc w:val="left"/>
      </w:pPr>
      <w:r>
        <w:rPr/>
        <w:t>额 。</w:t>
      </w:r>
    </w:p>
    <w:p>
      <w:pPr>
        <w:pStyle w:val="Heading4"/>
        <w:spacing w:line="240" w:lineRule="auto" w:before="205"/>
        <w:ind w:right="0"/>
        <w:jc w:val="left"/>
        <w:rPr>
          <w:b w:val="0"/>
          <w:bCs w:val="0"/>
        </w:rPr>
      </w:pPr>
      <w:r>
        <w:rPr>
          <w:rFonts w:ascii="Times New Roman" w:hAnsi="Times New Roman" w:cs="Times New Roman" w:eastAsia="Times New Roman" w:hint="default"/>
        </w:rPr>
        <w:t>14.  </w:t>
      </w:r>
      <w:r>
        <w:rPr/>
        <w:t>研究与开发</w:t>
      </w:r>
      <w:r>
        <w:rPr>
          <w:b w:val="0"/>
          <w:bCs w:val="0"/>
        </w:rPr>
      </w:r>
    </w:p>
    <w:p>
      <w:pPr>
        <w:spacing w:line="405" w:lineRule="auto" w:before="168"/>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分类和计量</w:t>
      </w:r>
      <w:r>
        <w:rPr>
          <w:rFonts w:ascii="宋体" w:hAnsi="宋体" w:cs="宋体" w:eastAsia="宋体" w:hint="default"/>
          <w:b/>
          <w:bCs/>
          <w:w w:val="99"/>
          <w:sz w:val="24"/>
          <w:szCs w:val="24"/>
        </w:rPr>
        <w:t> </w:t>
      </w:r>
      <w:r>
        <w:rPr>
          <w:rFonts w:ascii="宋体" w:hAnsi="宋体" w:cs="宋体" w:eastAsia="宋体" w:hint="default"/>
          <w:spacing w:val="3"/>
          <w:sz w:val="24"/>
          <w:szCs w:val="24"/>
        </w:rPr>
        <w:t>本公司根据内部研究开发项目支出的性质以及研发活动最终形成无形资产是否具有较大</w:t>
      </w:r>
      <w:r>
        <w:rPr>
          <w:rFonts w:ascii="宋体" w:hAnsi="宋体" w:cs="宋体" w:eastAsia="宋体" w:hint="default"/>
          <w:sz w:val="24"/>
          <w:szCs w:val="24"/>
        </w:rPr>
      </w:r>
    </w:p>
    <w:p>
      <w:pPr>
        <w:pStyle w:val="BodyText"/>
        <w:spacing w:line="274" w:lineRule="exact"/>
        <w:ind w:right="0"/>
        <w:jc w:val="left"/>
      </w:pPr>
      <w:r>
        <w:rPr/>
        <w:t>不确定性，分为研究阶段支出和开发阶段支出。</w:t>
      </w:r>
    </w:p>
    <w:p>
      <w:pPr>
        <w:spacing w:line="240" w:lineRule="auto" w:before="11"/>
        <w:rPr>
          <w:rFonts w:ascii="宋体" w:hAnsi="宋体" w:cs="宋体" w:eastAsia="宋体" w:hint="default"/>
          <w:sz w:val="18"/>
          <w:szCs w:val="18"/>
        </w:rPr>
      </w:pPr>
    </w:p>
    <w:p>
      <w:pPr>
        <w:pStyle w:val="BodyText"/>
        <w:spacing w:line="336" w:lineRule="auto"/>
        <w:ind w:right="0" w:firstLine="480"/>
        <w:jc w:val="left"/>
      </w:pPr>
      <w:r>
        <w:rPr>
          <w:spacing w:val="-4"/>
        </w:rPr>
        <w:t>研究阶段的支出，于发生时计入当期损益；开发阶段的支出，同时满足下列条件的，确认</w:t>
      </w:r>
      <w:r>
        <w:rPr>
          <w:spacing w:val="-1"/>
        </w:rPr>
        <w:t> </w:t>
      </w:r>
      <w:r>
        <w:rPr/>
        <w:t>为无形资产：</w:t>
      </w:r>
    </w:p>
    <w:p>
      <w:pPr>
        <w:pStyle w:val="BodyText"/>
        <w:spacing w:line="240" w:lineRule="auto" w:before="150"/>
        <w:ind w:left="633" w:right="0"/>
        <w:jc w:val="left"/>
      </w:pPr>
      <w:r>
        <w:rPr/>
        <w:t>① 完成该无形资产以使其能够使用或出售在技术上具有可行性；</w:t>
      </w:r>
    </w:p>
    <w:p>
      <w:pPr>
        <w:spacing w:line="240" w:lineRule="auto" w:before="11"/>
        <w:rPr>
          <w:rFonts w:ascii="宋体" w:hAnsi="宋体" w:cs="宋体" w:eastAsia="宋体" w:hint="default"/>
          <w:sz w:val="18"/>
          <w:szCs w:val="18"/>
        </w:rPr>
      </w:pPr>
    </w:p>
    <w:p>
      <w:pPr>
        <w:pStyle w:val="BodyText"/>
        <w:spacing w:line="240" w:lineRule="auto"/>
        <w:ind w:left="633" w:right="0"/>
        <w:jc w:val="left"/>
      </w:pPr>
      <w:r>
        <w:rPr/>
        <w:t>② 具有完成该无形资产并使用或出售的意图；</w:t>
      </w:r>
    </w:p>
    <w:p>
      <w:pPr>
        <w:spacing w:line="240" w:lineRule="auto" w:before="10"/>
        <w:rPr>
          <w:rFonts w:ascii="宋体" w:hAnsi="宋体" w:cs="宋体" w:eastAsia="宋体" w:hint="default"/>
          <w:sz w:val="18"/>
          <w:szCs w:val="18"/>
        </w:rPr>
      </w:pPr>
    </w:p>
    <w:p>
      <w:pPr>
        <w:pStyle w:val="BodyText"/>
        <w:spacing w:line="336" w:lineRule="auto"/>
        <w:ind w:right="0" w:firstLine="480"/>
        <w:jc w:val="left"/>
      </w:pPr>
      <w:r>
        <w:rPr/>
        <w:t>③ 无形资产产生经济利益方式，包括能够证明运用该无形资产生产的产品存在市场或无 形资产自身存在市场；</w:t>
      </w:r>
    </w:p>
    <w:p>
      <w:pPr>
        <w:pStyle w:val="BodyText"/>
        <w:spacing w:line="336" w:lineRule="auto" w:before="150"/>
        <w:ind w:right="0" w:firstLine="480"/>
        <w:jc w:val="left"/>
      </w:pPr>
      <w:r>
        <w:rPr/>
        <w:t>④ 有足够的技术、财务资源和其他资源条件支持，以完成该无形资产的开发，并有能力 使用或出售该无形资产；</w:t>
      </w:r>
    </w:p>
    <w:p>
      <w:pPr>
        <w:spacing w:after="0" w:line="336" w:lineRule="auto"/>
        <w:jc w:val="left"/>
        <w:sectPr>
          <w:pgSz w:w="11910" w:h="16840"/>
          <w:pgMar w:header="877" w:footer="1022" w:top="1100" w:bottom="1220" w:left="980" w:right="920"/>
        </w:sectPr>
      </w:pPr>
    </w:p>
    <w:p>
      <w:pPr>
        <w:spacing w:line="240" w:lineRule="auto" w:before="4"/>
        <w:rPr>
          <w:rFonts w:ascii="宋体" w:hAnsi="宋体" w:cs="宋体" w:eastAsia="宋体" w:hint="default"/>
          <w:sz w:val="29"/>
          <w:szCs w:val="29"/>
        </w:rPr>
      </w:pPr>
    </w:p>
    <w:p>
      <w:pPr>
        <w:pStyle w:val="BodyText"/>
        <w:spacing w:line="427" w:lineRule="auto" w:before="26"/>
        <w:ind w:left="634" w:right="100"/>
        <w:jc w:val="left"/>
      </w:pPr>
      <w:r>
        <w:rPr/>
        <w:t>⑤ 归属于该无形资产开发阶段的支出能够可靠计量。 </w:t>
      </w:r>
      <w:r>
        <w:rPr>
          <w:spacing w:val="-3"/>
        </w:rPr>
        <w:t>不满足上述条件的开发阶段的支出，于发生时计入当期损益。前期已计入损益的开发支出</w:t>
      </w:r>
    </w:p>
    <w:p>
      <w:pPr>
        <w:pStyle w:val="BodyText"/>
        <w:spacing w:line="252" w:lineRule="exact"/>
        <w:ind w:left="154" w:right="100"/>
        <w:jc w:val="left"/>
      </w:pPr>
      <w:r>
        <w:rPr>
          <w:spacing w:val="-3"/>
        </w:rPr>
        <w:t>不在以后期间确认为资产。已资本化的开发阶段的支出在资产负债表上列示为开发支出，自该</w:t>
      </w:r>
    </w:p>
    <w:p>
      <w:pPr>
        <w:pStyle w:val="BodyText"/>
        <w:spacing w:line="240" w:lineRule="auto" w:before="126"/>
        <w:ind w:left="154" w:right="214"/>
        <w:jc w:val="left"/>
      </w:pPr>
      <w:r>
        <w:rPr/>
        <w:t>项目达到预定可使用状态之日起转为无形资产。</w:t>
      </w:r>
    </w:p>
    <w:p>
      <w:pPr>
        <w:pStyle w:val="BodyText"/>
        <w:spacing w:line="403" w:lineRule="auto" w:before="206"/>
        <w:ind w:left="633" w:right="100" w:firstLine="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59"/>
        </w:rPr>
        <w:t> </w:t>
      </w:r>
      <w:r>
        <w:rPr>
          <w:rFonts w:ascii="宋体" w:hAnsi="宋体" w:cs="宋体" w:eastAsia="宋体" w:hint="default"/>
          <w:b/>
          <w:bCs/>
        </w:rPr>
        <w:t>减值准备</w:t>
      </w:r>
      <w:r>
        <w:rPr>
          <w:rFonts w:ascii="宋体" w:hAnsi="宋体" w:cs="宋体" w:eastAsia="宋体" w:hint="default"/>
          <w:b/>
          <w:bCs/>
          <w:w w:val="99"/>
        </w:rPr>
        <w:t> </w:t>
      </w:r>
      <w:r>
        <w:rPr>
          <w:spacing w:val="-3"/>
        </w:rPr>
        <w:t>于资产负债表日，当开发支出的可收回金额低于其账面价值时，账面价值减记至可收回金</w:t>
      </w:r>
    </w:p>
    <w:p>
      <w:pPr>
        <w:pStyle w:val="BodyText"/>
        <w:spacing w:line="277" w:lineRule="exact"/>
        <w:ind w:right="214"/>
        <w:jc w:val="left"/>
      </w:pPr>
      <w:r>
        <w:rPr/>
        <w:t>额。</w:t>
      </w:r>
    </w:p>
    <w:p>
      <w:pPr>
        <w:pStyle w:val="BodyText"/>
        <w:spacing w:line="405" w:lineRule="auto" w:before="205"/>
        <w:ind w:left="633" w:right="100" w:firstLine="2"/>
        <w:jc w:val="left"/>
      </w:pPr>
      <w:r>
        <w:rPr>
          <w:rFonts w:ascii="Times New Roman" w:hAnsi="Times New Roman" w:cs="Times New Roman" w:eastAsia="Times New Roman" w:hint="default"/>
          <w:b/>
          <w:bCs/>
        </w:rPr>
        <w:t>15. </w:t>
      </w:r>
      <w:r>
        <w:rPr>
          <w:rFonts w:ascii="宋体" w:hAnsi="宋体" w:cs="宋体" w:eastAsia="宋体" w:hint="default"/>
          <w:b/>
          <w:bCs/>
        </w:rPr>
        <w:t>商誉</w:t>
      </w:r>
      <w:r>
        <w:rPr>
          <w:rFonts w:ascii="宋体" w:hAnsi="宋体" w:cs="宋体" w:eastAsia="宋体" w:hint="default"/>
          <w:b/>
          <w:bCs/>
          <w:spacing w:val="1"/>
          <w:w w:val="99"/>
        </w:rPr>
        <w:t> </w:t>
      </w:r>
      <w:r>
        <w:rPr>
          <w:spacing w:val="-3"/>
        </w:rPr>
        <w:t>商誉为股权投资成本超过应享有的被投资单位于投资取得日的公允价值份额的差额，或者</w:t>
      </w:r>
    </w:p>
    <w:p>
      <w:pPr>
        <w:pStyle w:val="BodyText"/>
        <w:spacing w:line="274" w:lineRule="exact"/>
        <w:ind w:right="100"/>
        <w:jc w:val="left"/>
      </w:pPr>
      <w:r>
        <w:rPr>
          <w:spacing w:val="3"/>
        </w:rPr>
        <w:t>为非同一控制下企业合并成本超过企业合并中取得的被购买方可辨认净资产于购买日的公允</w:t>
      </w:r>
      <w:r>
        <w:rPr/>
      </w:r>
    </w:p>
    <w:p>
      <w:pPr>
        <w:pStyle w:val="BodyText"/>
        <w:spacing w:line="427" w:lineRule="auto" w:before="126"/>
        <w:ind w:left="633" w:right="100" w:hanging="480"/>
        <w:jc w:val="left"/>
      </w:pPr>
      <w:r>
        <w:rPr/>
        <w:t>价值份额的差额。 </w:t>
      </w:r>
      <w:r>
        <w:rPr>
          <w:spacing w:val="-3"/>
        </w:rPr>
        <w:t>企业合并形成的商誉在合并财务报表上单独列示。购买联营企业和合营企业股权投资成本</w:t>
      </w:r>
    </w:p>
    <w:p>
      <w:pPr>
        <w:pStyle w:val="BodyText"/>
        <w:spacing w:line="252" w:lineRule="exact"/>
        <w:ind w:right="214"/>
        <w:jc w:val="left"/>
      </w:pPr>
      <w:r>
        <w:rPr/>
        <w:t>超过投资时应享有被投资单位的公允价值份额的差额，包含于长期股权投资。</w:t>
      </w:r>
    </w:p>
    <w:p>
      <w:pPr>
        <w:spacing w:line="240" w:lineRule="auto" w:before="11"/>
        <w:rPr>
          <w:rFonts w:ascii="宋体" w:hAnsi="宋体" w:cs="宋体" w:eastAsia="宋体" w:hint="default"/>
          <w:sz w:val="18"/>
          <w:szCs w:val="18"/>
        </w:rPr>
      </w:pPr>
    </w:p>
    <w:p>
      <w:pPr>
        <w:pStyle w:val="BodyText"/>
        <w:spacing w:line="336" w:lineRule="auto"/>
        <w:ind w:right="119" w:firstLine="480"/>
        <w:jc w:val="both"/>
      </w:pPr>
      <w:r>
        <w:rPr>
          <w:spacing w:val="-3"/>
        </w:rPr>
        <w:t>企业合并形成的商誉至少每年进行减值测试。减值测试时，商誉的账面价值根据企业合并</w:t>
      </w:r>
      <w:r>
        <w:rPr/>
        <w:t> </w:t>
      </w:r>
      <w:r>
        <w:rPr>
          <w:spacing w:val="-3"/>
        </w:rPr>
        <w:t>的协同效应分摊至受益的资产组或资产组组合。于资产负债表日，商誉按成本减去累计减值损</w:t>
      </w:r>
      <w:r>
        <w:rPr>
          <w:spacing w:val="-89"/>
        </w:rPr>
        <w:t> </w:t>
      </w:r>
      <w:r>
        <w:rPr>
          <w:spacing w:val="-89"/>
        </w:rPr>
      </w:r>
      <w:r>
        <w:rPr/>
        <w:t>失后的净额列示。</w:t>
      </w:r>
    </w:p>
    <w:p>
      <w:pPr>
        <w:spacing w:line="405" w:lineRule="auto" w:before="110"/>
        <w:ind w:left="663" w:right="239" w:hanging="2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．长期待摊费用</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长期待摊费用包括经营租入固定资产改良及其他已经发生但应由本期和以后各期负担</w:t>
      </w:r>
      <w:r>
        <w:rPr>
          <w:rFonts w:ascii="宋体" w:hAnsi="宋体" w:cs="宋体" w:eastAsia="宋体" w:hint="default"/>
          <w:sz w:val="24"/>
          <w:szCs w:val="24"/>
        </w:rPr>
      </w:r>
    </w:p>
    <w:p>
      <w:pPr>
        <w:pStyle w:val="BodyText"/>
        <w:spacing w:line="274" w:lineRule="exact"/>
        <w:ind w:right="214"/>
        <w:jc w:val="left"/>
      </w:pPr>
      <w:r>
        <w:rPr/>
        <w:t>的分摊期限在一年以上的各项费用，按预计受益期间分期平均摊销，并以实际支出减去累计</w:t>
      </w:r>
    </w:p>
    <w:p>
      <w:pPr>
        <w:pStyle w:val="BodyText"/>
        <w:spacing w:line="240" w:lineRule="auto" w:before="126"/>
        <w:ind w:right="214"/>
        <w:jc w:val="left"/>
      </w:pPr>
      <w:r>
        <w:rPr/>
        <w:t>摊销后的净额列示。</w:t>
      </w:r>
    </w:p>
    <w:p>
      <w:pPr>
        <w:pStyle w:val="BodyText"/>
        <w:spacing w:line="405" w:lineRule="auto" w:before="205"/>
        <w:ind w:left="633" w:right="251" w:firstLine="2"/>
        <w:jc w:val="left"/>
      </w:pPr>
      <w:r>
        <w:rPr>
          <w:rFonts w:ascii="Times New Roman" w:hAnsi="Times New Roman" w:cs="Times New Roman" w:eastAsia="Times New Roman" w:hint="default"/>
          <w:b/>
          <w:bCs/>
        </w:rPr>
        <w:t>17</w:t>
      </w:r>
      <w:r>
        <w:rPr>
          <w:rFonts w:ascii="宋体" w:hAnsi="宋体" w:cs="宋体" w:eastAsia="宋体" w:hint="default"/>
          <w:b/>
          <w:bCs/>
        </w:rPr>
        <w:t>．资产减值</w:t>
      </w:r>
      <w:r>
        <w:rPr>
          <w:rFonts w:ascii="宋体" w:hAnsi="宋体" w:cs="宋体" w:eastAsia="宋体" w:hint="default"/>
          <w:b/>
          <w:bCs/>
          <w:w w:val="99"/>
        </w:rPr>
        <w:t> </w:t>
      </w:r>
      <w:r>
        <w:rPr/>
        <w:t>在财务报表中单独列示的商誉和使用寿命不确定的无形资产，无论是否存在减值迹象，</w:t>
      </w:r>
    </w:p>
    <w:p>
      <w:pPr>
        <w:pStyle w:val="BodyText"/>
        <w:spacing w:line="274" w:lineRule="exact"/>
        <w:ind w:right="214"/>
        <w:jc w:val="left"/>
      </w:pPr>
      <w:r>
        <w:rPr/>
        <w:t>至少每年进行减值测试。</w:t>
      </w:r>
    </w:p>
    <w:p>
      <w:pPr>
        <w:spacing w:line="240" w:lineRule="auto" w:before="11"/>
        <w:rPr>
          <w:rFonts w:ascii="宋体" w:hAnsi="宋体" w:cs="宋体" w:eastAsia="宋体" w:hint="default"/>
          <w:sz w:val="18"/>
          <w:szCs w:val="18"/>
        </w:rPr>
      </w:pPr>
    </w:p>
    <w:p>
      <w:pPr>
        <w:pStyle w:val="BodyText"/>
        <w:spacing w:line="336" w:lineRule="auto"/>
        <w:ind w:right="142" w:firstLine="480"/>
        <w:jc w:val="both"/>
      </w:pPr>
      <w:r>
        <w:rPr/>
        <w:t>长期股权投资、固定资产和使用寿命确定的无形资产等，于资产负债表日存在减值迹象 的，进行减值测试。减值测试结果表明资产的可收回金额低于其账面价值的，按其差额计提 减值准备并计入减值损失。可收回金额为资产的公允价值减去处置费用后的净额与资产预计 未来现金流量的现值两者之间的较高者。资产减值准备按单项资产为基础计算并确认，如果 </w:t>
      </w:r>
      <w:r>
        <w:rPr>
          <w:spacing w:val="-3"/>
        </w:rPr>
        <w:t>难以对单项资产的可收回金额进行估计的，以该资产所属的资产组确定资产组的可收回金额。</w:t>
      </w:r>
    </w:p>
    <w:p>
      <w:pPr>
        <w:spacing w:after="0" w:line="336" w:lineRule="auto"/>
        <w:jc w:val="both"/>
        <w:sectPr>
          <w:pgSz w:w="11910" w:h="16840"/>
          <w:pgMar w:header="877" w:footer="1022" w:top="1100" w:bottom="1220" w:left="980" w:right="900"/>
        </w:sectPr>
      </w:pPr>
    </w:p>
    <w:p>
      <w:pPr>
        <w:spacing w:line="240" w:lineRule="auto" w:before="4"/>
        <w:rPr>
          <w:rFonts w:ascii="宋体" w:hAnsi="宋体" w:cs="宋体" w:eastAsia="宋体" w:hint="default"/>
          <w:sz w:val="29"/>
          <w:szCs w:val="29"/>
        </w:rPr>
      </w:pPr>
    </w:p>
    <w:p>
      <w:pPr>
        <w:pStyle w:val="BodyText"/>
        <w:spacing w:line="410" w:lineRule="auto" w:before="26"/>
        <w:ind w:left="634" w:right="100" w:hanging="480"/>
        <w:jc w:val="left"/>
      </w:pPr>
      <w:r>
        <w:rPr/>
        <w:t>资产组是能够独立产生现金流入的最小资产组合。 </w:t>
      </w:r>
      <w:r>
        <w:rPr>
          <w:spacing w:val="-4"/>
        </w:rPr>
        <w:t>上述资产减值损失一经确认，即使以后期间价值得以恢复，本公司也不再对其予以转回。</w:t>
      </w:r>
      <w:r>
        <w:rPr>
          <w:spacing w:val="-1"/>
        </w:rPr>
        <w:t> </w:t>
      </w:r>
      <w:r>
        <w:rPr>
          <w:rFonts w:ascii="Times New Roman" w:hAnsi="Times New Roman" w:cs="Times New Roman" w:eastAsia="Times New Roman" w:hint="default"/>
          <w:b/>
          <w:bCs/>
        </w:rPr>
        <w:t>18</w:t>
      </w:r>
      <w:r>
        <w:rPr>
          <w:rFonts w:ascii="宋体" w:hAnsi="宋体" w:cs="宋体" w:eastAsia="宋体" w:hint="default"/>
          <w:b/>
          <w:bCs/>
        </w:rPr>
        <w:t>．职工薪酬</w:t>
      </w:r>
      <w:r>
        <w:rPr>
          <w:rFonts w:ascii="宋体" w:hAnsi="宋体" w:cs="宋体" w:eastAsia="宋体" w:hint="default"/>
          <w:b/>
          <w:bCs/>
          <w:w w:val="99"/>
        </w:rPr>
        <w:t> </w:t>
      </w:r>
      <w:r>
        <w:rPr/>
        <w:t>职工薪酬主要包括工资、奖金、津贴和补贴、职工福利费、社会保险费及住房公积金、</w:t>
      </w:r>
    </w:p>
    <w:p>
      <w:pPr>
        <w:pStyle w:val="BodyText"/>
        <w:spacing w:line="269" w:lineRule="exact"/>
        <w:ind w:left="154" w:right="214"/>
        <w:jc w:val="left"/>
      </w:pPr>
      <w:r>
        <w:rPr/>
        <w:t>工会经费和职工教育经费等其他与获得职工提供的服务相关的支出。</w:t>
      </w:r>
    </w:p>
    <w:p>
      <w:pPr>
        <w:spacing w:line="240" w:lineRule="auto" w:before="11"/>
        <w:rPr>
          <w:rFonts w:ascii="宋体" w:hAnsi="宋体" w:cs="宋体" w:eastAsia="宋体" w:hint="default"/>
          <w:sz w:val="18"/>
          <w:szCs w:val="18"/>
        </w:rPr>
      </w:pPr>
    </w:p>
    <w:p>
      <w:pPr>
        <w:pStyle w:val="BodyText"/>
        <w:spacing w:line="336" w:lineRule="auto"/>
        <w:ind w:left="154" w:right="230" w:firstLine="510"/>
        <w:jc w:val="both"/>
      </w:pPr>
      <w:r>
        <w:rPr/>
        <w:t>本公司于职工提供服务的期间确认应付的职工薪酬，并根据职工提供服务的受益对象计 入相关资产成本和费用。</w:t>
      </w:r>
    </w:p>
    <w:p>
      <w:pPr>
        <w:pStyle w:val="BodyText"/>
        <w:spacing w:line="405" w:lineRule="auto" w:before="149"/>
        <w:ind w:left="634" w:right="214" w:firstLine="2"/>
        <w:jc w:val="left"/>
      </w:pPr>
      <w:r>
        <w:rPr>
          <w:rFonts w:ascii="Times New Roman" w:hAnsi="Times New Roman" w:cs="Times New Roman" w:eastAsia="Times New Roman" w:hint="default"/>
          <w:b/>
          <w:bCs/>
        </w:rPr>
        <w:t>19</w:t>
      </w:r>
      <w:r>
        <w:rPr>
          <w:rFonts w:ascii="宋体" w:hAnsi="宋体" w:cs="宋体" w:eastAsia="宋体" w:hint="default"/>
          <w:b/>
          <w:bCs/>
        </w:rPr>
        <w:t>．预计负债</w:t>
      </w:r>
      <w:r>
        <w:rPr>
          <w:rFonts w:ascii="宋体" w:hAnsi="宋体" w:cs="宋体" w:eastAsia="宋体" w:hint="default"/>
          <w:b/>
          <w:bCs/>
          <w:w w:val="99"/>
        </w:rPr>
        <w:t> </w:t>
      </w:r>
      <w:r>
        <w:rPr/>
        <w:t>因产品质量保证、亏损合同等形成的现时义务，其履行很可能导致经济利益的流出，在</w:t>
      </w:r>
    </w:p>
    <w:p>
      <w:pPr>
        <w:pStyle w:val="BodyText"/>
        <w:spacing w:line="275" w:lineRule="exact"/>
        <w:ind w:right="214"/>
        <w:jc w:val="left"/>
      </w:pPr>
      <w:r>
        <w:rPr/>
        <w:t>该义务的金额能够可靠计量时，确认为预计负债。对于未来经营亏损，不确认预计负债。</w:t>
      </w:r>
    </w:p>
    <w:p>
      <w:pPr>
        <w:spacing w:line="240" w:lineRule="auto" w:before="10"/>
        <w:rPr>
          <w:rFonts w:ascii="宋体" w:hAnsi="宋体" w:cs="宋体" w:eastAsia="宋体" w:hint="default"/>
          <w:sz w:val="18"/>
          <w:szCs w:val="18"/>
        </w:rPr>
      </w:pPr>
    </w:p>
    <w:p>
      <w:pPr>
        <w:pStyle w:val="BodyText"/>
        <w:spacing w:line="336" w:lineRule="auto"/>
        <w:ind w:right="228" w:firstLine="510"/>
        <w:jc w:val="both"/>
      </w:pPr>
      <w:r>
        <w:rPr/>
        <w:t>预计负债按照履行相关现时义务所需支出的最佳估计数进行初始计量，并综合考虑与或 有事项有关的风险、不确定性和货币时间价值等因素。货币时间价值影响重大的，通过对相</w:t>
      </w:r>
      <w:r>
        <w:rPr>
          <w:spacing w:val="-83"/>
        </w:rPr>
        <w:t> </w:t>
      </w:r>
      <w:r>
        <w:rPr>
          <w:spacing w:val="-83"/>
        </w:rPr>
      </w:r>
      <w:r>
        <w:rPr/>
        <w:t>关未来现金流出进行折现后确定最佳估计数；因随着时间推移所进行的折现还原而导致的预</w:t>
      </w:r>
      <w:r>
        <w:rPr>
          <w:spacing w:val="-83"/>
        </w:rPr>
        <w:t> </w:t>
      </w:r>
      <w:r>
        <w:rPr>
          <w:spacing w:val="-83"/>
        </w:rPr>
      </w:r>
      <w:r>
        <w:rPr/>
        <w:t>计负债账面价值的增加金额，确认为利息费用。</w:t>
      </w:r>
    </w:p>
    <w:p>
      <w:pPr>
        <w:pStyle w:val="BodyText"/>
        <w:spacing w:line="415" w:lineRule="auto" w:before="150"/>
        <w:ind w:left="663" w:right="107" w:hanging="28"/>
        <w:jc w:val="left"/>
      </w:pPr>
      <w:r>
        <w:rPr>
          <w:rFonts w:ascii="Times New Roman" w:hAnsi="Times New Roman" w:cs="Times New Roman" w:eastAsia="Times New Roman" w:hint="default"/>
          <w:b/>
          <w:bCs/>
        </w:rPr>
        <w:t>20</w:t>
      </w:r>
      <w:r>
        <w:rPr>
          <w:rFonts w:ascii="宋体" w:hAnsi="宋体" w:cs="宋体" w:eastAsia="宋体" w:hint="default"/>
          <w:b/>
          <w:bCs/>
        </w:rPr>
        <w:t>．政府补助</w:t>
      </w:r>
      <w:r>
        <w:rPr>
          <w:rFonts w:ascii="宋体" w:hAnsi="宋体" w:cs="宋体" w:eastAsia="宋体" w:hint="default"/>
          <w:b/>
          <w:bCs/>
          <w:w w:val="99"/>
        </w:rPr>
        <w:t> </w:t>
      </w:r>
      <w:r>
        <w:rPr>
          <w:spacing w:val="7"/>
        </w:rPr>
        <w:t>本公司将能够满足政府补助所附条件并且能够收到政府补助确认为政府补助。</w:t>
      </w:r>
      <w:r>
        <w:rPr>
          <w:spacing w:val="-117"/>
        </w:rPr>
        <w:t> </w:t>
      </w:r>
      <w:r>
        <w:rPr>
          <w:spacing w:val="-117"/>
        </w:rPr>
      </w:r>
      <w:r>
        <w:rPr>
          <w:spacing w:val="3"/>
        </w:rPr>
        <w:t>政府补助为货币性资产的，按照收到或应收的金额计量，政府补助为非货币性资产的，</w:t>
      </w:r>
    </w:p>
    <w:p>
      <w:pPr>
        <w:pStyle w:val="BodyText"/>
        <w:spacing w:line="283" w:lineRule="exact"/>
        <w:ind w:right="214"/>
        <w:jc w:val="left"/>
      </w:pPr>
      <w:r>
        <w:rPr>
          <w:spacing w:val="7"/>
        </w:rPr>
        <w:t>按照公允价值计量；公允价值不能可靠取得的，按照名义金额人民币 </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31"/>
        </w:rPr>
        <w:t> </w:t>
      </w:r>
      <w:r>
        <w:rPr>
          <w:spacing w:val="8"/>
        </w:rPr>
        <w:t>元计量。</w:t>
      </w:r>
      <w:r>
        <w:rPr/>
      </w:r>
    </w:p>
    <w:p>
      <w:pPr>
        <w:spacing w:line="240" w:lineRule="auto" w:before="6"/>
        <w:rPr>
          <w:rFonts w:ascii="宋体" w:hAnsi="宋体" w:cs="宋体" w:eastAsia="宋体" w:hint="default"/>
          <w:sz w:val="17"/>
          <w:szCs w:val="17"/>
        </w:rPr>
      </w:pPr>
    </w:p>
    <w:p>
      <w:pPr>
        <w:pStyle w:val="BodyText"/>
        <w:spacing w:line="336" w:lineRule="auto"/>
        <w:ind w:right="237" w:firstLine="510"/>
        <w:jc w:val="both"/>
      </w:pPr>
      <w:r>
        <w:rPr>
          <w:spacing w:val="6"/>
        </w:rPr>
        <w:t>与资产相关的政府补助，确认为递延收益，自相关资产达到预定可使用状态时起，在</w:t>
      </w:r>
      <w:r>
        <w:rPr/>
        <w:t> </w:t>
      </w:r>
      <w:r>
        <w:rPr>
          <w:spacing w:val="6"/>
        </w:rPr>
        <w:t>该资产使用寿命内平均分配，分次计入以后各期的损益。以名义金额计量的政府补助，直</w:t>
      </w:r>
      <w:r>
        <w:rPr>
          <w:spacing w:val="-88"/>
        </w:rPr>
        <w:t> </w:t>
      </w:r>
      <w:r>
        <w:rPr>
          <w:spacing w:val="-88"/>
        </w:rPr>
      </w:r>
      <w:r>
        <w:rPr>
          <w:spacing w:val="7"/>
        </w:rPr>
        <w:t>接计入当期损益。与收益有关的政府补助，分别以下情况处理：</w:t>
      </w:r>
      <w:r>
        <w:rPr/>
      </w:r>
    </w:p>
    <w:p>
      <w:pPr>
        <w:pStyle w:val="BodyText"/>
        <w:spacing w:line="336" w:lineRule="auto" w:before="150"/>
        <w:ind w:right="228" w:firstLine="510"/>
        <w:jc w:val="both"/>
      </w:pPr>
      <w:r>
        <w:rPr>
          <w:spacing w:val="6"/>
        </w:rPr>
        <w:t>用于补偿公司以后期间的相关费用或损失的，确认为递延收益，并在确认相关费用的</w:t>
      </w:r>
      <w:r>
        <w:rPr>
          <w:spacing w:val="8"/>
        </w:rPr>
        <w:t> 期间，计入当期损益。</w:t>
      </w:r>
      <w:r>
        <w:rPr/>
      </w:r>
    </w:p>
    <w:p>
      <w:pPr>
        <w:pStyle w:val="BodyText"/>
        <w:spacing w:line="240" w:lineRule="auto" w:before="150"/>
        <w:ind w:left="663" w:right="214"/>
        <w:jc w:val="left"/>
      </w:pPr>
      <w:r>
        <w:rPr>
          <w:spacing w:val="7"/>
        </w:rPr>
        <w:t>用于补偿公司已发生的相关费用或损失的，取得时直接计入当期损益。</w:t>
      </w:r>
      <w:r>
        <w:rPr/>
      </w:r>
    </w:p>
    <w:p>
      <w:pPr>
        <w:spacing w:line="240" w:lineRule="auto" w:before="11"/>
        <w:rPr>
          <w:rFonts w:ascii="宋体" w:hAnsi="宋体" w:cs="宋体" w:eastAsia="宋体" w:hint="default"/>
          <w:sz w:val="18"/>
          <w:szCs w:val="18"/>
        </w:rPr>
      </w:pPr>
    </w:p>
    <w:p>
      <w:pPr>
        <w:pStyle w:val="Heading4"/>
        <w:spacing w:line="240" w:lineRule="auto" w:before="0"/>
        <w:ind w:left="651" w:right="214"/>
        <w:jc w:val="left"/>
        <w:rPr>
          <w:b w:val="0"/>
          <w:bCs w:val="0"/>
        </w:rPr>
      </w:pPr>
      <w:r>
        <w:rPr>
          <w:rFonts w:ascii="Times New Roman" w:hAnsi="Times New Roman" w:cs="Times New Roman" w:eastAsia="Times New Roman" w:hint="default"/>
          <w:spacing w:val="3"/>
        </w:rPr>
        <w:t>21</w:t>
      </w:r>
      <w:r>
        <w:rPr>
          <w:spacing w:val="3"/>
        </w:rPr>
        <w:t>．收入</w:t>
      </w:r>
      <w:r>
        <w:rPr>
          <w:b w:val="0"/>
          <w:bCs w:val="0"/>
          <w:spacing w:val="3"/>
        </w:rPr>
      </w:r>
    </w:p>
    <w:p>
      <w:pPr>
        <w:pStyle w:val="BodyText"/>
        <w:spacing w:line="405" w:lineRule="auto" w:before="187"/>
        <w:ind w:left="633" w:right="214"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59"/>
        </w:rPr>
        <w:t> </w:t>
      </w:r>
      <w:r>
        <w:rPr>
          <w:rFonts w:ascii="宋体" w:hAnsi="宋体" w:cs="宋体" w:eastAsia="宋体" w:hint="default"/>
          <w:b/>
          <w:bCs/>
        </w:rPr>
        <w:t>销售商品</w:t>
      </w:r>
      <w:r>
        <w:rPr>
          <w:rFonts w:ascii="宋体" w:hAnsi="宋体" w:cs="宋体" w:eastAsia="宋体" w:hint="default"/>
          <w:b/>
          <w:bCs/>
          <w:w w:val="99"/>
        </w:rPr>
        <w:t> </w:t>
      </w:r>
      <w:r>
        <w:rPr/>
        <w:t>对已将商品所有权上的主要风险或报酬转移给购货方，不再对该商品实施继续管理权和</w:t>
      </w:r>
    </w:p>
    <w:p>
      <w:pPr>
        <w:spacing w:after="0" w:line="405" w:lineRule="auto"/>
        <w:jc w:val="left"/>
        <w:sectPr>
          <w:pgSz w:w="11910" w:h="16840"/>
          <w:pgMar w:header="877" w:footer="1022" w:top="1100" w:bottom="1220" w:left="980" w:right="900"/>
        </w:sectPr>
      </w:pPr>
    </w:p>
    <w:p>
      <w:pPr>
        <w:spacing w:line="240" w:lineRule="auto" w:before="4"/>
        <w:rPr>
          <w:rFonts w:ascii="宋体" w:hAnsi="宋体" w:cs="宋体" w:eastAsia="宋体" w:hint="default"/>
          <w:sz w:val="29"/>
          <w:szCs w:val="29"/>
        </w:rPr>
      </w:pPr>
    </w:p>
    <w:p>
      <w:pPr>
        <w:pStyle w:val="BodyText"/>
        <w:spacing w:line="336" w:lineRule="auto" w:before="26"/>
        <w:ind w:left="154" w:right="0"/>
        <w:jc w:val="left"/>
      </w:pPr>
      <w:r>
        <w:rPr/>
        <w:t>实际控制权，相关的收入已经取得或取得了收款的凭据，且与销售该商品有关的成本能够可</w:t>
      </w:r>
      <w:r>
        <w:rPr>
          <w:spacing w:val="-83"/>
        </w:rPr>
        <w:t> </w:t>
      </w:r>
      <w:r>
        <w:rPr>
          <w:spacing w:val="-83"/>
        </w:rPr>
      </w:r>
      <w:r>
        <w:rPr/>
        <w:t>靠地计量时，本公司确认商品销售收入的实现。</w:t>
      </w:r>
    </w:p>
    <w:p>
      <w:pPr>
        <w:pStyle w:val="BodyText"/>
        <w:spacing w:line="405" w:lineRule="auto" w:before="109"/>
        <w:ind w:left="633" w:right="0" w:firstLine="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59"/>
        </w:rPr>
        <w:t> </w:t>
      </w:r>
      <w:r>
        <w:rPr>
          <w:rFonts w:ascii="宋体" w:hAnsi="宋体" w:cs="宋体" w:eastAsia="宋体" w:hint="default"/>
          <w:b/>
          <w:bCs/>
        </w:rPr>
        <w:t>提供劳务</w:t>
      </w:r>
      <w:r>
        <w:rPr>
          <w:rFonts w:ascii="宋体" w:hAnsi="宋体" w:cs="宋体" w:eastAsia="宋体" w:hint="default"/>
          <w:b/>
          <w:bCs/>
          <w:w w:val="99"/>
        </w:rPr>
        <w:t> </w:t>
      </w:r>
      <w:r>
        <w:rPr/>
        <w:t>对同一会计年度内开始并完成的劳务，本公司在完成劳务时确认收入；对劳务的开始和</w:t>
      </w:r>
    </w:p>
    <w:p>
      <w:pPr>
        <w:pStyle w:val="BodyText"/>
        <w:spacing w:line="274" w:lineRule="exact"/>
        <w:ind w:right="0"/>
        <w:jc w:val="left"/>
      </w:pPr>
      <w:r>
        <w:rPr/>
        <w:t>完成分属不同的会计年度，在提供劳务交易的结果能够可靠估计的情况下，本公司在资产负</w:t>
      </w:r>
    </w:p>
    <w:p>
      <w:pPr>
        <w:pStyle w:val="BodyText"/>
        <w:spacing w:line="240" w:lineRule="auto" w:before="126"/>
        <w:ind w:right="0"/>
        <w:jc w:val="left"/>
      </w:pPr>
      <w:r>
        <w:rPr/>
        <w:t>债表日按完工百分比法确认收入。</w:t>
      </w:r>
    </w:p>
    <w:p>
      <w:pPr>
        <w:spacing w:line="403" w:lineRule="auto" w:before="206"/>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 </w:t>
      </w:r>
      <w:r>
        <w:rPr>
          <w:rFonts w:ascii="宋体" w:hAnsi="宋体" w:cs="宋体" w:eastAsia="宋体" w:hint="default"/>
          <w:b/>
          <w:bCs/>
          <w:sz w:val="24"/>
          <w:szCs w:val="24"/>
        </w:rPr>
        <w:t>让渡资产使用权</w:t>
      </w:r>
      <w:r>
        <w:rPr>
          <w:rFonts w:ascii="宋体" w:hAnsi="宋体" w:cs="宋体" w:eastAsia="宋体" w:hint="default"/>
          <w:b/>
          <w:bCs/>
          <w:spacing w:val="1"/>
          <w:w w:val="99"/>
          <w:sz w:val="24"/>
          <w:szCs w:val="24"/>
        </w:rPr>
        <w:t> </w:t>
      </w:r>
      <w:r>
        <w:rPr>
          <w:rFonts w:ascii="宋体" w:hAnsi="宋体" w:cs="宋体" w:eastAsia="宋体" w:hint="default"/>
          <w:sz w:val="24"/>
          <w:szCs w:val="24"/>
        </w:rPr>
        <w:t>与资产使用权让渡相关的经济利益能够流入及收入的金额能够可靠地计量时，本公司确</w:t>
      </w:r>
    </w:p>
    <w:p>
      <w:pPr>
        <w:pStyle w:val="BodyText"/>
        <w:spacing w:line="277" w:lineRule="exact"/>
        <w:ind w:right="0"/>
        <w:jc w:val="left"/>
      </w:pPr>
      <w:r>
        <w:rPr/>
        <w:t>认收入。</w:t>
      </w:r>
    </w:p>
    <w:p>
      <w:pPr>
        <w:spacing w:line="405" w:lineRule="auto" w:before="205"/>
        <w:ind w:left="633" w:right="401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 </w:t>
      </w:r>
      <w:r>
        <w:rPr>
          <w:rFonts w:ascii="宋体" w:hAnsi="宋体" w:cs="宋体" w:eastAsia="宋体" w:hint="default"/>
          <w:b/>
          <w:bCs/>
          <w:sz w:val="24"/>
          <w:szCs w:val="24"/>
        </w:rPr>
        <w:t>所得税</w:t>
      </w:r>
      <w:r>
        <w:rPr>
          <w:rFonts w:ascii="宋体" w:hAnsi="宋体" w:cs="宋体" w:eastAsia="宋体" w:hint="default"/>
          <w:b/>
          <w:bCs/>
          <w:spacing w:val="1"/>
          <w:w w:val="99"/>
          <w:sz w:val="24"/>
          <w:szCs w:val="24"/>
        </w:rPr>
        <w:t> </w:t>
      </w:r>
      <w:r>
        <w:rPr>
          <w:rFonts w:ascii="宋体" w:hAnsi="宋体" w:cs="宋体" w:eastAsia="宋体" w:hint="default"/>
          <w:sz w:val="24"/>
          <w:szCs w:val="24"/>
        </w:rPr>
        <w:t>本公司所得税的会计处理采用资产负债表债务法。</w:t>
      </w:r>
    </w:p>
    <w:p>
      <w:pPr>
        <w:pStyle w:val="BodyText"/>
        <w:spacing w:line="336" w:lineRule="auto" w:before="79"/>
        <w:ind w:right="148" w:firstLine="480"/>
        <w:jc w:val="both"/>
      </w:pPr>
      <w:r>
        <w:rPr/>
        <w:t>本公司将当期和以前期间应交未交的所得税确认为负债，将已支付的所得税超过应支付</w:t>
      </w:r>
      <w:r>
        <w:rPr>
          <w:spacing w:val="1"/>
        </w:rPr>
        <w:t> </w:t>
      </w:r>
      <w:r>
        <w:rPr/>
        <w:t>的部分确认为资产。存在应纳税暂时性差异或可抵扣暂时性差异的，按以下要求确认递延所</w:t>
      </w:r>
      <w:r>
        <w:rPr>
          <w:spacing w:val="-83"/>
        </w:rPr>
        <w:t> </w:t>
      </w:r>
      <w:r>
        <w:rPr>
          <w:spacing w:val="-83"/>
        </w:rPr>
      </w:r>
      <w:r>
        <w:rPr/>
        <w:t>得税资产或递延所得税负债：</w:t>
      </w:r>
    </w:p>
    <w:p>
      <w:pPr>
        <w:pStyle w:val="BodyText"/>
        <w:spacing w:line="336" w:lineRule="auto" w:before="149"/>
        <w:ind w:right="148" w:firstLine="480"/>
        <w:jc w:val="both"/>
      </w:pPr>
      <w:r>
        <w:rPr/>
        <w:t>除下列交易中产生的递延所得税负债以外，本公司确认所有应纳税暂时性差异产生的递</w:t>
      </w:r>
      <w:r>
        <w:rPr>
          <w:spacing w:val="1"/>
        </w:rPr>
        <w:t> </w:t>
      </w:r>
      <w:r>
        <w:rPr/>
        <w:t>延所得税负债：商誉的初始确认；不是企业合并，且交易发生时既不影响会计利润也不影响</w:t>
      </w:r>
      <w:r>
        <w:rPr>
          <w:spacing w:val="-83"/>
        </w:rPr>
        <w:t> </w:t>
      </w:r>
      <w:r>
        <w:rPr>
          <w:spacing w:val="-83"/>
        </w:rPr>
      </w:r>
      <w:r>
        <w:rPr/>
        <w:t>应纳税所得额的交易中产生的资产或负债的初始确认；对与子公司、联营企业及合营企业投</w:t>
      </w:r>
      <w:r>
        <w:rPr>
          <w:spacing w:val="-83"/>
        </w:rPr>
        <w:t> </w:t>
      </w:r>
      <w:r>
        <w:rPr>
          <w:spacing w:val="-83"/>
        </w:rPr>
      </w:r>
      <w:r>
        <w:rPr/>
        <w:t>资相关的应纳税暂时性差异，投资企业能够控制暂时性差异转回的时间，且该暂时性差异在</w:t>
      </w:r>
      <w:r>
        <w:rPr>
          <w:spacing w:val="-83"/>
        </w:rPr>
        <w:t> </w:t>
      </w:r>
      <w:r>
        <w:rPr>
          <w:spacing w:val="-83"/>
        </w:rPr>
      </w:r>
      <w:r>
        <w:rPr/>
        <w:t>可预见的未来很可能不会转回。</w:t>
      </w:r>
    </w:p>
    <w:p>
      <w:pPr>
        <w:pStyle w:val="BodyText"/>
        <w:spacing w:line="336" w:lineRule="auto" w:before="150"/>
        <w:ind w:right="150" w:firstLine="480"/>
        <w:jc w:val="both"/>
      </w:pPr>
      <w:r>
        <w:rPr/>
        <w:t>本公司以很可能取得用来抵扣可抵扣暂时性差异的应纳税所得额为限，确认由可抵扣暂</w:t>
      </w:r>
      <w:r>
        <w:rPr>
          <w:spacing w:val="1"/>
        </w:rPr>
        <w:t> </w:t>
      </w:r>
      <w:r>
        <w:rPr/>
        <w:t>时性差异产生的递延所得税资产。</w:t>
      </w:r>
    </w:p>
    <w:p>
      <w:pPr>
        <w:pStyle w:val="BodyText"/>
        <w:spacing w:line="336" w:lineRule="auto" w:before="150"/>
        <w:ind w:right="148" w:firstLine="480"/>
        <w:jc w:val="both"/>
      </w:pPr>
      <w:r>
        <w:rPr/>
        <w:t>本公司期末对递延所得税资产的账面价值进行复核。如果未来期间很可能无法获得足够</w:t>
      </w:r>
      <w:r>
        <w:rPr>
          <w:spacing w:val="1"/>
        </w:rPr>
        <w:t> </w:t>
      </w:r>
      <w:r>
        <w:rPr/>
        <w:t>的应纳税所得额用以抵扣递延所得税资产的利益，应当减记递延所得税资产的账面价值。在</w:t>
      </w:r>
      <w:r>
        <w:rPr>
          <w:spacing w:val="-83"/>
        </w:rPr>
        <w:t> </w:t>
      </w:r>
      <w:r>
        <w:rPr>
          <w:spacing w:val="-83"/>
        </w:rPr>
      </w:r>
      <w:r>
        <w:rPr/>
        <w:t>很可能获得足够的应纳税所得额时，本公司以原减记的金额为限，予以转回。</w:t>
      </w:r>
    </w:p>
    <w:p>
      <w:pPr>
        <w:pStyle w:val="Heading4"/>
        <w:spacing w:line="240" w:lineRule="auto" w:before="110"/>
        <w:ind w:right="0"/>
        <w:jc w:val="left"/>
        <w:rPr>
          <w:b w:val="0"/>
          <w:bCs w:val="0"/>
        </w:rPr>
      </w:pPr>
      <w:r>
        <w:rPr>
          <w:rFonts w:ascii="Times New Roman" w:hAnsi="Times New Roman" w:cs="Times New Roman" w:eastAsia="Times New Roman" w:hint="default"/>
        </w:rPr>
        <w:t>23.  </w:t>
      </w:r>
      <w:r>
        <w:rPr/>
        <w:t>每股收益</w:t>
      </w:r>
      <w:r>
        <w:rPr>
          <w:b w:val="0"/>
          <w:bCs w:val="0"/>
        </w:rPr>
      </w:r>
    </w:p>
    <w:p>
      <w:pPr>
        <w:spacing w:line="429" w:lineRule="auto" w:before="168"/>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宋体" w:hAnsi="宋体" w:cs="宋体" w:eastAsia="宋体" w:hint="default"/>
          <w:b/>
          <w:bCs/>
          <w:sz w:val="24"/>
          <w:szCs w:val="24"/>
        </w:rPr>
        <w:t>基本每股收益</w:t>
      </w:r>
      <w:r>
        <w:rPr>
          <w:rFonts w:ascii="宋体" w:hAnsi="宋体" w:cs="宋体" w:eastAsia="宋体" w:hint="default"/>
          <w:b/>
          <w:bCs/>
          <w:spacing w:val="1"/>
          <w:w w:val="99"/>
          <w:sz w:val="24"/>
          <w:szCs w:val="24"/>
        </w:rPr>
        <w:t> </w:t>
      </w:r>
      <w:r>
        <w:rPr>
          <w:rFonts w:ascii="宋体" w:hAnsi="宋体" w:cs="宋体" w:eastAsia="宋体" w:hint="default"/>
          <w:sz w:val="24"/>
          <w:szCs w:val="24"/>
        </w:rPr>
        <w:t>本公司按照归属于普通股股东的当期净利润，除以发行在外普通股的加权平均数计算基</w:t>
      </w:r>
    </w:p>
    <w:p>
      <w:pPr>
        <w:pStyle w:val="BodyText"/>
        <w:spacing w:line="251" w:lineRule="exact"/>
        <w:ind w:right="0"/>
        <w:jc w:val="left"/>
      </w:pPr>
      <w:r>
        <w:rPr/>
        <w:t>本每股收益。发行在外普通股加权平均数按下列公式计算：</w:t>
      </w:r>
    </w:p>
    <w:p>
      <w:pPr>
        <w:spacing w:after="0" w:line="251" w:lineRule="exact"/>
        <w:jc w:val="left"/>
        <w:sectPr>
          <w:pgSz w:w="11910" w:h="16840"/>
          <w:pgMar w:header="877" w:footer="1022" w:top="1100" w:bottom="1220" w:left="980" w:right="980"/>
        </w:sectPr>
      </w:pPr>
    </w:p>
    <w:p>
      <w:pPr>
        <w:spacing w:line="240" w:lineRule="auto" w:before="4"/>
        <w:rPr>
          <w:rFonts w:ascii="宋体" w:hAnsi="宋体" w:cs="宋体" w:eastAsia="宋体" w:hint="default"/>
          <w:sz w:val="29"/>
          <w:szCs w:val="29"/>
        </w:rPr>
      </w:pPr>
    </w:p>
    <w:p>
      <w:pPr>
        <w:pStyle w:val="BodyText"/>
        <w:spacing w:line="336" w:lineRule="auto" w:before="26"/>
        <w:ind w:right="214" w:firstLine="480"/>
        <w:jc w:val="left"/>
      </w:pPr>
      <w:r>
        <w:rPr/>
        <w:t>发行在外普通股加权平均数＝期初发行在外普通股股数＋当期新发行普通股股数×已发</w:t>
      </w:r>
      <w:r>
        <w:rPr>
          <w:spacing w:val="1"/>
        </w:rPr>
        <w:t> </w:t>
      </w:r>
      <w:r>
        <w:rPr/>
        <w:t>行时间÷报告期时间－当期回购普通股股数×已回购时间÷报告期时间</w:t>
      </w:r>
    </w:p>
    <w:p>
      <w:pPr>
        <w:spacing w:line="429" w:lineRule="auto" w:before="90"/>
        <w:ind w:left="633" w:right="21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 </w:t>
      </w:r>
      <w:r>
        <w:rPr>
          <w:rFonts w:ascii="宋体" w:hAnsi="宋体" w:cs="宋体" w:eastAsia="宋体" w:hint="default"/>
          <w:b/>
          <w:bCs/>
          <w:sz w:val="24"/>
          <w:szCs w:val="24"/>
        </w:rPr>
        <w:t>稀释每股收益</w:t>
      </w:r>
      <w:r>
        <w:rPr>
          <w:rFonts w:ascii="宋体" w:hAnsi="宋体" w:cs="宋体" w:eastAsia="宋体" w:hint="default"/>
          <w:b/>
          <w:bCs/>
          <w:spacing w:val="1"/>
          <w:w w:val="99"/>
          <w:sz w:val="24"/>
          <w:szCs w:val="24"/>
        </w:rPr>
        <w:t> </w:t>
      </w:r>
      <w:r>
        <w:rPr>
          <w:rFonts w:ascii="宋体" w:hAnsi="宋体" w:cs="宋体" w:eastAsia="宋体" w:hint="default"/>
          <w:sz w:val="24"/>
          <w:szCs w:val="24"/>
        </w:rPr>
        <w:t>本公司存在稀释性潜在普通股的，分别调整归属于普通股股东的当期净利润和发行在外</w:t>
      </w:r>
    </w:p>
    <w:p>
      <w:pPr>
        <w:pStyle w:val="BodyText"/>
        <w:spacing w:line="251" w:lineRule="exact"/>
        <w:ind w:right="214"/>
        <w:jc w:val="left"/>
      </w:pPr>
      <w:r>
        <w:rPr/>
        <w:t>普通股的加权平均数，并据以计算稀释每股收益。稀释性潜在普通股，是指假设当期转换为</w:t>
      </w:r>
    </w:p>
    <w:p>
      <w:pPr>
        <w:pStyle w:val="BodyText"/>
        <w:spacing w:line="336" w:lineRule="auto" w:before="125"/>
        <w:ind w:right="214"/>
        <w:jc w:val="left"/>
      </w:pPr>
      <w:r>
        <w:rPr/>
        <w:t>普通股会减少每股收益的潜在普通股。计算稀释每股收益，应当根据下列事项对归属于普通</w:t>
      </w:r>
      <w:r>
        <w:rPr>
          <w:spacing w:val="-83"/>
        </w:rPr>
        <w:t> </w:t>
      </w:r>
      <w:r>
        <w:rPr>
          <w:spacing w:val="-83"/>
        </w:rPr>
      </w:r>
      <w:r>
        <w:rPr/>
        <w:t>股股东的当期净利润进行调整，并考虑相关所得税的影响：</w:t>
      </w:r>
    </w:p>
    <w:p>
      <w:pPr>
        <w:pStyle w:val="BodyText"/>
        <w:spacing w:line="240" w:lineRule="auto" w:before="186"/>
        <w:ind w:left="633" w:right="214"/>
        <w:jc w:val="left"/>
      </w:pPr>
      <w:r>
        <w:rPr/>
        <w:t>① 当期已确认为费用的稀释性潜在普通股的利息；</w:t>
      </w:r>
    </w:p>
    <w:p>
      <w:pPr>
        <w:pStyle w:val="BodyText"/>
        <w:spacing w:line="596" w:lineRule="exact" w:before="84"/>
        <w:ind w:left="633" w:right="214"/>
        <w:jc w:val="left"/>
      </w:pPr>
      <w:r>
        <w:rPr/>
        <w:t>② 稀释性潜在普通股转换时将产生的收益或费用。 计算稀释每股收益时，当期发行在外普通股的加权平均数应当为计算基本每股收益时普</w:t>
      </w:r>
    </w:p>
    <w:p>
      <w:pPr>
        <w:pStyle w:val="BodyText"/>
        <w:spacing w:line="336" w:lineRule="auto" w:before="41"/>
        <w:ind w:right="214"/>
        <w:jc w:val="left"/>
      </w:pPr>
      <w:r>
        <w:rPr/>
        <w:t>通股的加权平均数与假定稀释性潜在普通股转换为已发行普通股而增加的普通股股数的加权</w:t>
      </w:r>
      <w:r>
        <w:rPr>
          <w:spacing w:val="-83"/>
        </w:rPr>
        <w:t> </w:t>
      </w:r>
      <w:r>
        <w:rPr>
          <w:spacing w:val="-83"/>
        </w:rPr>
      </w:r>
      <w:r>
        <w:rPr/>
        <w:t>平均数之和。</w:t>
      </w:r>
    </w:p>
    <w:p>
      <w:pPr>
        <w:pStyle w:val="BodyText"/>
        <w:spacing w:line="336" w:lineRule="auto" w:before="186"/>
        <w:ind w:right="228" w:firstLine="480"/>
        <w:jc w:val="both"/>
      </w:pPr>
      <w:r>
        <w:rPr/>
        <w:t>计算稀释性潜在普通股转换为已发行普通股而增加的普通股股数的加权平均数时，以前</w:t>
      </w:r>
      <w:r>
        <w:rPr>
          <w:spacing w:val="1"/>
        </w:rPr>
        <w:t> </w:t>
      </w:r>
      <w:r>
        <w:rPr/>
        <w:t>期间发行的稀释性潜在普通股，应当假设在当期期初转换；当期发行的稀释性潜在普通股，</w:t>
      </w:r>
      <w:r>
        <w:rPr>
          <w:spacing w:val="-83"/>
        </w:rPr>
        <w:t> </w:t>
      </w:r>
      <w:r>
        <w:rPr>
          <w:spacing w:val="-83"/>
        </w:rPr>
      </w:r>
      <w:r>
        <w:rPr/>
        <w:t>应当假设在发行日转换。</w:t>
      </w:r>
    </w:p>
    <w:p>
      <w:pPr>
        <w:pStyle w:val="BodyText"/>
        <w:spacing w:line="336" w:lineRule="auto" w:before="186"/>
        <w:ind w:right="100" w:firstLine="480"/>
        <w:jc w:val="left"/>
      </w:pPr>
      <w:r>
        <w:rPr>
          <w:spacing w:val="-3"/>
        </w:rPr>
        <w:t>认股权证和股份期权等的行权价格低于当期普通股平均市场价格时，应当考虑其稀释性。</w:t>
      </w:r>
      <w:r>
        <w:rPr/>
        <w:t> 企业承诺将回购其股份的合同中规定的回购价格高于当期普通股平均市场价格时，应当考虑</w:t>
      </w:r>
      <w:r>
        <w:rPr>
          <w:spacing w:val="-83"/>
        </w:rPr>
        <w:t> </w:t>
      </w:r>
      <w:r>
        <w:rPr>
          <w:spacing w:val="-83"/>
        </w:rPr>
      </w:r>
      <w:r>
        <w:rPr/>
        <w:t>其稀释性。</w:t>
      </w:r>
    </w:p>
    <w:p>
      <w:pPr>
        <w:pStyle w:val="BodyText"/>
        <w:spacing w:line="336" w:lineRule="auto" w:before="186"/>
        <w:ind w:right="214" w:firstLine="480"/>
        <w:jc w:val="left"/>
      </w:pPr>
      <w:r>
        <w:rPr/>
        <w:t>稀释性潜在普通股应当按照其稀释程度从大到小的顺序计入稀释每股收益，直至稀释每</w:t>
      </w:r>
      <w:r>
        <w:rPr>
          <w:spacing w:val="1"/>
        </w:rPr>
        <w:t> </w:t>
      </w:r>
      <w:r>
        <w:rPr/>
        <w:t>股收益达到最小值。</w:t>
      </w:r>
    </w:p>
    <w:p>
      <w:pPr>
        <w:pStyle w:val="BodyText"/>
        <w:spacing w:line="429" w:lineRule="auto" w:before="90"/>
        <w:ind w:left="633" w:right="214" w:firstLine="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59"/>
        </w:rPr>
        <w:t> </w:t>
      </w:r>
      <w:r>
        <w:rPr>
          <w:rFonts w:ascii="宋体" w:hAnsi="宋体" w:cs="宋体" w:eastAsia="宋体" w:hint="default"/>
          <w:b/>
          <w:bCs/>
        </w:rPr>
        <w:t>重新计算</w:t>
      </w:r>
      <w:r>
        <w:rPr>
          <w:rFonts w:ascii="宋体" w:hAnsi="宋体" w:cs="宋体" w:eastAsia="宋体" w:hint="default"/>
          <w:b/>
          <w:bCs/>
          <w:w w:val="99"/>
        </w:rPr>
        <w:t> </w:t>
      </w:r>
      <w:r>
        <w:rPr/>
        <w:t>发行在外普通股或潜在普通股的数量因派发股票股利、公积金转增资本、拆股而增加或</w:t>
      </w:r>
    </w:p>
    <w:p>
      <w:pPr>
        <w:pStyle w:val="BodyText"/>
        <w:spacing w:line="251" w:lineRule="exact"/>
        <w:ind w:right="214"/>
        <w:jc w:val="left"/>
      </w:pPr>
      <w:r>
        <w:rPr/>
        <w:t>因并股而减少，但不影响所有者权益金额的，应当按调整后的股数重新计算各列报期间的每</w:t>
      </w:r>
    </w:p>
    <w:p>
      <w:pPr>
        <w:pStyle w:val="BodyText"/>
        <w:spacing w:line="240" w:lineRule="auto" w:before="125"/>
        <w:ind w:right="214"/>
        <w:jc w:val="left"/>
      </w:pPr>
      <w:r>
        <w:rPr/>
        <w:t>股收益。</w:t>
      </w:r>
    </w:p>
    <w:p>
      <w:pPr>
        <w:spacing w:line="240" w:lineRule="auto" w:before="8"/>
        <w:rPr>
          <w:rFonts w:ascii="宋体" w:hAnsi="宋体" w:cs="宋体" w:eastAsia="宋体" w:hint="default"/>
          <w:sz w:val="21"/>
          <w:szCs w:val="21"/>
        </w:rPr>
      </w:pPr>
    </w:p>
    <w:p>
      <w:pPr>
        <w:pStyle w:val="BodyText"/>
        <w:spacing w:line="336" w:lineRule="auto"/>
        <w:ind w:right="214" w:firstLine="480"/>
        <w:jc w:val="left"/>
      </w:pPr>
      <w:r>
        <w:rPr/>
        <w:t>上述变化发生于资产负债表日至财务报告批准报出日之间的，应当以调整后的股数重新</w:t>
      </w:r>
      <w:r>
        <w:rPr>
          <w:spacing w:val="1"/>
        </w:rPr>
        <w:t> </w:t>
      </w:r>
      <w:r>
        <w:rPr/>
        <w:t>计算报告期各年的每股收益。</w:t>
      </w:r>
    </w:p>
    <w:p>
      <w:pPr>
        <w:pStyle w:val="BodyText"/>
        <w:spacing w:line="240" w:lineRule="auto" w:before="185"/>
        <w:ind w:left="633" w:right="100"/>
        <w:jc w:val="left"/>
      </w:pPr>
      <w:r>
        <w:rPr/>
        <w:t>按照《企业会计准则第 28</w:t>
      </w:r>
      <w:r>
        <w:rPr>
          <w:spacing w:val="19"/>
        </w:rPr>
        <w:t> </w:t>
      </w:r>
      <w:r>
        <w:rPr/>
        <w:t>号——会计政策、会计估计变更和差错更正》的规定对以前</w:t>
      </w:r>
    </w:p>
    <w:p>
      <w:pPr>
        <w:spacing w:after="0" w:line="240" w:lineRule="auto"/>
        <w:jc w:val="left"/>
        <w:sectPr>
          <w:pgSz w:w="11910" w:h="16840"/>
          <w:pgMar w:header="877" w:footer="1022" w:top="1100" w:bottom="1220" w:left="980" w:right="900"/>
        </w:sectPr>
      </w:pPr>
    </w:p>
    <w:p>
      <w:pPr>
        <w:spacing w:line="240" w:lineRule="auto" w:before="4"/>
        <w:rPr>
          <w:rFonts w:ascii="宋体" w:hAnsi="宋体" w:cs="宋体" w:eastAsia="宋体" w:hint="default"/>
          <w:sz w:val="29"/>
          <w:szCs w:val="29"/>
        </w:rPr>
      </w:pPr>
    </w:p>
    <w:p>
      <w:pPr>
        <w:pStyle w:val="BodyText"/>
        <w:spacing w:line="240" w:lineRule="auto" w:before="26"/>
        <w:ind w:left="154" w:right="0"/>
        <w:jc w:val="left"/>
      </w:pPr>
      <w:r>
        <w:rPr/>
        <w:t>年度损益进行追溯调整或追溯重述的，应当重新计算报告期各年的每股收益。</w:t>
      </w:r>
    </w:p>
    <w:p>
      <w:pPr>
        <w:spacing w:line="396" w:lineRule="auto" w:before="206"/>
        <w:ind w:left="664" w:right="4548" w:hanging="30"/>
        <w:jc w:val="left"/>
        <w:rPr>
          <w:rFonts w:ascii="宋体" w:hAnsi="宋体" w:cs="宋体" w:eastAsia="宋体" w:hint="default"/>
          <w:sz w:val="24"/>
          <w:szCs w:val="24"/>
        </w:rPr>
      </w:pPr>
      <w:r>
        <w:rPr>
          <w:rFonts w:ascii="黑体" w:hAnsi="黑体" w:cs="黑体" w:eastAsia="黑体" w:hint="default"/>
          <w:b/>
          <w:bCs/>
          <w:spacing w:val="8"/>
          <w:sz w:val="24"/>
          <w:szCs w:val="24"/>
        </w:rPr>
        <w:t>五、税项</w:t>
      </w:r>
      <w:r>
        <w:rPr>
          <w:rFonts w:ascii="黑体" w:hAnsi="黑体" w:cs="黑体" w:eastAsia="黑体" w:hint="default"/>
          <w:b/>
          <w:bCs/>
          <w:spacing w:val="8"/>
          <w:w w:val="99"/>
          <w:sz w:val="24"/>
          <w:szCs w:val="24"/>
        </w:rPr>
        <w:t> </w:t>
      </w:r>
      <w:r>
        <w:rPr>
          <w:rFonts w:ascii="宋体" w:hAnsi="宋体" w:cs="宋体" w:eastAsia="宋体" w:hint="default"/>
          <w:spacing w:val="8"/>
          <w:sz w:val="24"/>
          <w:szCs w:val="24"/>
        </w:rPr>
        <w:t>本公司及其子公司主要应纳税项列示如下：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4"/>
          <w:sz w:val="24"/>
          <w:szCs w:val="24"/>
        </w:rPr>
        <w:t> </w:t>
      </w:r>
      <w:r>
        <w:rPr>
          <w:rFonts w:ascii="宋体" w:hAnsi="宋体" w:cs="宋体" w:eastAsia="宋体" w:hint="default"/>
          <w:b/>
          <w:bCs/>
          <w:spacing w:val="9"/>
          <w:sz w:val="24"/>
          <w:szCs w:val="24"/>
        </w:rPr>
        <w:t>流转税</w:t>
      </w:r>
      <w:r>
        <w:rPr>
          <w:rFonts w:ascii="宋体" w:hAnsi="宋体" w:cs="宋体" w:eastAsia="宋体" w:hint="default"/>
          <w:sz w:val="24"/>
          <w:szCs w:val="24"/>
        </w:rPr>
      </w:r>
    </w:p>
    <w:p>
      <w:pPr>
        <w:spacing w:line="240" w:lineRule="auto" w:before="6"/>
        <w:rPr>
          <w:rFonts w:ascii="宋体" w:hAnsi="宋体" w:cs="宋体" w:eastAsia="宋体" w:hint="default"/>
          <w:b/>
          <w:bCs/>
          <w:sz w:val="9"/>
          <w:szCs w:val="9"/>
        </w:rPr>
      </w:pPr>
    </w:p>
    <w:tbl>
      <w:tblPr>
        <w:tblW w:w="0" w:type="auto"/>
        <w:jc w:val="left"/>
        <w:tblInd w:w="679" w:type="dxa"/>
        <w:tblLayout w:type="fixed"/>
        <w:tblCellMar>
          <w:top w:w="0" w:type="dxa"/>
          <w:left w:w="0" w:type="dxa"/>
          <w:bottom w:w="0" w:type="dxa"/>
          <w:right w:w="0" w:type="dxa"/>
        </w:tblCellMar>
        <w:tblLook w:val="01E0"/>
      </w:tblPr>
      <w:tblGrid>
        <w:gridCol w:w="1507"/>
        <w:gridCol w:w="481"/>
        <w:gridCol w:w="1919"/>
        <w:gridCol w:w="480"/>
        <w:gridCol w:w="1550"/>
      </w:tblGrid>
      <w:tr>
        <w:trPr>
          <w:trHeight w:val="327" w:hRule="exact"/>
        </w:trPr>
        <w:tc>
          <w:tcPr>
            <w:tcW w:w="1507"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pacing w:val="7"/>
                <w:sz w:val="18"/>
                <w:szCs w:val="18"/>
              </w:rPr>
              <w:t>税项</w:t>
            </w:r>
            <w:r>
              <w:rPr>
                <w:rFonts w:ascii="宋体" w:hAnsi="宋体" w:cs="宋体" w:eastAsia="宋体" w:hint="default"/>
                <w:sz w:val="18"/>
                <w:szCs w:val="18"/>
              </w:rPr>
            </w:r>
          </w:p>
        </w:tc>
        <w:tc>
          <w:tcPr>
            <w:tcW w:w="481"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single" w:sz="4" w:space="0" w:color="000000"/>
              <w:right w:val="nil" w:sz="6" w:space="0" w:color="auto"/>
            </w:tcBorders>
          </w:tcPr>
          <w:p>
            <w:pPr>
              <w:pStyle w:val="TableParagraph"/>
              <w:spacing w:line="180" w:lineRule="exact"/>
              <w:ind w:left="590" w:right="0"/>
              <w:jc w:val="left"/>
              <w:rPr>
                <w:rFonts w:ascii="宋体" w:hAnsi="宋体" w:cs="宋体" w:eastAsia="宋体" w:hint="default"/>
                <w:sz w:val="18"/>
                <w:szCs w:val="18"/>
              </w:rPr>
            </w:pPr>
            <w:r>
              <w:rPr>
                <w:rFonts w:ascii="宋体" w:hAnsi="宋体" w:cs="宋体" w:eastAsia="宋体" w:hint="default"/>
                <w:spacing w:val="7"/>
                <w:sz w:val="18"/>
                <w:szCs w:val="18"/>
              </w:rPr>
              <w:t>计税依据</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5"/>
                <w:sz w:val="18"/>
                <w:szCs w:val="18"/>
              </w:rPr>
              <w:t> </w:t>
            </w:r>
            <w:r>
              <w:rPr>
                <w:rFonts w:ascii="宋体" w:hAnsi="宋体" w:cs="宋体" w:eastAsia="宋体" w:hint="default"/>
                <w:sz w:val="18"/>
                <w:szCs w:val="18"/>
              </w:rPr>
              <w:t>率</w:t>
            </w:r>
          </w:p>
        </w:tc>
      </w:tr>
      <w:tr>
        <w:trPr>
          <w:trHeight w:val="497" w:hRule="exact"/>
        </w:trPr>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pacing w:val="5"/>
                <w:sz w:val="18"/>
                <w:szCs w:val="18"/>
              </w:rPr>
              <w:t>增值税</w:t>
            </w:r>
          </w:p>
        </w:tc>
        <w:tc>
          <w:tcPr>
            <w:tcW w:w="481" w:type="dxa"/>
            <w:tcBorders>
              <w:top w:val="nil" w:sz="6" w:space="0" w:color="auto"/>
              <w:left w:val="nil" w:sz="6" w:space="0" w:color="auto"/>
              <w:bottom w:val="nil" w:sz="6" w:space="0" w:color="auto"/>
              <w:right w:val="nil" w:sz="6" w:space="0" w:color="auto"/>
            </w:tcBorders>
          </w:tcPr>
          <w:p>
            <w:pPr/>
          </w:p>
        </w:tc>
        <w:tc>
          <w:tcPr>
            <w:tcW w:w="191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7" w:right="0"/>
              <w:jc w:val="left"/>
              <w:rPr>
                <w:rFonts w:ascii="宋体" w:hAnsi="宋体" w:cs="宋体" w:eastAsia="宋体" w:hint="default"/>
                <w:sz w:val="18"/>
                <w:szCs w:val="18"/>
              </w:rPr>
            </w:pPr>
            <w:r>
              <w:rPr>
                <w:rFonts w:ascii="宋体" w:hAnsi="宋体" w:cs="宋体" w:eastAsia="宋体" w:hint="default"/>
                <w:spacing w:val="7"/>
                <w:sz w:val="18"/>
                <w:szCs w:val="18"/>
              </w:rPr>
              <w:t>商品销售收入</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4" w:right="0"/>
              <w:jc w:val="center"/>
              <w:rPr>
                <w:rFonts w:ascii="Times New Roman" w:hAnsi="Times New Roman" w:cs="Times New Roman" w:eastAsia="Times New Roman" w:hint="default"/>
                <w:sz w:val="18"/>
                <w:szCs w:val="18"/>
              </w:rPr>
            </w:pPr>
            <w:r>
              <w:rPr>
                <w:rFonts w:ascii="Times New Roman"/>
                <w:spacing w:val="3"/>
                <w:sz w:val="18"/>
              </w:rPr>
              <w:t>17%</w:t>
            </w:r>
            <w:r>
              <w:rPr>
                <w:rFonts w:ascii="Times New Roman"/>
                <w:sz w:val="18"/>
              </w:rPr>
            </w:r>
          </w:p>
        </w:tc>
      </w:tr>
      <w:tr>
        <w:trPr>
          <w:trHeight w:val="480"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18"/>
                <w:szCs w:val="18"/>
              </w:rPr>
            </w:pPr>
            <w:r>
              <w:rPr>
                <w:rFonts w:ascii="宋体" w:hAnsi="宋体" w:cs="宋体" w:eastAsia="宋体" w:hint="default"/>
                <w:spacing w:val="5"/>
                <w:sz w:val="18"/>
                <w:szCs w:val="18"/>
              </w:rPr>
              <w:t>营业税</w:t>
            </w:r>
          </w:p>
        </w:tc>
        <w:tc>
          <w:tcPr>
            <w:tcW w:w="481"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 w:right="0"/>
              <w:jc w:val="left"/>
              <w:rPr>
                <w:rFonts w:ascii="宋体" w:hAnsi="宋体" w:cs="宋体" w:eastAsia="宋体" w:hint="default"/>
                <w:sz w:val="18"/>
                <w:szCs w:val="18"/>
              </w:rPr>
            </w:pPr>
            <w:r>
              <w:rPr>
                <w:rFonts w:ascii="宋体" w:hAnsi="宋体" w:cs="宋体" w:eastAsia="宋体" w:hint="default"/>
                <w:spacing w:val="7"/>
                <w:sz w:val="18"/>
                <w:szCs w:val="18"/>
              </w:rPr>
              <w:t>劳务收入</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Times New Roman" w:hAnsi="Times New Roman" w:cs="Times New Roman" w:eastAsia="Times New Roman" w:hint="default"/>
                <w:sz w:val="18"/>
                <w:szCs w:val="18"/>
              </w:rPr>
            </w:pPr>
            <w:r>
              <w:rPr>
                <w:rFonts w:ascii="Times New Roman"/>
                <w:spacing w:val="3"/>
                <w:sz w:val="18"/>
              </w:rPr>
              <w:t>5%</w:t>
            </w:r>
            <w:r>
              <w:rPr>
                <w:rFonts w:ascii="Times New Roman"/>
                <w:sz w:val="18"/>
              </w:rPr>
            </w:r>
          </w:p>
        </w:tc>
      </w:tr>
      <w:tr>
        <w:trPr>
          <w:trHeight w:val="335"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18"/>
                <w:szCs w:val="18"/>
              </w:rPr>
            </w:pPr>
            <w:r>
              <w:rPr>
                <w:rFonts w:ascii="宋体" w:hAnsi="宋体" w:cs="宋体" w:eastAsia="宋体" w:hint="default"/>
                <w:spacing w:val="5"/>
                <w:sz w:val="18"/>
                <w:szCs w:val="18"/>
              </w:rPr>
              <w:t>营业税</w:t>
            </w:r>
          </w:p>
        </w:tc>
        <w:tc>
          <w:tcPr>
            <w:tcW w:w="481"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 w:right="0"/>
              <w:jc w:val="left"/>
              <w:rPr>
                <w:rFonts w:ascii="宋体" w:hAnsi="宋体" w:cs="宋体" w:eastAsia="宋体" w:hint="default"/>
                <w:sz w:val="18"/>
                <w:szCs w:val="18"/>
              </w:rPr>
            </w:pPr>
            <w:r>
              <w:rPr>
                <w:rFonts w:ascii="宋体" w:hAnsi="宋体" w:cs="宋体" w:eastAsia="宋体" w:hint="default"/>
                <w:spacing w:val="6"/>
                <w:sz w:val="18"/>
                <w:szCs w:val="18"/>
              </w:rPr>
              <w:t>建筑安装工程收入</w:t>
            </w:r>
          </w:p>
        </w:tc>
        <w:tc>
          <w:tcPr>
            <w:tcW w:w="48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Times New Roman" w:hAnsi="Times New Roman" w:cs="Times New Roman" w:eastAsia="Times New Roman" w:hint="default"/>
                <w:sz w:val="18"/>
                <w:szCs w:val="18"/>
              </w:rPr>
            </w:pPr>
            <w:r>
              <w:rPr>
                <w:rFonts w:ascii="Times New Roman"/>
                <w:spacing w:val="3"/>
                <w:sz w:val="18"/>
              </w:rPr>
              <w:t>3%</w:t>
            </w:r>
            <w:r>
              <w:rPr>
                <w:rFonts w:ascii="Times New Roman"/>
                <w:sz w:val="18"/>
              </w:rPr>
            </w:r>
          </w:p>
        </w:tc>
      </w:tr>
    </w:tbl>
    <w:p>
      <w:pPr>
        <w:spacing w:line="240" w:lineRule="auto" w:before="2"/>
        <w:rPr>
          <w:rFonts w:ascii="宋体" w:hAnsi="宋体" w:cs="宋体" w:eastAsia="宋体" w:hint="default"/>
          <w:b/>
          <w:bCs/>
          <w:sz w:val="21"/>
          <w:szCs w:val="21"/>
        </w:rPr>
      </w:pPr>
    </w:p>
    <w:p>
      <w:pPr>
        <w:pStyle w:val="BodyText"/>
        <w:spacing w:line="295" w:lineRule="auto" w:before="26"/>
        <w:ind w:right="144" w:firstLine="480"/>
        <w:jc w:val="both"/>
      </w:pPr>
      <w:r>
        <w:rPr/>
        <w:t>根据财政部、国家税务总局、海关总署财税</w:t>
      </w:r>
      <w:r>
        <w:rPr>
          <w:rFonts w:ascii="Times New Roman" w:hAnsi="Times New Roman" w:cs="Times New Roman" w:eastAsia="Times New Roman" w:hint="default"/>
        </w:rPr>
        <w:t>[2000]25</w:t>
      </w:r>
      <w:r>
        <w:rPr>
          <w:rFonts w:ascii="Times New Roman" w:hAnsi="Times New Roman" w:cs="Times New Roman" w:eastAsia="Times New Roman" w:hint="default"/>
          <w:spacing w:val="51"/>
        </w:rPr>
        <w:t> </w:t>
      </w:r>
      <w:r>
        <w:rPr/>
        <w:t>号文《关于〈鼓励软件产业和集成 </w:t>
      </w:r>
      <w:r>
        <w:rPr>
          <w:spacing w:val="-5"/>
        </w:rPr>
        <w:t>电路产业发展有关税收政策问题〉的通知》，自二零零零年六月二十四日起至二零一零年底以</w:t>
      </w:r>
      <w:r>
        <w:rPr>
          <w:spacing w:val="-117"/>
        </w:rPr>
        <w:t> </w:t>
      </w:r>
      <w:r>
        <w:rPr>
          <w:spacing w:val="-117"/>
        </w:rPr>
      </w:r>
      <w:r>
        <w:rPr/>
        <w:t>前，对增值税一般纳税人销售自行开发生产的软件产品，按</w:t>
      </w:r>
      <w:r>
        <w:rPr>
          <w:spacing w:val="-42"/>
        </w:rPr>
        <w:t> </w:t>
      </w:r>
      <w:r>
        <w:rPr>
          <w:rFonts w:ascii="Times New Roman" w:hAnsi="Times New Roman" w:cs="Times New Roman" w:eastAsia="Times New Roman" w:hint="default"/>
        </w:rPr>
        <w:t>17%</w:t>
      </w:r>
      <w:r>
        <w:rPr/>
        <w:t>的法定税率征收增值税后， 对其增值税实际税负超过 </w:t>
      </w:r>
      <w:r>
        <w:rPr>
          <w:rFonts w:ascii="Times New Roman" w:hAnsi="Times New Roman" w:cs="Times New Roman" w:eastAsia="Times New Roman" w:hint="default"/>
          <w:spacing w:val="2"/>
        </w:rPr>
        <w:t>3%</w:t>
      </w:r>
      <w:r>
        <w:rPr>
          <w:spacing w:val="2"/>
        </w:rPr>
        <w:t>的部分实行即征即退政策。本公司于二零零二年九月三日，经</w:t>
      </w:r>
      <w:r>
        <w:rPr>
          <w:spacing w:val="-118"/>
        </w:rPr>
        <w:t> </w:t>
      </w:r>
      <w:r>
        <w:rPr>
          <w:spacing w:val="-118"/>
        </w:rPr>
      </w:r>
      <w:r>
        <w:rPr>
          <w:spacing w:val="6"/>
        </w:rPr>
        <w:t>辽宁省软件企业办公室以辽软认字</w:t>
      </w:r>
      <w:r>
        <w:rPr>
          <w:rFonts w:ascii="Times New Roman" w:hAnsi="Times New Roman" w:cs="Times New Roman" w:eastAsia="Times New Roman" w:hint="default"/>
          <w:spacing w:val="6"/>
        </w:rPr>
        <w:t>[2002]4</w:t>
      </w:r>
      <w:r>
        <w:rPr>
          <w:rFonts w:ascii="Times New Roman" w:hAnsi="Times New Roman" w:cs="Times New Roman" w:eastAsia="Times New Roman" w:hint="default"/>
          <w:spacing w:val="19"/>
        </w:rPr>
        <w:t> </w:t>
      </w:r>
      <w:r>
        <w:rPr>
          <w:spacing w:val="9"/>
        </w:rPr>
        <w:t>号文认定本公司为软件企业；诚和伟业于二零</w:t>
      </w:r>
      <w:r>
        <w:rPr>
          <w:spacing w:val="-116"/>
        </w:rPr>
        <w:t> </w:t>
      </w:r>
      <w:r>
        <w:rPr>
          <w:spacing w:val="7"/>
        </w:rPr>
        <w:t>零五年四月十八日，经北京市科学技术委员会审核，认定诚和伟业为软件企业；荣信科技</w:t>
      </w:r>
      <w:r>
        <w:rPr>
          <w:spacing w:val="8"/>
        </w:rPr>
        <w:t> </w:t>
      </w:r>
      <w:r>
        <w:rPr>
          <w:spacing w:val="13"/>
        </w:rPr>
        <w:t>于二零零五年四月二十七日经辽宁省软件企业认定办公室审核，认定荣信科技为软件企</w:t>
      </w:r>
      <w:r>
        <w:rPr>
          <w:spacing w:val="13"/>
        </w:rPr>
        <w:t> </w:t>
      </w:r>
      <w:r>
        <w:rPr>
          <w:spacing w:val="7"/>
        </w:rPr>
        <w:t>业。</w:t>
      </w:r>
      <w:r>
        <w:rPr/>
      </w:r>
    </w:p>
    <w:p>
      <w:pPr>
        <w:pStyle w:val="BodyText"/>
        <w:spacing w:line="374" w:lineRule="auto" w:before="151"/>
        <w:ind w:left="649" w:right="137"/>
        <w:jc w:val="left"/>
      </w:pPr>
      <w:r>
        <w:rPr>
          <w:spacing w:val="7"/>
        </w:rPr>
        <w:t>城市维护建设税按应交增值税额及营业税额的</w:t>
      </w:r>
      <w:r>
        <w:rPr>
          <w:spacing w:val="-50"/>
        </w:rPr>
        <w:t> </w:t>
      </w:r>
      <w:r>
        <w:rPr>
          <w:rFonts w:ascii="Times New Roman" w:hAnsi="Times New Roman" w:cs="Times New Roman" w:eastAsia="Times New Roman" w:hint="default"/>
          <w:spacing w:val="5"/>
        </w:rPr>
        <w:t>7%</w:t>
      </w:r>
      <w:r>
        <w:rPr>
          <w:spacing w:val="5"/>
        </w:rPr>
        <w:t>计缴。</w:t>
      </w:r>
      <w:r>
        <w:rPr>
          <w:spacing w:val="-106"/>
        </w:rPr>
        <w:t> </w:t>
      </w:r>
      <w:r>
        <w:rPr>
          <w:spacing w:val="7"/>
        </w:rPr>
        <w:t>教育费附加按应交增值税额及营业税额的</w:t>
      </w:r>
      <w:r>
        <w:rPr>
          <w:spacing w:val="-51"/>
        </w:rPr>
        <w:t> </w:t>
      </w:r>
      <w:r>
        <w:rPr>
          <w:rFonts w:ascii="Times New Roman" w:hAnsi="Times New Roman" w:cs="Times New Roman" w:eastAsia="Times New Roman" w:hint="default"/>
          <w:spacing w:val="5"/>
        </w:rPr>
        <w:t>3%</w:t>
      </w:r>
      <w:r>
        <w:rPr>
          <w:spacing w:val="5"/>
        </w:rPr>
        <w:t>计缴。</w:t>
      </w:r>
      <w:r>
        <w:rPr>
          <w:spacing w:val="-107"/>
        </w:rPr>
        <w:t> </w:t>
      </w:r>
      <w:r>
        <w:rPr>
          <w:spacing w:val="7"/>
        </w:rPr>
        <w:t>地方教育费附加按应交增值税额及营业税额的</w:t>
      </w:r>
      <w:r>
        <w:rPr>
          <w:spacing w:val="-30"/>
        </w:rPr>
        <w:t> </w:t>
      </w:r>
      <w:r>
        <w:rPr>
          <w:rFonts w:ascii="Times New Roman" w:hAnsi="Times New Roman" w:cs="Times New Roman" w:eastAsia="Times New Roman" w:hint="default"/>
          <w:spacing w:val="6"/>
        </w:rPr>
        <w:t>1%</w:t>
      </w:r>
      <w:r>
        <w:rPr>
          <w:spacing w:val="6"/>
        </w:rPr>
        <w:t>计缴</w:t>
      </w:r>
      <w:r>
        <w:rPr>
          <w:rFonts w:ascii="Times New Roman" w:hAnsi="Times New Roman" w:cs="Times New Roman" w:eastAsia="Times New Roman" w:hint="default"/>
          <w:spacing w:val="6"/>
        </w:rPr>
        <w:t>(</w:t>
      </w:r>
      <w:r>
        <w:rPr>
          <w:spacing w:val="6"/>
        </w:rPr>
        <w:t>诚和伟业、清方荣信和荣信嘉</w:t>
      </w:r>
      <w:r>
        <w:rPr/>
      </w:r>
    </w:p>
    <w:p>
      <w:pPr>
        <w:pStyle w:val="BodyText"/>
        <w:spacing w:line="252" w:lineRule="exact"/>
        <w:ind w:right="0"/>
        <w:jc w:val="left"/>
      </w:pPr>
      <w:r>
        <w:rPr>
          <w:spacing w:val="5"/>
        </w:rPr>
        <w:t>时不缴纳</w:t>
      </w:r>
      <w:r>
        <w:rPr>
          <w:rFonts w:ascii="Times New Roman" w:hAnsi="Times New Roman" w:cs="Times New Roman" w:eastAsia="Times New Roman" w:hint="default"/>
          <w:spacing w:val="5"/>
        </w:rPr>
        <w:t>)</w:t>
      </w:r>
      <w:r>
        <w:rPr>
          <w:spacing w:val="5"/>
        </w:rPr>
        <w:t>。</w:t>
      </w:r>
    </w:p>
    <w:p>
      <w:pPr>
        <w:pStyle w:val="BodyText"/>
        <w:spacing w:line="240" w:lineRule="auto" w:before="187"/>
        <w:ind w:left="649" w:right="0"/>
        <w:jc w:val="left"/>
      </w:pPr>
      <w:r>
        <w:rPr>
          <w:spacing w:val="7"/>
        </w:rPr>
        <w:t>本公司及其子公司代扣代缴施工企业营业税</w:t>
      </w:r>
      <w:r>
        <w:rPr>
          <w:rFonts w:ascii="Times New Roman" w:hAnsi="Times New Roman" w:cs="Times New Roman" w:eastAsia="Times New Roman" w:hint="default"/>
          <w:spacing w:val="7"/>
        </w:rPr>
        <w:t>,</w:t>
      </w:r>
      <w:r>
        <w:rPr>
          <w:spacing w:val="7"/>
        </w:rPr>
        <w:t>系按支付工程款金额的</w:t>
      </w:r>
      <w:r>
        <w:rPr>
          <w:spacing w:val="-35"/>
        </w:rPr>
        <w:t> </w:t>
      </w:r>
      <w:r>
        <w:rPr>
          <w:rFonts w:ascii="Times New Roman" w:hAnsi="Times New Roman" w:cs="Times New Roman" w:eastAsia="Times New Roman" w:hint="default"/>
          <w:spacing w:val="6"/>
        </w:rPr>
        <w:t>3%</w:t>
      </w:r>
      <w:r>
        <w:rPr>
          <w:spacing w:val="6"/>
        </w:rPr>
        <w:t>计缴。</w:t>
      </w:r>
      <w:r>
        <w:rPr/>
      </w:r>
    </w:p>
    <w:p>
      <w:pPr>
        <w:pStyle w:val="Heading4"/>
        <w:spacing w:line="240" w:lineRule="auto" w:before="187"/>
        <w:ind w:left="651" w:right="0"/>
        <w:jc w:val="left"/>
        <w:rPr>
          <w:b w:val="0"/>
          <w:bCs w:val="0"/>
        </w:rPr>
      </w:pPr>
      <w:r>
        <w:rPr>
          <w:rFonts w:ascii="Times New Roman" w:hAnsi="Times New Roman" w:cs="Times New Roman" w:eastAsia="Times New Roman" w:hint="default"/>
        </w:rPr>
        <w:t>2</w:t>
      </w:r>
      <w:r>
        <w:rPr/>
        <w:t>．</w:t>
      </w:r>
      <w:r>
        <w:rPr>
          <w:spacing w:val="12"/>
        </w:rPr>
        <w:t> </w:t>
      </w:r>
      <w:r>
        <w:rPr>
          <w:spacing w:val="8"/>
        </w:rPr>
        <w:t>企业所得税</w:t>
      </w:r>
      <w:r>
        <w:rPr>
          <w:b w:val="0"/>
          <w:bCs w:val="0"/>
        </w:rPr>
      </w:r>
    </w:p>
    <w:p>
      <w:pPr>
        <w:pStyle w:val="BodyText"/>
        <w:spacing w:line="240" w:lineRule="auto" w:before="188"/>
        <w:ind w:left="649" w:right="0"/>
        <w:jc w:val="left"/>
      </w:pPr>
      <w:r>
        <w:rPr>
          <w:rFonts w:ascii="Times New Roman" w:hAnsi="Times New Roman" w:cs="Times New Roman" w:eastAsia="Times New Roman" w:hint="default"/>
          <w:spacing w:val="5"/>
        </w:rPr>
        <w:t>(1)</w:t>
      </w:r>
      <w:r>
        <w:rPr>
          <w:spacing w:val="5"/>
        </w:rPr>
        <w:t>本公司</w:t>
      </w:r>
      <w:r>
        <w:rPr/>
      </w:r>
    </w:p>
    <w:p>
      <w:pPr>
        <w:pStyle w:val="BodyText"/>
        <w:spacing w:line="295" w:lineRule="auto" w:before="187"/>
        <w:ind w:right="151" w:firstLine="480"/>
        <w:jc w:val="both"/>
      </w:pPr>
      <w:r>
        <w:rPr/>
        <w:t>根据财政部、国家税务总局、海关总署财税</w:t>
      </w:r>
      <w:r>
        <w:rPr>
          <w:rFonts w:ascii="Times New Roman" w:hAnsi="Times New Roman" w:cs="Times New Roman" w:eastAsia="Times New Roman" w:hint="default"/>
        </w:rPr>
        <w:t>[2000]25</w:t>
      </w:r>
      <w:r>
        <w:rPr>
          <w:rFonts w:ascii="Times New Roman" w:hAnsi="Times New Roman" w:cs="Times New Roman" w:eastAsia="Times New Roman" w:hint="default"/>
          <w:spacing w:val="50"/>
        </w:rPr>
        <w:t> </w:t>
      </w:r>
      <w:r>
        <w:rPr/>
        <w:t>号文《关于〈鼓励软件产业和集成 </w:t>
      </w:r>
      <w:r>
        <w:rPr>
          <w:spacing w:val="-5"/>
        </w:rPr>
        <w:t>电路产业发展有关税收政策问题〉的通知》，辽宁省地方税务局于二零零二年十一月一日以第</w:t>
      </w:r>
      <w:r>
        <w:rPr>
          <w:spacing w:val="-117"/>
        </w:rPr>
        <w:t> </w:t>
      </w:r>
      <w:r>
        <w:rPr>
          <w:spacing w:val="-117"/>
        </w:rPr>
      </w:r>
      <w:r>
        <w:rPr>
          <w:rFonts w:ascii="Times New Roman" w:hAnsi="Times New Roman" w:cs="Times New Roman" w:eastAsia="Times New Roman" w:hint="default"/>
        </w:rPr>
        <w:t>78 </w:t>
      </w:r>
      <w:r>
        <w:rPr/>
        <w:t>号文《辽宁省软件企业税收优惠通知书》同意本公司自 </w:t>
      </w:r>
      <w:r>
        <w:rPr>
          <w:rFonts w:ascii="Times New Roman" w:hAnsi="Times New Roman" w:cs="Times New Roman" w:eastAsia="Times New Roman" w:hint="default"/>
        </w:rPr>
        <w:t>2001 </w:t>
      </w:r>
      <w:r>
        <w:rPr/>
        <w:t>年度起按</w:t>
      </w:r>
      <w:r>
        <w:rPr>
          <w:spacing w:val="-45"/>
        </w:rPr>
        <w:t> </w:t>
      </w:r>
      <w:r>
        <w:rPr>
          <w:rFonts w:ascii="Times New Roman" w:hAnsi="Times New Roman" w:cs="Times New Roman" w:eastAsia="Times New Roman" w:hint="default"/>
        </w:rPr>
        <w:t>15%</w:t>
      </w:r>
      <w:r>
        <w:rPr/>
        <w:t>的企业所得税 税率缴纳企业所得税。</w:t>
      </w:r>
    </w:p>
    <w:p>
      <w:pPr>
        <w:pStyle w:val="BodyText"/>
        <w:spacing w:line="288" w:lineRule="auto" w:before="150"/>
        <w:ind w:right="151" w:firstLine="480"/>
        <w:jc w:val="both"/>
      </w:pPr>
      <w:r>
        <w:rPr/>
        <w:t>二零零七年度按应纳税所得额的</w:t>
      </w:r>
      <w:r>
        <w:rPr>
          <w:spacing w:val="-42"/>
        </w:rPr>
        <w:t> </w:t>
      </w:r>
      <w:r>
        <w:rPr>
          <w:rFonts w:ascii="Times New Roman" w:hAnsi="Times New Roman" w:cs="Times New Roman" w:eastAsia="Times New Roman" w:hint="default"/>
        </w:rPr>
        <w:t>10%</w:t>
      </w:r>
      <w:r>
        <w:rPr/>
        <w:t>税率计算缴纳；根据二零零八年二月二十六日国家 </w:t>
      </w:r>
      <w:r>
        <w:rPr>
          <w:spacing w:val="-2"/>
        </w:rPr>
        <w:t>发展和改革委员会、信息产业部、商务部、国家税务总局以发改高技</w:t>
      </w:r>
      <w:r>
        <w:rPr>
          <w:rFonts w:ascii="Times New Roman" w:hAnsi="Times New Roman" w:cs="Times New Roman" w:eastAsia="Times New Roman" w:hint="default"/>
          <w:spacing w:val="-2"/>
        </w:rPr>
        <w:t>[2008]513</w:t>
      </w:r>
      <w:r>
        <w:rPr>
          <w:rFonts w:ascii="Times New Roman" w:hAnsi="Times New Roman" w:cs="Times New Roman" w:eastAsia="Times New Roman" w:hint="default"/>
          <w:spacing w:val="6"/>
        </w:rPr>
        <w:t> </w:t>
      </w:r>
      <w:r>
        <w:rPr/>
        <w:t>号联合下发了 </w:t>
      </w:r>
      <w:r>
        <w:rPr>
          <w:spacing w:val="-5"/>
        </w:rPr>
        <w:t>“关于发布二零零七年度国家规划布局内重点软件企业名单的通知”，通知规定国家规划布局</w:t>
      </w:r>
    </w:p>
    <w:p>
      <w:pPr>
        <w:spacing w:after="0" w:line="288" w:lineRule="auto"/>
        <w:jc w:val="both"/>
        <w:sectPr>
          <w:pgSz w:w="11910" w:h="16840"/>
          <w:pgMar w:header="877" w:footer="1022" w:top="1100" w:bottom="1220" w:left="980" w:right="980"/>
        </w:sectPr>
      </w:pPr>
    </w:p>
    <w:p>
      <w:pPr>
        <w:spacing w:line="240" w:lineRule="auto" w:before="4"/>
        <w:rPr>
          <w:rFonts w:ascii="宋体" w:hAnsi="宋体" w:cs="宋体" w:eastAsia="宋体" w:hint="default"/>
          <w:sz w:val="26"/>
          <w:szCs w:val="26"/>
        </w:rPr>
      </w:pPr>
    </w:p>
    <w:p>
      <w:pPr>
        <w:pStyle w:val="BodyText"/>
        <w:spacing w:line="288" w:lineRule="auto" w:before="26"/>
        <w:ind w:right="151"/>
        <w:jc w:val="both"/>
      </w:pPr>
      <w:r>
        <w:rPr/>
        <w:t>内的重点软件企业二零零七年当年未享受免税优惠的，减按</w:t>
      </w:r>
      <w:r>
        <w:rPr>
          <w:spacing w:val="-42"/>
        </w:rPr>
        <w:t> </w:t>
      </w:r>
      <w:r>
        <w:rPr>
          <w:rFonts w:ascii="Times New Roman" w:hAnsi="Times New Roman" w:cs="Times New Roman" w:eastAsia="Times New Roman" w:hint="default"/>
        </w:rPr>
        <w:t>10%</w:t>
      </w:r>
      <w:r>
        <w:rPr/>
        <w:t>的税率征收企业所得税。本 公司被认定为二零零七年度国家规划布局内重点软件企业。</w:t>
      </w:r>
    </w:p>
    <w:p>
      <w:pPr>
        <w:pStyle w:val="BodyText"/>
        <w:spacing w:line="374" w:lineRule="auto" w:before="158"/>
        <w:ind w:left="633" w:right="0" w:firstLine="15"/>
        <w:jc w:val="left"/>
      </w:pPr>
      <w:r>
        <w:rPr>
          <w:rFonts w:ascii="Times New Roman" w:hAnsi="Times New Roman" w:cs="Times New Roman" w:eastAsia="Times New Roman" w:hint="default"/>
          <w:spacing w:val="6"/>
        </w:rPr>
        <w:t>(2)</w:t>
      </w:r>
      <w:r>
        <w:rPr>
          <w:spacing w:val="6"/>
        </w:rPr>
        <w:t>诚和伟业</w:t>
      </w:r>
      <w:r>
        <w:rPr>
          <w:spacing w:val="8"/>
          <w:w w:val="99"/>
        </w:rPr>
        <w:t> </w:t>
      </w:r>
      <w:r>
        <w:rPr>
          <w:spacing w:val="5"/>
        </w:rPr>
        <w:t>二零零五年九月二十二日诚和伟业经北京市科学技术委员会认定为高新技术企业</w:t>
      </w:r>
      <w:r>
        <w:rPr>
          <w:rFonts w:ascii="Times New Roman" w:hAnsi="Times New Roman" w:cs="Times New Roman" w:eastAsia="Times New Roman" w:hint="default"/>
          <w:spacing w:val="5"/>
        </w:rPr>
        <w:t>,</w:t>
      </w:r>
      <w:r>
        <w:rPr>
          <w:spacing w:val="5"/>
        </w:rPr>
        <w:t>证书</w:t>
      </w:r>
      <w:r>
        <w:rPr/>
      </w:r>
    </w:p>
    <w:p>
      <w:pPr>
        <w:pStyle w:val="BodyText"/>
        <w:spacing w:line="251" w:lineRule="exact"/>
        <w:ind w:right="0"/>
        <w:jc w:val="both"/>
      </w:pPr>
      <w:r>
        <w:rPr/>
        <w:t>编号</w:t>
      </w:r>
      <w:r>
        <w:rPr>
          <w:rFonts w:ascii="Times New Roman" w:hAnsi="Times New Roman" w:cs="Times New Roman" w:eastAsia="Times New Roman" w:hint="default"/>
        </w:rPr>
        <w:t>:</w:t>
      </w:r>
      <w:r>
        <w:rPr/>
        <w:t>京科高字</w:t>
      </w:r>
      <w:r>
        <w:rPr>
          <w:spacing w:val="-54"/>
        </w:rPr>
        <w:t> </w:t>
      </w:r>
      <w:r>
        <w:rPr>
          <w:rFonts w:ascii="Times New Roman" w:hAnsi="Times New Roman" w:cs="Times New Roman" w:eastAsia="Times New Roman" w:hint="default"/>
        </w:rPr>
        <w:t>0511008A12722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(GF16639),</w:t>
      </w:r>
      <w:r>
        <w:rPr/>
        <w:t>有效期两年。根据北京市国家税务局《转发国家</w:t>
      </w:r>
    </w:p>
    <w:p>
      <w:pPr>
        <w:pStyle w:val="BodyText"/>
        <w:spacing w:line="288" w:lineRule="auto" w:before="68"/>
        <w:ind w:right="148"/>
        <w:jc w:val="both"/>
      </w:pPr>
      <w:r>
        <w:rPr/>
        <w:t>税务总局〈关于企业所得税几个业务问题的通知〉的通知》</w:t>
      </w:r>
      <w:r>
        <w:rPr>
          <w:rFonts w:ascii="Times New Roman" w:hAnsi="Times New Roman" w:cs="Times New Roman" w:eastAsia="Times New Roman" w:hint="default"/>
        </w:rPr>
        <w:t>(</w:t>
      </w:r>
      <w:r>
        <w:rPr/>
        <w:t>京国税发</w:t>
      </w:r>
      <w:r>
        <w:rPr>
          <w:rFonts w:ascii="Times New Roman" w:hAnsi="Times New Roman" w:cs="Times New Roman" w:eastAsia="Times New Roman" w:hint="default"/>
        </w:rPr>
        <w:t>[1994]068</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文件的有 关规定：高新技术企业减按</w:t>
      </w:r>
      <w:r>
        <w:rPr>
          <w:spacing w:val="-42"/>
        </w:rPr>
        <w:t> </w:t>
      </w:r>
      <w:r>
        <w:rPr>
          <w:rFonts w:ascii="Times New Roman" w:hAnsi="Times New Roman" w:cs="Times New Roman" w:eastAsia="Times New Roman" w:hint="default"/>
        </w:rPr>
        <w:t>15%</w:t>
      </w:r>
      <w:r>
        <w:rPr/>
        <w:t>税率征收企业所得税；自开办之日起，三年内免征企业所得 </w:t>
      </w:r>
      <w:r>
        <w:rPr>
          <w:spacing w:val="-5"/>
        </w:rPr>
        <w:t>税；第四至六年可按</w:t>
      </w:r>
      <w:r>
        <w:rPr>
          <w:spacing w:val="-69"/>
        </w:rPr>
        <w:t> </w:t>
      </w:r>
      <w:r>
        <w:rPr>
          <w:rFonts w:ascii="Times New Roman" w:hAnsi="Times New Roman" w:cs="Times New Roman" w:eastAsia="Times New Roman" w:hint="default"/>
        </w:rPr>
        <w:t>15%</w:t>
      </w:r>
      <w:r>
        <w:rPr/>
        <w:t>税率减半征收企业所得税。二零零七年度诚和伟业按</w:t>
      </w:r>
      <w:r>
        <w:rPr>
          <w:spacing w:val="-70"/>
        </w:rPr>
        <w:t> </w:t>
      </w:r>
      <w:r>
        <w:rPr>
          <w:rFonts w:ascii="Times New Roman" w:hAnsi="Times New Roman" w:cs="Times New Roman" w:eastAsia="Times New Roman" w:hint="default"/>
        </w:rPr>
        <w:t>7.5%</w:t>
      </w:r>
      <w:r>
        <w:rPr/>
        <w:t>的企业所 得税税率缴纳企业所得税。</w:t>
      </w:r>
    </w:p>
    <w:p>
      <w:pPr>
        <w:pStyle w:val="BodyText"/>
        <w:spacing w:line="240" w:lineRule="auto" w:before="157"/>
        <w:ind w:left="649" w:right="0"/>
        <w:jc w:val="left"/>
      </w:pPr>
      <w:r>
        <w:rPr>
          <w:rFonts w:ascii="Times New Roman" w:hAnsi="Times New Roman" w:cs="Times New Roman" w:eastAsia="Times New Roman" w:hint="default"/>
          <w:spacing w:val="6"/>
        </w:rPr>
        <w:t>(3)</w:t>
      </w:r>
      <w:r>
        <w:rPr>
          <w:spacing w:val="6"/>
        </w:rPr>
        <w:t>荣信科技</w:t>
      </w:r>
      <w:r>
        <w:rPr/>
      </w:r>
    </w:p>
    <w:p>
      <w:pPr>
        <w:pStyle w:val="BodyText"/>
        <w:spacing w:line="297" w:lineRule="auto" w:before="187"/>
        <w:ind w:right="141" w:firstLine="480"/>
        <w:jc w:val="both"/>
      </w:pPr>
      <w:r>
        <w:rPr/>
        <w:t>根据财政部、国家税务总局、海关总署财税</w:t>
      </w:r>
      <w:r>
        <w:rPr>
          <w:rFonts w:ascii="Times New Roman" w:hAnsi="Times New Roman" w:cs="Times New Roman" w:eastAsia="Times New Roman" w:hint="default"/>
        </w:rPr>
        <w:t>[2000]25</w:t>
      </w:r>
      <w:r>
        <w:rPr>
          <w:rFonts w:ascii="Times New Roman" w:hAnsi="Times New Roman" w:cs="Times New Roman" w:eastAsia="Times New Roman" w:hint="default"/>
          <w:spacing w:val="51"/>
        </w:rPr>
        <w:t> </w:t>
      </w:r>
      <w:r>
        <w:rPr/>
        <w:t>号文《关于〈鼓励软件产业和集成 电路产业发展有关税收政策问题〉的通知》的有关规定，在我国境内新办的软件生产企业认</w:t>
      </w:r>
      <w:r>
        <w:rPr>
          <w:spacing w:val="-83"/>
        </w:rPr>
        <w:t> </w:t>
      </w:r>
      <w:r>
        <w:rPr>
          <w:spacing w:val="-83"/>
        </w:rPr>
      </w:r>
      <w:r>
        <w:rPr/>
        <w:t>定后，自开始获利年度起，第一年和第二年免征企业所得税，第三年至第五年减半征收企业</w:t>
      </w:r>
      <w:r>
        <w:rPr>
          <w:spacing w:val="-83"/>
        </w:rPr>
        <w:t> </w:t>
      </w:r>
      <w:r>
        <w:rPr>
          <w:spacing w:val="-83"/>
        </w:rPr>
      </w:r>
      <w:r>
        <w:rPr/>
        <w:t>所得税的税收优惠政策。二零零五年十二月二十九日鞍山市开发区国家税务局以鞍开国税免</w:t>
      </w:r>
      <w:r>
        <w:rPr>
          <w:spacing w:val="-83"/>
        </w:rPr>
        <w:t> </w:t>
      </w:r>
      <w:r>
        <w:rPr>
          <w:spacing w:val="-83"/>
        </w:rPr>
      </w:r>
      <w:r>
        <w:rPr/>
        <w:t>字</w:t>
      </w:r>
      <w:r>
        <w:rPr>
          <w:rFonts w:ascii="Times New Roman" w:hAnsi="Times New Roman" w:cs="Times New Roman" w:eastAsia="Times New Roman" w:hint="default"/>
        </w:rPr>
        <w:t>(2005)</w:t>
      </w:r>
      <w:r>
        <w:rPr/>
        <w:t>第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号文《减、免税批准通知书》批准</w:t>
      </w:r>
      <w:r>
        <w:rPr>
          <w:rFonts w:ascii="Times New Roman" w:hAnsi="Times New Roman" w:cs="Times New Roman" w:eastAsia="Times New Roman" w:hint="default"/>
        </w:rPr>
        <w:t>:</w:t>
      </w:r>
      <w:r>
        <w:rPr/>
        <w:t>荣信科技自开始获利年度起，享受“两免三 减半”政策。免税期限：二零零五年一月一日至二零零六年十二月三十一日；减税期限：二</w:t>
      </w:r>
      <w:r>
        <w:rPr>
          <w:spacing w:val="-83"/>
        </w:rPr>
        <w:t> </w:t>
      </w:r>
      <w:r>
        <w:rPr>
          <w:spacing w:val="-83"/>
        </w:rPr>
      </w:r>
      <w:r>
        <w:rPr/>
        <w:t>零零七年一月一日至二零零九年十二月三十一日，减税幅度</w:t>
      </w:r>
      <w:r>
        <w:rPr>
          <w:spacing w:val="-66"/>
        </w:rPr>
        <w:t> </w:t>
      </w:r>
      <w:r>
        <w:rPr>
          <w:rFonts w:ascii="Times New Roman" w:hAnsi="Times New Roman" w:cs="Times New Roman" w:eastAsia="Times New Roman" w:hint="default"/>
          <w:spacing w:val="2"/>
        </w:rPr>
        <w:t>50%</w:t>
      </w:r>
      <w:r>
        <w:rPr>
          <w:spacing w:val="2"/>
        </w:rPr>
        <w:t>。二零零七年度荣信科技按</w:t>
      </w:r>
      <w:r>
        <w:rPr>
          <w:spacing w:val="8"/>
        </w:rPr>
        <w:t> </w:t>
      </w:r>
      <w:r>
        <w:rPr>
          <w:rFonts w:ascii="Times New Roman" w:hAnsi="Times New Roman" w:cs="Times New Roman" w:eastAsia="Times New Roman" w:hint="default"/>
        </w:rPr>
        <w:t>16.5%</w:t>
      </w:r>
      <w:r>
        <w:rPr/>
        <w:t>的企业所得税税率缴纳企业所得税。</w:t>
      </w:r>
    </w:p>
    <w:p>
      <w:pPr>
        <w:pStyle w:val="BodyText"/>
        <w:spacing w:line="240" w:lineRule="auto" w:before="123"/>
        <w:ind w:left="633" w:right="0"/>
        <w:jc w:val="left"/>
      </w:pPr>
      <w:r>
        <w:rPr>
          <w:rFonts w:ascii="Times New Roman" w:hAnsi="Times New Roman" w:cs="Times New Roman" w:eastAsia="Times New Roman" w:hint="default"/>
        </w:rPr>
        <w:t>(4)</w:t>
      </w:r>
      <w:r>
        <w:rPr/>
        <w:t>清方荣信</w:t>
      </w:r>
    </w:p>
    <w:p>
      <w:pPr>
        <w:pStyle w:val="BodyText"/>
        <w:spacing w:line="376" w:lineRule="auto" w:before="187"/>
        <w:ind w:left="633" w:right="2299"/>
        <w:jc w:val="left"/>
      </w:pPr>
      <w:r>
        <w:rPr/>
        <w:t>二零零七年度清方荣信按</w:t>
      </w:r>
      <w:r>
        <w:rPr>
          <w:spacing w:val="-48"/>
        </w:rPr>
        <w:t> </w:t>
      </w:r>
      <w:r>
        <w:rPr>
          <w:rFonts w:ascii="Times New Roman" w:hAnsi="Times New Roman" w:cs="Times New Roman" w:eastAsia="Times New Roman" w:hint="default"/>
        </w:rPr>
        <w:t>33%</w:t>
      </w:r>
      <w:r>
        <w:rPr/>
        <w:t>的企业所得税税率缴纳企业所得税。</w:t>
      </w:r>
      <w:r>
        <w:rPr>
          <w:spacing w:val="-118"/>
        </w:rPr>
        <w:t> </w:t>
      </w:r>
      <w:r>
        <w:rPr>
          <w:rFonts w:ascii="Times New Roman" w:hAnsi="Times New Roman" w:cs="Times New Roman" w:eastAsia="Times New Roman" w:hint="default"/>
        </w:rPr>
        <w:t>(5)</w:t>
      </w:r>
      <w:r>
        <w:rPr/>
        <w:t>荣信嘉时</w:t>
      </w:r>
    </w:p>
    <w:p>
      <w:pPr>
        <w:pStyle w:val="BodyText"/>
        <w:spacing w:line="288" w:lineRule="auto" w:before="36"/>
        <w:ind w:right="145" w:firstLine="480"/>
        <w:jc w:val="both"/>
      </w:pPr>
      <w:r>
        <w:rPr>
          <w:spacing w:val="5"/>
        </w:rPr>
        <w:t>二零零七年十月十九日荣信嘉时经北京市科学技术委员会认定为高新技术企业</w:t>
      </w:r>
      <w:r>
        <w:rPr>
          <w:rFonts w:ascii="Times New Roman" w:hAnsi="Times New Roman" w:cs="Times New Roman" w:eastAsia="Times New Roman" w:hint="default"/>
          <w:spacing w:val="5"/>
        </w:rPr>
        <w:t>,</w:t>
      </w:r>
      <w:r>
        <w:rPr>
          <w:spacing w:val="5"/>
        </w:rPr>
        <w:t>证书编</w:t>
      </w:r>
      <w:r>
        <w:rPr>
          <w:spacing w:val="4"/>
        </w:rPr>
        <w:t> </w:t>
      </w:r>
      <w:r>
        <w:rPr/>
        <w:t>号</w:t>
      </w:r>
      <w:r>
        <w:rPr>
          <w:rFonts w:ascii="Times New Roman" w:hAnsi="Times New Roman" w:cs="Times New Roman" w:eastAsia="Times New Roman" w:hint="default"/>
        </w:rPr>
        <w:t>:</w:t>
      </w:r>
      <w:r>
        <w:rPr/>
        <w:t>京科高字</w:t>
      </w:r>
      <w:r>
        <w:rPr>
          <w:spacing w:val="-47"/>
        </w:rPr>
        <w:t> </w:t>
      </w:r>
      <w:r>
        <w:rPr>
          <w:rFonts w:ascii="Times New Roman" w:hAnsi="Times New Roman" w:cs="Times New Roman" w:eastAsia="Times New Roman" w:hint="default"/>
        </w:rPr>
        <w:t>0711008A27167</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(GF21608),</w:t>
      </w:r>
      <w:r>
        <w:rPr/>
        <w:t>有效期两年。根据北京市国家税务局《转发国家税 务总局〈关于企业所得税几个业务问题的通知〉的通知》</w:t>
      </w:r>
      <w:r>
        <w:rPr>
          <w:rFonts w:ascii="Times New Roman" w:hAnsi="Times New Roman" w:cs="Times New Roman" w:eastAsia="Times New Roman" w:hint="default"/>
        </w:rPr>
        <w:t>(</w:t>
      </w:r>
      <w:r>
        <w:rPr/>
        <w:t>京国税发</w:t>
      </w:r>
      <w:r>
        <w:rPr>
          <w:rFonts w:ascii="Times New Roman" w:hAnsi="Times New Roman" w:cs="Times New Roman" w:eastAsia="Times New Roman" w:hint="default"/>
        </w:rPr>
        <w:t>[1994]068</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文件的有关 规定：高新技术企业减按</w:t>
      </w:r>
      <w:r>
        <w:rPr>
          <w:spacing w:val="-72"/>
        </w:rPr>
        <w:t> </w:t>
      </w:r>
      <w:r>
        <w:rPr>
          <w:rFonts w:ascii="Times New Roman" w:hAnsi="Times New Roman" w:cs="Times New Roman" w:eastAsia="Times New Roman" w:hint="default"/>
        </w:rPr>
        <w:t>15%</w:t>
      </w:r>
      <w:r>
        <w:rPr/>
        <w:t>税率征收企业所得税。二零零七年度荣信嘉时按</w:t>
      </w:r>
      <w:r>
        <w:rPr>
          <w:spacing w:val="-72"/>
        </w:rPr>
        <w:t> </w:t>
      </w:r>
      <w:r>
        <w:rPr>
          <w:rFonts w:ascii="Times New Roman" w:hAnsi="Times New Roman" w:cs="Times New Roman" w:eastAsia="Times New Roman" w:hint="default"/>
        </w:rPr>
        <w:t>15%</w:t>
      </w:r>
      <w:r>
        <w:rPr/>
        <w:t>的企业所 得税税率缴纳企业所得税。</w:t>
      </w:r>
    </w:p>
    <w:p>
      <w:pPr>
        <w:spacing w:line="386" w:lineRule="auto" w:before="158"/>
        <w:ind w:left="649" w:right="2288" w:firstLine="2"/>
        <w:jc w:val="left"/>
        <w:rPr>
          <w:rFonts w:ascii="黑体" w:hAnsi="黑体" w:cs="黑体" w:eastAsia="黑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14"/>
          <w:sz w:val="24"/>
          <w:szCs w:val="24"/>
        </w:rPr>
        <w:t> </w:t>
      </w:r>
      <w:r>
        <w:rPr>
          <w:rFonts w:ascii="宋体" w:hAnsi="宋体" w:cs="宋体" w:eastAsia="宋体" w:hint="default"/>
          <w:b/>
          <w:bCs/>
          <w:spacing w:val="8"/>
          <w:sz w:val="24"/>
          <w:szCs w:val="24"/>
        </w:rPr>
        <w:t>个人所得税</w:t>
      </w:r>
      <w:r>
        <w:rPr>
          <w:rFonts w:ascii="宋体" w:hAnsi="宋体" w:cs="宋体" w:eastAsia="宋体" w:hint="default"/>
          <w:b/>
          <w:bCs/>
          <w:spacing w:val="8"/>
          <w:w w:val="99"/>
          <w:sz w:val="24"/>
          <w:szCs w:val="24"/>
        </w:rPr>
        <w:t> </w:t>
      </w:r>
      <w:r>
        <w:rPr>
          <w:rFonts w:ascii="宋体" w:hAnsi="宋体" w:cs="宋体" w:eastAsia="宋体" w:hint="default"/>
          <w:spacing w:val="7"/>
          <w:sz w:val="24"/>
          <w:szCs w:val="24"/>
        </w:rPr>
        <w:t>员工的个人所得税由本公司及其子公司代扣代缴。</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黑体" w:hAnsi="黑体" w:cs="黑体" w:eastAsia="黑体" w:hint="default"/>
          <w:b/>
          <w:bCs/>
          <w:spacing w:val="8"/>
          <w:sz w:val="24"/>
          <w:szCs w:val="24"/>
        </w:rPr>
        <w:t>六、企业合并及合并财务报表</w:t>
      </w:r>
      <w:r>
        <w:rPr>
          <w:rFonts w:ascii="黑体" w:hAnsi="黑体" w:cs="黑体" w:eastAsia="黑体" w:hint="default"/>
          <w:sz w:val="24"/>
          <w:szCs w:val="24"/>
        </w:rPr>
      </w:r>
    </w:p>
    <w:p>
      <w:pPr>
        <w:pStyle w:val="Heading4"/>
        <w:spacing w:line="240" w:lineRule="auto" w:before="60"/>
        <w:ind w:left="651" w:right="0"/>
        <w:jc w:val="left"/>
        <w:rPr>
          <w:b w:val="0"/>
          <w:bCs w:val="0"/>
        </w:rPr>
      </w:pPr>
      <w:r>
        <w:rPr>
          <w:rFonts w:ascii="Times New Roman" w:hAnsi="Times New Roman" w:cs="Times New Roman" w:eastAsia="Times New Roman" w:hint="default"/>
        </w:rPr>
        <w:t>1</w:t>
      </w:r>
      <w:r>
        <w:rPr/>
        <w:t>．</w:t>
      </w:r>
      <w:r>
        <w:rPr>
          <w:spacing w:val="-4"/>
        </w:rPr>
        <w:t> </w:t>
      </w:r>
      <w:r>
        <w:rPr>
          <w:spacing w:val="9"/>
        </w:rPr>
        <w:t>合并范围的确定原则、合并报表编制的依据及方法</w:t>
      </w:r>
      <w:r>
        <w:rPr>
          <w:b w:val="0"/>
          <w:bCs w:val="0"/>
        </w:rPr>
      </w:r>
    </w:p>
    <w:p>
      <w:pPr>
        <w:spacing w:after="0" w:line="240" w:lineRule="auto"/>
        <w:jc w:val="left"/>
        <w:sectPr>
          <w:pgSz w:w="11910" w:h="16840"/>
          <w:pgMar w:header="877" w:footer="1022" w:top="1100" w:bottom="1220" w:left="980" w:right="980"/>
        </w:sectPr>
      </w:pPr>
    </w:p>
    <w:p>
      <w:pPr>
        <w:spacing w:line="240" w:lineRule="auto" w:before="4"/>
        <w:rPr>
          <w:rFonts w:ascii="宋体" w:hAnsi="宋体" w:cs="宋体" w:eastAsia="宋体" w:hint="default"/>
          <w:b/>
          <w:bCs/>
          <w:sz w:val="26"/>
          <w:szCs w:val="26"/>
        </w:rPr>
      </w:pPr>
    </w:p>
    <w:p>
      <w:pPr>
        <w:pStyle w:val="BodyText"/>
        <w:spacing w:line="374" w:lineRule="auto" w:before="26"/>
        <w:ind w:left="634" w:right="0"/>
        <w:jc w:val="left"/>
      </w:pPr>
      <w:r>
        <w:rPr>
          <w:rFonts w:ascii="Times New Roman" w:hAnsi="Times New Roman" w:cs="Times New Roman" w:eastAsia="Times New Roman" w:hint="default"/>
        </w:rPr>
        <w:t>(1)</w:t>
      </w:r>
      <w:r>
        <w:rPr/>
        <w:t>确定原则</w:t>
      </w:r>
      <w:r>
        <w:rPr>
          <w:spacing w:val="-1"/>
          <w:w w:val="99"/>
        </w:rPr>
        <w:t> </w:t>
      </w:r>
      <w:r>
        <w:rPr/>
        <w:t>合并财务报表的合并范围以控制为基础予以确定。控制是指本公司能够决定被投资单位</w:t>
      </w:r>
    </w:p>
    <w:p>
      <w:pPr>
        <w:pStyle w:val="BodyText"/>
        <w:spacing w:line="285" w:lineRule="exact"/>
        <w:ind w:right="0"/>
        <w:jc w:val="left"/>
      </w:pPr>
      <w:r>
        <w:rPr/>
        <w:t>的财务和经营政策</w:t>
      </w:r>
      <w:r>
        <w:rPr>
          <w:rFonts w:ascii="Times New Roman" w:hAnsi="Times New Roman" w:cs="Times New Roman" w:eastAsia="Times New Roman" w:hint="default"/>
        </w:rPr>
        <w:t>,</w:t>
      </w:r>
      <w:r>
        <w:rPr/>
        <w:t>并能据以从被投资单位的经营活动中获取利益的权力。本公司对其他单位</w:t>
      </w:r>
    </w:p>
    <w:p>
      <w:pPr>
        <w:pStyle w:val="BodyText"/>
        <w:spacing w:line="240" w:lineRule="auto" w:before="67"/>
        <w:ind w:right="0"/>
        <w:jc w:val="left"/>
        <w:rPr>
          <w:rFonts w:ascii="Times New Roman" w:hAnsi="Times New Roman" w:cs="Times New Roman" w:eastAsia="Times New Roman" w:hint="default"/>
        </w:rPr>
      </w:pPr>
      <w:r>
        <w:rPr/>
        <w:t>投资占被投资单位有表决权资本总额</w:t>
      </w:r>
      <w:r>
        <w:rPr>
          <w:spacing w:val="-78"/>
        </w:rPr>
        <w:t> </w:t>
      </w:r>
      <w:r>
        <w:rPr>
          <w:rFonts w:ascii="Times New Roman" w:hAnsi="Times New Roman" w:cs="Times New Roman" w:eastAsia="Times New Roman" w:hint="default"/>
        </w:rPr>
        <w:t>50</w:t>
      </w:r>
      <w:r>
        <w:rPr/>
        <w:t>％以上</w:t>
      </w:r>
      <w:r>
        <w:rPr>
          <w:rFonts w:ascii="Times New Roman" w:hAnsi="Times New Roman" w:cs="Times New Roman" w:eastAsia="Times New Roman" w:hint="default"/>
        </w:rPr>
        <w:t>(</w:t>
      </w:r>
      <w:r>
        <w:rPr/>
        <w:t>不含</w:t>
      </w:r>
      <w:r>
        <w:rPr>
          <w:spacing w:val="-78"/>
        </w:rPr>
        <w:t> </w:t>
      </w:r>
      <w:r>
        <w:rPr>
          <w:rFonts w:ascii="Times New Roman" w:hAnsi="Times New Roman" w:cs="Times New Roman" w:eastAsia="Times New Roman" w:hint="default"/>
        </w:rPr>
        <w:t>50%</w:t>
      </w:r>
      <w:r>
        <w:rPr/>
        <w:t>，有证据表明不能实施控制的除外</w:t>
      </w:r>
      <w:r>
        <w:rPr>
          <w:rFonts w:ascii="Times New Roman" w:hAnsi="Times New Roman" w:cs="Times New Roman" w:eastAsia="Times New Roman" w:hint="default"/>
        </w:rPr>
        <w:t>),</w:t>
      </w:r>
    </w:p>
    <w:p>
      <w:pPr>
        <w:pStyle w:val="BodyText"/>
        <w:spacing w:line="376" w:lineRule="auto" w:before="67"/>
        <w:ind w:left="633" w:right="4171" w:hanging="480"/>
        <w:jc w:val="left"/>
      </w:pPr>
      <w:r>
        <w:rPr/>
        <w:t>或虽不足</w:t>
      </w:r>
      <w:r>
        <w:rPr>
          <w:spacing w:val="-60"/>
        </w:rPr>
        <w:t> </w:t>
      </w:r>
      <w:r>
        <w:rPr>
          <w:rFonts w:ascii="Times New Roman" w:hAnsi="Times New Roman" w:cs="Times New Roman" w:eastAsia="Times New Roman" w:hint="default"/>
        </w:rPr>
        <w:t>50%</w:t>
      </w:r>
      <w:r>
        <w:rPr/>
        <w:t>但有实质控制权的</w:t>
      </w:r>
      <w:r>
        <w:rPr>
          <w:rFonts w:ascii="Times New Roman" w:hAnsi="Times New Roman" w:cs="Times New Roman" w:eastAsia="Times New Roman" w:hint="default"/>
        </w:rPr>
        <w:t>,</w:t>
      </w:r>
      <w:r>
        <w:rPr/>
        <w:t>全部纳入合并范围。 </w:t>
      </w:r>
      <w:r>
        <w:rPr>
          <w:rFonts w:ascii="Times New Roman" w:hAnsi="Times New Roman" w:cs="Times New Roman" w:eastAsia="Times New Roman" w:hint="default"/>
        </w:rPr>
        <w:t>(2)</w:t>
      </w:r>
      <w:r>
        <w:rPr/>
        <w:t>编制方法</w:t>
      </w:r>
    </w:p>
    <w:p>
      <w:pPr>
        <w:pStyle w:val="BodyText"/>
        <w:spacing w:line="240" w:lineRule="auto" w:before="36"/>
        <w:ind w:left="633" w:right="0"/>
        <w:jc w:val="left"/>
      </w:pPr>
      <w:r>
        <w:rPr/>
        <w:t>① 合并财务报表基本编制方法</w:t>
      </w:r>
    </w:p>
    <w:p>
      <w:pPr>
        <w:pStyle w:val="BodyText"/>
        <w:spacing w:line="288" w:lineRule="auto" w:before="205"/>
        <w:ind w:left="154" w:right="144" w:firstLine="480"/>
        <w:jc w:val="both"/>
      </w:pPr>
      <w:r>
        <w:rPr>
          <w:spacing w:val="3"/>
        </w:rPr>
        <w:t>合并财务报表以母公司和纳入合并范围的子公司的财务报表为基础</w:t>
      </w:r>
      <w:r>
        <w:rPr>
          <w:rFonts w:ascii="Times New Roman" w:hAnsi="Times New Roman" w:cs="Times New Roman" w:eastAsia="Times New Roman" w:hint="default"/>
          <w:spacing w:val="3"/>
        </w:rPr>
        <w:t>,</w:t>
      </w:r>
      <w:r>
        <w:rPr>
          <w:spacing w:val="3"/>
        </w:rPr>
        <w:t>根据其他有关资料</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spacing w:val="4"/>
        </w:rPr>
        <w:t>按照权益法调整对子公司的长期股权投资</w:t>
      </w:r>
      <w:r>
        <w:rPr>
          <w:rFonts w:ascii="Times New Roman" w:hAnsi="Times New Roman" w:cs="Times New Roman" w:eastAsia="Times New Roman" w:hint="default"/>
          <w:spacing w:val="4"/>
        </w:rPr>
        <w:t>,</w:t>
      </w:r>
      <w:r>
        <w:rPr>
          <w:spacing w:val="4"/>
        </w:rPr>
        <w:t>在抵销母公司权益性资本投资与子公司所有者权</w:t>
      </w:r>
      <w:r>
        <w:rPr>
          <w:spacing w:val="-81"/>
        </w:rPr>
        <w:t> </w:t>
      </w:r>
      <w:r>
        <w:rPr>
          <w:spacing w:val="-1"/>
        </w:rPr>
        <w:t>益中母公司所持有的份额和公司内部之间重大交易及内部往来后编制而成。少数股东权益</w:t>
      </w:r>
      <w:r>
        <w:rPr>
          <w:rFonts w:ascii="Times New Roman" w:hAnsi="Times New Roman" w:cs="Times New Roman" w:eastAsia="Times New Roman" w:hint="default"/>
          <w:spacing w:val="-1"/>
        </w:rPr>
        <w:t>,</w:t>
      </w:r>
      <w:r>
        <w:rPr>
          <w:spacing w:val="-1"/>
        </w:rPr>
        <w:t>在</w:t>
      </w:r>
      <w:r>
        <w:rPr>
          <w:spacing w:val="-101"/>
        </w:rPr>
        <w:t> </w:t>
      </w:r>
      <w:r>
        <w:rPr>
          <w:spacing w:val="-1"/>
        </w:rPr>
        <w:t>合并资产负债表中所有者权益项目下以“少数股东权益”项目列示。少数股东损益</w:t>
      </w:r>
      <w:r>
        <w:rPr>
          <w:rFonts w:ascii="Times New Roman" w:hAnsi="Times New Roman" w:cs="Times New Roman" w:eastAsia="Times New Roman" w:hint="default"/>
          <w:spacing w:val="-1"/>
        </w:rPr>
        <w:t>,</w:t>
      </w:r>
      <w:r>
        <w:rPr>
          <w:spacing w:val="-1"/>
        </w:rPr>
        <w:t>在合并利</w:t>
      </w:r>
      <w:r>
        <w:rPr>
          <w:spacing w:val="-103"/>
        </w:rPr>
        <w:t> </w:t>
      </w:r>
      <w:r>
        <w:rPr/>
        <w:t>润表中净利润项目下以“少数股东损益”项目列示。</w:t>
      </w:r>
    </w:p>
    <w:p>
      <w:pPr>
        <w:pStyle w:val="BodyText"/>
        <w:spacing w:line="396" w:lineRule="auto" w:before="157"/>
        <w:ind w:left="634" w:right="0"/>
        <w:jc w:val="left"/>
      </w:pPr>
      <w:r>
        <w:rPr/>
        <w:t>② 报告期内增加或处置子公司的处理方法 母公司在报告期内因同一控制下企业合并增加的子公司，编制合并资产负债表时，应当</w:t>
      </w:r>
    </w:p>
    <w:p>
      <w:pPr>
        <w:pStyle w:val="BodyText"/>
        <w:spacing w:line="245" w:lineRule="exact"/>
        <w:ind w:left="154" w:right="0"/>
        <w:jc w:val="left"/>
      </w:pPr>
      <w:r>
        <w:rPr/>
        <w:t>调整合并资产负债表的期初数。因非同一控制下企业合并增加的子公司，编制合并资产负债</w:t>
      </w:r>
    </w:p>
    <w:p>
      <w:pPr>
        <w:pStyle w:val="BodyText"/>
        <w:spacing w:line="304" w:lineRule="auto" w:before="85"/>
        <w:ind w:left="154" w:right="0"/>
        <w:jc w:val="left"/>
      </w:pPr>
      <w:r>
        <w:rPr/>
        <w:t>表时，不调整合并资产负债表的期初数。母公司在报告期内处置子公司，编制合并资产负债</w:t>
      </w:r>
      <w:r>
        <w:rPr>
          <w:spacing w:val="-83"/>
        </w:rPr>
        <w:t> </w:t>
      </w:r>
      <w:r>
        <w:rPr>
          <w:spacing w:val="-83"/>
        </w:rPr>
      </w:r>
      <w:r>
        <w:rPr/>
        <w:t>表时，不调整合并资产负债表的期初数。</w:t>
      </w:r>
    </w:p>
    <w:p>
      <w:pPr>
        <w:pStyle w:val="BodyText"/>
        <w:spacing w:line="288" w:lineRule="auto" w:before="142"/>
        <w:ind w:left="154" w:right="144" w:firstLine="480"/>
        <w:jc w:val="both"/>
      </w:pPr>
      <w:r>
        <w:rPr>
          <w:spacing w:val="5"/>
        </w:rPr>
        <w:t>母公司在报告期内因同一控制下企业合并增加的子公司</w:t>
      </w:r>
      <w:r>
        <w:rPr>
          <w:rFonts w:ascii="Times New Roman" w:hAnsi="Times New Roman" w:cs="Times New Roman" w:eastAsia="Times New Roman" w:hint="default"/>
          <w:spacing w:val="5"/>
        </w:rPr>
        <w:t>,</w:t>
      </w:r>
      <w:r>
        <w:rPr>
          <w:spacing w:val="5"/>
        </w:rPr>
        <w:t>将该子公司合并当期期初至报 </w:t>
      </w:r>
      <w:r>
        <w:rPr>
          <w:spacing w:val="-1"/>
        </w:rPr>
        <w:t>告期末的收入、费用、利润纳入合并利润表。因非同一控制下企业合并增加的子公司</w:t>
      </w:r>
      <w:r>
        <w:rPr>
          <w:rFonts w:ascii="Times New Roman" w:hAnsi="Times New Roman" w:cs="Times New Roman" w:eastAsia="Times New Roman" w:hint="default"/>
          <w:spacing w:val="-1"/>
        </w:rPr>
        <w:t>,</w:t>
      </w:r>
      <w:r>
        <w:rPr>
          <w:spacing w:val="-1"/>
        </w:rPr>
        <w:t>将该子</w:t>
      </w:r>
      <w:r>
        <w:rPr>
          <w:spacing w:val="-103"/>
        </w:rPr>
        <w:t> </w:t>
      </w:r>
      <w:r>
        <w:rPr>
          <w:spacing w:val="-1"/>
        </w:rPr>
        <w:t>公司购买日至报告期末的收入、费用、利润纳入合并利润表。母公司在报告期内处置子公司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3"/>
        </w:rPr>
        <w:t> </w:t>
      </w:r>
      <w:r>
        <w:rPr/>
        <w:t>将该子公司期初至处置日的收入、费用、利润纳入合并利润表。</w:t>
      </w:r>
    </w:p>
    <w:p>
      <w:pPr>
        <w:pStyle w:val="BodyText"/>
        <w:spacing w:line="288" w:lineRule="auto" w:before="157"/>
        <w:ind w:left="154" w:right="144" w:firstLine="480"/>
        <w:jc w:val="both"/>
      </w:pPr>
      <w:r>
        <w:rPr>
          <w:spacing w:val="5"/>
        </w:rPr>
        <w:t>母公司在报告期内因同一控制下企业合并增加的子公司</w:t>
      </w:r>
      <w:r>
        <w:rPr>
          <w:rFonts w:ascii="Times New Roman" w:hAnsi="Times New Roman" w:cs="Times New Roman" w:eastAsia="Times New Roman" w:hint="default"/>
          <w:spacing w:val="5"/>
        </w:rPr>
        <w:t>,</w:t>
      </w:r>
      <w:r>
        <w:rPr>
          <w:spacing w:val="5"/>
        </w:rPr>
        <w:t>将该子公司合并当期期初至报 </w:t>
      </w:r>
      <w:r>
        <w:rPr>
          <w:spacing w:val="-1"/>
        </w:rPr>
        <w:t>告期末的现金流量纳入合并现金流量表。因非同一控制下企业合并增加的子公司</w:t>
      </w:r>
      <w:r>
        <w:rPr>
          <w:rFonts w:ascii="Times New Roman" w:hAnsi="Times New Roman" w:cs="Times New Roman" w:eastAsia="Times New Roman" w:hint="default"/>
          <w:spacing w:val="-1"/>
        </w:rPr>
        <w:t>,</w:t>
      </w:r>
      <w:r>
        <w:rPr>
          <w:spacing w:val="-1"/>
        </w:rPr>
        <w:t>将该子公司</w:t>
      </w:r>
      <w:r>
        <w:rPr>
          <w:spacing w:val="-101"/>
        </w:rPr>
        <w:t> </w:t>
      </w:r>
      <w:r>
        <w:rPr>
          <w:spacing w:val="-1"/>
        </w:rPr>
        <w:t>购买日至报告期末的现金流量纳入合并现金流量表。母公司在报告期内处置子公司</w:t>
      </w:r>
      <w:r>
        <w:rPr>
          <w:rFonts w:ascii="Times New Roman" w:hAnsi="Times New Roman" w:cs="Times New Roman" w:eastAsia="Times New Roman" w:hint="default"/>
          <w:spacing w:val="-1"/>
        </w:rPr>
        <w:t>,</w:t>
      </w:r>
      <w:r>
        <w:rPr>
          <w:spacing w:val="-1"/>
        </w:rPr>
        <w:t>将该子公</w:t>
      </w:r>
      <w:r>
        <w:rPr>
          <w:spacing w:val="-101"/>
        </w:rPr>
        <w:t> </w:t>
      </w:r>
      <w:r>
        <w:rPr/>
        <w:t>司期初至处置日的现金流量纳入合并现金流量表。</w:t>
      </w:r>
    </w:p>
    <w:p>
      <w:pPr>
        <w:pStyle w:val="Heading4"/>
        <w:spacing w:line="240" w:lineRule="auto" w:before="178"/>
        <w:ind w:left="792" w:right="0"/>
        <w:jc w:val="left"/>
        <w:rPr>
          <w:b w:val="0"/>
          <w:bCs w:val="0"/>
        </w:rPr>
      </w:pPr>
      <w:r>
        <w:rPr>
          <w:rFonts w:ascii="Times New Roman" w:hAnsi="Times New Roman" w:cs="Times New Roman" w:eastAsia="Times New Roman" w:hint="default"/>
        </w:rPr>
        <w:t>2</w:t>
      </w:r>
      <w:r>
        <w:rPr/>
        <w:t>．</w:t>
      </w:r>
      <w:r>
        <w:rPr>
          <w:spacing w:val="6"/>
        </w:rPr>
        <w:t> </w:t>
      </w:r>
      <w:r>
        <w:rPr>
          <w:spacing w:val="9"/>
        </w:rPr>
        <w:t>本公司的控股子公司概况</w:t>
      </w:r>
      <w:r>
        <w:rPr>
          <w:b w:val="0"/>
          <w:bCs w:val="0"/>
        </w:rPr>
      </w:r>
    </w:p>
    <w:p>
      <w:pPr>
        <w:spacing w:line="240" w:lineRule="auto" w:before="8"/>
        <w:rPr>
          <w:rFonts w:ascii="宋体" w:hAnsi="宋体" w:cs="宋体" w:eastAsia="宋体" w:hint="default"/>
          <w:b/>
          <w:bCs/>
          <w:sz w:val="15"/>
          <w:szCs w:val="15"/>
        </w:rPr>
      </w:pPr>
    </w:p>
    <w:tbl>
      <w:tblPr>
        <w:tblW w:w="0" w:type="auto"/>
        <w:jc w:val="left"/>
        <w:tblInd w:w="153" w:type="dxa"/>
        <w:tblLayout w:type="fixed"/>
        <w:tblCellMar>
          <w:top w:w="0" w:type="dxa"/>
          <w:left w:w="0" w:type="dxa"/>
          <w:bottom w:w="0" w:type="dxa"/>
          <w:right w:w="0" w:type="dxa"/>
        </w:tblCellMar>
        <w:tblLook w:val="01E0"/>
      </w:tblPr>
      <w:tblGrid>
        <w:gridCol w:w="914"/>
        <w:gridCol w:w="1414"/>
        <w:gridCol w:w="833"/>
        <w:gridCol w:w="1199"/>
        <w:gridCol w:w="590"/>
        <w:gridCol w:w="2282"/>
        <w:gridCol w:w="987"/>
        <w:gridCol w:w="665"/>
        <w:gridCol w:w="754"/>
      </w:tblGrid>
      <w:tr>
        <w:trPr>
          <w:trHeight w:val="528" w:hRule="exact"/>
        </w:trPr>
        <w:tc>
          <w:tcPr>
            <w:tcW w:w="914"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right="94"/>
              <w:jc w:val="right"/>
              <w:rPr>
                <w:rFonts w:ascii="宋体" w:hAnsi="宋体" w:cs="宋体" w:eastAsia="宋体" w:hint="default"/>
                <w:sz w:val="18"/>
                <w:szCs w:val="18"/>
              </w:rPr>
            </w:pPr>
            <w:r>
              <w:rPr>
                <w:rFonts w:ascii="宋体" w:hAnsi="宋体" w:cs="宋体" w:eastAsia="宋体" w:hint="default"/>
                <w:spacing w:val="-9"/>
                <w:sz w:val="18"/>
                <w:szCs w:val="18"/>
              </w:rPr>
              <w:t>公司名称</w:t>
            </w:r>
            <w:r>
              <w:rPr>
                <w:rFonts w:ascii="宋体" w:hAnsi="宋体" w:cs="宋体" w:eastAsia="宋体" w:hint="default"/>
                <w:sz w:val="18"/>
                <w:szCs w:val="18"/>
              </w:rPr>
            </w:r>
          </w:p>
        </w:tc>
        <w:tc>
          <w:tcPr>
            <w:tcW w:w="1414"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396" w:right="0"/>
              <w:jc w:val="left"/>
              <w:rPr>
                <w:rFonts w:ascii="宋体" w:hAnsi="宋体" w:cs="宋体" w:eastAsia="宋体" w:hint="default"/>
                <w:sz w:val="18"/>
                <w:szCs w:val="18"/>
              </w:rPr>
            </w:pPr>
            <w:r>
              <w:rPr>
                <w:rFonts w:ascii="宋体" w:hAnsi="宋体" w:cs="宋体" w:eastAsia="宋体" w:hint="default"/>
                <w:spacing w:val="-9"/>
                <w:sz w:val="18"/>
                <w:szCs w:val="18"/>
              </w:rPr>
              <w:t>注册地址</w:t>
            </w:r>
            <w:r>
              <w:rPr>
                <w:rFonts w:ascii="宋体" w:hAnsi="宋体" w:cs="宋体" w:eastAsia="宋体" w:hint="default"/>
                <w:sz w:val="18"/>
                <w:szCs w:val="18"/>
              </w:rPr>
            </w:r>
          </w:p>
        </w:tc>
        <w:tc>
          <w:tcPr>
            <w:tcW w:w="833"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40" w:right="0"/>
              <w:jc w:val="left"/>
              <w:rPr>
                <w:rFonts w:ascii="宋体" w:hAnsi="宋体" w:cs="宋体" w:eastAsia="宋体" w:hint="default"/>
                <w:sz w:val="18"/>
                <w:szCs w:val="18"/>
              </w:rPr>
            </w:pPr>
            <w:r>
              <w:rPr>
                <w:rFonts w:ascii="宋体" w:hAnsi="宋体" w:cs="宋体" w:eastAsia="宋体" w:hint="default"/>
                <w:spacing w:val="-9"/>
                <w:sz w:val="18"/>
                <w:szCs w:val="18"/>
              </w:rPr>
              <w:t>注册时间</w:t>
            </w:r>
            <w:r>
              <w:rPr>
                <w:rFonts w:ascii="宋体" w:hAnsi="宋体" w:cs="宋体" w:eastAsia="宋体" w:hint="default"/>
                <w:sz w:val="18"/>
                <w:szCs w:val="18"/>
              </w:rPr>
            </w:r>
          </w:p>
        </w:tc>
        <w:tc>
          <w:tcPr>
            <w:tcW w:w="1199"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pacing w:val="-9"/>
                <w:sz w:val="18"/>
                <w:szCs w:val="18"/>
              </w:rPr>
              <w:t>注册资本</w:t>
            </w:r>
            <w:r>
              <w:rPr>
                <w:rFonts w:ascii="宋体" w:hAnsi="宋体" w:cs="宋体" w:eastAsia="宋体" w:hint="default"/>
                <w:sz w:val="18"/>
                <w:szCs w:val="18"/>
              </w:rPr>
            </w:r>
          </w:p>
        </w:tc>
        <w:tc>
          <w:tcPr>
            <w:tcW w:w="590" w:type="dxa"/>
            <w:tcBorders>
              <w:top w:val="nil" w:sz="6" w:space="0" w:color="auto"/>
              <w:left w:val="nil" w:sz="6" w:space="0" w:color="auto"/>
              <w:bottom w:val="single" w:sz="6" w:space="0" w:color="000000"/>
              <w:right w:val="nil" w:sz="6" w:space="0" w:color="auto"/>
            </w:tcBorders>
          </w:tcPr>
          <w:p>
            <w:pPr>
              <w:pStyle w:val="TableParagraph"/>
              <w:spacing w:line="180" w:lineRule="exact"/>
              <w:ind w:left="88" w:right="0"/>
              <w:jc w:val="left"/>
              <w:rPr>
                <w:rFonts w:ascii="宋体" w:hAnsi="宋体" w:cs="宋体" w:eastAsia="宋体" w:hint="default"/>
                <w:sz w:val="18"/>
                <w:szCs w:val="18"/>
              </w:rPr>
            </w:pPr>
            <w:r>
              <w:rPr>
                <w:rFonts w:ascii="宋体" w:hAnsi="宋体" w:cs="宋体" w:eastAsia="宋体" w:hint="default"/>
                <w:spacing w:val="-8"/>
                <w:sz w:val="18"/>
                <w:szCs w:val="18"/>
              </w:rPr>
              <w:t>拥有</w:t>
            </w:r>
            <w:r>
              <w:rPr>
                <w:rFonts w:ascii="宋体" w:hAnsi="宋体" w:cs="宋体" w:eastAsia="宋体" w:hint="default"/>
                <w:sz w:val="18"/>
                <w:szCs w:val="18"/>
              </w:rPr>
            </w:r>
          </w:p>
          <w:p>
            <w:pPr>
              <w:pStyle w:val="TableParagraph"/>
              <w:spacing w:line="240" w:lineRule="auto" w:before="38"/>
              <w:ind w:left="88" w:right="0"/>
              <w:jc w:val="left"/>
              <w:rPr>
                <w:rFonts w:ascii="宋体" w:hAnsi="宋体" w:cs="宋体" w:eastAsia="宋体" w:hint="default"/>
                <w:sz w:val="18"/>
                <w:szCs w:val="18"/>
              </w:rPr>
            </w:pPr>
            <w:r>
              <w:rPr>
                <w:rFonts w:ascii="宋体" w:hAnsi="宋体" w:cs="宋体" w:eastAsia="宋体" w:hint="default"/>
                <w:spacing w:val="-8"/>
                <w:sz w:val="18"/>
                <w:szCs w:val="18"/>
              </w:rPr>
              <w:t>权益</w:t>
            </w:r>
            <w:r>
              <w:rPr>
                <w:rFonts w:ascii="宋体" w:hAnsi="宋体" w:cs="宋体" w:eastAsia="宋体" w:hint="default"/>
                <w:sz w:val="18"/>
                <w:szCs w:val="18"/>
              </w:rPr>
            </w:r>
          </w:p>
        </w:tc>
        <w:tc>
          <w:tcPr>
            <w:tcW w:w="2282"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right="28"/>
              <w:jc w:val="center"/>
              <w:rPr>
                <w:rFonts w:ascii="宋体" w:hAnsi="宋体" w:cs="宋体" w:eastAsia="宋体" w:hint="default"/>
                <w:sz w:val="18"/>
                <w:szCs w:val="18"/>
              </w:rPr>
            </w:pPr>
            <w:r>
              <w:rPr>
                <w:rFonts w:ascii="宋体" w:hAnsi="宋体" w:cs="宋体" w:eastAsia="宋体" w:hint="default"/>
                <w:spacing w:val="-9"/>
                <w:sz w:val="18"/>
                <w:szCs w:val="18"/>
              </w:rPr>
              <w:t>经营范围</w:t>
            </w:r>
            <w:r>
              <w:rPr>
                <w:rFonts w:ascii="宋体" w:hAnsi="宋体" w:cs="宋体" w:eastAsia="宋体" w:hint="default"/>
                <w:sz w:val="18"/>
                <w:szCs w:val="18"/>
              </w:rPr>
            </w:r>
          </w:p>
        </w:tc>
        <w:tc>
          <w:tcPr>
            <w:tcW w:w="987"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128" w:right="0"/>
              <w:jc w:val="left"/>
              <w:rPr>
                <w:rFonts w:ascii="宋体" w:hAnsi="宋体" w:cs="宋体" w:eastAsia="宋体" w:hint="default"/>
                <w:sz w:val="18"/>
                <w:szCs w:val="18"/>
              </w:rPr>
            </w:pPr>
            <w:r>
              <w:rPr>
                <w:rFonts w:ascii="宋体" w:hAnsi="宋体" w:cs="宋体" w:eastAsia="宋体" w:hint="default"/>
                <w:spacing w:val="-9"/>
                <w:sz w:val="18"/>
                <w:szCs w:val="18"/>
              </w:rPr>
              <w:t>公司性质</w:t>
            </w:r>
            <w:r>
              <w:rPr>
                <w:rFonts w:ascii="宋体" w:hAnsi="宋体" w:cs="宋体" w:eastAsia="宋体" w:hint="default"/>
                <w:sz w:val="18"/>
                <w:szCs w:val="18"/>
              </w:rPr>
            </w:r>
          </w:p>
        </w:tc>
        <w:tc>
          <w:tcPr>
            <w:tcW w:w="665" w:type="dxa"/>
            <w:tcBorders>
              <w:top w:val="nil" w:sz="6" w:space="0" w:color="auto"/>
              <w:left w:val="nil" w:sz="6" w:space="0" w:color="auto"/>
              <w:bottom w:val="single" w:sz="4" w:space="0" w:color="000000"/>
              <w:right w:val="nil" w:sz="6" w:space="0" w:color="auto"/>
            </w:tcBorders>
          </w:tcPr>
          <w:p>
            <w:pPr>
              <w:pStyle w:val="TableParagraph"/>
              <w:spacing w:line="180" w:lineRule="exact"/>
              <w:ind w:left="75" w:right="0" w:firstLine="85"/>
              <w:jc w:val="left"/>
              <w:rPr>
                <w:rFonts w:ascii="宋体" w:hAnsi="宋体" w:cs="宋体" w:eastAsia="宋体" w:hint="default"/>
                <w:sz w:val="18"/>
                <w:szCs w:val="18"/>
              </w:rPr>
            </w:pPr>
            <w:r>
              <w:rPr>
                <w:rFonts w:ascii="宋体" w:hAnsi="宋体" w:cs="宋体" w:eastAsia="宋体" w:hint="default"/>
                <w:spacing w:val="-8"/>
                <w:sz w:val="18"/>
                <w:szCs w:val="18"/>
              </w:rPr>
              <w:t>法定</w:t>
            </w:r>
            <w:r>
              <w:rPr>
                <w:rFonts w:ascii="宋体" w:hAnsi="宋体" w:cs="宋体" w:eastAsia="宋体" w:hint="default"/>
                <w:sz w:val="18"/>
                <w:szCs w:val="18"/>
              </w:rPr>
            </w:r>
          </w:p>
          <w:p>
            <w:pPr>
              <w:pStyle w:val="TableParagraph"/>
              <w:spacing w:line="240" w:lineRule="auto" w:before="38"/>
              <w:ind w:left="75" w:right="0"/>
              <w:jc w:val="left"/>
              <w:rPr>
                <w:rFonts w:ascii="宋体" w:hAnsi="宋体" w:cs="宋体" w:eastAsia="宋体" w:hint="default"/>
                <w:sz w:val="18"/>
                <w:szCs w:val="18"/>
              </w:rPr>
            </w:pPr>
            <w:r>
              <w:rPr>
                <w:rFonts w:ascii="宋体" w:hAnsi="宋体" w:cs="宋体" w:eastAsia="宋体" w:hint="default"/>
                <w:spacing w:val="-6"/>
                <w:sz w:val="18"/>
                <w:szCs w:val="18"/>
              </w:rPr>
              <w:t>代表人</w:t>
            </w:r>
          </w:p>
        </w:tc>
        <w:tc>
          <w:tcPr>
            <w:tcW w:w="754" w:type="dxa"/>
            <w:tcBorders>
              <w:top w:val="nil" w:sz="6" w:space="0" w:color="auto"/>
              <w:left w:val="nil" w:sz="6" w:space="0" w:color="auto"/>
              <w:bottom w:val="single" w:sz="6" w:space="0" w:color="000000"/>
              <w:right w:val="nil" w:sz="6" w:space="0" w:color="auto"/>
            </w:tcBorders>
          </w:tcPr>
          <w:p>
            <w:pPr>
              <w:pStyle w:val="TableParagraph"/>
              <w:spacing w:line="197" w:lineRule="exact"/>
              <w:ind w:left="65" w:right="0" w:firstLine="1"/>
              <w:jc w:val="left"/>
              <w:rPr>
                <w:rFonts w:ascii="宋体" w:hAnsi="宋体" w:cs="宋体" w:eastAsia="宋体" w:hint="default"/>
                <w:sz w:val="18"/>
                <w:szCs w:val="18"/>
              </w:rPr>
            </w:pPr>
            <w:r>
              <w:rPr>
                <w:rFonts w:ascii="宋体" w:hAnsi="宋体" w:cs="宋体" w:eastAsia="宋体" w:hint="default"/>
                <w:spacing w:val="-9"/>
                <w:sz w:val="18"/>
                <w:szCs w:val="18"/>
              </w:rPr>
              <w:t>是否纳入</w:t>
            </w:r>
            <w:r>
              <w:rPr>
                <w:rFonts w:ascii="宋体" w:hAnsi="宋体" w:cs="宋体" w:eastAsia="宋体" w:hint="default"/>
                <w:sz w:val="18"/>
                <w:szCs w:val="18"/>
              </w:rPr>
            </w:r>
          </w:p>
          <w:p>
            <w:pPr>
              <w:pStyle w:val="TableParagraph"/>
              <w:spacing w:line="235" w:lineRule="exact"/>
              <w:ind w:left="65" w:right="0"/>
              <w:jc w:val="left"/>
              <w:rPr>
                <w:rFonts w:ascii="宋体" w:hAnsi="宋体" w:cs="宋体" w:eastAsia="宋体" w:hint="default"/>
                <w:sz w:val="18"/>
                <w:szCs w:val="18"/>
              </w:rPr>
            </w:pPr>
            <w:r>
              <w:rPr>
                <w:rFonts w:ascii="宋体" w:hAnsi="宋体" w:cs="宋体" w:eastAsia="宋体" w:hint="default"/>
                <w:spacing w:val="-9"/>
                <w:sz w:val="18"/>
                <w:szCs w:val="18"/>
              </w:rPr>
              <w:t>合并范围</w:t>
            </w:r>
            <w:r>
              <w:rPr>
                <w:rFonts w:ascii="宋体" w:hAnsi="宋体" w:cs="宋体" w:eastAsia="宋体" w:hint="default"/>
                <w:sz w:val="18"/>
                <w:szCs w:val="18"/>
              </w:rPr>
            </w:r>
          </w:p>
        </w:tc>
      </w:tr>
      <w:tr>
        <w:trPr>
          <w:trHeight w:val="1676" w:hRule="exact"/>
        </w:trPr>
        <w:tc>
          <w:tcPr>
            <w:tcW w:w="91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诚和伟业</w:t>
            </w:r>
            <w:r>
              <w:rPr>
                <w:rFonts w:ascii="Times New Roman" w:hAnsi="Times New Roman" w:cs="Times New Roman" w:eastAsia="Times New Roman" w:hint="default"/>
                <w:spacing w:val="-10"/>
                <w:sz w:val="18"/>
                <w:szCs w:val="18"/>
              </w:rPr>
              <w:t>*</w:t>
            </w:r>
          </w:p>
        </w:tc>
        <w:tc>
          <w:tcPr>
            <w:tcW w:w="141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43"/>
              <w:ind w:left="96" w:right="14"/>
              <w:jc w:val="both"/>
              <w:rPr>
                <w:rFonts w:ascii="宋体" w:hAnsi="宋体" w:cs="宋体" w:eastAsia="宋体" w:hint="default"/>
                <w:sz w:val="18"/>
                <w:szCs w:val="18"/>
              </w:rPr>
            </w:pPr>
            <w:r>
              <w:rPr>
                <w:rFonts w:ascii="宋体" w:hAnsi="宋体" w:cs="宋体" w:eastAsia="宋体" w:hint="default"/>
                <w:spacing w:val="5"/>
                <w:sz w:val="18"/>
                <w:szCs w:val="18"/>
              </w:rPr>
              <w:t>北京市海淀区西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三旗建材城东路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3"/>
                <w:sz w:val="18"/>
                <w:szCs w:val="18"/>
              </w:rPr>
              <w:t>18  </w:t>
            </w:r>
            <w:r>
              <w:rPr>
                <w:rFonts w:ascii="宋体" w:hAnsi="宋体" w:cs="宋体" w:eastAsia="宋体" w:hint="default"/>
                <w:spacing w:val="-7"/>
                <w:sz w:val="18"/>
                <w:szCs w:val="18"/>
              </w:rPr>
              <w:t>号楼佰能大厦</w:t>
            </w:r>
          </w:p>
          <w:p>
            <w:pPr>
              <w:pStyle w:val="TableParagraph"/>
              <w:spacing w:line="240" w:lineRule="auto" w:before="10"/>
              <w:ind w:left="96" w:right="0"/>
              <w:jc w:val="both"/>
              <w:rPr>
                <w:rFonts w:ascii="Times New Roman" w:hAnsi="Times New Roman" w:cs="Times New Roman" w:eastAsia="Times New Roman" w:hint="default"/>
                <w:sz w:val="18"/>
                <w:szCs w:val="18"/>
              </w:rPr>
            </w:pPr>
            <w:r>
              <w:rPr>
                <w:rFonts w:ascii="Times New Roman"/>
                <w:spacing w:val="-6"/>
                <w:sz w:val="18"/>
              </w:rPr>
              <w:t>208</w:t>
            </w:r>
            <w:r>
              <w:rPr>
                <w:rFonts w:ascii="Times New Roman"/>
                <w:sz w:val="18"/>
              </w:rPr>
            </w:r>
          </w:p>
        </w:tc>
        <w:tc>
          <w:tcPr>
            <w:tcW w:w="83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pacing w:val="-7"/>
                <w:sz w:val="18"/>
              </w:rPr>
              <w:t>2003.08.11</w:t>
            </w:r>
          </w:p>
        </w:tc>
        <w:tc>
          <w:tcPr>
            <w:tcW w:w="119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4"/>
                <w:sz w:val="18"/>
              </w:rPr>
              <w:t>RMB</w:t>
            </w:r>
            <w:r>
              <w:rPr>
                <w:rFonts w:ascii="Times New Roman"/>
                <w:spacing w:val="26"/>
                <w:sz w:val="18"/>
              </w:rPr>
              <w:t> </w:t>
            </w:r>
            <w:r>
              <w:rPr>
                <w:rFonts w:ascii="Times New Roman"/>
                <w:spacing w:val="-6"/>
                <w:sz w:val="18"/>
              </w:rPr>
              <w:t>2,400,00</w:t>
            </w:r>
            <w:r>
              <w:rPr>
                <w:rFonts w:ascii="Times New Roman"/>
                <w:sz w:val="18"/>
              </w:rPr>
            </w: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6"/>
                <w:w w:val="95"/>
                <w:sz w:val="18"/>
              </w:rPr>
              <w:t>0.00</w:t>
            </w:r>
            <w:r>
              <w:rPr>
                <w:rFonts w:ascii="Times New Roman"/>
                <w:w w:val="95"/>
                <w:sz w:val="18"/>
              </w:rPr>
            </w:r>
          </w:p>
        </w:tc>
        <w:tc>
          <w:tcPr>
            <w:tcW w:w="59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pacing w:val="-5"/>
                <w:sz w:val="18"/>
              </w:rPr>
              <w:t>100%</w:t>
            </w:r>
          </w:p>
        </w:tc>
        <w:tc>
          <w:tcPr>
            <w:tcW w:w="2282" w:type="dxa"/>
            <w:tcBorders>
              <w:top w:val="single" w:sz="6" w:space="0" w:color="000000"/>
              <w:left w:val="nil" w:sz="6" w:space="0" w:color="auto"/>
              <w:bottom w:val="nil" w:sz="6" w:space="0" w:color="auto"/>
              <w:right w:val="nil" w:sz="6" w:space="0" w:color="auto"/>
            </w:tcBorders>
          </w:tcPr>
          <w:p>
            <w:pPr>
              <w:pStyle w:val="TableParagraph"/>
              <w:spacing w:line="237" w:lineRule="auto" w:before="35"/>
              <w:ind w:left="23" w:right="41"/>
              <w:jc w:val="both"/>
              <w:rPr>
                <w:rFonts w:ascii="宋体" w:hAnsi="宋体" w:cs="宋体" w:eastAsia="宋体" w:hint="default"/>
                <w:sz w:val="18"/>
                <w:szCs w:val="18"/>
              </w:rPr>
            </w:pPr>
            <w:r>
              <w:rPr>
                <w:rFonts w:ascii="宋体" w:hAnsi="宋体" w:cs="宋体" w:eastAsia="宋体" w:hint="default"/>
                <w:spacing w:val="-11"/>
                <w:sz w:val="18"/>
                <w:szCs w:val="18"/>
              </w:rPr>
              <w:t>法律、行政法规、国务院决定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禁止的，不得经营；法律、行</w:t>
            </w:r>
            <w:r>
              <w:rPr>
                <w:rFonts w:ascii="宋体" w:hAnsi="宋体" w:cs="宋体" w:eastAsia="宋体" w:hint="default"/>
                <w:sz w:val="18"/>
                <w:szCs w:val="18"/>
              </w:rPr>
              <w:t> </w:t>
            </w:r>
            <w:r>
              <w:rPr>
                <w:rFonts w:ascii="宋体" w:hAnsi="宋体" w:cs="宋体" w:eastAsia="宋体" w:hint="default"/>
                <w:spacing w:val="-10"/>
                <w:sz w:val="18"/>
                <w:szCs w:val="18"/>
              </w:rPr>
              <w:t>政法规、国务院决定规定应经</w:t>
            </w:r>
            <w:r>
              <w:rPr>
                <w:rFonts w:ascii="宋体" w:hAnsi="宋体" w:cs="宋体" w:eastAsia="宋体" w:hint="default"/>
                <w:sz w:val="18"/>
                <w:szCs w:val="18"/>
              </w:rPr>
              <w:t> </w:t>
            </w:r>
            <w:r>
              <w:rPr>
                <w:rFonts w:ascii="宋体" w:hAnsi="宋体" w:cs="宋体" w:eastAsia="宋体" w:hint="default"/>
                <w:spacing w:val="-10"/>
                <w:sz w:val="18"/>
                <w:szCs w:val="18"/>
              </w:rPr>
              <w:t>许可的，经审批机关批准并经</w:t>
            </w:r>
            <w:r>
              <w:rPr>
                <w:rFonts w:ascii="宋体" w:hAnsi="宋体" w:cs="宋体" w:eastAsia="宋体" w:hint="default"/>
                <w:sz w:val="18"/>
                <w:szCs w:val="18"/>
              </w:rPr>
              <w:t> </w:t>
            </w:r>
            <w:r>
              <w:rPr>
                <w:rFonts w:ascii="宋体" w:hAnsi="宋体" w:cs="宋体" w:eastAsia="宋体" w:hint="default"/>
                <w:spacing w:val="-11"/>
                <w:sz w:val="18"/>
                <w:szCs w:val="18"/>
              </w:rPr>
              <w:t>工商行政管理机关登记注册后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方可经营；法律、行政法规、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国务院决定未规定许可的，自</w:t>
            </w:r>
            <w:r>
              <w:rPr>
                <w:rFonts w:ascii="宋体" w:hAnsi="宋体" w:cs="宋体" w:eastAsia="宋体" w:hint="default"/>
                <w:sz w:val="18"/>
                <w:szCs w:val="18"/>
              </w:rPr>
            </w:r>
          </w:p>
        </w:tc>
        <w:tc>
          <w:tcPr>
            <w:tcW w:w="98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6" w:right="73" w:hanging="344"/>
              <w:jc w:val="left"/>
              <w:rPr>
                <w:rFonts w:ascii="宋体" w:hAnsi="宋体" w:cs="宋体" w:eastAsia="宋体" w:hint="default"/>
                <w:sz w:val="18"/>
                <w:szCs w:val="18"/>
              </w:rPr>
            </w:pPr>
            <w:r>
              <w:rPr>
                <w:rFonts w:ascii="宋体" w:hAnsi="宋体" w:cs="宋体" w:eastAsia="宋体" w:hint="default"/>
                <w:spacing w:val="-7"/>
                <w:sz w:val="18"/>
                <w:szCs w:val="18"/>
              </w:rPr>
              <w:t>有限责任公</w:t>
            </w:r>
            <w:r>
              <w:rPr>
                <w:rFonts w:ascii="宋体" w:hAnsi="宋体" w:cs="宋体" w:eastAsia="宋体" w:hint="default"/>
                <w:sz w:val="18"/>
                <w:szCs w:val="18"/>
              </w:rPr>
              <w:t> 司</w:t>
            </w:r>
          </w:p>
        </w:tc>
        <w:tc>
          <w:tcPr>
            <w:tcW w:w="66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pacing w:val="-8"/>
                <w:sz w:val="18"/>
                <w:szCs w:val="18"/>
              </w:rPr>
              <w:t>左强</w:t>
            </w:r>
            <w:r>
              <w:rPr>
                <w:rFonts w:ascii="宋体" w:hAnsi="宋体" w:cs="宋体" w:eastAsia="宋体" w:hint="default"/>
                <w:sz w:val="18"/>
                <w:szCs w:val="18"/>
              </w:rPr>
            </w:r>
          </w:p>
        </w:tc>
        <w:tc>
          <w:tcPr>
            <w:tcW w:w="75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10"/>
        <w:rPr>
          <w:rFonts w:ascii="宋体" w:hAnsi="宋体" w:cs="宋体" w:eastAsia="宋体" w:hint="default"/>
          <w:b/>
          <w:bCs/>
          <w:sz w:val="18"/>
          <w:szCs w:val="18"/>
        </w:rPr>
      </w:pPr>
    </w:p>
    <w:p>
      <w:pPr>
        <w:spacing w:before="44"/>
        <w:ind w:left="5286" w:right="2590" w:firstLine="0"/>
        <w:jc w:val="left"/>
        <w:rPr>
          <w:rFonts w:ascii="宋体" w:hAnsi="宋体" w:cs="宋体" w:eastAsia="宋体" w:hint="default"/>
          <w:sz w:val="18"/>
          <w:szCs w:val="18"/>
        </w:rPr>
      </w:pPr>
      <w:r>
        <w:rPr>
          <w:rFonts w:ascii="宋体" w:hAnsi="宋体" w:cs="宋体" w:eastAsia="宋体" w:hint="default"/>
          <w:spacing w:val="4"/>
          <w:sz w:val="18"/>
          <w:szCs w:val="18"/>
        </w:rPr>
        <w:t>主选择经营项目开展经营活</w:t>
      </w:r>
      <w:r>
        <w:rPr>
          <w:rFonts w:ascii="宋体" w:hAnsi="宋体" w:cs="宋体" w:eastAsia="宋体" w:hint="default"/>
          <w:sz w:val="18"/>
          <w:szCs w:val="18"/>
        </w:rPr>
        <w:t> </w:t>
      </w:r>
      <w:r>
        <w:rPr>
          <w:rFonts w:ascii="宋体" w:hAnsi="宋体" w:cs="宋体" w:eastAsia="宋体" w:hint="default"/>
          <w:spacing w:val="-12"/>
          <w:sz w:val="18"/>
          <w:szCs w:val="18"/>
        </w:rPr>
        <w:t>动。</w:t>
      </w:r>
      <w:r>
        <w:rPr>
          <w:rFonts w:ascii="宋体" w:hAnsi="宋体" w:cs="宋体" w:eastAsia="宋体" w:hint="default"/>
          <w:sz w:val="18"/>
          <w:szCs w:val="18"/>
        </w:rPr>
      </w:r>
    </w:p>
    <w:p>
      <w:pPr>
        <w:spacing w:line="240" w:lineRule="auto" w:before="1"/>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186"/>
        <w:gridCol w:w="1338"/>
        <w:gridCol w:w="817"/>
        <w:gridCol w:w="1256"/>
        <w:gridCol w:w="552"/>
        <w:gridCol w:w="2319"/>
        <w:gridCol w:w="950"/>
        <w:gridCol w:w="794"/>
        <w:gridCol w:w="574"/>
      </w:tblGrid>
      <w:tr>
        <w:trPr>
          <w:trHeight w:val="1886"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荣信科技</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z w:val="18"/>
                <w:szCs w:val="18"/>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11"/>
              <w:jc w:val="left"/>
              <w:rPr>
                <w:rFonts w:ascii="宋体" w:hAnsi="宋体" w:cs="宋体" w:eastAsia="宋体" w:hint="default"/>
                <w:sz w:val="18"/>
                <w:szCs w:val="18"/>
              </w:rPr>
            </w:pPr>
            <w:r>
              <w:rPr>
                <w:rFonts w:ascii="宋体" w:hAnsi="宋体" w:cs="宋体" w:eastAsia="宋体" w:hint="default"/>
                <w:spacing w:val="5"/>
                <w:sz w:val="18"/>
                <w:szCs w:val="18"/>
              </w:rPr>
              <w:t>鞍山经济开发区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联谊路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pacing w:val="-6"/>
                <w:sz w:val="18"/>
              </w:rPr>
              <w:t>2005.02.03</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tabs>
                <w:tab w:pos="668" w:val="left" w:leader="none"/>
              </w:tabs>
              <w:spacing w:line="240" w:lineRule="auto"/>
              <w:ind w:left="52" w:right="0"/>
              <w:jc w:val="left"/>
              <w:rPr>
                <w:rFonts w:ascii="Times New Roman" w:hAnsi="Times New Roman" w:cs="Times New Roman" w:eastAsia="Times New Roman" w:hint="default"/>
                <w:sz w:val="18"/>
                <w:szCs w:val="18"/>
              </w:rPr>
            </w:pPr>
            <w:r>
              <w:rPr>
                <w:rFonts w:ascii="Times New Roman"/>
                <w:spacing w:val="-4"/>
                <w:w w:val="95"/>
                <w:sz w:val="18"/>
              </w:rPr>
              <w:t>RMB</w:t>
              <w:tab/>
            </w:r>
            <w:r>
              <w:rPr>
                <w:rFonts w:ascii="Times New Roman"/>
                <w:spacing w:val="-6"/>
                <w:sz w:val="18"/>
              </w:rPr>
              <w:t>500,00</w:t>
            </w:r>
            <w:r>
              <w:rPr>
                <w:rFonts w:ascii="Times New Roman"/>
                <w:sz w:val="18"/>
              </w:rPr>
            </w:r>
          </w:p>
          <w:p>
            <w:pPr>
              <w:pStyle w:val="TableParagraph"/>
              <w:spacing w:line="240" w:lineRule="auto"/>
              <w:ind w:left="836" w:right="0"/>
              <w:jc w:val="left"/>
              <w:rPr>
                <w:rFonts w:ascii="Times New Roman" w:hAnsi="Times New Roman" w:cs="Times New Roman" w:eastAsia="Times New Roman" w:hint="default"/>
                <w:sz w:val="18"/>
                <w:szCs w:val="18"/>
              </w:rPr>
            </w:pPr>
            <w:r>
              <w:rPr>
                <w:rFonts w:ascii="Times New Roman"/>
                <w:spacing w:val="-6"/>
                <w:sz w:val="18"/>
              </w:rPr>
              <w:t>0.00</w:t>
            </w:r>
            <w:r>
              <w:rPr>
                <w:rFonts w:ascii="Times New Roman"/>
                <w:sz w:val="18"/>
              </w:rPr>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5"/>
                <w:sz w:val="18"/>
              </w:rPr>
              <w:t>100%</w:t>
            </w:r>
          </w:p>
        </w:tc>
        <w:tc>
          <w:tcPr>
            <w:tcW w:w="2319" w:type="dxa"/>
            <w:tcBorders>
              <w:top w:val="nil" w:sz="6" w:space="0" w:color="auto"/>
              <w:left w:val="nil" w:sz="6" w:space="0" w:color="auto"/>
              <w:bottom w:val="nil" w:sz="6" w:space="0" w:color="auto"/>
              <w:right w:val="nil" w:sz="6" w:space="0" w:color="auto"/>
            </w:tcBorders>
          </w:tcPr>
          <w:p>
            <w:pPr>
              <w:pStyle w:val="TableParagraph"/>
              <w:spacing w:line="179" w:lineRule="exact"/>
              <w:ind w:left="23" w:right="0"/>
              <w:jc w:val="both"/>
              <w:rPr>
                <w:rFonts w:ascii="宋体" w:hAnsi="宋体" w:cs="宋体" w:eastAsia="宋体" w:hint="default"/>
                <w:sz w:val="18"/>
                <w:szCs w:val="18"/>
              </w:rPr>
            </w:pPr>
            <w:r>
              <w:rPr>
                <w:rFonts w:ascii="宋体" w:hAnsi="宋体" w:cs="宋体" w:eastAsia="宋体" w:hint="default"/>
                <w:spacing w:val="-10"/>
                <w:sz w:val="18"/>
                <w:szCs w:val="18"/>
              </w:rPr>
              <w:t>行业应用软件服务、嵌入式软</w:t>
            </w:r>
          </w:p>
          <w:p>
            <w:pPr>
              <w:pStyle w:val="TableParagraph"/>
              <w:spacing w:line="235" w:lineRule="auto" w:before="3"/>
              <w:ind w:left="23" w:right="43"/>
              <w:jc w:val="both"/>
              <w:rPr>
                <w:rFonts w:ascii="宋体" w:hAnsi="宋体" w:cs="宋体" w:eastAsia="宋体" w:hint="default"/>
                <w:sz w:val="18"/>
                <w:szCs w:val="18"/>
              </w:rPr>
            </w:pPr>
            <w:r>
              <w:rPr>
                <w:rFonts w:ascii="宋体" w:hAnsi="宋体" w:cs="宋体" w:eastAsia="宋体" w:hint="default"/>
                <w:spacing w:val="-11"/>
                <w:sz w:val="18"/>
                <w:szCs w:val="18"/>
              </w:rPr>
              <w:t>件服务及软件销售；智能控制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系统、自动化成套控制装置系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统、自动化控制系统配件的开</w:t>
            </w:r>
            <w:r>
              <w:rPr>
                <w:rFonts w:ascii="宋体" w:hAnsi="宋体" w:cs="宋体" w:eastAsia="宋体" w:hint="default"/>
                <w:sz w:val="18"/>
                <w:szCs w:val="18"/>
              </w:rPr>
              <w:t> </w:t>
            </w:r>
            <w:r>
              <w:rPr>
                <w:rFonts w:ascii="宋体" w:hAnsi="宋体" w:cs="宋体" w:eastAsia="宋体" w:hint="default"/>
                <w:spacing w:val="-11"/>
                <w:sz w:val="18"/>
                <w:szCs w:val="18"/>
              </w:rPr>
              <w:t>发；销售计算机及辅助设备、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电气机械、电子产品、器件和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元件</w:t>
            </w:r>
            <w:r>
              <w:rPr>
                <w:rFonts w:ascii="Times New Roman" w:hAnsi="Times New Roman" w:cs="Times New Roman" w:eastAsia="Times New Roman" w:hint="default"/>
                <w:sz w:val="18"/>
                <w:szCs w:val="18"/>
              </w:rPr>
              <w:t>(</w:t>
            </w:r>
            <w:r>
              <w:rPr>
                <w:rFonts w:ascii="宋体" w:hAnsi="宋体" w:cs="宋体" w:eastAsia="宋体" w:hint="default"/>
                <w:sz w:val="18"/>
                <w:szCs w:val="18"/>
              </w:rPr>
              <w:t>涉及到资质证及许可证 </w:t>
            </w:r>
            <w:r>
              <w:rPr>
                <w:rFonts w:ascii="宋体" w:hAnsi="宋体" w:cs="宋体" w:eastAsia="宋体" w:hint="default"/>
                <w:spacing w:val="-11"/>
                <w:sz w:val="18"/>
                <w:szCs w:val="18"/>
              </w:rPr>
              <w:t>的需凭资质证及许可证经营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9" w:right="72" w:hanging="344"/>
              <w:jc w:val="left"/>
              <w:rPr>
                <w:rFonts w:ascii="宋体" w:hAnsi="宋体" w:cs="宋体" w:eastAsia="宋体" w:hint="default"/>
                <w:sz w:val="18"/>
                <w:szCs w:val="18"/>
              </w:rPr>
            </w:pPr>
            <w:r>
              <w:rPr>
                <w:rFonts w:ascii="宋体" w:hAnsi="宋体" w:cs="宋体" w:eastAsia="宋体" w:hint="default"/>
                <w:spacing w:val="-7"/>
                <w:sz w:val="18"/>
                <w:szCs w:val="18"/>
              </w:rPr>
              <w:t>有限责任公</w:t>
            </w:r>
            <w:r>
              <w:rPr>
                <w:rFonts w:ascii="宋体" w:hAnsi="宋体" w:cs="宋体" w:eastAsia="宋体" w:hint="default"/>
                <w:sz w:val="18"/>
                <w:szCs w:val="18"/>
              </w:rPr>
              <w:t> 司</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spacing w:val="-6"/>
                <w:sz w:val="18"/>
                <w:szCs w:val="18"/>
              </w:rPr>
              <w:t>赵殿波</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481"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00"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清方荣信</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z w:val="18"/>
                <w:szCs w:val="18"/>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11"/>
              <w:jc w:val="left"/>
              <w:rPr>
                <w:rFonts w:ascii="宋体" w:hAnsi="宋体" w:cs="宋体" w:eastAsia="宋体" w:hint="default"/>
                <w:sz w:val="18"/>
                <w:szCs w:val="18"/>
              </w:rPr>
            </w:pPr>
            <w:r>
              <w:rPr>
                <w:rFonts w:ascii="宋体" w:hAnsi="宋体" w:cs="宋体" w:eastAsia="宋体" w:hint="default"/>
                <w:spacing w:val="5"/>
                <w:sz w:val="18"/>
                <w:szCs w:val="18"/>
              </w:rPr>
              <w:t>上海市浦东新区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凌白路 </w:t>
            </w:r>
            <w:r>
              <w:rPr>
                <w:rFonts w:ascii="Times New Roman" w:hAnsi="Times New Roman" w:cs="Times New Roman" w:eastAsia="Times New Roman" w:hint="default"/>
                <w:spacing w:val="-5"/>
                <w:sz w:val="18"/>
                <w:szCs w:val="18"/>
              </w:rPr>
              <w:t>1081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p>
          <w:p>
            <w:pPr>
              <w:pStyle w:val="TableParagraph"/>
              <w:spacing w:line="23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室</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37"/>
              <w:jc w:val="center"/>
              <w:rPr>
                <w:rFonts w:ascii="Times New Roman" w:hAnsi="Times New Roman" w:cs="Times New Roman" w:eastAsia="Times New Roman" w:hint="default"/>
                <w:sz w:val="18"/>
                <w:szCs w:val="18"/>
              </w:rPr>
            </w:pPr>
            <w:r>
              <w:rPr>
                <w:rFonts w:ascii="Times New Roman"/>
                <w:spacing w:val="-6"/>
                <w:sz w:val="18"/>
              </w:rPr>
              <w:t>2007.08.29</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pacing w:val="26"/>
                <w:sz w:val="18"/>
              </w:rPr>
              <w:t> </w:t>
            </w:r>
            <w:r>
              <w:rPr>
                <w:rFonts w:ascii="Times New Roman"/>
                <w:spacing w:val="-6"/>
                <w:sz w:val="18"/>
              </w:rPr>
              <w:t>2,000,00</w:t>
            </w:r>
            <w:r>
              <w:rPr>
                <w:rFonts w:ascii="Times New Roman"/>
                <w:sz w:val="18"/>
              </w:rPr>
            </w:r>
          </w:p>
          <w:p>
            <w:pPr>
              <w:pStyle w:val="TableParagraph"/>
              <w:spacing w:line="240" w:lineRule="auto"/>
              <w:ind w:left="836" w:right="0"/>
              <w:jc w:val="left"/>
              <w:rPr>
                <w:rFonts w:ascii="Times New Roman" w:hAnsi="Times New Roman" w:cs="Times New Roman" w:eastAsia="Times New Roman" w:hint="default"/>
                <w:sz w:val="18"/>
                <w:szCs w:val="18"/>
              </w:rPr>
            </w:pPr>
            <w:r>
              <w:rPr>
                <w:rFonts w:ascii="Times New Roman"/>
                <w:spacing w:val="-6"/>
                <w:sz w:val="18"/>
              </w:rPr>
              <w:t>0.00</w:t>
            </w:r>
            <w:r>
              <w:rPr>
                <w:rFonts w:ascii="Times New Roman"/>
                <w:sz w:val="18"/>
              </w:rPr>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5"/>
                <w:sz w:val="18"/>
              </w:rPr>
              <w:t>100%</w:t>
            </w:r>
          </w:p>
        </w:tc>
        <w:tc>
          <w:tcPr>
            <w:tcW w:w="2319" w:type="dxa"/>
            <w:tcBorders>
              <w:top w:val="nil" w:sz="6" w:space="0" w:color="auto"/>
              <w:left w:val="nil" w:sz="6" w:space="0" w:color="auto"/>
              <w:bottom w:val="nil" w:sz="6" w:space="0" w:color="auto"/>
              <w:right w:val="nil" w:sz="6" w:space="0" w:color="auto"/>
            </w:tcBorders>
          </w:tcPr>
          <w:p>
            <w:pPr>
              <w:pStyle w:val="TableParagraph"/>
              <w:spacing w:line="235" w:lineRule="auto" w:before="10"/>
              <w:ind w:left="23" w:right="3"/>
              <w:jc w:val="left"/>
              <w:rPr>
                <w:rFonts w:ascii="宋体" w:hAnsi="宋体" w:cs="宋体" w:eastAsia="宋体" w:hint="default"/>
                <w:sz w:val="18"/>
                <w:szCs w:val="18"/>
              </w:rPr>
            </w:pPr>
            <w:r>
              <w:rPr>
                <w:rFonts w:ascii="宋体" w:hAnsi="宋体" w:cs="宋体" w:eastAsia="宋体" w:hint="default"/>
                <w:spacing w:val="-11"/>
                <w:sz w:val="18"/>
                <w:szCs w:val="18"/>
              </w:rPr>
              <w:t>电子产品、电气设备的设计、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销售、计算机软件开发、应用、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销售，机械设备，仪器仪表的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销售，从事货物与技术的进出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口业务</w:t>
            </w:r>
            <w:r>
              <w:rPr>
                <w:rFonts w:ascii="Times New Roman" w:hAnsi="Times New Roman" w:cs="Times New Roman" w:eastAsia="Times New Roman" w:hint="default"/>
                <w:sz w:val="18"/>
                <w:szCs w:val="18"/>
              </w:rPr>
              <w:t>(</w:t>
            </w:r>
            <w:r>
              <w:rPr>
                <w:rFonts w:ascii="宋体" w:hAnsi="宋体" w:cs="宋体" w:eastAsia="宋体" w:hint="default"/>
                <w:sz w:val="18"/>
                <w:szCs w:val="18"/>
              </w:rPr>
              <w:t>涉及许可经营的凭许 </w:t>
            </w:r>
            <w:r>
              <w:rPr>
                <w:rFonts w:ascii="宋体" w:hAnsi="宋体" w:cs="宋体" w:eastAsia="宋体" w:hint="default"/>
                <w:spacing w:val="-9"/>
                <w:sz w:val="18"/>
                <w:szCs w:val="18"/>
              </w:rPr>
              <w:t>可证经营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9" w:right="73" w:hanging="344"/>
              <w:jc w:val="left"/>
              <w:rPr>
                <w:rFonts w:ascii="宋体" w:hAnsi="宋体" w:cs="宋体" w:eastAsia="宋体" w:hint="default"/>
                <w:sz w:val="18"/>
                <w:szCs w:val="18"/>
              </w:rPr>
            </w:pPr>
            <w:r>
              <w:rPr>
                <w:rFonts w:ascii="宋体" w:hAnsi="宋体" w:cs="宋体" w:eastAsia="宋体" w:hint="default"/>
                <w:spacing w:val="-7"/>
                <w:sz w:val="18"/>
                <w:szCs w:val="18"/>
              </w:rPr>
              <w:t>有限责任公</w:t>
            </w:r>
            <w:r>
              <w:rPr>
                <w:rFonts w:ascii="宋体" w:hAnsi="宋体" w:cs="宋体" w:eastAsia="宋体" w:hint="default"/>
                <w:sz w:val="18"/>
                <w:szCs w:val="18"/>
              </w:rPr>
              <w:t> 司</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17"/>
              <w:jc w:val="center"/>
              <w:rPr>
                <w:rFonts w:ascii="宋体" w:hAnsi="宋体" w:cs="宋体" w:eastAsia="宋体" w:hint="default"/>
                <w:sz w:val="18"/>
                <w:szCs w:val="18"/>
              </w:rPr>
            </w:pPr>
            <w:r>
              <w:rPr>
                <w:rFonts w:ascii="宋体" w:hAnsi="宋体" w:cs="宋体" w:eastAsia="宋体" w:hint="default"/>
                <w:spacing w:val="-6"/>
                <w:sz w:val="18"/>
                <w:szCs w:val="18"/>
              </w:rPr>
              <w:t>焦东亮</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76"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pacing w:val="80"/>
                <w:sz w:val="18"/>
                <w:szCs w:val="18"/>
              </w:rPr>
              <w:t>荣信</w:t>
            </w:r>
            <w:r>
              <w:rPr>
                <w:rFonts w:ascii="宋体" w:hAnsi="宋体" w:cs="宋体" w:eastAsia="宋体" w:hint="default"/>
                <w:sz w:val="18"/>
                <w:szCs w:val="18"/>
              </w:rPr>
              <w:t>嘉</w:t>
            </w:r>
            <w:r>
              <w:rPr>
                <w:rFonts w:ascii="宋体" w:hAnsi="宋体" w:cs="宋体" w:eastAsia="宋体" w:hint="default"/>
                <w:spacing w:val="-10"/>
                <w:sz w:val="18"/>
                <w:szCs w:val="18"/>
              </w:rPr>
              <w:t> </w:t>
            </w:r>
            <w:r>
              <w:rPr>
                <w:rFonts w:ascii="宋体" w:hAnsi="宋体" w:cs="宋体" w:eastAsia="宋体" w:hint="default"/>
                <w:sz w:val="18"/>
                <w:szCs w:val="18"/>
              </w:rPr>
              <w:t>时</w:t>
            </w:r>
          </w:p>
          <w:p>
            <w:pPr>
              <w:pStyle w:val="TableParagraph"/>
              <w:spacing w:line="240" w:lineRule="auto" w:before="24"/>
              <w:ind w:left="200" w:right="0"/>
              <w:jc w:val="left"/>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11" w:hanging="1"/>
              <w:jc w:val="both"/>
              <w:rPr>
                <w:rFonts w:ascii="宋体" w:hAnsi="宋体" w:cs="宋体" w:eastAsia="宋体" w:hint="default"/>
                <w:sz w:val="18"/>
                <w:szCs w:val="18"/>
              </w:rPr>
            </w:pPr>
            <w:r>
              <w:rPr>
                <w:rFonts w:ascii="宋体" w:hAnsi="宋体" w:cs="宋体" w:eastAsia="宋体" w:hint="default"/>
                <w:spacing w:val="5"/>
                <w:sz w:val="18"/>
                <w:szCs w:val="18"/>
              </w:rPr>
              <w:t>北京市海淀区西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三旗建材城东路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3"/>
                <w:sz w:val="18"/>
                <w:szCs w:val="18"/>
              </w:rPr>
              <w:t>18  </w:t>
            </w:r>
            <w:r>
              <w:rPr>
                <w:rFonts w:ascii="宋体" w:hAnsi="宋体" w:cs="宋体" w:eastAsia="宋体" w:hint="default"/>
                <w:spacing w:val="-7"/>
                <w:sz w:val="18"/>
                <w:szCs w:val="18"/>
              </w:rPr>
              <w:t>号楼佰能大厦</w:t>
            </w:r>
          </w:p>
          <w:p>
            <w:pPr>
              <w:pStyle w:val="TableParagraph"/>
              <w:spacing w:line="233"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室</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37"/>
              <w:jc w:val="center"/>
              <w:rPr>
                <w:rFonts w:ascii="Times New Roman" w:hAnsi="Times New Roman" w:cs="Times New Roman" w:eastAsia="Times New Roman" w:hint="default"/>
                <w:sz w:val="18"/>
                <w:szCs w:val="18"/>
              </w:rPr>
            </w:pPr>
            <w:r>
              <w:rPr>
                <w:rFonts w:ascii="Times New Roman"/>
                <w:spacing w:val="-6"/>
                <w:sz w:val="18"/>
              </w:rPr>
              <w:t>2007.08.14</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pacing w:val="26"/>
                <w:sz w:val="18"/>
              </w:rPr>
              <w:t> </w:t>
            </w:r>
            <w:r>
              <w:rPr>
                <w:rFonts w:ascii="Times New Roman"/>
                <w:spacing w:val="-6"/>
                <w:sz w:val="18"/>
              </w:rPr>
              <w:t>5,000,00</w:t>
            </w:r>
            <w:r>
              <w:rPr>
                <w:rFonts w:ascii="Times New Roman"/>
                <w:sz w:val="18"/>
              </w:rPr>
            </w:r>
          </w:p>
          <w:p>
            <w:pPr>
              <w:pStyle w:val="TableParagraph"/>
              <w:spacing w:line="240" w:lineRule="auto"/>
              <w:ind w:left="836" w:right="0"/>
              <w:jc w:val="left"/>
              <w:rPr>
                <w:rFonts w:ascii="Times New Roman" w:hAnsi="Times New Roman" w:cs="Times New Roman" w:eastAsia="Times New Roman" w:hint="default"/>
                <w:sz w:val="18"/>
                <w:szCs w:val="18"/>
              </w:rPr>
            </w:pPr>
            <w:r>
              <w:rPr>
                <w:rFonts w:ascii="Times New Roman"/>
                <w:spacing w:val="-6"/>
                <w:sz w:val="18"/>
              </w:rPr>
              <w:t>0.00</w:t>
            </w:r>
            <w:r>
              <w:rPr>
                <w:rFonts w:ascii="Times New Roman"/>
                <w:sz w:val="18"/>
              </w:rPr>
            </w:r>
          </w:p>
        </w:tc>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5"/>
                <w:sz w:val="18"/>
              </w:rPr>
              <w:t>100%</w:t>
            </w:r>
          </w:p>
        </w:tc>
        <w:tc>
          <w:tcPr>
            <w:tcW w:w="2319" w:type="dxa"/>
            <w:tcBorders>
              <w:top w:val="nil" w:sz="6" w:space="0" w:color="auto"/>
              <w:left w:val="nil" w:sz="6" w:space="0" w:color="auto"/>
              <w:bottom w:val="nil" w:sz="6" w:space="0" w:color="auto"/>
              <w:right w:val="nil" w:sz="6" w:space="0" w:color="auto"/>
            </w:tcBorders>
          </w:tcPr>
          <w:p>
            <w:pPr>
              <w:pStyle w:val="TableParagraph"/>
              <w:spacing w:line="237" w:lineRule="auto" w:before="8"/>
              <w:ind w:left="23" w:right="78"/>
              <w:jc w:val="both"/>
              <w:rPr>
                <w:rFonts w:ascii="宋体" w:hAnsi="宋体" w:cs="宋体" w:eastAsia="宋体" w:hint="default"/>
                <w:sz w:val="18"/>
                <w:szCs w:val="18"/>
              </w:rPr>
            </w:pPr>
            <w:r>
              <w:rPr>
                <w:rFonts w:ascii="宋体" w:hAnsi="宋体" w:cs="宋体" w:eastAsia="宋体" w:hint="default"/>
                <w:spacing w:val="-11"/>
                <w:sz w:val="18"/>
                <w:szCs w:val="18"/>
              </w:rPr>
              <w:t>法律、行政法规、国务院决定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禁止的，不得经营；法律、行</w:t>
            </w:r>
            <w:r>
              <w:rPr>
                <w:rFonts w:ascii="宋体" w:hAnsi="宋体" w:cs="宋体" w:eastAsia="宋体" w:hint="default"/>
                <w:sz w:val="18"/>
                <w:szCs w:val="18"/>
              </w:rPr>
              <w:t> </w:t>
            </w:r>
            <w:r>
              <w:rPr>
                <w:rFonts w:ascii="宋体" w:hAnsi="宋体" w:cs="宋体" w:eastAsia="宋体" w:hint="default"/>
                <w:spacing w:val="-10"/>
                <w:sz w:val="18"/>
                <w:szCs w:val="18"/>
              </w:rPr>
              <w:t>政法规、国务院决定规定应许</w:t>
            </w:r>
            <w:r>
              <w:rPr>
                <w:rFonts w:ascii="宋体" w:hAnsi="宋体" w:cs="宋体" w:eastAsia="宋体" w:hint="default"/>
                <w:sz w:val="18"/>
                <w:szCs w:val="18"/>
              </w:rPr>
              <w:t> </w:t>
            </w:r>
            <w:r>
              <w:rPr>
                <w:rFonts w:ascii="宋体" w:hAnsi="宋体" w:cs="宋体" w:eastAsia="宋体" w:hint="default"/>
                <w:spacing w:val="-11"/>
                <w:sz w:val="18"/>
                <w:szCs w:val="18"/>
              </w:rPr>
              <w:t>可的，经审批机关批准并经工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商行政管理机关登记注册后方</w:t>
            </w:r>
            <w:r>
              <w:rPr>
                <w:rFonts w:ascii="宋体" w:hAnsi="宋体" w:cs="宋体" w:eastAsia="宋体" w:hint="default"/>
                <w:sz w:val="18"/>
                <w:szCs w:val="18"/>
              </w:rPr>
              <w:t> </w:t>
            </w:r>
            <w:r>
              <w:rPr>
                <w:rFonts w:ascii="宋体" w:hAnsi="宋体" w:cs="宋体" w:eastAsia="宋体" w:hint="default"/>
                <w:spacing w:val="-11"/>
                <w:sz w:val="18"/>
                <w:szCs w:val="18"/>
              </w:rPr>
              <w:t>可经营；法律、行政法规、国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务院决定未规定许可的，自主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选择经营项目开展经营活动。</w:t>
            </w:r>
            <w:r>
              <w:rPr>
                <w:rFonts w:ascii="宋体" w:hAnsi="宋体" w:cs="宋体" w:eastAsia="宋体" w:hint="default"/>
                <w:sz w:val="18"/>
                <w:szCs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9" w:right="72" w:hanging="344"/>
              <w:jc w:val="left"/>
              <w:rPr>
                <w:rFonts w:ascii="宋体" w:hAnsi="宋体" w:cs="宋体" w:eastAsia="宋体" w:hint="default"/>
                <w:sz w:val="18"/>
                <w:szCs w:val="18"/>
              </w:rPr>
            </w:pPr>
            <w:r>
              <w:rPr>
                <w:rFonts w:ascii="宋体" w:hAnsi="宋体" w:cs="宋体" w:eastAsia="宋体" w:hint="default"/>
                <w:spacing w:val="-7"/>
                <w:sz w:val="18"/>
                <w:szCs w:val="18"/>
              </w:rPr>
              <w:t>有限责任公</w:t>
            </w:r>
            <w:r>
              <w:rPr>
                <w:rFonts w:ascii="宋体" w:hAnsi="宋体" w:cs="宋体" w:eastAsia="宋体" w:hint="default"/>
                <w:sz w:val="18"/>
                <w:szCs w:val="18"/>
              </w:rPr>
              <w:t> 司</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25"/>
              <w:jc w:val="center"/>
              <w:rPr>
                <w:rFonts w:ascii="宋体" w:hAnsi="宋体" w:cs="宋体" w:eastAsia="宋体" w:hint="default"/>
                <w:sz w:val="18"/>
                <w:szCs w:val="18"/>
              </w:rPr>
            </w:pPr>
            <w:r>
              <w:rPr>
                <w:rFonts w:ascii="宋体" w:hAnsi="宋体" w:cs="宋体" w:eastAsia="宋体" w:hint="default"/>
                <w:spacing w:val="-8"/>
                <w:sz w:val="18"/>
                <w:szCs w:val="18"/>
              </w:rPr>
              <w:t>王强</w:t>
            </w:r>
            <w:r>
              <w:rPr>
                <w:rFonts w:ascii="宋体" w:hAnsi="宋体" w:cs="宋体" w:eastAsia="宋体" w:hint="default"/>
                <w:sz w:val="18"/>
                <w:szCs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宋体" w:hAnsi="宋体" w:cs="宋体" w:eastAsia="宋体" w:hint="default"/>
          <w:sz w:val="18"/>
          <w:szCs w:val="18"/>
        </w:rPr>
      </w:pPr>
    </w:p>
    <w:p>
      <w:pPr>
        <w:pStyle w:val="BodyText"/>
        <w:spacing w:line="309" w:lineRule="auto" w:before="26"/>
        <w:ind w:left="313" w:right="148" w:firstLine="510"/>
        <w:jc w:val="both"/>
      </w:pPr>
      <w:r>
        <w:rPr>
          <w:rFonts w:ascii="Times New Roman" w:hAnsi="Times New Roman" w:cs="Times New Roman" w:eastAsia="Times New Roman" w:hint="default"/>
        </w:rPr>
        <w:t>* </w:t>
      </w:r>
      <w:r>
        <w:rPr>
          <w:spacing w:val="7"/>
        </w:rPr>
        <w:t>二零零三年七月十八日</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69"/>
        </w:rPr>
        <w:t> </w:t>
      </w:r>
      <w:r>
        <w:rPr>
          <w:spacing w:val="6"/>
        </w:rPr>
        <w:t>本公司与王强、张春生签订了《投资协议》</w:t>
      </w:r>
      <w:r>
        <w:rPr>
          <w:rFonts w:ascii="Times New Roman" w:hAnsi="Times New Roman" w:cs="Times New Roman" w:eastAsia="Times New Roman" w:hint="default"/>
          <w:spacing w:val="6"/>
        </w:rPr>
        <w:t>,</w:t>
      </w:r>
      <w:r>
        <w:rPr>
          <w:spacing w:val="6"/>
        </w:rPr>
        <w:t>共同投资组建</w:t>
      </w:r>
      <w:r>
        <w:rPr>
          <w:spacing w:val="8"/>
        </w:rPr>
        <w:t> </w:t>
      </w:r>
      <w:r>
        <w:rPr>
          <w:spacing w:val="7"/>
        </w:rPr>
        <w:t>诚和伟业</w:t>
      </w:r>
      <w:r>
        <w:rPr>
          <w:rFonts w:ascii="Times New Roman" w:hAnsi="Times New Roman" w:cs="Times New Roman" w:eastAsia="Times New Roman" w:hint="default"/>
          <w:spacing w:val="7"/>
        </w:rPr>
        <w:t>,</w:t>
      </w:r>
      <w:r>
        <w:rPr>
          <w:spacing w:val="7"/>
        </w:rPr>
        <w:t>其中本公司以货币资金出资 </w:t>
      </w:r>
      <w:r>
        <w:rPr>
          <w:rFonts w:ascii="Times New Roman" w:hAnsi="Times New Roman" w:cs="Times New Roman" w:eastAsia="Times New Roman" w:hint="default"/>
          <w:spacing w:val="3"/>
        </w:rPr>
        <w:t>1,920,000.00 </w:t>
      </w:r>
      <w:r>
        <w:rPr>
          <w:spacing w:val="6"/>
        </w:rPr>
        <w:t>人民币元</w:t>
      </w:r>
      <w:r>
        <w:rPr>
          <w:rFonts w:ascii="Times New Roman" w:hAnsi="Times New Roman" w:cs="Times New Roman" w:eastAsia="Times New Roman" w:hint="default"/>
          <w:spacing w:val="6"/>
        </w:rPr>
        <w:t>,</w:t>
      </w:r>
      <w:r>
        <w:rPr>
          <w:spacing w:val="6"/>
        </w:rPr>
        <w:t>拥有诚和伟业</w:t>
      </w:r>
      <w:r>
        <w:rPr>
          <w:spacing w:val="-33"/>
        </w:rPr>
        <w:t> </w:t>
      </w:r>
      <w:r>
        <w:rPr>
          <w:rFonts w:ascii="Times New Roman" w:hAnsi="Times New Roman" w:cs="Times New Roman" w:eastAsia="Times New Roman" w:hint="default"/>
          <w:spacing w:val="6"/>
        </w:rPr>
        <w:t>80%</w:t>
      </w:r>
      <w:r>
        <w:rPr>
          <w:spacing w:val="6"/>
        </w:rPr>
        <w:t>的权益性</w:t>
      </w:r>
      <w:r>
        <w:rPr>
          <w:spacing w:val="8"/>
        </w:rPr>
        <w:t> </w:t>
      </w:r>
      <w:r>
        <w:rPr>
          <w:spacing w:val="2"/>
        </w:rPr>
        <w:t>资本；王强以专有技术出资</w:t>
      </w:r>
      <w:r>
        <w:rPr>
          <w:spacing w:val="-40"/>
        </w:rPr>
        <w:t> </w:t>
      </w:r>
      <w:r>
        <w:rPr>
          <w:rFonts w:ascii="Times New Roman" w:hAnsi="Times New Roman" w:cs="Times New Roman" w:eastAsia="Times New Roman" w:hint="default"/>
          <w:spacing w:val="2"/>
        </w:rPr>
        <w:t>240,000.00</w:t>
      </w:r>
      <w:r>
        <w:rPr>
          <w:rFonts w:ascii="Times New Roman" w:hAnsi="Times New Roman" w:cs="Times New Roman" w:eastAsia="Times New Roman" w:hint="default"/>
          <w:spacing w:val="18"/>
        </w:rPr>
        <w:t> </w:t>
      </w:r>
      <w:r>
        <w:rPr>
          <w:spacing w:val="6"/>
        </w:rPr>
        <w:t>人民币元</w:t>
      </w:r>
      <w:r>
        <w:rPr>
          <w:rFonts w:ascii="Times New Roman" w:hAnsi="Times New Roman" w:cs="Times New Roman" w:eastAsia="Times New Roman" w:hint="default"/>
          <w:spacing w:val="6"/>
        </w:rPr>
        <w:t>,</w:t>
      </w:r>
      <w:r>
        <w:rPr>
          <w:spacing w:val="6"/>
        </w:rPr>
        <w:t>拥有诚和伟业</w:t>
      </w:r>
      <w:r>
        <w:rPr>
          <w:spacing w:val="-40"/>
        </w:rPr>
        <w:t> </w:t>
      </w:r>
      <w:r>
        <w:rPr>
          <w:rFonts w:ascii="Times New Roman" w:hAnsi="Times New Roman" w:cs="Times New Roman" w:eastAsia="Times New Roman" w:hint="default"/>
        </w:rPr>
        <w:t>10%</w:t>
      </w:r>
      <w:r>
        <w:rPr/>
        <w:t>的权益性资本；张春生</w:t>
      </w:r>
      <w:r>
        <w:rPr>
          <w:spacing w:val="-115"/>
        </w:rPr>
        <w:t> </w:t>
      </w:r>
      <w:r>
        <w:rPr>
          <w:spacing w:val="-115"/>
        </w:rPr>
      </w:r>
      <w:r>
        <w:rPr>
          <w:spacing w:val="6"/>
        </w:rPr>
        <w:t>以专有技术出资</w:t>
      </w:r>
      <w:r>
        <w:rPr>
          <w:spacing w:val="-45"/>
        </w:rPr>
        <w:t> </w:t>
      </w:r>
      <w:r>
        <w:rPr>
          <w:rFonts w:ascii="Times New Roman" w:hAnsi="Times New Roman" w:cs="Times New Roman" w:eastAsia="Times New Roman" w:hint="default"/>
          <w:spacing w:val="2"/>
        </w:rPr>
        <w:t>240,000.00</w:t>
      </w:r>
      <w:r>
        <w:rPr>
          <w:rFonts w:ascii="Times New Roman" w:hAnsi="Times New Roman" w:cs="Times New Roman" w:eastAsia="Times New Roman" w:hint="default"/>
          <w:spacing w:val="13"/>
        </w:rPr>
        <w:t> </w:t>
      </w:r>
      <w:r>
        <w:rPr>
          <w:spacing w:val="6"/>
        </w:rPr>
        <w:t>人民币元</w:t>
      </w:r>
      <w:r>
        <w:rPr>
          <w:rFonts w:ascii="Times New Roman" w:hAnsi="Times New Roman" w:cs="Times New Roman" w:eastAsia="Times New Roman" w:hint="default"/>
          <w:spacing w:val="6"/>
        </w:rPr>
        <w:t>,</w:t>
      </w:r>
      <w:r>
        <w:rPr>
          <w:spacing w:val="6"/>
        </w:rPr>
        <w:t>拥有诚和伟业</w:t>
      </w:r>
      <w:r>
        <w:rPr>
          <w:spacing w:val="-45"/>
        </w:rPr>
        <w:t> </w:t>
      </w:r>
      <w:r>
        <w:rPr>
          <w:rFonts w:ascii="Times New Roman" w:hAnsi="Times New Roman" w:cs="Times New Roman" w:eastAsia="Times New Roman" w:hint="default"/>
        </w:rPr>
        <w:t>10%</w:t>
      </w:r>
      <w:r>
        <w:rPr/>
        <w:t>的权益性资本。该等出资业经中科</w:t>
      </w:r>
      <w:r>
        <w:rPr>
          <w:spacing w:val="-117"/>
        </w:rPr>
        <w:t> </w:t>
      </w:r>
      <w:r>
        <w:rPr>
          <w:spacing w:val="-117"/>
        </w:rPr>
      </w:r>
      <w:r>
        <w:rPr>
          <w:spacing w:val="6"/>
        </w:rPr>
        <w:t>华会计师事务所有限公司以中科华验字</w:t>
      </w:r>
      <w:r>
        <w:rPr>
          <w:rFonts w:ascii="Times New Roman" w:hAnsi="Times New Roman" w:cs="Times New Roman" w:eastAsia="Times New Roman" w:hint="default"/>
          <w:spacing w:val="6"/>
        </w:rPr>
        <w:t>(2003)</w:t>
      </w:r>
      <w:r>
        <w:rPr>
          <w:spacing w:val="6"/>
        </w:rPr>
        <w:t>第</w:t>
      </w:r>
      <w:r>
        <w:rPr>
          <w:spacing w:val="-44"/>
        </w:rPr>
        <w:t> </w:t>
      </w:r>
      <w:r>
        <w:rPr>
          <w:rFonts w:ascii="Times New Roman" w:hAnsi="Times New Roman" w:cs="Times New Roman" w:eastAsia="Times New Roman" w:hint="default"/>
          <w:spacing w:val="2"/>
        </w:rPr>
        <w:t>1089</w:t>
      </w:r>
      <w:r>
        <w:rPr>
          <w:rFonts w:ascii="Times New Roman" w:hAnsi="Times New Roman" w:cs="Times New Roman" w:eastAsia="Times New Roman" w:hint="default"/>
          <w:spacing w:val="13"/>
        </w:rPr>
        <w:t> </w:t>
      </w:r>
      <w:r>
        <w:rPr>
          <w:spacing w:val="2"/>
        </w:rPr>
        <w:t>号《验资报告》审验在案。二零零三</w:t>
      </w:r>
      <w:r>
        <w:rPr>
          <w:spacing w:val="-117"/>
        </w:rPr>
        <w:t> </w:t>
      </w:r>
      <w:r>
        <w:rPr>
          <w:spacing w:val="-117"/>
        </w:rPr>
      </w:r>
      <w:r>
        <w:rPr>
          <w:spacing w:val="6"/>
        </w:rPr>
        <w:t>年八月十一日</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9"/>
        </w:rPr>
        <w:t> </w:t>
      </w:r>
      <w:r>
        <w:rPr>
          <w:spacing w:val="7"/>
        </w:rPr>
        <w:t>诚和伟业向北京市工商行政管理局领取了注册号为</w:t>
      </w:r>
      <w:r>
        <w:rPr>
          <w:spacing w:val="25"/>
        </w:rPr>
        <w:t> </w:t>
      </w:r>
      <w:r>
        <w:rPr>
          <w:rFonts w:ascii="Times New Roman" w:hAnsi="Times New Roman" w:cs="Times New Roman" w:eastAsia="Times New Roman" w:hint="default"/>
          <w:spacing w:val="2"/>
        </w:rPr>
        <w:t>1101081596031(1-1)</w:t>
      </w:r>
      <w:r>
        <w:rPr>
          <w:spacing w:val="2"/>
        </w:rPr>
        <w:t>号</w:t>
      </w:r>
      <w:r>
        <w:rPr>
          <w:spacing w:val="-115"/>
        </w:rPr>
        <w:t> </w:t>
      </w:r>
      <w:r>
        <w:rPr>
          <w:spacing w:val="8"/>
        </w:rPr>
        <w:t>的企业法人营业执照。</w:t>
      </w:r>
      <w:r>
        <w:rPr/>
      </w:r>
    </w:p>
    <w:p>
      <w:pPr>
        <w:pStyle w:val="BodyText"/>
        <w:spacing w:line="321" w:lineRule="auto" w:before="166"/>
        <w:ind w:left="313" w:right="131" w:firstLine="510"/>
        <w:jc w:val="both"/>
      </w:pPr>
      <w:r>
        <w:rPr>
          <w:spacing w:val="6"/>
        </w:rPr>
        <w:t>根据二零零五年七月三十日诚和伟业公司第一届第四次股东会决议，同意股东王强将</w:t>
      </w:r>
      <w:r>
        <w:rPr>
          <w:spacing w:val="7"/>
        </w:rPr>
        <w:t> 其持有的诚和伟业的</w:t>
      </w:r>
      <w:r>
        <w:rPr>
          <w:spacing w:val="-54"/>
        </w:rPr>
        <w:t> </w:t>
      </w:r>
      <w:r>
        <w:rPr>
          <w:rFonts w:ascii="Times New Roman" w:hAnsi="Times New Roman" w:cs="Times New Roman" w:eastAsia="Times New Roman" w:hint="default"/>
          <w:spacing w:val="7"/>
        </w:rPr>
        <w:t>8%</w:t>
      </w:r>
      <w:r>
        <w:rPr>
          <w:spacing w:val="7"/>
        </w:rPr>
        <w:t>的股权转让给本公司</w:t>
      </w:r>
      <w:r>
        <w:rPr>
          <w:rFonts w:ascii="Times New Roman" w:hAnsi="Times New Roman" w:cs="Times New Roman" w:eastAsia="Times New Roman" w:hint="default"/>
          <w:spacing w:val="7"/>
        </w:rPr>
        <w:t>,</w:t>
      </w:r>
      <w:r>
        <w:rPr>
          <w:spacing w:val="7"/>
        </w:rPr>
        <w:t>同意股东张春生将其持有的诚和伟业的</w:t>
      </w:r>
      <w:r>
        <w:rPr>
          <w:spacing w:val="-52"/>
        </w:rPr>
        <w:t> </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25"/>
        </w:rPr>
        <w:t>的股权全部转让给本公司。</w:t>
      </w:r>
      <w:r>
        <w:rPr>
          <w:spacing w:val="-84"/>
        </w:rPr>
        <w:t> </w:t>
      </w:r>
      <w:r>
        <w:rPr>
          <w:spacing w:val="26"/>
        </w:rPr>
        <w:t>本公司于二零零六年一月十二日支付上述股权转让</w:t>
      </w:r>
      <w:r>
        <w:rPr>
          <w:spacing w:val="-84"/>
        </w:rPr>
        <w:t> </w:t>
      </w:r>
      <w:r>
        <w:rPr>
          <w:spacing w:val="14"/>
        </w:rPr>
        <w:t>款计</w:t>
      </w:r>
      <w:r>
        <w:rPr>
          <w:spacing w:val="-110"/>
        </w:rPr>
        <w:t> </w:t>
      </w:r>
      <w:r>
        <w:rPr>
          <w:rFonts w:ascii="Times New Roman" w:hAnsi="Times New Roman" w:cs="Times New Roman" w:eastAsia="Times New Roman" w:hint="default"/>
          <w:spacing w:val="2"/>
        </w:rPr>
        <w:t>432,000.00</w:t>
      </w:r>
      <w:r>
        <w:rPr>
          <w:rFonts w:ascii="Times New Roman" w:hAnsi="Times New Roman" w:cs="Times New Roman" w:eastAsia="Times New Roman" w:hint="default"/>
          <w:spacing w:val="13"/>
        </w:rPr>
        <w:t> </w:t>
      </w:r>
      <w:r>
        <w:rPr>
          <w:spacing w:val="8"/>
        </w:rPr>
        <w:t>人民币元。</w:t>
      </w:r>
      <w:r>
        <w:rPr/>
      </w:r>
    </w:p>
    <w:p>
      <w:pPr>
        <w:pStyle w:val="BodyText"/>
        <w:spacing w:line="328" w:lineRule="auto" w:before="128"/>
        <w:ind w:left="313" w:right="147" w:firstLine="510"/>
        <w:jc w:val="both"/>
      </w:pPr>
      <w:r>
        <w:rPr>
          <w:spacing w:val="6"/>
        </w:rPr>
        <w:t>二零零六年八月一日，本公司与王强签订《出资转让协议》，王强将其持有的诚和伟</w:t>
      </w:r>
      <w:r>
        <w:rPr>
          <w:spacing w:val="10"/>
        </w:rPr>
        <w:t> </w:t>
      </w:r>
      <w:r>
        <w:rPr/>
        <w:t>业 </w:t>
      </w:r>
      <w:r>
        <w:rPr>
          <w:rFonts w:ascii="Times New Roman" w:hAnsi="Times New Roman" w:cs="Times New Roman" w:eastAsia="Times New Roman" w:hint="default"/>
          <w:spacing w:val="3"/>
        </w:rPr>
        <w:t>48,000.00</w:t>
      </w:r>
      <w:r>
        <w:rPr>
          <w:rFonts w:ascii="Times New Roman" w:hAnsi="Times New Roman" w:cs="Times New Roman" w:eastAsia="Times New Roman" w:hint="default"/>
          <w:spacing w:val="-15"/>
        </w:rPr>
        <w:t> </w:t>
      </w:r>
      <w:r>
        <w:rPr>
          <w:spacing w:val="7"/>
        </w:rPr>
        <w:t>人民币非专利技术出资转让给本公司</w:t>
      </w:r>
      <w:r>
        <w:rPr>
          <w:rFonts w:ascii="Times New Roman" w:hAnsi="Times New Roman" w:cs="Times New Roman" w:eastAsia="Times New Roman" w:hint="default"/>
          <w:spacing w:val="7"/>
        </w:rPr>
        <w:t>,</w:t>
      </w:r>
      <w:r>
        <w:rPr>
          <w:spacing w:val="7"/>
        </w:rPr>
        <w:t>正式转让日为二零零六年八月一日。</w:t>
      </w:r>
      <w:r>
        <w:rPr/>
      </w:r>
    </w:p>
    <w:p>
      <w:pPr>
        <w:pStyle w:val="BodyText"/>
        <w:spacing w:line="309" w:lineRule="auto" w:before="119"/>
        <w:ind w:left="314" w:right="143" w:firstLine="51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spacing w:val="12"/>
        </w:rPr>
        <w:t>二零零五年一月四日</w:t>
      </w:r>
      <w:r>
        <w:rPr>
          <w:rFonts w:ascii="Times New Roman" w:hAnsi="Times New Roman" w:cs="Times New Roman" w:eastAsia="Times New Roman" w:hint="default"/>
          <w:spacing w:val="12"/>
        </w:rPr>
        <w:t>,</w:t>
      </w:r>
      <w:r>
        <w:rPr>
          <w:spacing w:val="12"/>
        </w:rPr>
        <w:t>本公司二零零五年第一次临时股东大会通过决议</w:t>
      </w:r>
      <w:r>
        <w:rPr>
          <w:rFonts w:ascii="Times New Roman" w:hAnsi="Times New Roman" w:cs="Times New Roman" w:eastAsia="Times New Roman" w:hint="default"/>
          <w:spacing w:val="12"/>
        </w:rPr>
        <w:t>,</w:t>
      </w:r>
      <w:r>
        <w:rPr>
          <w:spacing w:val="12"/>
        </w:rPr>
        <w:t>由本公司</w:t>
      </w:r>
      <w:r>
        <w:rPr>
          <w:spacing w:val="14"/>
        </w:rPr>
        <w:t> </w:t>
      </w:r>
      <w:r>
        <w:rPr>
          <w:spacing w:val="2"/>
        </w:rPr>
        <w:t>与诚和伟业共同出资设立荣信科技，注册资本</w:t>
      </w:r>
      <w:r>
        <w:rPr>
          <w:spacing w:val="-42"/>
        </w:rPr>
        <w:t> </w:t>
      </w:r>
      <w:r>
        <w:rPr>
          <w:rFonts w:ascii="Times New Roman" w:hAnsi="Times New Roman" w:cs="Times New Roman" w:eastAsia="Times New Roman" w:hint="default"/>
          <w:spacing w:val="2"/>
        </w:rPr>
        <w:t>500,000.00</w:t>
      </w:r>
      <w:r>
        <w:rPr>
          <w:rFonts w:ascii="Times New Roman" w:hAnsi="Times New Roman" w:cs="Times New Roman" w:eastAsia="Times New Roman" w:hint="default"/>
          <w:spacing w:val="16"/>
        </w:rPr>
        <w:t> </w:t>
      </w:r>
      <w:r>
        <w:rPr>
          <w:spacing w:val="7"/>
        </w:rPr>
        <w:t>人民币元</w:t>
      </w:r>
      <w:r>
        <w:rPr>
          <w:rFonts w:ascii="Times New Roman" w:hAnsi="Times New Roman" w:cs="Times New Roman" w:eastAsia="Times New Roman" w:hint="default"/>
          <w:spacing w:val="7"/>
        </w:rPr>
        <w:t>,</w:t>
      </w:r>
      <w:r>
        <w:rPr>
          <w:spacing w:val="7"/>
        </w:rPr>
        <w:t>其中本公司以货币资金</w:t>
      </w:r>
      <w:r>
        <w:rPr>
          <w:spacing w:val="-116"/>
        </w:rPr>
        <w:t> </w:t>
      </w:r>
      <w:r>
        <w:rPr>
          <w:spacing w:val="7"/>
        </w:rPr>
        <w:t>出资 </w:t>
      </w:r>
      <w:r>
        <w:rPr>
          <w:rFonts w:ascii="Times New Roman" w:hAnsi="Times New Roman" w:cs="Times New Roman" w:eastAsia="Times New Roman" w:hint="default"/>
          <w:spacing w:val="3"/>
        </w:rPr>
        <w:t>450,000.00 </w:t>
      </w:r>
      <w:r>
        <w:rPr>
          <w:spacing w:val="12"/>
        </w:rPr>
        <w:t>人民币元</w:t>
      </w:r>
      <w:r>
        <w:rPr>
          <w:rFonts w:ascii="Times New Roman" w:hAnsi="Times New Roman" w:cs="Times New Roman" w:eastAsia="Times New Roman" w:hint="default"/>
          <w:spacing w:val="12"/>
        </w:rPr>
        <w:t>,</w:t>
      </w:r>
      <w:r>
        <w:rPr>
          <w:spacing w:val="12"/>
        </w:rPr>
        <w:t>拥有荣信科技</w:t>
      </w:r>
      <w:r>
        <w:rPr>
          <w:spacing w:val="43"/>
        </w:rPr>
        <w:t> </w:t>
      </w:r>
      <w:r>
        <w:rPr>
          <w:rFonts w:ascii="Times New Roman" w:hAnsi="Times New Roman" w:cs="Times New Roman" w:eastAsia="Times New Roman" w:hint="default"/>
          <w:spacing w:val="12"/>
        </w:rPr>
        <w:t>90%</w:t>
      </w:r>
      <w:r>
        <w:rPr>
          <w:spacing w:val="12"/>
        </w:rPr>
        <w:t>的权益性资本；诚和伟业以货币资金出资</w:t>
      </w:r>
      <w:r>
        <w:rPr>
          <w:spacing w:val="14"/>
        </w:rPr>
        <w:t> </w:t>
      </w:r>
      <w:r>
        <w:rPr>
          <w:rFonts w:ascii="Times New Roman" w:hAnsi="Times New Roman" w:cs="Times New Roman" w:eastAsia="Times New Roman" w:hint="default"/>
          <w:spacing w:val="2"/>
        </w:rPr>
        <w:t>50,000.00 </w:t>
      </w:r>
      <w:r>
        <w:rPr/>
        <w:t>人民币元，拥有荣信科技</w:t>
      </w:r>
      <w:r>
        <w:rPr>
          <w:spacing w:val="-24"/>
        </w:rPr>
        <w:t> </w:t>
      </w:r>
      <w:r>
        <w:rPr>
          <w:rFonts w:ascii="Times New Roman" w:hAnsi="Times New Roman" w:cs="Times New Roman" w:eastAsia="Times New Roman" w:hint="default"/>
          <w:spacing w:val="5"/>
        </w:rPr>
        <w:t>10%</w:t>
      </w:r>
      <w:r>
        <w:rPr>
          <w:spacing w:val="5"/>
        </w:rPr>
        <w:t>的权益性资本。该等出资业经鞍山鸿远会计师事务</w:t>
      </w:r>
      <w:r>
        <w:rPr/>
      </w:r>
    </w:p>
    <w:p>
      <w:pPr>
        <w:spacing w:after="0" w:line="309" w:lineRule="auto"/>
        <w:jc w:val="both"/>
        <w:sectPr>
          <w:pgSz w:w="11910" w:h="16840"/>
          <w:pgMar w:header="877" w:footer="1022" w:top="1100" w:bottom="1220" w:left="820" w:right="980"/>
        </w:sectPr>
      </w:pPr>
    </w:p>
    <w:p>
      <w:pPr>
        <w:spacing w:line="240" w:lineRule="auto" w:before="8"/>
        <w:rPr>
          <w:rFonts w:ascii="宋体" w:hAnsi="宋体" w:cs="宋体" w:eastAsia="宋体" w:hint="default"/>
          <w:sz w:val="28"/>
          <w:szCs w:val="28"/>
        </w:rPr>
      </w:pPr>
    </w:p>
    <w:p>
      <w:pPr>
        <w:pStyle w:val="BodyText"/>
        <w:spacing w:line="309" w:lineRule="auto" w:before="26"/>
        <w:ind w:right="146"/>
        <w:jc w:val="left"/>
      </w:pPr>
      <w:r>
        <w:rPr>
          <w:spacing w:val="5"/>
        </w:rPr>
        <w:t>所有限公司以鞍鸿验字</w:t>
      </w:r>
      <w:r>
        <w:rPr>
          <w:rFonts w:ascii="Times New Roman" w:hAnsi="Times New Roman" w:cs="Times New Roman" w:eastAsia="Times New Roman" w:hint="default"/>
          <w:spacing w:val="5"/>
        </w:rPr>
        <w:t>(2005)</w:t>
      </w:r>
      <w:r>
        <w:rPr>
          <w:spacing w:val="5"/>
        </w:rPr>
        <w:t>第 </w:t>
      </w:r>
      <w:r>
        <w:rPr>
          <w:rFonts w:ascii="Times New Roman" w:hAnsi="Times New Roman" w:cs="Times New Roman" w:eastAsia="Times New Roman" w:hint="default"/>
        </w:rPr>
        <w:t>02 </w:t>
      </w:r>
      <w:r>
        <w:rPr>
          <w:spacing w:val="6"/>
        </w:rPr>
        <w:t>号《验资报告》审验在案。二零零五年二月三日</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49"/>
        </w:rPr>
        <w:t> </w:t>
      </w:r>
      <w:r>
        <w:rPr>
          <w:spacing w:val="7"/>
        </w:rPr>
        <w:t>荣信 科技向鞍山市工商行政管理局领取了注册号为 </w:t>
      </w:r>
      <w:r>
        <w:rPr>
          <w:rFonts w:ascii="Times New Roman" w:hAnsi="Times New Roman" w:cs="Times New Roman" w:eastAsia="Times New Roman" w:hint="default"/>
        </w:rPr>
        <w:t>2103011124542</w:t>
      </w:r>
      <w:r>
        <w:rPr>
          <w:rFonts w:ascii="Times New Roman" w:hAnsi="Times New Roman" w:cs="Times New Roman" w:eastAsia="Times New Roman" w:hint="default"/>
          <w:spacing w:val="-20"/>
        </w:rPr>
        <w:t> </w:t>
      </w:r>
      <w:r>
        <w:rPr>
          <w:spacing w:val="8"/>
        </w:rPr>
        <w:t>号的企业法人营业执照。</w:t>
      </w:r>
      <w:r>
        <w:rPr/>
      </w:r>
    </w:p>
    <w:p>
      <w:pPr>
        <w:pStyle w:val="BodyText"/>
        <w:spacing w:line="319" w:lineRule="auto" w:before="141"/>
        <w:ind w:right="147" w:firstLine="510"/>
        <w:jc w:val="both"/>
      </w:pPr>
      <w:r>
        <w:rPr>
          <w:spacing w:val="6"/>
        </w:rPr>
        <w:t>二零零六年七月本公司与诚和伟业签订《股权转让协议》，诚和伟业将其持有荣信科</w:t>
      </w:r>
      <w:r>
        <w:rPr>
          <w:spacing w:val="10"/>
        </w:rPr>
        <w:t> </w:t>
      </w:r>
      <w:r>
        <w:rPr/>
        <w:t>技 </w:t>
      </w:r>
      <w:r>
        <w:rPr>
          <w:rFonts w:ascii="Times New Roman" w:hAnsi="Times New Roman" w:cs="Times New Roman" w:eastAsia="Times New Roman" w:hint="default"/>
          <w:spacing w:val="6"/>
        </w:rPr>
        <w:t>10%</w:t>
      </w:r>
      <w:r>
        <w:rPr>
          <w:spacing w:val="6"/>
        </w:rPr>
        <w:t>的股权转让给本公司，股权转让款为 </w:t>
      </w:r>
      <w:r>
        <w:rPr>
          <w:rFonts w:ascii="Times New Roman" w:hAnsi="Times New Roman" w:cs="Times New Roman" w:eastAsia="Times New Roman" w:hint="default"/>
          <w:spacing w:val="3"/>
        </w:rPr>
        <w:t>50,000.00</w:t>
      </w:r>
      <w:r>
        <w:rPr>
          <w:rFonts w:ascii="Times New Roman" w:hAnsi="Times New Roman" w:cs="Times New Roman" w:eastAsia="Times New Roman" w:hint="default"/>
          <w:spacing w:val="-15"/>
        </w:rPr>
        <w:t> </w:t>
      </w:r>
      <w:r>
        <w:rPr>
          <w:spacing w:val="8"/>
        </w:rPr>
        <w:t>人民币元，该股权转让款已于二零 零六年七月二十六日支付完毕。</w:t>
      </w:r>
      <w:r>
        <w:rPr/>
      </w:r>
    </w:p>
    <w:p>
      <w:pPr>
        <w:pStyle w:val="BodyText"/>
        <w:spacing w:line="309" w:lineRule="auto" w:before="157"/>
        <w:ind w:right="148" w:firstLine="51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8"/>
        </w:rPr>
        <w:t>二零零七年五月十五日</w:t>
      </w:r>
      <w:r>
        <w:rPr>
          <w:rFonts w:ascii="Times New Roman" w:hAnsi="Times New Roman" w:cs="Times New Roman" w:eastAsia="Times New Roman" w:hint="default"/>
          <w:spacing w:val="8"/>
        </w:rPr>
        <w:t>,</w:t>
      </w:r>
      <w:r>
        <w:rPr>
          <w:spacing w:val="8"/>
        </w:rPr>
        <w:t>本公司第三届董事会第一次会议通过决议</w:t>
      </w:r>
      <w:r>
        <w:rPr>
          <w:rFonts w:ascii="Times New Roman" w:hAnsi="Times New Roman" w:cs="Times New Roman" w:eastAsia="Times New Roman" w:hint="default"/>
          <w:spacing w:val="8"/>
        </w:rPr>
        <w:t>,</w:t>
      </w:r>
      <w:r>
        <w:rPr>
          <w:spacing w:val="8"/>
        </w:rPr>
        <w:t>由本公司出资</w:t>
      </w:r>
      <w:r>
        <w:rPr>
          <w:spacing w:val="9"/>
        </w:rPr>
        <w:t> </w:t>
      </w:r>
      <w:r>
        <w:rPr>
          <w:spacing w:val="3"/>
        </w:rPr>
        <w:t>设立清方荣信，注册资本</w:t>
      </w:r>
      <w:r>
        <w:rPr>
          <w:spacing w:val="-42"/>
        </w:rPr>
        <w:t> </w:t>
      </w:r>
      <w:r>
        <w:rPr>
          <w:rFonts w:ascii="Times New Roman" w:hAnsi="Times New Roman" w:cs="Times New Roman" w:eastAsia="Times New Roman" w:hint="default"/>
          <w:spacing w:val="3"/>
        </w:rPr>
        <w:t>2,000,000.00</w:t>
      </w:r>
      <w:r>
        <w:rPr>
          <w:rFonts w:ascii="Times New Roman" w:hAnsi="Times New Roman" w:cs="Times New Roman" w:eastAsia="Times New Roman" w:hint="default"/>
          <w:spacing w:val="15"/>
        </w:rPr>
        <w:t> </w:t>
      </w:r>
      <w:r>
        <w:rPr>
          <w:spacing w:val="3"/>
        </w:rPr>
        <w:t>人民币元，拥有清方荣信</w:t>
      </w:r>
      <w:r>
        <w:rPr>
          <w:spacing w:val="-42"/>
        </w:rPr>
        <w:t> </w:t>
      </w:r>
      <w:r>
        <w:rPr>
          <w:rFonts w:ascii="Times New Roman" w:hAnsi="Times New Roman" w:cs="Times New Roman" w:eastAsia="Times New Roman" w:hint="default"/>
          <w:spacing w:val="2"/>
        </w:rPr>
        <w:t>100%</w:t>
      </w:r>
      <w:r>
        <w:rPr>
          <w:spacing w:val="2"/>
        </w:rPr>
        <w:t>的权益性资本。该等</w:t>
      </w:r>
      <w:r>
        <w:rPr>
          <w:spacing w:val="-117"/>
        </w:rPr>
        <w:t> </w:t>
      </w:r>
      <w:r>
        <w:rPr>
          <w:spacing w:val="-117"/>
        </w:rPr>
      </w:r>
      <w:r>
        <w:rPr>
          <w:spacing w:val="6"/>
        </w:rPr>
        <w:t>出资业经上海中惠会计师事务所有限公司以沪惠报验字</w:t>
      </w:r>
      <w:r>
        <w:rPr>
          <w:rFonts w:ascii="Times New Roman" w:hAnsi="Times New Roman" w:cs="Times New Roman" w:eastAsia="Times New Roman" w:hint="default"/>
          <w:spacing w:val="6"/>
        </w:rPr>
        <w:t>(2007)</w:t>
      </w:r>
      <w:r>
        <w:rPr>
          <w:spacing w:val="6"/>
        </w:rPr>
        <w:t>第</w:t>
      </w:r>
      <w:r>
        <w:rPr>
          <w:spacing w:val="-39"/>
        </w:rPr>
        <w:t> </w:t>
      </w:r>
      <w:r>
        <w:rPr>
          <w:rFonts w:ascii="Times New Roman" w:hAnsi="Times New Roman" w:cs="Times New Roman" w:eastAsia="Times New Roman" w:hint="default"/>
          <w:spacing w:val="3"/>
        </w:rPr>
        <w:t>1463</w:t>
      </w:r>
      <w:r>
        <w:rPr>
          <w:rFonts w:ascii="Times New Roman" w:hAnsi="Times New Roman" w:cs="Times New Roman" w:eastAsia="Times New Roman" w:hint="default"/>
          <w:spacing w:val="15"/>
        </w:rPr>
        <w:t> </w:t>
      </w:r>
      <w:r>
        <w:rPr>
          <w:spacing w:val="-3"/>
        </w:rPr>
        <w:t>号《验资报告》审验</w:t>
      </w:r>
      <w:r>
        <w:rPr>
          <w:spacing w:val="-115"/>
        </w:rPr>
        <w:t> </w:t>
      </w:r>
      <w:r>
        <w:rPr>
          <w:spacing w:val="-115"/>
        </w:rPr>
      </w:r>
      <w:r>
        <w:rPr>
          <w:spacing w:val="7"/>
        </w:rPr>
        <w:t>在案。二零零七年八月二十九日</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11"/>
        </w:rPr>
        <w:t> </w:t>
      </w:r>
      <w:r>
        <w:rPr>
          <w:spacing w:val="8"/>
        </w:rPr>
        <w:t>清方荣信向上海市工商行政管理局浦东新区分局领取了 </w:t>
      </w:r>
      <w:r>
        <w:rPr>
          <w:spacing w:val="5"/>
        </w:rPr>
        <w:t>注册号为</w:t>
      </w:r>
      <w:r>
        <w:rPr>
          <w:spacing w:val="-47"/>
        </w:rPr>
        <w:t> </w:t>
      </w:r>
      <w:r>
        <w:rPr>
          <w:rFonts w:ascii="Times New Roman" w:hAnsi="Times New Roman" w:cs="Times New Roman" w:eastAsia="Times New Roman" w:hint="default"/>
          <w:spacing w:val="2"/>
        </w:rPr>
        <w:t>310115001032145</w:t>
      </w:r>
      <w:r>
        <w:rPr>
          <w:rFonts w:ascii="Times New Roman" w:hAnsi="Times New Roman" w:cs="Times New Roman" w:eastAsia="Times New Roman" w:hint="default"/>
          <w:spacing w:val="9"/>
        </w:rPr>
        <w:t> </w:t>
      </w:r>
      <w:r>
        <w:rPr>
          <w:spacing w:val="8"/>
        </w:rPr>
        <w:t>号的企业法人营业执照。</w:t>
      </w:r>
      <w:r>
        <w:rPr/>
      </w:r>
    </w:p>
    <w:p>
      <w:pPr>
        <w:pStyle w:val="BodyText"/>
        <w:spacing w:line="309" w:lineRule="auto" w:before="140"/>
        <w:ind w:right="147" w:firstLine="510"/>
        <w:jc w:val="both"/>
      </w:pPr>
      <w:r>
        <w:rPr>
          <w:rFonts w:ascii="Times New Roman" w:hAnsi="Times New Roman" w:cs="Times New Roman" w:eastAsia="Times New Roman" w:hint="default"/>
          <w:spacing w:val="2"/>
        </w:rPr>
        <w:t>**** </w:t>
      </w:r>
      <w:r>
        <w:rPr>
          <w:spacing w:val="8"/>
        </w:rPr>
        <w:t>二零零七年五月十五日</w:t>
      </w:r>
      <w:r>
        <w:rPr>
          <w:rFonts w:ascii="Times New Roman" w:hAnsi="Times New Roman" w:cs="Times New Roman" w:eastAsia="Times New Roman" w:hint="default"/>
          <w:spacing w:val="8"/>
        </w:rPr>
        <w:t>,</w:t>
      </w:r>
      <w:r>
        <w:rPr>
          <w:spacing w:val="8"/>
        </w:rPr>
        <w:t>本公司第三届董事会第一次会议通过决议</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30"/>
        </w:rPr>
        <w:t> </w:t>
      </w:r>
      <w:r>
        <w:rPr>
          <w:spacing w:val="9"/>
        </w:rPr>
        <w:t>由本公司与 </w:t>
      </w:r>
      <w:r>
        <w:rPr>
          <w:spacing w:val="4"/>
        </w:rPr>
        <w:t>诚和伟业共同出资设立荣信嘉时，注册资本</w:t>
      </w:r>
      <w:r>
        <w:rPr>
          <w:spacing w:val="-41"/>
        </w:rPr>
        <w:t> </w:t>
      </w:r>
      <w:r>
        <w:rPr>
          <w:rFonts w:ascii="Times New Roman" w:hAnsi="Times New Roman" w:cs="Times New Roman" w:eastAsia="Times New Roman" w:hint="default"/>
          <w:spacing w:val="3"/>
        </w:rPr>
        <w:t>5,000,000.00</w:t>
      </w:r>
      <w:r>
        <w:rPr>
          <w:rFonts w:ascii="Times New Roman" w:hAnsi="Times New Roman" w:cs="Times New Roman" w:eastAsia="Times New Roman" w:hint="default"/>
          <w:spacing w:val="16"/>
        </w:rPr>
        <w:t> </w:t>
      </w:r>
      <w:r>
        <w:rPr>
          <w:spacing w:val="7"/>
        </w:rPr>
        <w:t>人民币元</w:t>
      </w:r>
      <w:r>
        <w:rPr>
          <w:rFonts w:ascii="Times New Roman" w:hAnsi="Times New Roman" w:cs="Times New Roman" w:eastAsia="Times New Roman" w:hint="default"/>
          <w:spacing w:val="7"/>
        </w:rPr>
        <w:t>,</w:t>
      </w:r>
      <w:r>
        <w:rPr>
          <w:spacing w:val="7"/>
        </w:rPr>
        <w:t>其中本公司以货币资金</w:t>
      </w:r>
      <w:r>
        <w:rPr>
          <w:spacing w:val="-116"/>
        </w:rPr>
        <w:t> </w:t>
      </w:r>
      <w:r>
        <w:rPr>
          <w:spacing w:val="4"/>
        </w:rPr>
        <w:t>出资 </w:t>
      </w:r>
      <w:r>
        <w:rPr>
          <w:rFonts w:ascii="Times New Roman" w:hAnsi="Times New Roman" w:cs="Times New Roman" w:eastAsia="Times New Roman" w:hint="default"/>
          <w:spacing w:val="3"/>
        </w:rPr>
        <w:t>4,500,000.00 </w:t>
      </w:r>
      <w:r>
        <w:rPr>
          <w:spacing w:val="6"/>
        </w:rPr>
        <w:t>人民币元</w:t>
      </w:r>
      <w:r>
        <w:rPr>
          <w:rFonts w:ascii="Times New Roman" w:hAnsi="Times New Roman" w:cs="Times New Roman" w:eastAsia="Times New Roman" w:hint="default"/>
          <w:spacing w:val="6"/>
        </w:rPr>
        <w:t>,</w:t>
      </w:r>
      <w:r>
        <w:rPr>
          <w:spacing w:val="6"/>
        </w:rPr>
        <w:t>拥有荣信科技</w:t>
      </w:r>
      <w:r>
        <w:rPr>
          <w:spacing w:val="41"/>
        </w:rPr>
        <w:t> </w:t>
      </w:r>
      <w:r>
        <w:rPr>
          <w:rFonts w:ascii="Times New Roman" w:hAnsi="Times New Roman" w:cs="Times New Roman" w:eastAsia="Times New Roman" w:hint="default"/>
          <w:spacing w:val="7"/>
        </w:rPr>
        <w:t>90%</w:t>
      </w:r>
      <w:r>
        <w:rPr>
          <w:spacing w:val="7"/>
        </w:rPr>
        <w:t>的权益性资本；诚和伟业以货币资金出资</w:t>
      </w:r>
      <w:r>
        <w:rPr>
          <w:spacing w:val="8"/>
        </w:rPr>
        <w:t> </w:t>
      </w:r>
      <w:r>
        <w:rPr>
          <w:rFonts w:ascii="Times New Roman" w:hAnsi="Times New Roman" w:cs="Times New Roman" w:eastAsia="Times New Roman" w:hint="default"/>
          <w:spacing w:val="3"/>
        </w:rPr>
        <w:t>500,000.00</w:t>
      </w:r>
      <w:r>
        <w:rPr>
          <w:rFonts w:ascii="Times New Roman" w:hAnsi="Times New Roman" w:cs="Times New Roman" w:eastAsia="Times New Roman" w:hint="default"/>
          <w:spacing w:val="18"/>
        </w:rPr>
        <w:t> </w:t>
      </w:r>
      <w:r>
        <w:rPr>
          <w:spacing w:val="7"/>
        </w:rPr>
        <w:t>人民币元，拥有荣信科技</w:t>
      </w:r>
      <w:r>
        <w:rPr>
          <w:spacing w:val="-39"/>
        </w:rPr>
        <w:t> </w:t>
      </w:r>
      <w:r>
        <w:rPr>
          <w:rFonts w:ascii="Times New Roman" w:hAnsi="Times New Roman" w:cs="Times New Roman" w:eastAsia="Times New Roman" w:hint="default"/>
          <w:spacing w:val="6"/>
        </w:rPr>
        <w:t>10%</w:t>
      </w:r>
      <w:r>
        <w:rPr>
          <w:spacing w:val="6"/>
        </w:rPr>
        <w:t>的权益性资本。该等出资业经北京天平会计师事</w:t>
      </w:r>
      <w:r>
        <w:rPr>
          <w:spacing w:val="-116"/>
        </w:rPr>
        <w:t> </w:t>
      </w:r>
      <w:r>
        <w:rPr>
          <w:spacing w:val="7"/>
        </w:rPr>
        <w:t>务所有限公司以天平验资 </w:t>
      </w:r>
      <w:r>
        <w:rPr>
          <w:rFonts w:ascii="Times New Roman" w:hAnsi="Times New Roman" w:cs="Times New Roman" w:eastAsia="Times New Roman" w:hint="default"/>
          <w:spacing w:val="2"/>
        </w:rPr>
        <w:t>20071327 </w:t>
      </w:r>
      <w:r>
        <w:rPr>
          <w:spacing w:val="3"/>
        </w:rPr>
        <w:t>号《验资报告》审验在案。二零零七年八月十四日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7"/>
        </w:rPr>
        <w:t> </w:t>
      </w:r>
      <w:r>
        <w:rPr/>
        <w:t>荣 </w:t>
      </w:r>
      <w:r>
        <w:rPr>
          <w:spacing w:val="7"/>
        </w:rPr>
        <w:t>信嘉时向北京市工商行政管理局海淀分局领取了注册号为</w:t>
      </w:r>
      <w:r>
        <w:rPr>
          <w:spacing w:val="-57"/>
        </w:rPr>
        <w:t> </w:t>
      </w:r>
      <w:r>
        <w:rPr>
          <w:rFonts w:ascii="Times New Roman" w:hAnsi="Times New Roman" w:cs="Times New Roman" w:eastAsia="Times New Roman" w:hint="default"/>
          <w:spacing w:val="3"/>
        </w:rPr>
        <w:t>110108010410389</w:t>
      </w:r>
      <w:r>
        <w:rPr>
          <w:rFonts w:ascii="Times New Roman" w:hAnsi="Times New Roman" w:cs="Times New Roman" w:eastAsia="Times New Roman" w:hint="default"/>
        </w:rPr>
        <w:t> </w:t>
      </w:r>
      <w:r>
        <w:rPr>
          <w:spacing w:val="6"/>
        </w:rPr>
        <w:t>号的企业法人</w:t>
      </w:r>
      <w:r>
        <w:rPr>
          <w:spacing w:val="-117"/>
        </w:rPr>
        <w:t> </w:t>
      </w:r>
      <w:r>
        <w:rPr>
          <w:spacing w:val="-117"/>
        </w:rPr>
      </w:r>
      <w:r>
        <w:rPr>
          <w:spacing w:val="8"/>
        </w:rPr>
        <w:t>营业执照。</w:t>
      </w:r>
      <w:r>
        <w:rPr/>
      </w:r>
    </w:p>
    <w:p>
      <w:pPr>
        <w:pStyle w:val="BodyText"/>
        <w:spacing w:line="319" w:lineRule="auto" w:before="167"/>
        <w:ind w:right="147" w:firstLine="510"/>
        <w:jc w:val="both"/>
      </w:pPr>
      <w:r>
        <w:rPr>
          <w:spacing w:val="6"/>
        </w:rPr>
        <w:t>二零零七年九月本公司与诚和伟业签订《出资转让协议书》，诚和伟业将其持有荣信</w:t>
      </w:r>
      <w:r>
        <w:rPr>
          <w:spacing w:val="10"/>
        </w:rPr>
        <w:t> </w:t>
      </w:r>
      <w:r>
        <w:rPr>
          <w:spacing w:val="3"/>
        </w:rPr>
        <w:t>嘉时</w:t>
      </w:r>
      <w:r>
        <w:rPr>
          <w:spacing w:val="-46"/>
        </w:rPr>
        <w:t> </w:t>
      </w:r>
      <w:r>
        <w:rPr>
          <w:rFonts w:ascii="Times New Roman" w:hAnsi="Times New Roman" w:cs="Times New Roman" w:eastAsia="Times New Roman" w:hint="default"/>
          <w:spacing w:val="5"/>
        </w:rPr>
        <w:t>10%</w:t>
      </w:r>
      <w:r>
        <w:rPr>
          <w:spacing w:val="5"/>
        </w:rPr>
        <w:t>的股权转让给本公司，股权转让款为</w:t>
      </w:r>
      <w:r>
        <w:rPr>
          <w:spacing w:val="-46"/>
        </w:rPr>
        <w:t> </w:t>
      </w:r>
      <w:r>
        <w:rPr>
          <w:rFonts w:ascii="Times New Roman" w:hAnsi="Times New Roman" w:cs="Times New Roman" w:eastAsia="Times New Roman" w:hint="default"/>
          <w:spacing w:val="2"/>
        </w:rPr>
        <w:t>500,000.00</w:t>
      </w:r>
      <w:r>
        <w:rPr>
          <w:rFonts w:ascii="Times New Roman" w:hAnsi="Times New Roman" w:cs="Times New Roman" w:eastAsia="Times New Roman" w:hint="default"/>
          <w:spacing w:val="12"/>
        </w:rPr>
        <w:t> </w:t>
      </w:r>
      <w:r>
        <w:rPr>
          <w:spacing w:val="5"/>
        </w:rPr>
        <w:t>人民币元，该股权转让款已于二</w:t>
      </w:r>
      <w:r>
        <w:rPr>
          <w:spacing w:val="-118"/>
        </w:rPr>
        <w:t> </w:t>
      </w:r>
      <w:r>
        <w:rPr>
          <w:spacing w:val="-118"/>
        </w:rPr>
      </w:r>
      <w:r>
        <w:rPr>
          <w:spacing w:val="8"/>
        </w:rPr>
        <w:t>零零七年九月十一日支付完毕。</w:t>
      </w:r>
      <w:r>
        <w:rPr/>
      </w:r>
    </w:p>
    <w:p>
      <w:pPr>
        <w:spacing w:line="391" w:lineRule="auto" w:before="148"/>
        <w:ind w:left="66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14"/>
          <w:sz w:val="24"/>
          <w:szCs w:val="24"/>
        </w:rPr>
        <w:t> </w:t>
      </w:r>
      <w:r>
        <w:rPr>
          <w:rFonts w:ascii="宋体" w:hAnsi="宋体" w:cs="宋体" w:eastAsia="宋体" w:hint="default"/>
          <w:b/>
          <w:bCs/>
          <w:spacing w:val="9"/>
          <w:sz w:val="24"/>
          <w:szCs w:val="24"/>
        </w:rPr>
        <w:t>二零零七年度合并范围变化及其原因</w:t>
      </w:r>
      <w:r>
        <w:rPr>
          <w:rFonts w:ascii="宋体" w:hAnsi="宋体" w:cs="宋体" w:eastAsia="宋体" w:hint="default"/>
          <w:b/>
          <w:bCs/>
          <w:spacing w:val="9"/>
          <w:w w:val="99"/>
          <w:sz w:val="24"/>
          <w:szCs w:val="24"/>
        </w:rPr>
        <w:t> </w:t>
      </w:r>
      <w:r>
        <w:rPr>
          <w:rFonts w:ascii="宋体" w:hAnsi="宋体" w:cs="宋体" w:eastAsia="宋体" w:hint="default"/>
          <w:spacing w:val="6"/>
          <w:sz w:val="24"/>
          <w:szCs w:val="24"/>
        </w:rPr>
        <w:t>二零零七年度将清方荣信、荣信嘉时纳入合并范围，该两公司系本公司二零零七年度</w:t>
      </w:r>
      <w:r>
        <w:rPr>
          <w:rFonts w:ascii="宋体" w:hAnsi="宋体" w:cs="宋体" w:eastAsia="宋体" w:hint="default"/>
          <w:sz w:val="24"/>
          <w:szCs w:val="24"/>
        </w:rPr>
      </w:r>
    </w:p>
    <w:p>
      <w:pPr>
        <w:pStyle w:val="BodyText"/>
        <w:spacing w:line="269" w:lineRule="exact"/>
        <w:ind w:right="0"/>
        <w:jc w:val="left"/>
      </w:pPr>
      <w:r>
        <w:rPr>
          <w:spacing w:val="8"/>
        </w:rPr>
        <w:t>新投资设立的控股子公司。</w:t>
      </w:r>
      <w:r>
        <w:rPr/>
      </w:r>
    </w:p>
    <w:p>
      <w:pPr>
        <w:spacing w:line="240" w:lineRule="auto" w:before="3"/>
        <w:rPr>
          <w:rFonts w:ascii="宋体" w:hAnsi="宋体" w:cs="宋体" w:eastAsia="宋体" w:hint="default"/>
          <w:sz w:val="27"/>
          <w:szCs w:val="27"/>
        </w:rPr>
      </w:pPr>
    </w:p>
    <w:p>
      <w:pPr>
        <w:pStyle w:val="Heading4"/>
        <w:spacing w:line="240" w:lineRule="auto" w:before="0"/>
        <w:ind w:left="651" w:right="0"/>
        <w:jc w:val="left"/>
        <w:rPr>
          <w:rFonts w:ascii="黑体" w:hAnsi="黑体" w:cs="黑体" w:eastAsia="黑体" w:hint="default"/>
          <w:b w:val="0"/>
          <w:bCs w:val="0"/>
        </w:rPr>
      </w:pPr>
      <w:r>
        <w:rPr>
          <w:rFonts w:ascii="黑体" w:hAnsi="黑体" w:cs="黑体" w:eastAsia="黑体" w:hint="default"/>
          <w:spacing w:val="8"/>
        </w:rPr>
        <w:t>七、会计政策、会计估计变更及重大前期差错更正的说明</w:t>
      </w:r>
      <w:r>
        <w:rPr>
          <w:rFonts w:ascii="黑体" w:hAnsi="黑体" w:cs="黑体" w:eastAsia="黑体" w:hint="default"/>
          <w:b w:val="0"/>
          <w:bCs w:val="0"/>
        </w:rPr>
      </w:r>
    </w:p>
    <w:p>
      <w:pPr>
        <w:spacing w:line="240" w:lineRule="auto" w:before="3"/>
        <w:rPr>
          <w:rFonts w:ascii="黑体" w:hAnsi="黑体" w:cs="黑体" w:eastAsia="黑体" w:hint="default"/>
          <w:b/>
          <w:bCs/>
          <w:sz w:val="30"/>
          <w:szCs w:val="30"/>
        </w:rPr>
      </w:pPr>
    </w:p>
    <w:p>
      <w:pPr>
        <w:spacing w:line="391" w:lineRule="auto" w:before="0"/>
        <w:ind w:left="66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14"/>
          <w:sz w:val="24"/>
          <w:szCs w:val="24"/>
        </w:rPr>
        <w:t> </w:t>
      </w:r>
      <w:r>
        <w:rPr>
          <w:rFonts w:ascii="宋体" w:hAnsi="宋体" w:cs="宋体" w:eastAsia="宋体" w:hint="default"/>
          <w:b/>
          <w:bCs/>
          <w:spacing w:val="9"/>
          <w:sz w:val="24"/>
          <w:szCs w:val="24"/>
        </w:rPr>
        <w:t>会计政策变更</w:t>
      </w:r>
      <w:r>
        <w:rPr>
          <w:rFonts w:ascii="宋体" w:hAnsi="宋体" w:cs="宋体" w:eastAsia="宋体" w:hint="default"/>
          <w:b/>
          <w:bCs/>
          <w:spacing w:val="9"/>
          <w:w w:val="99"/>
          <w:sz w:val="24"/>
          <w:szCs w:val="24"/>
        </w:rPr>
        <w:t> </w:t>
      </w:r>
      <w:r>
        <w:rPr>
          <w:rFonts w:ascii="宋体" w:hAnsi="宋体" w:cs="宋体" w:eastAsia="宋体" w:hint="default"/>
          <w:spacing w:val="6"/>
          <w:sz w:val="24"/>
          <w:szCs w:val="24"/>
        </w:rPr>
        <w:t>本公司于二零零七年一月一日起执行新企业会计准则。按照新企业会计准则、中国证</w:t>
      </w:r>
      <w:r>
        <w:rPr>
          <w:rFonts w:ascii="宋体" w:hAnsi="宋体" w:cs="宋体" w:eastAsia="宋体" w:hint="default"/>
          <w:sz w:val="24"/>
          <w:szCs w:val="24"/>
        </w:rPr>
      </w:r>
    </w:p>
    <w:p>
      <w:pPr>
        <w:pStyle w:val="BodyText"/>
        <w:spacing w:line="287" w:lineRule="exact"/>
        <w:ind w:right="0"/>
        <w:jc w:val="left"/>
        <w:rPr>
          <w:rFonts w:ascii="Times New Roman" w:hAnsi="Times New Roman" w:cs="Times New Roman" w:eastAsia="Times New Roman" w:hint="default"/>
        </w:rPr>
      </w:pPr>
      <w:r>
        <w:rPr>
          <w:spacing w:val="8"/>
        </w:rPr>
        <w:t>监会发布的《关于做好与新企业会计准则相关财务会计信息披露的通知</w:t>
      </w:r>
      <w:r>
        <w:rPr>
          <w:rFonts w:ascii="Times New Roman" w:hAnsi="Times New Roman" w:cs="Times New Roman" w:eastAsia="Times New Roman" w:hint="default"/>
          <w:spacing w:val="8"/>
        </w:rPr>
        <w:t>(</w:t>
      </w:r>
      <w:r>
        <w:rPr>
          <w:spacing w:val="8"/>
        </w:rPr>
        <w:t>证监发</w:t>
      </w:r>
      <w:r>
        <w:rPr>
          <w:rFonts w:ascii="Times New Roman" w:hAnsi="Times New Roman" w:cs="Times New Roman" w:eastAsia="Times New Roman" w:hint="default"/>
          <w:spacing w:val="8"/>
        </w:rPr>
        <w:t>[2006]136</w:t>
      </w:r>
      <w:r>
        <w:rPr>
          <w:rFonts w:ascii="Times New Roman" w:hAnsi="Times New Roman" w:cs="Times New Roman" w:eastAsia="Times New Roman" w:hint="default"/>
        </w:rPr>
      </w:r>
    </w:p>
    <w:p>
      <w:pPr>
        <w:pStyle w:val="BodyText"/>
        <w:spacing w:line="240" w:lineRule="auto" w:before="87"/>
        <w:ind w:right="0"/>
        <w:jc w:val="left"/>
      </w:pPr>
      <w:r>
        <w:rPr>
          <w:spacing w:val="2"/>
        </w:rPr>
        <w:t>号</w:t>
      </w:r>
      <w:r>
        <w:rPr>
          <w:rFonts w:ascii="Times New Roman" w:hAnsi="Times New Roman" w:cs="Times New Roman" w:eastAsia="Times New Roman" w:hint="default"/>
          <w:spacing w:val="2"/>
        </w:rPr>
        <w:t>)</w:t>
      </w:r>
      <w:r>
        <w:rPr>
          <w:spacing w:val="2"/>
        </w:rPr>
        <w:t>》和《公开发行证券的公司信息披露规范问答第 </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spacing w:val="7"/>
        </w:rPr>
        <w:t>号―新旧会计准则过渡期间比较财务</w:t>
      </w:r>
    </w:p>
    <w:p>
      <w:pPr>
        <w:pStyle w:val="BodyText"/>
        <w:spacing w:line="240" w:lineRule="auto" w:before="87"/>
        <w:ind w:right="0"/>
        <w:jc w:val="left"/>
      </w:pPr>
      <w:r>
        <w:rPr>
          <w:spacing w:val="8"/>
        </w:rPr>
        <w:t>会计信息的编制和披露</w:t>
      </w:r>
      <w:r>
        <w:rPr>
          <w:spacing w:val="-117"/>
        </w:rPr>
        <w:t>》</w:t>
      </w:r>
      <w:r>
        <w:rPr>
          <w:spacing w:val="-116"/>
        </w:rPr>
        <w:t>、</w:t>
      </w:r>
      <w:r>
        <w:rPr>
          <w:spacing w:val="8"/>
        </w:rPr>
        <w:t>《公开发行证券的公司信息披露编报规则</w:t>
      </w:r>
      <w:r>
        <w:rPr/>
        <w:t>第</w:t>
      </w:r>
      <w:r>
        <w:rPr>
          <w:spacing w:val="-7"/>
        </w:rPr>
        <w:t> </w:t>
      </w:r>
      <w:r>
        <w:rPr>
          <w:rFonts w:ascii="Times New Roman" w:hAnsi="Times New Roman" w:cs="Times New Roman" w:eastAsia="Times New Roman" w:hint="default"/>
          <w:spacing w:val="3"/>
        </w:rPr>
        <w:t>1</w:t>
      </w:r>
      <w:r>
        <w:rPr>
          <w:rFonts w:ascii="Times New Roman" w:hAnsi="Times New Roman" w:cs="Times New Roman" w:eastAsia="Times New Roman" w:hint="default"/>
        </w:rPr>
        <w:t>5 </w:t>
      </w:r>
      <w:r>
        <w:rPr>
          <w:rFonts w:ascii="Times New Roman" w:hAnsi="Times New Roman" w:cs="Times New Roman" w:eastAsia="Times New Roman" w:hint="default"/>
          <w:spacing w:val="-9"/>
        </w:rPr>
        <w:t> </w:t>
      </w:r>
      <w:r>
        <w:rPr>
          <w:spacing w:val="8"/>
        </w:rPr>
        <w:t>号―财务报</w:t>
      </w:r>
      <w:r>
        <w:rPr>
          <w:spacing w:val="6"/>
        </w:rPr>
        <w:t>告</w:t>
      </w:r>
      <w:r>
        <w:rPr/>
        <w:t>的</w:t>
      </w:r>
    </w:p>
    <w:p>
      <w:pPr>
        <w:spacing w:after="0" w:line="240" w:lineRule="auto"/>
        <w:jc w:val="left"/>
        <w:sectPr>
          <w:pgSz w:w="11910" w:h="16840"/>
          <w:pgMar w:header="877" w:footer="1022" w:top="1100" w:bottom="1220" w:left="980" w:right="980"/>
        </w:sectPr>
      </w:pPr>
    </w:p>
    <w:p>
      <w:pPr>
        <w:spacing w:line="240" w:lineRule="auto" w:before="11"/>
        <w:rPr>
          <w:rFonts w:ascii="宋体" w:hAnsi="宋体" w:cs="宋体" w:eastAsia="宋体" w:hint="default"/>
          <w:sz w:val="27"/>
          <w:szCs w:val="27"/>
        </w:rPr>
      </w:pPr>
    </w:p>
    <w:p>
      <w:pPr>
        <w:pStyle w:val="BodyText"/>
        <w:spacing w:line="302" w:lineRule="auto" w:before="26"/>
        <w:ind w:left="314" w:right="231"/>
        <w:jc w:val="left"/>
      </w:pPr>
      <w:r>
        <w:rPr>
          <w:spacing w:val="-2"/>
        </w:rPr>
        <w:t>一般规定》、企业会计准则解释</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spacing w:val="7"/>
        </w:rPr>
        <w:t>号等有关规定，本公司对以下会计政策进行了变更，并</w:t>
      </w:r>
      <w:r>
        <w:rPr/>
        <w:t> </w:t>
      </w:r>
      <w:r>
        <w:rPr>
          <w:spacing w:val="8"/>
        </w:rPr>
        <w:t>对比较期间的财务报表进行了追溯调整，其中：</w:t>
      </w:r>
      <w:r>
        <w:rPr/>
      </w:r>
    </w:p>
    <w:p>
      <w:pPr>
        <w:pStyle w:val="BodyText"/>
        <w:spacing w:line="312" w:lineRule="auto" w:before="163"/>
        <w:ind w:left="313" w:right="229" w:firstLine="510"/>
        <w:jc w:val="both"/>
      </w:pPr>
      <w:r>
        <w:rPr>
          <w:rFonts w:ascii="Times New Roman" w:hAnsi="Times New Roman" w:cs="Times New Roman" w:eastAsia="Times New Roman" w:hint="default"/>
        </w:rPr>
        <w:t>(1) </w:t>
      </w:r>
      <w:r>
        <w:rPr>
          <w:spacing w:val="3"/>
        </w:rPr>
        <w:t>根据《企业会计准则第 </w:t>
      </w:r>
      <w:r>
        <w:rPr>
          <w:rFonts w:ascii="Times New Roman" w:hAnsi="Times New Roman" w:cs="Times New Roman" w:eastAsia="Times New Roman" w:hint="default"/>
        </w:rPr>
        <w:t>18</w:t>
      </w:r>
      <w:r>
        <w:rPr>
          <w:rFonts w:ascii="Times New Roman" w:hAnsi="Times New Roman" w:cs="Times New Roman" w:eastAsia="Times New Roman" w:hint="default"/>
          <w:spacing w:val="-22"/>
        </w:rPr>
        <w:t> </w:t>
      </w:r>
      <w:r>
        <w:rPr>
          <w:spacing w:val="5"/>
        </w:rPr>
        <w:t>号</w:t>
      </w:r>
      <w:r>
        <w:rPr>
          <w:rFonts w:ascii="Times New Roman" w:hAnsi="Times New Roman" w:cs="Times New Roman" w:eastAsia="Times New Roman" w:hint="default"/>
          <w:spacing w:val="5"/>
        </w:rPr>
        <w:t>——</w:t>
      </w:r>
      <w:r>
        <w:rPr>
          <w:spacing w:val="5"/>
        </w:rPr>
        <w:t>所得税》的规定，公司采用资产负债表债务法对</w:t>
      </w:r>
      <w:r>
        <w:rPr>
          <w:spacing w:val="8"/>
          <w:w w:val="99"/>
        </w:rPr>
        <w:t> </w:t>
      </w:r>
      <w:r>
        <w:rPr>
          <w:spacing w:val="7"/>
        </w:rPr>
        <w:t>企业所得税进行核算。该项会计政策变更采用追溯调整法，由此调增二零零六年度净利润</w:t>
      </w:r>
      <w:r>
        <w:rPr>
          <w:spacing w:val="8"/>
          <w:w w:val="99"/>
        </w:rPr>
        <w:t> </w:t>
      </w:r>
      <w:r>
        <w:rPr>
          <w:rFonts w:ascii="Times New Roman" w:hAnsi="Times New Roman" w:cs="Times New Roman" w:eastAsia="Times New Roman" w:hint="default"/>
          <w:spacing w:val="2"/>
        </w:rPr>
        <w:t>212,881.14 </w:t>
      </w:r>
      <w:r>
        <w:rPr>
          <w:spacing w:val="7"/>
        </w:rPr>
        <w:t>人民币元；调增二零零七年一月一日股东权益金额 </w:t>
      </w:r>
      <w:r>
        <w:rPr>
          <w:rFonts w:ascii="Times New Roman" w:hAnsi="Times New Roman" w:cs="Times New Roman" w:eastAsia="Times New Roman" w:hint="default"/>
          <w:spacing w:val="2"/>
        </w:rPr>
        <w:t>730,816.63</w:t>
      </w:r>
      <w:r>
        <w:rPr>
          <w:rFonts w:ascii="Times New Roman" w:hAnsi="Times New Roman" w:cs="Times New Roman" w:eastAsia="Times New Roman" w:hint="default"/>
          <w:spacing w:val="-20"/>
        </w:rPr>
        <w:t> </w:t>
      </w:r>
      <w:r>
        <w:rPr>
          <w:spacing w:val="8"/>
        </w:rPr>
        <w:t>人民币元。</w:t>
      </w:r>
      <w:r>
        <w:rPr/>
      </w:r>
    </w:p>
    <w:p>
      <w:pPr>
        <w:pStyle w:val="BodyText"/>
        <w:spacing w:line="316" w:lineRule="auto" w:before="128"/>
        <w:ind w:left="314" w:right="113" w:firstLine="510"/>
        <w:jc w:val="both"/>
      </w:pPr>
      <w:r>
        <w:rPr>
          <w:rFonts w:ascii="Times New Roman" w:hAnsi="Times New Roman" w:cs="Times New Roman" w:eastAsia="Times New Roman" w:hint="default"/>
        </w:rPr>
        <w:t>(2) </w:t>
      </w:r>
      <w:r>
        <w:rPr>
          <w:spacing w:val="7"/>
        </w:rPr>
        <w:t>根据《企业会计准则第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7"/>
        </w:rPr>
        <w:t>号</w:t>
      </w:r>
      <w:r>
        <w:rPr>
          <w:rFonts w:ascii="Times New Roman" w:hAnsi="Times New Roman" w:cs="Times New Roman" w:eastAsia="Times New Roman" w:hint="default"/>
          <w:spacing w:val="7"/>
        </w:rPr>
        <w:t>——</w:t>
      </w:r>
      <w:r>
        <w:rPr>
          <w:spacing w:val="7"/>
        </w:rPr>
        <w:t>长期股权投资》的规定，公司对所属全资子公司</w:t>
      </w:r>
      <w:r>
        <w:rPr>
          <w:spacing w:val="8"/>
          <w:w w:val="99"/>
        </w:rPr>
        <w:t> </w:t>
      </w:r>
      <w:r>
        <w:rPr>
          <w:spacing w:val="6"/>
        </w:rPr>
        <w:t>及控股子公司长期股权投资的核算方法由原来的权益法改为成本法。公司在首次执行日以</w:t>
      </w:r>
      <w:r>
        <w:rPr>
          <w:spacing w:val="-90"/>
        </w:rPr>
        <w:t> </w:t>
      </w:r>
      <w:r>
        <w:rPr>
          <w:spacing w:val="-90"/>
        </w:rPr>
      </w:r>
      <w:r>
        <w:rPr>
          <w:spacing w:val="7"/>
        </w:rPr>
        <w:t>前已经持有的对子公司长期股权投资，在首次执行日进行追溯调整，视同该子公司自最初</w:t>
      </w:r>
      <w:r>
        <w:rPr>
          <w:spacing w:val="8"/>
          <w:w w:val="99"/>
        </w:rPr>
        <w:t> </w:t>
      </w:r>
      <w:r>
        <w:rPr>
          <w:spacing w:val="6"/>
        </w:rPr>
        <w:t>即采用成本法核算。执行新会计准则后按照子公司宣告分派现金股利或利润中应分得的部</w:t>
      </w:r>
      <w:r>
        <w:rPr>
          <w:spacing w:val="-90"/>
        </w:rPr>
        <w:t> </w:t>
      </w:r>
      <w:r>
        <w:rPr>
          <w:spacing w:val="-90"/>
        </w:rPr>
      </w:r>
      <w:r>
        <w:rPr>
          <w:spacing w:val="2"/>
        </w:rPr>
        <w:t>分，确认为投资收益。由此调减二零零六年度母公司财务报表净利润 </w:t>
      </w:r>
      <w:r>
        <w:rPr>
          <w:rFonts w:ascii="Times New Roman" w:hAnsi="Times New Roman" w:cs="Times New Roman" w:eastAsia="Times New Roman" w:hint="default"/>
          <w:spacing w:val="2"/>
        </w:rPr>
        <w:t>734,269.01</w:t>
      </w:r>
      <w:r>
        <w:rPr>
          <w:rFonts w:ascii="Times New Roman" w:hAnsi="Times New Roman" w:cs="Times New Roman" w:eastAsia="Times New Roman" w:hint="default"/>
          <w:spacing w:val="-33"/>
        </w:rPr>
        <w:t> </w:t>
      </w:r>
      <w:r>
        <w:rPr>
          <w:spacing w:val="5"/>
        </w:rPr>
        <w:t>人民币元，</w:t>
      </w:r>
    </w:p>
    <w:p>
      <w:pPr>
        <w:pStyle w:val="BodyText"/>
        <w:spacing w:line="302" w:lineRule="auto" w:before="2"/>
        <w:ind w:left="314" w:right="227"/>
        <w:jc w:val="left"/>
      </w:pPr>
      <w:r>
        <w:rPr>
          <w:spacing w:val="7"/>
        </w:rPr>
        <w:t>调减二零零七年一月一日母公司财务报表股东权益金额</w:t>
      </w:r>
      <w:r>
        <w:rPr>
          <w:spacing w:val="-29"/>
        </w:rPr>
        <w:t> </w:t>
      </w:r>
      <w:r>
        <w:rPr>
          <w:rFonts w:ascii="Times New Roman" w:hAnsi="Times New Roman" w:cs="Times New Roman" w:eastAsia="Times New Roman" w:hint="default"/>
          <w:spacing w:val="3"/>
        </w:rPr>
        <w:t>2,817,503.30</w:t>
      </w:r>
      <w:r>
        <w:rPr>
          <w:rFonts w:ascii="Times New Roman" w:hAnsi="Times New Roman" w:cs="Times New Roman" w:eastAsia="Times New Roman" w:hint="default"/>
          <w:spacing w:val="25"/>
        </w:rPr>
        <w:t> </w:t>
      </w:r>
      <w:r>
        <w:rPr>
          <w:spacing w:val="7"/>
        </w:rPr>
        <w:t>人民币元；该项会计</w:t>
      </w:r>
      <w:r>
        <w:rPr>
          <w:spacing w:val="-118"/>
        </w:rPr>
        <w:t> </w:t>
      </w:r>
      <w:r>
        <w:rPr>
          <w:spacing w:val="8"/>
        </w:rPr>
        <w:t>政策变更追溯调整不影响各年度合并财务报表。</w:t>
      </w:r>
      <w:r>
        <w:rPr/>
      </w:r>
    </w:p>
    <w:p>
      <w:pPr>
        <w:pStyle w:val="Heading4"/>
        <w:spacing w:line="240" w:lineRule="auto" w:before="163"/>
        <w:ind w:left="824" w:right="348"/>
        <w:jc w:val="left"/>
        <w:rPr>
          <w:b w:val="0"/>
          <w:bCs w:val="0"/>
        </w:rPr>
      </w:pPr>
      <w:r>
        <w:rPr>
          <w:rFonts w:ascii="Times New Roman" w:hAnsi="Times New Roman" w:cs="Times New Roman" w:eastAsia="Times New Roman" w:hint="default"/>
          <w:spacing w:val="8"/>
        </w:rPr>
        <w:t>2</w:t>
      </w:r>
      <w:r>
        <w:rPr>
          <w:spacing w:val="8"/>
        </w:rPr>
        <w:t>．本公司二零零七年度未发生会计估计变更及重大前期差错更正事项。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812" w:right="348"/>
        <w:jc w:val="left"/>
        <w:rPr>
          <w:rFonts w:ascii="黑体" w:hAnsi="黑体" w:cs="黑体" w:eastAsia="黑体" w:hint="default"/>
          <w:b w:val="0"/>
          <w:bCs w:val="0"/>
        </w:rPr>
      </w:pPr>
      <w:r>
        <w:rPr>
          <w:rFonts w:ascii="黑体" w:hAnsi="黑体" w:cs="黑体" w:eastAsia="黑体" w:hint="default"/>
          <w:spacing w:val="8"/>
        </w:rPr>
        <w:t>八、合并财务报表项目注释</w:t>
      </w:r>
      <w:r>
        <w:rPr>
          <w:rFonts w:ascii="黑体" w:hAnsi="黑体" w:cs="黑体" w:eastAsia="黑体" w:hint="default"/>
          <w:b w:val="0"/>
          <w:bCs w:val="0"/>
        </w:rPr>
      </w:r>
    </w:p>
    <w:p>
      <w:pPr>
        <w:spacing w:line="240" w:lineRule="auto" w:before="3"/>
        <w:rPr>
          <w:rFonts w:ascii="黑体" w:hAnsi="黑体" w:cs="黑体" w:eastAsia="黑体" w:hint="default"/>
          <w:b/>
          <w:bCs/>
          <w:sz w:val="30"/>
          <w:szCs w:val="30"/>
        </w:rPr>
      </w:pPr>
    </w:p>
    <w:p>
      <w:pPr>
        <w:spacing w:line="362" w:lineRule="auto" w:before="0"/>
        <w:ind w:left="824" w:right="611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9"/>
          <w:sz w:val="24"/>
          <w:szCs w:val="24"/>
        </w:rPr>
        <w:t>货币资金</w:t>
      </w:r>
      <w:r>
        <w:rPr>
          <w:rFonts w:ascii="宋体" w:hAnsi="宋体" w:cs="宋体" w:eastAsia="宋体" w:hint="default"/>
          <w:b/>
          <w:bCs/>
          <w:spacing w:val="9"/>
          <w:w w:val="99"/>
          <w:sz w:val="24"/>
          <w:szCs w:val="24"/>
        </w:rPr>
        <w:t> </w:t>
      </w:r>
      <w:r>
        <w:rPr>
          <w:rFonts w:ascii="宋体" w:hAnsi="宋体" w:cs="宋体" w:eastAsia="宋体" w:hint="default"/>
          <w:spacing w:val="8"/>
          <w:sz w:val="24"/>
          <w:szCs w:val="24"/>
        </w:rPr>
        <w:t>货币资金明细项目列示如下：</w:t>
      </w:r>
      <w:r>
        <w:rPr>
          <w:rFonts w:ascii="宋体" w:hAnsi="宋体" w:cs="宋体" w:eastAsia="宋体" w:hint="default"/>
          <w:sz w:val="24"/>
          <w:szCs w:val="24"/>
        </w:rPr>
      </w:r>
    </w:p>
    <w:p>
      <w:pPr>
        <w:spacing w:line="240" w:lineRule="auto" w:before="2"/>
        <w:rPr>
          <w:rFonts w:ascii="宋体" w:hAnsi="宋体" w:cs="宋体" w:eastAsia="宋体" w:hint="default"/>
          <w:sz w:val="9"/>
          <w:szCs w:val="9"/>
        </w:rPr>
      </w:pPr>
    </w:p>
    <w:tbl>
      <w:tblPr>
        <w:tblW w:w="0" w:type="auto"/>
        <w:jc w:val="left"/>
        <w:tblInd w:w="313" w:type="dxa"/>
        <w:tblLayout w:type="fixed"/>
        <w:tblCellMar>
          <w:top w:w="0" w:type="dxa"/>
          <w:left w:w="0" w:type="dxa"/>
          <w:bottom w:w="0" w:type="dxa"/>
          <w:right w:w="0" w:type="dxa"/>
        </w:tblCellMar>
        <w:tblLook w:val="01E0"/>
      </w:tblPr>
      <w:tblGrid>
        <w:gridCol w:w="1944"/>
        <w:gridCol w:w="1285"/>
        <w:gridCol w:w="1955"/>
        <w:gridCol w:w="1216"/>
        <w:gridCol w:w="1962"/>
      </w:tblGrid>
      <w:tr>
        <w:trPr>
          <w:trHeight w:val="290" w:hRule="exact"/>
        </w:trPr>
        <w:tc>
          <w:tcPr>
            <w:tcW w:w="194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5"/>
                <w:sz w:val="18"/>
                <w:szCs w:val="18"/>
              </w:rPr>
              <w:t> </w:t>
            </w:r>
            <w:r>
              <w:rPr>
                <w:rFonts w:ascii="宋体" w:hAnsi="宋体" w:cs="宋体" w:eastAsia="宋体" w:hint="default"/>
                <w:sz w:val="18"/>
                <w:szCs w:val="18"/>
              </w:rPr>
              <w:t>目</w:t>
            </w:r>
          </w:p>
        </w:tc>
        <w:tc>
          <w:tcPr>
            <w:tcW w:w="1285"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single" w:sz="6" w:space="0" w:color="000000"/>
              <w:right w:val="nil" w:sz="6" w:space="0" w:color="auto"/>
            </w:tcBorders>
          </w:tcPr>
          <w:p>
            <w:pPr>
              <w:pStyle w:val="TableParagraph"/>
              <w:spacing w:line="191" w:lineRule="exact"/>
              <w:ind w:left="561" w:right="0"/>
              <w:jc w:val="left"/>
              <w:rPr>
                <w:rFonts w:ascii="Times New Roman" w:hAnsi="Times New Roman" w:cs="Times New Roman" w:eastAsia="Times New Roman" w:hint="default"/>
                <w:sz w:val="18"/>
                <w:szCs w:val="18"/>
              </w:rPr>
            </w:pPr>
            <w:r>
              <w:rPr>
                <w:rFonts w:ascii="Times New Roman"/>
                <w:spacing w:val="3"/>
                <w:sz w:val="18"/>
              </w:rPr>
              <w:t>2007.12.31</w:t>
            </w:r>
            <w:r>
              <w:rPr>
                <w:rFonts w:ascii="Times New Roman"/>
                <w:sz w:val="18"/>
              </w:rPr>
            </w:r>
          </w:p>
        </w:tc>
        <w:tc>
          <w:tcPr>
            <w:tcW w:w="1216"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single" w:sz="4" w:space="0" w:color="000000"/>
              <w:right w:val="nil" w:sz="6" w:space="0" w:color="auto"/>
            </w:tcBorders>
          </w:tcPr>
          <w:p>
            <w:pPr>
              <w:pStyle w:val="TableParagraph"/>
              <w:spacing w:line="191" w:lineRule="exact"/>
              <w:ind w:left="561" w:right="0"/>
              <w:jc w:val="left"/>
              <w:rPr>
                <w:rFonts w:ascii="Times New Roman" w:hAnsi="Times New Roman" w:cs="Times New Roman" w:eastAsia="Times New Roman" w:hint="default"/>
                <w:sz w:val="18"/>
                <w:szCs w:val="18"/>
              </w:rPr>
            </w:pPr>
            <w:r>
              <w:rPr>
                <w:rFonts w:ascii="Times New Roman"/>
                <w:spacing w:val="3"/>
                <w:sz w:val="18"/>
              </w:rPr>
              <w:t>2006.12.31</w:t>
            </w:r>
            <w:r>
              <w:rPr>
                <w:rFonts w:ascii="Times New Roman"/>
                <w:sz w:val="18"/>
              </w:rPr>
            </w:r>
          </w:p>
        </w:tc>
      </w:tr>
      <w:tr>
        <w:trPr>
          <w:trHeight w:val="407" w:hRule="exact"/>
        </w:trPr>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8"/>
                <w:szCs w:val="18"/>
              </w:rPr>
            </w:pPr>
            <w:r>
              <w:rPr>
                <w:rFonts w:ascii="宋体" w:hAnsi="宋体" w:cs="宋体" w:eastAsia="宋体" w:hint="default"/>
                <w:spacing w:val="7"/>
                <w:sz w:val="18"/>
                <w:szCs w:val="18"/>
              </w:rPr>
              <w:t>现金</w:t>
            </w:r>
            <w:r>
              <w:rPr>
                <w:rFonts w:ascii="宋体" w:hAnsi="宋体" w:cs="宋体" w:eastAsia="宋体" w:hint="default"/>
                <w:sz w:val="18"/>
                <w:szCs w:val="18"/>
              </w:rPr>
            </w:r>
          </w:p>
        </w:tc>
        <w:tc>
          <w:tcPr>
            <w:tcW w:w="1285" w:type="dxa"/>
            <w:tcBorders>
              <w:top w:val="nil" w:sz="6" w:space="0" w:color="auto"/>
              <w:left w:val="nil" w:sz="6" w:space="0" w:color="auto"/>
              <w:bottom w:val="nil" w:sz="6" w:space="0" w:color="auto"/>
              <w:right w:val="nil" w:sz="6" w:space="0" w:color="auto"/>
            </w:tcBorders>
          </w:tcPr>
          <w:p>
            <w:pPr/>
          </w:p>
        </w:tc>
        <w:tc>
          <w:tcPr>
            <w:tcW w:w="1955" w:type="dxa"/>
            <w:tcBorders>
              <w:top w:val="single" w:sz="6" w:space="0" w:color="000000"/>
              <w:left w:val="nil" w:sz="6" w:space="0" w:color="auto"/>
              <w:bottom w:val="nil" w:sz="6" w:space="0" w:color="auto"/>
              <w:right w:val="nil" w:sz="6" w:space="0" w:color="auto"/>
            </w:tcBorders>
          </w:tcPr>
          <w:p>
            <w:pPr>
              <w:pStyle w:val="TableParagraph"/>
              <w:tabs>
                <w:tab w:pos="1210" w:val="left" w:leader="none"/>
              </w:tabs>
              <w:spacing w:line="240" w:lineRule="auto" w:before="92"/>
              <w:ind w:right="8"/>
              <w:jc w:val="right"/>
              <w:rPr>
                <w:rFonts w:ascii="Times New Roman" w:hAnsi="Times New Roman" w:cs="Times New Roman" w:eastAsia="Times New Roman" w:hint="default"/>
                <w:sz w:val="18"/>
                <w:szCs w:val="18"/>
              </w:rPr>
            </w:pPr>
            <w:r>
              <w:rPr>
                <w:rFonts w:ascii="Times New Roman"/>
                <w:w w:val="95"/>
                <w:sz w:val="18"/>
              </w:rPr>
              <w:t>RMB</w:t>
              <w:tab/>
              <w:t>62,221.29</w:t>
            </w:r>
            <w:r>
              <w:rPr>
                <w:rFonts w:ascii="Times New Roman"/>
                <w:sz w:val="18"/>
              </w:rPr>
            </w:r>
          </w:p>
        </w:tc>
        <w:tc>
          <w:tcPr>
            <w:tcW w:w="1216" w:type="dxa"/>
            <w:tcBorders>
              <w:top w:val="nil" w:sz="6" w:space="0" w:color="auto"/>
              <w:left w:val="nil" w:sz="6" w:space="0" w:color="auto"/>
              <w:bottom w:val="nil" w:sz="6" w:space="0" w:color="auto"/>
              <w:right w:val="nil" w:sz="6" w:space="0" w:color="auto"/>
            </w:tcBorders>
          </w:tcPr>
          <w:p>
            <w:pPr/>
          </w:p>
        </w:tc>
        <w:tc>
          <w:tcPr>
            <w:tcW w:w="1962" w:type="dxa"/>
            <w:tcBorders>
              <w:top w:val="single" w:sz="4" w:space="0" w:color="000000"/>
              <w:left w:val="nil" w:sz="6" w:space="0" w:color="auto"/>
              <w:bottom w:val="nil" w:sz="6" w:space="0" w:color="auto"/>
              <w:right w:val="nil" w:sz="6" w:space="0" w:color="auto"/>
            </w:tcBorders>
          </w:tcPr>
          <w:p>
            <w:pPr>
              <w:pStyle w:val="TableParagraph"/>
              <w:tabs>
                <w:tab w:pos="1120" w:val="left" w:leader="none"/>
              </w:tabs>
              <w:spacing w:line="240" w:lineRule="auto" w:before="97"/>
              <w:ind w:right="16"/>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117,144.93</w:t>
            </w:r>
          </w:p>
        </w:tc>
      </w:tr>
      <w:tr>
        <w:trPr>
          <w:trHeight w:val="391"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pacing w:val="7"/>
                <w:sz w:val="18"/>
                <w:szCs w:val="18"/>
              </w:rPr>
              <w:t>银行存款</w:t>
            </w:r>
            <w:r>
              <w:rPr>
                <w:rFonts w:ascii="宋体" w:hAnsi="宋体" w:cs="宋体" w:eastAsia="宋体" w:hint="default"/>
                <w:sz w:val="18"/>
                <w:szCs w:val="18"/>
              </w:rPr>
            </w:r>
          </w:p>
        </w:tc>
        <w:tc>
          <w:tcPr>
            <w:tcW w:w="1285"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
              <w:jc w:val="right"/>
              <w:rPr>
                <w:rFonts w:ascii="Times New Roman" w:hAnsi="Times New Roman" w:cs="Times New Roman" w:eastAsia="Times New Roman" w:hint="default"/>
                <w:sz w:val="18"/>
                <w:szCs w:val="18"/>
              </w:rPr>
            </w:pPr>
            <w:r>
              <w:rPr>
                <w:rFonts w:ascii="Times New Roman"/>
                <w:spacing w:val="-1"/>
                <w:sz w:val="18"/>
              </w:rPr>
              <w:t>99,965,913.43</w:t>
            </w:r>
          </w:p>
        </w:tc>
        <w:tc>
          <w:tcPr>
            <w:tcW w:w="1216"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pacing w:val="-1"/>
                <w:sz w:val="18"/>
              </w:rPr>
              <w:t>35,943,042.92</w:t>
            </w:r>
          </w:p>
        </w:tc>
      </w:tr>
      <w:tr>
        <w:trPr>
          <w:trHeight w:val="392"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其他货币资金</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c>
          <w:tcPr>
            <w:tcW w:w="1285"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7"/>
              <w:jc w:val="right"/>
              <w:rPr>
                <w:rFonts w:ascii="Times New Roman" w:hAnsi="Times New Roman" w:cs="Times New Roman" w:eastAsia="Times New Roman" w:hint="default"/>
                <w:sz w:val="18"/>
                <w:szCs w:val="18"/>
              </w:rPr>
            </w:pPr>
            <w:r>
              <w:rPr>
                <w:rFonts w:ascii="Times New Roman"/>
                <w:spacing w:val="-1"/>
                <w:sz w:val="18"/>
              </w:rPr>
              <w:t>193,912,738.84</w:t>
            </w:r>
          </w:p>
        </w:tc>
        <w:tc>
          <w:tcPr>
            <w:tcW w:w="1216"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pacing w:val="-1"/>
                <w:sz w:val="18"/>
              </w:rPr>
              <w:t>14,170,820.00</w:t>
            </w:r>
          </w:p>
        </w:tc>
      </w:tr>
      <w:tr>
        <w:trPr>
          <w:trHeight w:val="419" w:hRule="exact"/>
        </w:trPr>
        <w:tc>
          <w:tcPr>
            <w:tcW w:w="1944"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1955" w:type="dxa"/>
            <w:tcBorders>
              <w:top w:val="single" w:sz="6" w:space="0" w:color="000000"/>
              <w:left w:val="nil" w:sz="6" w:space="0" w:color="auto"/>
              <w:bottom w:val="single" w:sz="17" w:space="0" w:color="000000"/>
              <w:right w:val="nil" w:sz="6" w:space="0" w:color="auto"/>
            </w:tcBorders>
          </w:tcPr>
          <w:p>
            <w:pPr>
              <w:pStyle w:val="TableParagraph"/>
              <w:tabs>
                <w:tab w:pos="760" w:val="left" w:leader="none"/>
              </w:tabs>
              <w:spacing w:line="240" w:lineRule="auto" w:before="92"/>
              <w:ind w:right="8"/>
              <w:jc w:val="right"/>
              <w:rPr>
                <w:rFonts w:ascii="Times New Roman" w:hAnsi="Times New Roman" w:cs="Times New Roman" w:eastAsia="Times New Roman" w:hint="default"/>
                <w:sz w:val="18"/>
                <w:szCs w:val="18"/>
              </w:rPr>
            </w:pPr>
            <w:r>
              <w:rPr>
                <w:rFonts w:ascii="Times New Roman"/>
                <w:w w:val="95"/>
                <w:sz w:val="18"/>
              </w:rPr>
              <w:t>RMB</w:t>
              <w:tab/>
              <w:t>293,940,873.56</w:t>
            </w:r>
            <w:r>
              <w:rPr>
                <w:rFonts w:ascii="Times New Roman"/>
                <w:sz w:val="18"/>
              </w:rPr>
            </w:r>
          </w:p>
        </w:tc>
        <w:tc>
          <w:tcPr>
            <w:tcW w:w="1216" w:type="dxa"/>
            <w:tcBorders>
              <w:top w:val="nil" w:sz="6" w:space="0" w:color="auto"/>
              <w:left w:val="nil" w:sz="6" w:space="0" w:color="auto"/>
              <w:bottom w:val="nil" w:sz="6" w:space="0" w:color="auto"/>
              <w:right w:val="nil" w:sz="6" w:space="0" w:color="auto"/>
            </w:tcBorders>
          </w:tcPr>
          <w:p>
            <w:pPr/>
          </w:p>
        </w:tc>
        <w:tc>
          <w:tcPr>
            <w:tcW w:w="1962" w:type="dxa"/>
            <w:tcBorders>
              <w:top w:val="single" w:sz="4" w:space="0" w:color="000000"/>
              <w:left w:val="nil" w:sz="6" w:space="0" w:color="auto"/>
              <w:bottom w:val="single" w:sz="12" w:space="0" w:color="000000"/>
              <w:right w:val="nil" w:sz="6" w:space="0" w:color="auto"/>
            </w:tcBorders>
          </w:tcPr>
          <w:p>
            <w:pPr>
              <w:pStyle w:val="TableParagraph"/>
              <w:tabs>
                <w:tab w:pos="850" w:val="left" w:leader="none"/>
              </w:tabs>
              <w:spacing w:line="240" w:lineRule="auto" w:before="97"/>
              <w:ind w:right="16"/>
              <w:jc w:val="right"/>
              <w:rPr>
                <w:rFonts w:ascii="Times New Roman" w:hAnsi="Times New Roman" w:cs="Times New Roman" w:eastAsia="Times New Roman" w:hint="default"/>
                <w:sz w:val="18"/>
                <w:szCs w:val="18"/>
              </w:rPr>
            </w:pPr>
            <w:r>
              <w:rPr>
                <w:rFonts w:ascii="Times New Roman"/>
                <w:w w:val="95"/>
                <w:sz w:val="18"/>
              </w:rPr>
              <w:t>RMB</w:t>
              <w:tab/>
              <w:t>50,231,007.85</w:t>
            </w:r>
            <w:r>
              <w:rPr>
                <w:rFonts w:ascii="Times New Roman"/>
                <w:sz w:val="18"/>
              </w:rPr>
            </w:r>
          </w:p>
        </w:tc>
      </w:tr>
    </w:tbl>
    <w:p>
      <w:pPr>
        <w:spacing w:line="240" w:lineRule="auto" w:before="1"/>
        <w:rPr>
          <w:rFonts w:ascii="宋体" w:hAnsi="宋体" w:cs="宋体" w:eastAsia="宋体" w:hint="default"/>
          <w:sz w:val="10"/>
          <w:szCs w:val="10"/>
        </w:rPr>
      </w:pPr>
    </w:p>
    <w:p>
      <w:pPr>
        <w:pStyle w:val="BodyText"/>
        <w:spacing w:line="360" w:lineRule="auto" w:before="26"/>
        <w:ind w:left="807"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12"/>
        </w:rPr>
        <w:t>本公司的其他货币资金系指银行承兑汇票的保证金、履约保函及定期存款。 </w:t>
      </w:r>
      <w:r>
        <w:rPr>
          <w:spacing w:val="6"/>
        </w:rPr>
        <w:t>本公司分别于二零零七年八月二十四日、二零零七年十二月六日和二零零七年十二月</w:t>
      </w:r>
      <w:r>
        <w:rPr/>
      </w:r>
    </w:p>
    <w:p>
      <w:pPr>
        <w:pStyle w:val="BodyText"/>
        <w:spacing w:line="298" w:lineRule="exact"/>
        <w:ind w:left="313" w:right="0"/>
        <w:jc w:val="left"/>
      </w:pPr>
      <w:r>
        <w:rPr>
          <w:spacing w:val="8"/>
        </w:rPr>
        <w:t>二十七日与中国银行鞍山铁</w:t>
      </w:r>
      <w:r>
        <w:rPr>
          <w:spacing w:val="7"/>
        </w:rPr>
        <w:t>东</w:t>
      </w:r>
      <w:r>
        <w:rPr>
          <w:spacing w:val="8"/>
        </w:rPr>
        <w:t>支行签订了质押合同</w:t>
      </w:r>
      <w:r>
        <w:rPr>
          <w:spacing w:val="-94"/>
        </w:rPr>
        <w:t>，</w:t>
      </w:r>
      <w:r>
        <w:rPr>
          <w:spacing w:val="7"/>
        </w:rPr>
        <w:t>将金额</w:t>
      </w:r>
      <w:r>
        <w:rPr/>
        <w:t>为</w:t>
      </w:r>
      <w:r>
        <w:rPr>
          <w:spacing w:val="-51"/>
        </w:rPr>
        <w:t> </w:t>
      </w:r>
      <w:r>
        <w:rPr>
          <w:rFonts w:ascii="Times New Roman" w:hAnsi="Times New Roman" w:cs="Times New Roman" w:eastAsia="Times New Roman" w:hint="default"/>
          <w:spacing w:val="3"/>
        </w:rPr>
        <w:t>34,200,000.0</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spacing w:val="7"/>
        </w:rPr>
        <w:t>人民币元的定</w:t>
      </w:r>
      <w:r>
        <w:rPr/>
      </w:r>
    </w:p>
    <w:p>
      <w:pPr>
        <w:pStyle w:val="BodyText"/>
        <w:spacing w:line="240" w:lineRule="auto" w:before="67"/>
        <w:ind w:left="313" w:right="348"/>
        <w:jc w:val="left"/>
      </w:pPr>
      <w:r>
        <w:rPr>
          <w:spacing w:val="7"/>
        </w:rPr>
        <w:t>期存单质押，为本公司签发的商业汇票提供担保。</w:t>
      </w:r>
      <w:r>
        <w:rPr/>
      </w:r>
    </w:p>
    <w:p>
      <w:pPr>
        <w:spacing w:line="240" w:lineRule="auto" w:before="3"/>
        <w:rPr>
          <w:rFonts w:ascii="宋体" w:hAnsi="宋体" w:cs="宋体" w:eastAsia="宋体" w:hint="default"/>
          <w:sz w:val="17"/>
          <w:szCs w:val="17"/>
        </w:rPr>
      </w:pPr>
    </w:p>
    <w:p>
      <w:pPr>
        <w:pStyle w:val="Heading4"/>
        <w:spacing w:line="240" w:lineRule="auto" w:before="0"/>
        <w:ind w:left="823" w:right="34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spacing w:val="9"/>
        </w:rPr>
        <w:t>应收票据</w:t>
      </w:r>
      <w:r>
        <w:rPr>
          <w:b w:val="0"/>
          <w:bCs w:val="0"/>
        </w:rPr>
      </w:r>
    </w:p>
    <w:p>
      <w:pPr>
        <w:pStyle w:val="BodyText"/>
        <w:spacing w:line="240" w:lineRule="auto" w:before="169"/>
        <w:ind w:left="809" w:right="34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应收票据明细项目列示如下：</w:t>
      </w:r>
      <w:r>
        <w:rPr/>
      </w:r>
    </w:p>
    <w:p>
      <w:pPr>
        <w:spacing w:line="240" w:lineRule="auto" w:before="2"/>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3553"/>
        <w:gridCol w:w="1974"/>
        <w:gridCol w:w="1146"/>
        <w:gridCol w:w="1923"/>
      </w:tblGrid>
      <w:tr>
        <w:trPr>
          <w:trHeight w:val="250" w:hRule="exact"/>
        </w:trPr>
        <w:tc>
          <w:tcPr>
            <w:tcW w:w="3553"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single" w:sz="4" w:space="0" w:color="000000"/>
              <w:right w:val="nil" w:sz="6" w:space="0" w:color="auto"/>
            </w:tcBorders>
          </w:tcPr>
          <w:p>
            <w:pPr>
              <w:pStyle w:val="TableParagraph"/>
              <w:spacing w:line="184" w:lineRule="exact"/>
              <w:ind w:right="39"/>
              <w:jc w:val="center"/>
              <w:rPr>
                <w:rFonts w:ascii="Times New Roman" w:hAnsi="Times New Roman" w:cs="Times New Roman" w:eastAsia="Times New Roman" w:hint="default"/>
                <w:sz w:val="18"/>
                <w:szCs w:val="18"/>
              </w:rPr>
            </w:pPr>
            <w:r>
              <w:rPr>
                <w:rFonts w:ascii="Times New Roman"/>
                <w:spacing w:val="3"/>
                <w:sz w:val="18"/>
              </w:rPr>
              <w:t>2007.12.31</w:t>
            </w:r>
            <w:r>
              <w:rPr>
                <w:rFonts w:ascii="Times New Roman"/>
                <w:sz w:val="18"/>
              </w:rPr>
            </w:r>
          </w:p>
        </w:tc>
        <w:tc>
          <w:tcPr>
            <w:tcW w:w="114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184" w:lineRule="exact"/>
              <w:ind w:left="542" w:right="0"/>
              <w:jc w:val="left"/>
              <w:rPr>
                <w:rFonts w:ascii="Times New Roman" w:hAnsi="Times New Roman" w:cs="Times New Roman" w:eastAsia="Times New Roman" w:hint="default"/>
                <w:sz w:val="18"/>
                <w:szCs w:val="18"/>
              </w:rPr>
            </w:pPr>
            <w:r>
              <w:rPr>
                <w:rFonts w:ascii="Times New Roman"/>
                <w:spacing w:val="3"/>
                <w:sz w:val="18"/>
              </w:rPr>
              <w:t>2006.12.31</w:t>
            </w:r>
            <w:r>
              <w:rPr>
                <w:rFonts w:ascii="Times New Roman"/>
                <w:sz w:val="18"/>
              </w:rPr>
            </w:r>
          </w:p>
        </w:tc>
      </w:tr>
      <w:tr>
        <w:trPr>
          <w:trHeight w:val="318"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8"/>
                <w:szCs w:val="18"/>
              </w:rPr>
            </w:pPr>
            <w:r>
              <w:rPr>
                <w:rFonts w:ascii="宋体" w:hAnsi="宋体" w:cs="宋体" w:eastAsia="宋体" w:hint="default"/>
                <w:spacing w:val="7"/>
                <w:sz w:val="18"/>
                <w:szCs w:val="18"/>
              </w:rPr>
              <w:t>银行承兑汇票</w:t>
            </w:r>
            <w:r>
              <w:rPr>
                <w:rFonts w:ascii="宋体" w:hAnsi="宋体" w:cs="宋体" w:eastAsia="宋体" w:hint="default"/>
                <w:sz w:val="18"/>
                <w:szCs w:val="18"/>
              </w:rPr>
            </w:r>
          </w:p>
        </w:tc>
        <w:tc>
          <w:tcPr>
            <w:tcW w:w="1974" w:type="dxa"/>
            <w:tcBorders>
              <w:top w:val="single" w:sz="4" w:space="0" w:color="000000"/>
              <w:left w:val="nil" w:sz="6" w:space="0" w:color="auto"/>
              <w:bottom w:val="nil" w:sz="6" w:space="0" w:color="auto"/>
              <w:right w:val="nil" w:sz="6" w:space="0" w:color="auto"/>
            </w:tcBorders>
          </w:tcPr>
          <w:p>
            <w:pPr>
              <w:pStyle w:val="TableParagraph"/>
              <w:tabs>
                <w:tab w:pos="794" w:val="left" w:leader="none"/>
              </w:tabs>
              <w:spacing w:line="240" w:lineRule="auto" w:before="110"/>
              <w:ind w:left="88" w:right="0"/>
              <w:jc w:val="center"/>
              <w:rPr>
                <w:rFonts w:ascii="Times New Roman" w:hAnsi="Times New Roman" w:cs="Times New Roman" w:eastAsia="Times New Roman" w:hint="default"/>
                <w:sz w:val="18"/>
                <w:szCs w:val="18"/>
              </w:rPr>
            </w:pPr>
            <w:r>
              <w:rPr>
                <w:rFonts w:ascii="Times New Roman"/>
                <w:sz w:val="18"/>
              </w:rPr>
              <w:t>RMB</w:t>
              <w:tab/>
            </w:r>
            <w:r>
              <w:rPr>
                <w:rFonts w:ascii="Times New Roman"/>
                <w:spacing w:val="3"/>
                <w:sz w:val="18"/>
              </w:rPr>
              <w:t>24,801,922.90</w:t>
            </w:r>
            <w:r>
              <w:rPr>
                <w:rFonts w:ascii="Times New Roman"/>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46" w:right="0"/>
              <w:jc w:val="left"/>
              <w:rPr>
                <w:rFonts w:ascii="Times New Roman" w:hAnsi="Times New Roman" w:cs="Times New Roman" w:eastAsia="Times New Roman" w:hint="default"/>
                <w:sz w:val="18"/>
                <w:szCs w:val="18"/>
              </w:rPr>
            </w:pPr>
            <w:r>
              <w:rPr>
                <w:rFonts w:ascii="Times New Roman"/>
                <w:sz w:val="18"/>
              </w:rPr>
              <w:t>*</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841" w:right="0"/>
              <w:jc w:val="left"/>
              <w:rPr>
                <w:rFonts w:ascii="Times New Roman" w:hAnsi="Times New Roman" w:cs="Times New Roman" w:eastAsia="Times New Roman" w:hint="default"/>
                <w:sz w:val="18"/>
                <w:szCs w:val="18"/>
              </w:rPr>
            </w:pPr>
            <w:r>
              <w:rPr>
                <w:rFonts w:ascii="Times New Roman"/>
                <w:spacing w:val="3"/>
                <w:sz w:val="18"/>
              </w:rPr>
              <w:t>12,783,295.35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22" w:top="1100" w:bottom="1220" w:left="820" w:right="900"/>
        </w:sectPr>
      </w:pPr>
    </w:p>
    <w:p>
      <w:pPr>
        <w:spacing w:line="240" w:lineRule="auto" w:before="4"/>
        <w:rPr>
          <w:rFonts w:ascii="宋体" w:hAnsi="宋体" w:cs="宋体" w:eastAsia="宋体" w:hint="default"/>
          <w:sz w:val="26"/>
          <w:szCs w:val="26"/>
        </w:rPr>
      </w:pPr>
    </w:p>
    <w:p>
      <w:pPr>
        <w:pStyle w:val="BodyText"/>
        <w:spacing w:line="288" w:lineRule="auto" w:before="26"/>
        <w:ind w:right="144" w:firstLine="493"/>
        <w:jc w:val="both"/>
      </w:pP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spacing w:val="13"/>
        </w:rPr>
        <w:t>本公司分别于二零零七年十月十二日和二零零七年十二月六日与中国银行鞍山铁</w:t>
      </w:r>
      <w:r>
        <w:rPr>
          <w:spacing w:val="14"/>
        </w:rPr>
        <w:t> </w:t>
      </w:r>
      <w:r>
        <w:rPr>
          <w:spacing w:val="4"/>
        </w:rPr>
        <w:t>东支行签订了质押合同，将金额为</w:t>
      </w:r>
      <w:r>
        <w:rPr>
          <w:spacing w:val="-47"/>
        </w:rPr>
        <w:t> </w:t>
      </w:r>
      <w:r>
        <w:rPr>
          <w:rFonts w:ascii="Times New Roman" w:hAnsi="Times New Roman" w:cs="Times New Roman" w:eastAsia="Times New Roman" w:hint="default"/>
          <w:spacing w:val="2"/>
        </w:rPr>
        <w:t>12,600,000.00</w:t>
      </w:r>
      <w:r>
        <w:rPr>
          <w:rFonts w:ascii="Times New Roman" w:hAnsi="Times New Roman" w:cs="Times New Roman" w:eastAsia="Times New Roman" w:hint="default"/>
          <w:spacing w:val="11"/>
        </w:rPr>
        <w:t> </w:t>
      </w:r>
      <w:r>
        <w:rPr>
          <w:spacing w:val="5"/>
        </w:rPr>
        <w:t>人民币元的应收银行承兑汇票质押，为本</w:t>
      </w:r>
      <w:r>
        <w:rPr>
          <w:spacing w:val="-118"/>
        </w:rPr>
        <w:t> </w:t>
      </w:r>
      <w:r>
        <w:rPr>
          <w:spacing w:val="-118"/>
        </w:rPr>
      </w:r>
      <w:r>
        <w:rPr>
          <w:spacing w:val="8"/>
        </w:rPr>
        <w:t>公司签发的商业汇票提供担保。</w:t>
      </w:r>
      <w:r>
        <w:rPr/>
      </w:r>
    </w:p>
    <w:p>
      <w:pPr>
        <w:pStyle w:val="BodyText"/>
        <w:spacing w:line="288" w:lineRule="auto" w:before="157"/>
        <w:ind w:left="154" w:right="0" w:firstLine="6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spacing w:val="5"/>
        </w:rPr>
        <w:t>期末应收票据增加较大的主要原因系由于本公司主导产品市场需求增长，导致销</w:t>
      </w:r>
      <w:r>
        <w:rPr>
          <w:spacing w:val="7"/>
          <w:w w:val="99"/>
        </w:rPr>
        <w:t> </w:t>
      </w:r>
      <w:r>
        <w:rPr>
          <w:spacing w:val="8"/>
        </w:rPr>
        <w:t>售收入增长所致。</w:t>
      </w:r>
      <w:r>
        <w:rPr/>
      </w:r>
    </w:p>
    <w:p>
      <w:pPr>
        <w:pStyle w:val="Heading4"/>
        <w:spacing w:line="240" w:lineRule="auto" w:before="179"/>
        <w:ind w:left="664"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1"/>
        </w:rPr>
        <w:t> </w:t>
      </w:r>
      <w:r>
        <w:rPr>
          <w:spacing w:val="9"/>
        </w:rPr>
        <w:t>应收账款</w:t>
      </w:r>
      <w:r>
        <w:rPr>
          <w:b w:val="0"/>
          <w:bCs w:val="0"/>
        </w:rPr>
      </w:r>
    </w:p>
    <w:p>
      <w:pPr>
        <w:pStyle w:val="BodyText"/>
        <w:spacing w:line="240" w:lineRule="auto" w:before="187"/>
        <w:ind w:left="751"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应收账款账龄分析列示如下：</w:t>
      </w:r>
      <w:r>
        <w:rPr/>
      </w:r>
    </w:p>
    <w:p>
      <w:pPr>
        <w:spacing w:line="240" w:lineRule="auto" w:before="13"/>
        <w:rPr>
          <w:rFonts w:ascii="宋体" w:hAnsi="宋体" w:cs="宋体" w:eastAsia="宋体" w:hint="default"/>
          <w:sz w:val="15"/>
          <w:szCs w:val="15"/>
        </w:rPr>
      </w:pPr>
    </w:p>
    <w:tbl>
      <w:tblPr>
        <w:tblW w:w="0" w:type="auto"/>
        <w:jc w:val="left"/>
        <w:tblInd w:w="153" w:type="dxa"/>
        <w:tblLayout w:type="fixed"/>
        <w:tblCellMar>
          <w:top w:w="0" w:type="dxa"/>
          <w:left w:w="0" w:type="dxa"/>
          <w:bottom w:w="0" w:type="dxa"/>
          <w:right w:w="0" w:type="dxa"/>
        </w:tblCellMar>
        <w:tblLook w:val="01E0"/>
      </w:tblPr>
      <w:tblGrid>
        <w:gridCol w:w="777"/>
        <w:gridCol w:w="815"/>
        <w:gridCol w:w="1608"/>
        <w:gridCol w:w="125"/>
        <w:gridCol w:w="847"/>
        <w:gridCol w:w="90"/>
        <w:gridCol w:w="1459"/>
        <w:gridCol w:w="1662"/>
        <w:gridCol w:w="796"/>
        <w:gridCol w:w="1490"/>
      </w:tblGrid>
      <w:tr>
        <w:trPr>
          <w:trHeight w:val="168" w:hRule="exact"/>
        </w:trPr>
        <w:tc>
          <w:tcPr>
            <w:tcW w:w="777" w:type="dxa"/>
            <w:tcBorders>
              <w:top w:val="nil" w:sz="6" w:space="0" w:color="auto"/>
              <w:left w:val="nil" w:sz="6" w:space="0" w:color="auto"/>
              <w:bottom w:val="nil" w:sz="6" w:space="0" w:color="auto"/>
              <w:right w:val="nil" w:sz="6" w:space="0" w:color="auto"/>
            </w:tcBorders>
          </w:tcPr>
          <w:p>
            <w:pPr/>
          </w:p>
        </w:tc>
        <w:tc>
          <w:tcPr>
            <w:tcW w:w="815" w:type="dxa"/>
            <w:vMerge w:val="restart"/>
            <w:tcBorders>
              <w:top w:val="nil" w:sz="6" w:space="0" w:color="auto"/>
              <w:left w:val="nil" w:sz="6" w:space="0" w:color="auto"/>
              <w:right w:val="nil" w:sz="6" w:space="0" w:color="auto"/>
            </w:tcBorders>
          </w:tcPr>
          <w:p>
            <w:pPr>
              <w:pStyle w:val="TableParagraph"/>
              <w:spacing w:line="234" w:lineRule="exact" w:before="5"/>
              <w:ind w:left="120" w:right="36"/>
              <w:jc w:val="left"/>
              <w:rPr>
                <w:rFonts w:ascii="宋体" w:hAnsi="宋体" w:cs="宋体" w:eastAsia="宋体" w:hint="default"/>
                <w:sz w:val="18"/>
                <w:szCs w:val="18"/>
              </w:rPr>
            </w:pPr>
            <w:r>
              <w:rPr>
                <w:rFonts w:ascii="宋体" w:hAnsi="宋体" w:cs="宋体" w:eastAsia="宋体" w:hint="default"/>
                <w:spacing w:val="-17"/>
                <w:sz w:val="18"/>
                <w:szCs w:val="18"/>
              </w:rPr>
              <w:t>坏账准备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计提比例</w:t>
            </w:r>
            <w:r>
              <w:rPr>
                <w:rFonts w:ascii="宋体" w:hAnsi="宋体" w:cs="宋体" w:eastAsia="宋体" w:hint="default"/>
                <w:sz w:val="18"/>
                <w:szCs w:val="18"/>
              </w:rPr>
            </w:r>
          </w:p>
        </w:tc>
        <w:tc>
          <w:tcPr>
            <w:tcW w:w="2580" w:type="dxa"/>
            <w:gridSpan w:val="3"/>
            <w:tcBorders>
              <w:top w:val="nil" w:sz="6" w:space="0" w:color="auto"/>
              <w:left w:val="nil" w:sz="6" w:space="0" w:color="auto"/>
              <w:bottom w:val="nil" w:sz="6" w:space="0" w:color="auto"/>
              <w:right w:val="nil" w:sz="6" w:space="0" w:color="auto"/>
            </w:tcBorders>
          </w:tcPr>
          <w:p>
            <w:pPr>
              <w:pStyle w:val="TableParagraph"/>
              <w:tabs>
                <w:tab w:pos="1700" w:val="left" w:leader="none"/>
              </w:tabs>
              <w:spacing w:line="184" w:lineRule="exact"/>
              <w:ind w:right="0"/>
              <w:jc w:val="left"/>
              <w:rPr>
                <w:rFonts w:ascii="Times New Roman" w:hAnsi="Times New Roman" w:cs="Times New Roman" w:eastAsia="Times New Roman" w:hint="default"/>
                <w:sz w:val="18"/>
                <w:szCs w:val="18"/>
              </w:rPr>
            </w:pPr>
            <w:r>
              <w:rPr>
                <w:rFonts w:ascii="Times New Roman"/>
                <w:position w:val="-4"/>
                <w:sz w:val="18"/>
              </w:rPr>
            </w:r>
            <w:r>
              <w:rPr>
                <w:rFonts w:ascii="Times New Roman"/>
                <w:position w:val="-4"/>
                <w:sz w:val="18"/>
                <w:u w:val="single" w:color="000000"/>
              </w:rPr>
              <w:t> </w:t>
              <w:tab/>
            </w:r>
            <w:r>
              <w:rPr>
                <w:rFonts w:ascii="Times New Roman"/>
                <w:position w:val="-4"/>
                <w:sz w:val="18"/>
              </w:rPr>
            </w:r>
            <w:r>
              <w:rPr>
                <w:rFonts w:ascii="Times New Roman"/>
                <w:spacing w:val="-9"/>
                <w:sz w:val="18"/>
              </w:rPr>
              <w:t>2007.12.31</w:t>
            </w:r>
            <w:r>
              <w:rPr>
                <w:rFonts w:ascii="Times New Roman"/>
                <w:sz w:val="18"/>
              </w:rPr>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Style w:val="TableParagraph"/>
              <w:spacing w:line="184" w:lineRule="exact"/>
              <w:ind w:left="-43" w:right="107"/>
              <w:jc w:val="right"/>
              <w:rPr>
                <w:rFonts w:ascii="Times New Roman" w:hAnsi="Times New Roman" w:cs="Times New Roman" w:eastAsia="Times New Roman" w:hint="default"/>
                <w:sz w:val="18"/>
                <w:szCs w:val="18"/>
              </w:rPr>
            </w:pPr>
            <w:r>
              <w:rPr>
                <w:rFonts w:ascii="Times New Roman"/>
                <w:spacing w:val="-9"/>
                <w:sz w:val="18"/>
              </w:rPr>
              <w:t>2006.12.31</w:t>
            </w:r>
            <w:r>
              <w:rPr>
                <w:rFonts w:ascii="Times New Roman"/>
                <w:sz w:val="18"/>
              </w:rPr>
            </w:r>
          </w:p>
        </w:tc>
        <w:tc>
          <w:tcPr>
            <w:tcW w:w="1490" w:type="dxa"/>
            <w:tcBorders>
              <w:top w:val="nil" w:sz="6" w:space="0" w:color="auto"/>
              <w:left w:val="nil" w:sz="6" w:space="0" w:color="auto"/>
              <w:bottom w:val="nil" w:sz="6" w:space="0" w:color="auto"/>
              <w:right w:val="nil" w:sz="6" w:space="0" w:color="auto"/>
            </w:tcBorders>
          </w:tcPr>
          <w:p>
            <w:pPr/>
          </w:p>
        </w:tc>
      </w:tr>
      <w:tr>
        <w:trPr>
          <w:trHeight w:val="15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168" w:lineRule="exact"/>
              <w:ind w:left="248" w:right="0"/>
              <w:jc w:val="left"/>
              <w:rPr>
                <w:rFonts w:ascii="宋体" w:hAnsi="宋体" w:cs="宋体" w:eastAsia="宋体" w:hint="default"/>
                <w:sz w:val="18"/>
                <w:szCs w:val="18"/>
              </w:rPr>
            </w:pPr>
            <w:r>
              <w:rPr>
                <w:rFonts w:ascii="宋体" w:hAnsi="宋体" w:cs="宋体" w:eastAsia="宋体" w:hint="default"/>
                <w:spacing w:val="-17"/>
                <w:sz w:val="18"/>
                <w:szCs w:val="18"/>
              </w:rPr>
              <w:t>账龄</w:t>
            </w:r>
            <w:r>
              <w:rPr>
                <w:rFonts w:ascii="宋体" w:hAnsi="宋体" w:cs="宋体" w:eastAsia="宋体" w:hint="default"/>
                <w:sz w:val="18"/>
                <w:szCs w:val="18"/>
              </w:rPr>
            </w:r>
          </w:p>
        </w:tc>
        <w:tc>
          <w:tcPr>
            <w:tcW w:w="815" w:type="dxa"/>
            <w:vMerge/>
            <w:tcBorders>
              <w:left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244" w:hRule="exact"/>
        </w:trPr>
        <w:tc>
          <w:tcPr>
            <w:tcW w:w="777" w:type="dxa"/>
            <w:tcBorders>
              <w:top w:val="nil" w:sz="6" w:space="0" w:color="auto"/>
              <w:left w:val="nil" w:sz="6" w:space="0" w:color="auto"/>
              <w:bottom w:val="single" w:sz="4" w:space="0" w:color="000000"/>
              <w:right w:val="nil" w:sz="6" w:space="0" w:color="auto"/>
            </w:tcBorders>
          </w:tcPr>
          <w:p>
            <w:pPr/>
          </w:p>
        </w:tc>
        <w:tc>
          <w:tcPr>
            <w:tcW w:w="815" w:type="dxa"/>
            <w:vMerge/>
            <w:tcBorders>
              <w:left w:val="nil" w:sz="6" w:space="0" w:color="auto"/>
              <w:bottom w:val="single" w:sz="4" w:space="0" w:color="000000"/>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170" w:lineRule="exact"/>
              <w:ind w:left="29"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宋体" w:hAnsi="宋体" w:cs="宋体" w:eastAsia="宋体" w:hint="default"/>
                <w:sz w:val="18"/>
                <w:szCs w:val="18"/>
              </w:rPr>
              <w:t>额</w:t>
            </w: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170" w:lineRule="exact"/>
              <w:ind w:left="268" w:right="0"/>
              <w:jc w:val="left"/>
              <w:rPr>
                <w:rFonts w:ascii="宋体" w:hAnsi="宋体" w:cs="宋体" w:eastAsia="宋体" w:hint="default"/>
                <w:sz w:val="18"/>
                <w:szCs w:val="18"/>
              </w:rPr>
            </w:pPr>
            <w:r>
              <w:rPr>
                <w:rFonts w:ascii="宋体" w:hAnsi="宋体" w:cs="宋体" w:eastAsia="宋体" w:hint="default"/>
                <w:spacing w:val="-17"/>
                <w:sz w:val="18"/>
                <w:szCs w:val="18"/>
              </w:rPr>
              <w:t>比例</w:t>
            </w:r>
            <w:r>
              <w:rPr>
                <w:rFonts w:ascii="宋体" w:hAnsi="宋体" w:cs="宋体" w:eastAsia="宋体" w:hint="default"/>
                <w:sz w:val="18"/>
                <w:szCs w:val="18"/>
              </w:rPr>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170" w:lineRule="exact"/>
              <w:ind w:left="413" w:right="0"/>
              <w:jc w:val="left"/>
              <w:rPr>
                <w:rFonts w:ascii="宋体" w:hAnsi="宋体" w:cs="宋体" w:eastAsia="宋体" w:hint="default"/>
                <w:sz w:val="18"/>
                <w:szCs w:val="18"/>
              </w:rPr>
            </w:pPr>
            <w:r>
              <w:rPr>
                <w:rFonts w:ascii="宋体" w:hAnsi="宋体" w:cs="宋体" w:eastAsia="宋体" w:hint="default"/>
                <w:spacing w:val="-17"/>
                <w:sz w:val="18"/>
                <w:szCs w:val="18"/>
              </w:rPr>
              <w:t>坏账准备</w:t>
            </w:r>
            <w:r>
              <w:rPr>
                <w:rFonts w:ascii="宋体" w:hAnsi="宋体" w:cs="宋体" w:eastAsia="宋体"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170" w:lineRule="exact"/>
              <w:ind w:right="54"/>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宋体" w:hAnsi="宋体" w:cs="宋体" w:eastAsia="宋体" w:hint="default"/>
                <w:sz w:val="18"/>
                <w:szCs w:val="18"/>
              </w:rPr>
              <w:t>额</w:t>
            </w:r>
          </w:p>
        </w:tc>
        <w:tc>
          <w:tcPr>
            <w:tcW w:w="796" w:type="dxa"/>
            <w:tcBorders>
              <w:top w:val="nil" w:sz="6" w:space="0" w:color="auto"/>
              <w:left w:val="nil" w:sz="6" w:space="0" w:color="auto"/>
              <w:bottom w:val="single" w:sz="4" w:space="0" w:color="000000"/>
              <w:right w:val="nil" w:sz="6" w:space="0" w:color="auto"/>
            </w:tcBorders>
          </w:tcPr>
          <w:p>
            <w:pPr>
              <w:pStyle w:val="TableParagraph"/>
              <w:spacing w:line="170" w:lineRule="exact"/>
              <w:ind w:left="190" w:right="0"/>
              <w:jc w:val="left"/>
              <w:rPr>
                <w:rFonts w:ascii="宋体" w:hAnsi="宋体" w:cs="宋体" w:eastAsia="宋体" w:hint="default"/>
                <w:sz w:val="18"/>
                <w:szCs w:val="18"/>
              </w:rPr>
            </w:pPr>
            <w:r>
              <w:rPr>
                <w:rFonts w:ascii="宋体" w:hAnsi="宋体" w:cs="宋体" w:eastAsia="宋体" w:hint="default"/>
                <w:spacing w:val="-17"/>
                <w:sz w:val="18"/>
                <w:szCs w:val="18"/>
              </w:rPr>
              <w:t>比例</w:t>
            </w:r>
            <w:r>
              <w:rPr>
                <w:rFonts w:ascii="宋体" w:hAnsi="宋体" w:cs="宋体" w:eastAsia="宋体" w:hint="default"/>
                <w:sz w:val="18"/>
                <w:szCs w:val="18"/>
              </w:rPr>
            </w:r>
          </w:p>
        </w:tc>
        <w:tc>
          <w:tcPr>
            <w:tcW w:w="1490" w:type="dxa"/>
            <w:tcBorders>
              <w:top w:val="nil" w:sz="6" w:space="0" w:color="auto"/>
              <w:left w:val="nil" w:sz="6" w:space="0" w:color="auto"/>
              <w:bottom w:val="single" w:sz="4" w:space="0" w:color="000000"/>
              <w:right w:val="nil" w:sz="6" w:space="0" w:color="auto"/>
            </w:tcBorders>
          </w:tcPr>
          <w:p>
            <w:pPr>
              <w:pStyle w:val="TableParagraph"/>
              <w:spacing w:line="170" w:lineRule="exact"/>
              <w:ind w:left="421" w:right="0"/>
              <w:jc w:val="left"/>
              <w:rPr>
                <w:rFonts w:ascii="宋体" w:hAnsi="宋体" w:cs="宋体" w:eastAsia="宋体" w:hint="default"/>
                <w:sz w:val="18"/>
                <w:szCs w:val="18"/>
              </w:rPr>
            </w:pPr>
            <w:r>
              <w:rPr>
                <w:rFonts w:ascii="宋体" w:hAnsi="宋体" w:cs="宋体" w:eastAsia="宋体" w:hint="default"/>
                <w:spacing w:val="-17"/>
                <w:sz w:val="18"/>
                <w:szCs w:val="18"/>
              </w:rPr>
              <w:t>坏账准备</w:t>
            </w:r>
            <w:r>
              <w:rPr>
                <w:rFonts w:ascii="宋体" w:hAnsi="宋体" w:cs="宋体" w:eastAsia="宋体" w:hint="default"/>
                <w:sz w:val="18"/>
                <w:szCs w:val="18"/>
              </w:rPr>
            </w:r>
          </w:p>
        </w:tc>
      </w:tr>
      <w:tr>
        <w:trPr>
          <w:trHeight w:val="401" w:hRule="exact"/>
        </w:trPr>
        <w:tc>
          <w:tcPr>
            <w:tcW w:w="7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pacing w:val="-17"/>
                <w:sz w:val="18"/>
                <w:szCs w:val="18"/>
              </w:rPr>
              <w:t>一年以内</w:t>
            </w:r>
            <w:r>
              <w:rPr>
                <w:rFonts w:ascii="宋体" w:hAnsi="宋体" w:cs="宋体" w:eastAsia="宋体" w:hint="default"/>
                <w:sz w:val="18"/>
                <w:szCs w:val="18"/>
              </w:rPr>
            </w:r>
          </w:p>
        </w:tc>
        <w:tc>
          <w:tcPr>
            <w:tcW w:w="81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53"/>
              <w:jc w:val="right"/>
              <w:rPr>
                <w:rFonts w:ascii="Times New Roman" w:hAnsi="Times New Roman" w:cs="Times New Roman" w:eastAsia="Times New Roman" w:hint="default"/>
                <w:sz w:val="18"/>
                <w:szCs w:val="18"/>
              </w:rPr>
            </w:pPr>
            <w:r>
              <w:rPr>
                <w:rFonts w:ascii="Times New Roman"/>
                <w:spacing w:val="-9"/>
                <w:sz w:val="18"/>
              </w:rPr>
              <w:t>5%</w:t>
            </w:r>
            <w:r>
              <w:rPr>
                <w:rFonts w:ascii="Times New Roman"/>
                <w:sz w:val="18"/>
              </w:rPr>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179,529,764.19</w:t>
            </w: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82.93%</w:t>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8,976,488.20</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10"/>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84,417,953.25</w:t>
            </w:r>
          </w:p>
        </w:tc>
        <w:tc>
          <w:tcPr>
            <w:tcW w:w="79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79.80%</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4,220,897.66</w:t>
            </w:r>
          </w:p>
        </w:tc>
      </w:tr>
      <w:tr>
        <w:trPr>
          <w:trHeight w:val="39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pacing w:val="-17"/>
                <w:sz w:val="18"/>
                <w:szCs w:val="18"/>
              </w:rPr>
              <w:t>一至二年</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Times New Roman" w:hAnsi="Times New Roman" w:cs="Times New Roman" w:eastAsia="Times New Roman" w:hint="default"/>
                <w:sz w:val="18"/>
                <w:szCs w:val="18"/>
              </w:rPr>
            </w:pPr>
            <w:r>
              <w:rPr>
                <w:rFonts w:ascii="Times New Roman"/>
                <w:spacing w:val="-9"/>
                <w:sz w:val="18"/>
              </w:rPr>
              <w:t>10%</w:t>
            </w:r>
            <w:r>
              <w:rPr>
                <w:rFonts w:ascii="Times New Roman"/>
                <w:sz w:val="18"/>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Times New Roman" w:hAnsi="Times New Roman" w:cs="Times New Roman" w:eastAsia="Times New Roman" w:hint="default"/>
                <w:sz w:val="18"/>
                <w:szCs w:val="18"/>
              </w:rPr>
            </w:pPr>
            <w:r>
              <w:rPr>
                <w:rFonts w:ascii="Times New Roman"/>
                <w:spacing w:val="-1"/>
                <w:sz w:val="18"/>
              </w:rPr>
              <w:t>28,079,419.27</w:t>
            </w: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Times New Roman" w:hAnsi="Times New Roman" w:cs="Times New Roman" w:eastAsia="Times New Roman" w:hint="default"/>
                <w:sz w:val="18"/>
                <w:szCs w:val="18"/>
              </w:rPr>
            </w:pPr>
            <w:r>
              <w:rPr>
                <w:rFonts w:ascii="Times New Roman"/>
                <w:sz w:val="18"/>
              </w:rPr>
              <w:t>12.97%</w:t>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pacing w:val="-1"/>
                <w:sz w:val="18"/>
              </w:rPr>
              <w:t>2,807,941.93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1"/>
              <w:jc w:val="right"/>
              <w:rPr>
                <w:rFonts w:ascii="Times New Roman" w:hAnsi="Times New Roman" w:cs="Times New Roman" w:eastAsia="Times New Roman" w:hint="default"/>
                <w:sz w:val="18"/>
                <w:szCs w:val="18"/>
              </w:rPr>
            </w:pPr>
            <w:r>
              <w:rPr>
                <w:rFonts w:ascii="Times New Roman"/>
                <w:spacing w:val="-1"/>
                <w:sz w:val="18"/>
              </w:rPr>
              <w:t>13,842,843.60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5"/>
              <w:jc w:val="right"/>
              <w:rPr>
                <w:rFonts w:ascii="Times New Roman" w:hAnsi="Times New Roman" w:cs="Times New Roman" w:eastAsia="Times New Roman" w:hint="default"/>
                <w:sz w:val="18"/>
                <w:szCs w:val="18"/>
              </w:rPr>
            </w:pPr>
            <w:r>
              <w:rPr>
                <w:rFonts w:ascii="Times New Roman"/>
                <w:sz w:val="18"/>
              </w:rPr>
              <w:t>13.09%</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pacing w:val="-1"/>
                <w:sz w:val="18"/>
              </w:rPr>
              <w:t>1,384,284.36</w:t>
            </w:r>
          </w:p>
        </w:tc>
      </w:tr>
      <w:tr>
        <w:trPr>
          <w:trHeight w:val="39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17"/>
                <w:sz w:val="18"/>
                <w:szCs w:val="18"/>
              </w:rPr>
              <w:t>二至三年</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2"/>
              <w:jc w:val="right"/>
              <w:rPr>
                <w:rFonts w:ascii="Times New Roman" w:hAnsi="Times New Roman" w:cs="Times New Roman" w:eastAsia="Times New Roman" w:hint="default"/>
                <w:sz w:val="18"/>
                <w:szCs w:val="18"/>
              </w:rPr>
            </w:pPr>
            <w:r>
              <w:rPr>
                <w:rFonts w:ascii="Times New Roman"/>
                <w:spacing w:val="-9"/>
                <w:sz w:val="18"/>
              </w:rPr>
              <w:t>20%</w:t>
            </w:r>
            <w:r>
              <w:rPr>
                <w:rFonts w:ascii="Times New Roman"/>
                <w:sz w:val="18"/>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
              <w:jc w:val="right"/>
              <w:rPr>
                <w:rFonts w:ascii="Times New Roman" w:hAnsi="Times New Roman" w:cs="Times New Roman" w:eastAsia="Times New Roman" w:hint="default"/>
                <w:sz w:val="18"/>
                <w:szCs w:val="18"/>
              </w:rPr>
            </w:pPr>
            <w:r>
              <w:rPr>
                <w:rFonts w:ascii="Times New Roman"/>
                <w:spacing w:val="-1"/>
                <w:sz w:val="18"/>
              </w:rPr>
              <w:t>2,982,859.24</w:t>
            </w: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
              <w:jc w:val="right"/>
              <w:rPr>
                <w:rFonts w:ascii="Times New Roman" w:hAnsi="Times New Roman" w:cs="Times New Roman" w:eastAsia="Times New Roman" w:hint="default"/>
                <w:sz w:val="18"/>
                <w:szCs w:val="18"/>
              </w:rPr>
            </w:pPr>
            <w:r>
              <w:rPr>
                <w:rFonts w:ascii="Times New Roman"/>
                <w:w w:val="95"/>
                <w:sz w:val="18"/>
              </w:rPr>
              <w:t>1.38%</w:t>
            </w:r>
            <w:r>
              <w:rPr>
                <w:rFonts w:ascii="Times New Roman"/>
                <w:sz w:val="18"/>
              </w:rPr>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596,571.85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pacing w:val="-1"/>
                <w:sz w:val="18"/>
              </w:rPr>
              <w:t>3,286,903.00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2"/>
                <w:sz w:val="18"/>
              </w:rPr>
              <w:t>3.11%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657,380.60</w:t>
            </w:r>
          </w:p>
        </w:tc>
      </w:tr>
      <w:tr>
        <w:trPr>
          <w:trHeight w:val="393"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pacing w:val="-17"/>
                <w:sz w:val="18"/>
                <w:szCs w:val="18"/>
              </w:rPr>
              <w:t>三年以上</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Times New Roman" w:hAnsi="Times New Roman" w:cs="Times New Roman" w:eastAsia="Times New Roman" w:hint="default"/>
                <w:sz w:val="18"/>
                <w:szCs w:val="18"/>
              </w:rPr>
            </w:pPr>
            <w:r>
              <w:rPr>
                <w:rFonts w:ascii="Times New Roman"/>
                <w:spacing w:val="-9"/>
                <w:sz w:val="18"/>
              </w:rPr>
              <w:t>30%</w:t>
            </w:r>
            <w:r>
              <w:rPr>
                <w:rFonts w:ascii="Times New Roman"/>
                <w:sz w:val="18"/>
              </w:rPr>
            </w: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8"/>
              <w:jc w:val="right"/>
              <w:rPr>
                <w:rFonts w:ascii="Times New Roman" w:hAnsi="Times New Roman" w:cs="Times New Roman" w:eastAsia="Times New Roman" w:hint="default"/>
                <w:sz w:val="18"/>
                <w:szCs w:val="18"/>
              </w:rPr>
            </w:pPr>
            <w:r>
              <w:rPr>
                <w:rFonts w:ascii="Times New Roman"/>
                <w:spacing w:val="-1"/>
                <w:sz w:val="18"/>
              </w:rPr>
              <w:t>5,879,021.80</w:t>
            </w: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8"/>
              <w:jc w:val="right"/>
              <w:rPr>
                <w:rFonts w:ascii="Times New Roman" w:hAnsi="Times New Roman" w:cs="Times New Roman" w:eastAsia="Times New Roman" w:hint="default"/>
                <w:sz w:val="18"/>
                <w:szCs w:val="18"/>
              </w:rPr>
            </w:pPr>
            <w:r>
              <w:rPr>
                <w:rFonts w:ascii="Times New Roman"/>
                <w:w w:val="95"/>
                <w:sz w:val="18"/>
              </w:rPr>
              <w:t>2.72%</w:t>
            </w:r>
            <w:r>
              <w:rPr>
                <w:rFonts w:ascii="Times New Roman"/>
                <w:sz w:val="18"/>
              </w:rPr>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1,763,706.54</w:t>
            </w: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10"/>
              <w:jc w:val="right"/>
              <w:rPr>
                <w:rFonts w:ascii="Times New Roman" w:hAnsi="Times New Roman" w:cs="Times New Roman" w:eastAsia="Times New Roman" w:hint="default"/>
                <w:sz w:val="18"/>
                <w:szCs w:val="18"/>
              </w:rPr>
            </w:pPr>
            <w:r>
              <w:rPr>
                <w:rFonts w:ascii="Times New Roman"/>
                <w:spacing w:val="-1"/>
                <w:sz w:val="18"/>
              </w:rPr>
              <w:t>4,228,238.80</w:t>
            </w:r>
          </w:p>
        </w:tc>
        <w:tc>
          <w:tcPr>
            <w:tcW w:w="79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35"/>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pacing w:val="-1"/>
                <w:sz w:val="18"/>
              </w:rPr>
              <w:t>1,268,471.64</w:t>
            </w:r>
          </w:p>
        </w:tc>
      </w:tr>
      <w:tr>
        <w:trPr>
          <w:trHeight w:val="413" w:hRule="exact"/>
        </w:trPr>
        <w:tc>
          <w:tcPr>
            <w:tcW w:w="777"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216,471,064.50</w:t>
            </w:r>
          </w:p>
        </w:tc>
        <w:tc>
          <w:tcPr>
            <w:tcW w:w="125"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0"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RMB14,144,708.52</w:t>
            </w:r>
          </w:p>
        </w:tc>
        <w:tc>
          <w:tcPr>
            <w:tcW w:w="1662"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11"/>
              <w:jc w:val="right"/>
              <w:rPr>
                <w:rFonts w:ascii="Times New Roman" w:hAnsi="Times New Roman" w:cs="Times New Roman" w:eastAsia="Times New Roman" w:hint="default"/>
                <w:sz w:val="18"/>
                <w:szCs w:val="18"/>
              </w:rPr>
            </w:pPr>
            <w:r>
              <w:rPr>
                <w:rFonts w:ascii="Times New Roman"/>
                <w:spacing w:val="-1"/>
                <w:sz w:val="18"/>
              </w:rPr>
              <w:t>RMB105,775,938.65</w:t>
            </w:r>
          </w:p>
        </w:tc>
        <w:tc>
          <w:tcPr>
            <w:tcW w:w="796"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90"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7,531,034.26</w:t>
            </w:r>
          </w:p>
        </w:tc>
      </w:tr>
    </w:tbl>
    <w:p>
      <w:pPr>
        <w:spacing w:line="240" w:lineRule="auto" w:before="9"/>
        <w:rPr>
          <w:rFonts w:ascii="宋体" w:hAnsi="宋体" w:cs="宋体" w:eastAsia="宋体" w:hint="default"/>
          <w:sz w:val="21"/>
          <w:szCs w:val="21"/>
        </w:rPr>
      </w:pPr>
    </w:p>
    <w:p>
      <w:pPr>
        <w:pStyle w:val="BodyText"/>
        <w:spacing w:line="240" w:lineRule="auto" w:before="26"/>
        <w:ind w:left="66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应收账款按类别分类列示如下：</w:t>
      </w:r>
    </w:p>
    <w:p>
      <w:pPr>
        <w:spacing w:line="240" w:lineRule="auto" w:before="12"/>
        <w:rPr>
          <w:rFonts w:ascii="宋体" w:hAnsi="宋体" w:cs="宋体" w:eastAsia="宋体" w:hint="default"/>
          <w:sz w:val="13"/>
          <w:szCs w:val="13"/>
        </w:rPr>
      </w:pPr>
    </w:p>
    <w:p>
      <w:pPr>
        <w:spacing w:line="199" w:lineRule="exact" w:before="76"/>
        <w:ind w:left="6420" w:right="0" w:firstLine="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p>
      <w:pPr>
        <w:spacing w:line="227" w:lineRule="exact" w:before="0"/>
        <w:ind w:left="1795" w:right="0" w:firstLine="0"/>
        <w:jc w:val="left"/>
        <w:rPr>
          <w:rFonts w:ascii="宋体" w:hAnsi="宋体" w:cs="宋体" w:eastAsia="宋体" w:hint="default"/>
          <w:sz w:val="18"/>
          <w:szCs w:val="18"/>
        </w:rPr>
      </w:pPr>
      <w:r>
        <w:rPr/>
        <w:pict>
          <v:group style="position:absolute;margin-left:239.699997pt;margin-top:6.895766pt;width:298.6pt;height:.1pt;mso-position-horizontal-relative:page;mso-position-vertical-relative:paragraph;z-index:1528" coordorigin="4794,138" coordsize="5972,2">
            <v:shape style="position:absolute;left:4794;top:138;width:5972;height:2" coordorigin="4794,138" coordsize="5972,0" path="m4794,138l10765,138e" filled="false" stroked="true" strokeweight=".48pt" strokecolor="#000000">
              <v:path arrowok="t"/>
            </v:shape>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167" w:val="left" w:leader="none"/>
          <w:tab w:pos="7289" w:val="left" w:leader="none"/>
          <w:tab w:pos="8908" w:val="left" w:leader="none"/>
        </w:tabs>
        <w:spacing w:line="234" w:lineRule="exact" w:before="0"/>
        <w:ind w:left="4693" w:right="0"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6"/>
        <w:rPr>
          <w:rFonts w:ascii="宋体" w:hAnsi="宋体" w:cs="宋体" w:eastAsia="宋体" w:hint="default"/>
          <w:sz w:val="10"/>
          <w:szCs w:val="10"/>
        </w:rPr>
      </w:pPr>
    </w:p>
    <w:p>
      <w:pPr>
        <w:tabs>
          <w:tab w:pos="8700" w:val="left" w:leader="none"/>
        </w:tabs>
        <w:spacing w:line="20" w:lineRule="exact"/>
        <w:ind w:left="154" w:right="0" w:firstLine="0"/>
        <w:rPr>
          <w:rFonts w:ascii="宋体" w:hAnsi="宋体" w:cs="宋体" w:eastAsia="宋体" w:hint="default"/>
          <w:sz w:val="2"/>
          <w:szCs w:val="2"/>
        </w:rPr>
      </w:pPr>
      <w:r>
        <w:rPr>
          <w:rFonts w:ascii="宋体"/>
          <w:sz w:val="2"/>
        </w:rPr>
        <w:pict>
          <v:group style="width:415.3pt;height:.75pt;mso-position-horizontal-relative:char;mso-position-vertical-relative:line" coordorigin="0,0" coordsize="8306,15">
            <v:group style="position:absolute;left:7;top:7;width:3617;height:2" coordorigin="7,7" coordsize="3617,2">
              <v:shape style="position:absolute;left:7;top:7;width:3617;height:2" coordorigin="7,7" coordsize="3617,0" path="m7,7l3624,7e" filled="false" stroked="true" strokeweight=".72pt" strokecolor="#000000">
                <v:path arrowok="t"/>
              </v:shape>
            </v:group>
            <v:group style="position:absolute;left:3660;top:5;width:2092;height:2" coordorigin="3660,5" coordsize="2092,2">
              <v:shape style="position:absolute;left:3660;top:5;width:2092;height:2" coordorigin="3660,5" coordsize="2092,0" path="m3660,5l5752,5e" filled="false" stroked="true" strokeweight=".48pt" strokecolor="#000000">
                <v:path arrowok="t"/>
              </v:shape>
            </v:group>
            <v:group style="position:absolute;left:5789;top:7;width:782;height:2" coordorigin="5789,7" coordsize="782,2">
              <v:shape style="position:absolute;left:5789;top:7;width:782;height:2" coordorigin="5789,7" coordsize="782,0" path="m5789,7l6570,7e" filled="false" stroked="true" strokeweight=".72pt" strokecolor="#000000">
                <v:path arrowok="t"/>
              </v:shape>
            </v:group>
            <v:group style="position:absolute;left:6646;top:5;width:399;height:2" coordorigin="6646,5" coordsize="399,2">
              <v:shape style="position:absolute;left:6646;top:5;width:399;height:2" coordorigin="6646,5" coordsize="399,0" path="m6646,5l7044,5e" filled="false" stroked="true" strokeweight=".48pt" strokecolor="#000000">
                <v:path arrowok="t"/>
              </v:shape>
            </v:group>
            <v:group style="position:absolute;left:7044;top:5;width:1257;height:2" coordorigin="7044,5" coordsize="1257,2">
              <v:shape style="position:absolute;left:7044;top:5;width:1257;height:2" coordorigin="7044,5" coordsize="1257,0" path="m7044,5l8300,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tabs>
          <w:tab w:pos="3821" w:val="left" w:leader="none"/>
          <w:tab w:pos="4844" w:val="left" w:leader="none"/>
          <w:tab w:pos="6198" w:val="left" w:leader="none"/>
          <w:tab w:pos="7475" w:val="left" w:leader="none"/>
          <w:tab w:pos="9345" w:val="left" w:leader="none"/>
        </w:tabs>
        <w:spacing w:before="79"/>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单项金额重大的应收账款</w:t>
        <w:tab/>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5"/>
          <w:sz w:val="18"/>
          <w:szCs w:val="18"/>
        </w:rPr>
        <w:t>171,401,775.17</w:t>
        <w:tab/>
      </w:r>
      <w:r>
        <w:rPr>
          <w:rFonts w:ascii="Times New Roman" w:hAnsi="Times New Roman" w:cs="Times New Roman" w:eastAsia="Times New Roman" w:hint="default"/>
          <w:spacing w:val="-4"/>
          <w:sz w:val="18"/>
          <w:szCs w:val="18"/>
        </w:rPr>
        <w:t>79.18%</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10,279,388.76</w:t>
        <w:tab/>
        <w:t>6.00%</w:t>
      </w:r>
      <w:r>
        <w:rPr>
          <w:rFonts w:ascii="Times New Roman" w:hAnsi="Times New Roman" w:cs="Times New Roman" w:eastAsia="Times New Roman" w:hint="default"/>
          <w:sz w:val="18"/>
          <w:szCs w:val="18"/>
        </w:rPr>
      </w:r>
    </w:p>
    <w:p>
      <w:pPr>
        <w:spacing w:before="129"/>
        <w:ind w:left="154" w:right="5172" w:firstLine="0"/>
        <w:jc w:val="left"/>
        <w:rPr>
          <w:rFonts w:ascii="宋体" w:hAnsi="宋体" w:cs="宋体" w:eastAsia="宋体" w:hint="default"/>
          <w:sz w:val="18"/>
          <w:szCs w:val="18"/>
        </w:rPr>
      </w:pPr>
      <w:r>
        <w:rPr/>
        <w:pict>
          <v:shape style="position:absolute;margin-left:239.699997pt;margin-top:10.542644pt;width:300.850pt;height:67.7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3"/>
                    <w:gridCol w:w="1487"/>
                    <w:gridCol w:w="1321"/>
                    <w:gridCol w:w="1129"/>
                    <w:gridCol w:w="1366"/>
                  </w:tblGrid>
                  <w:tr>
                    <w:trPr>
                      <w:trHeight w:val="443" w:hRule="exact"/>
                    </w:trPr>
                    <w:tc>
                      <w:tcPr>
                        <w:tcW w:w="713" w:type="dxa"/>
                        <w:vMerge w:val="restart"/>
                        <w:tcBorders>
                          <w:top w:val="nil" w:sz="6" w:space="0" w:color="auto"/>
                          <w:left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4"/>
                            <w:sz w:val="18"/>
                          </w:rPr>
                          <w:t>2,177,021.80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70" w:right="0"/>
                          <w:jc w:val="left"/>
                          <w:rPr>
                            <w:rFonts w:ascii="Times New Roman" w:hAnsi="Times New Roman" w:cs="Times New Roman" w:eastAsia="Times New Roman" w:hint="default"/>
                            <w:sz w:val="18"/>
                            <w:szCs w:val="18"/>
                          </w:rPr>
                        </w:pPr>
                        <w:r>
                          <w:rPr>
                            <w:rFonts w:ascii="Times New Roman"/>
                            <w:spacing w:val="-4"/>
                            <w:sz w:val="18"/>
                          </w:rPr>
                          <w:t>1.01%</w:t>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pacing w:val="-5"/>
                            <w:sz w:val="18"/>
                          </w:rPr>
                          <w:t>653,106.54</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4"/>
                            <w:sz w:val="18"/>
                          </w:rPr>
                          <w:t>30.00%</w:t>
                        </w:r>
                      </w:p>
                    </w:tc>
                  </w:tr>
                  <w:tr>
                    <w:trPr>
                      <w:trHeight w:val="474" w:hRule="exact"/>
                    </w:trPr>
                    <w:tc>
                      <w:tcPr>
                        <w:tcW w:w="713" w:type="dxa"/>
                        <w:vMerge/>
                        <w:tcBorders>
                          <w:left w:val="nil" w:sz="6" w:space="0" w:color="auto"/>
                          <w:bottom w:val="single" w:sz="6" w:space="0" w:color="000000"/>
                          <w:right w:val="nil" w:sz="6" w:space="0" w:color="auto"/>
                        </w:tcBorders>
                      </w:tcPr>
                      <w:p>
                        <w:pPr/>
                      </w:p>
                    </w:tc>
                    <w:tc>
                      <w:tcPr>
                        <w:tcW w:w="1487" w:type="dxa"/>
                        <w:tcBorders>
                          <w:top w:val="nil" w:sz="6" w:space="0" w:color="auto"/>
                          <w:left w:val="nil" w:sz="6" w:space="0" w:color="auto"/>
                          <w:bottom w:val="single" w:sz="6" w:space="0" w:color="000000"/>
                          <w:right w:val="nil" w:sz="6" w:space="0" w:color="auto"/>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pacing w:val="-5"/>
                            <w:sz w:val="18"/>
                          </w:rPr>
                          <w:t>42,892,267.53</w:t>
                        </w:r>
                        <w:r>
                          <w:rPr>
                            <w:rFonts w:ascii="Times New Roman"/>
                            <w:sz w:val="18"/>
                          </w:rPr>
                        </w:r>
                      </w:p>
                    </w:tc>
                    <w:tc>
                      <w:tcPr>
                        <w:tcW w:w="1321" w:type="dxa"/>
                        <w:tcBorders>
                          <w:top w:val="nil" w:sz="6" w:space="0" w:color="auto"/>
                          <w:left w:val="nil" w:sz="6" w:space="0" w:color="auto"/>
                          <w:bottom w:val="single" w:sz="6" w:space="0" w:color="000000"/>
                          <w:right w:val="nil" w:sz="6" w:space="0" w:color="auto"/>
                        </w:tcBorders>
                      </w:tcPr>
                      <w:p>
                        <w:pPr>
                          <w:pStyle w:val="TableParagraph"/>
                          <w:spacing w:line="240" w:lineRule="auto" w:before="139"/>
                          <w:ind w:left="185" w:right="0"/>
                          <w:jc w:val="left"/>
                          <w:rPr>
                            <w:rFonts w:ascii="Times New Roman" w:hAnsi="Times New Roman" w:cs="Times New Roman" w:eastAsia="Times New Roman" w:hint="default"/>
                            <w:sz w:val="18"/>
                            <w:szCs w:val="18"/>
                          </w:rPr>
                        </w:pPr>
                        <w:r>
                          <w:rPr>
                            <w:rFonts w:ascii="Times New Roman"/>
                            <w:spacing w:val="-4"/>
                            <w:sz w:val="18"/>
                          </w:rPr>
                          <w:t>19.81%</w:t>
                        </w:r>
                      </w:p>
                    </w:tc>
                    <w:tc>
                      <w:tcPr>
                        <w:tcW w:w="1129" w:type="dxa"/>
                        <w:tcBorders>
                          <w:top w:val="nil" w:sz="6" w:space="0" w:color="auto"/>
                          <w:left w:val="nil" w:sz="6" w:space="0" w:color="auto"/>
                          <w:bottom w:val="single" w:sz="6" w:space="0" w:color="000000"/>
                          <w:right w:val="nil" w:sz="6" w:space="0" w:color="auto"/>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4"/>
                            <w:sz w:val="18"/>
                          </w:rPr>
                          <w:t>3,212,213.22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
                          <w:jc w:val="right"/>
                          <w:rPr>
                            <w:rFonts w:ascii="Times New Roman" w:hAnsi="Times New Roman" w:cs="Times New Roman" w:eastAsia="Times New Roman" w:hint="default"/>
                            <w:sz w:val="18"/>
                            <w:szCs w:val="18"/>
                          </w:rPr>
                        </w:pPr>
                        <w:r>
                          <w:rPr>
                            <w:rFonts w:ascii="Times New Roman"/>
                            <w:spacing w:val="-4"/>
                            <w:sz w:val="18"/>
                          </w:rPr>
                          <w:t>7.49%</w:t>
                        </w:r>
                        <w:r>
                          <w:rPr>
                            <w:rFonts w:ascii="Times New Roman"/>
                            <w:sz w:val="18"/>
                          </w:rPr>
                        </w:r>
                      </w:p>
                    </w:tc>
                  </w:tr>
                  <w:tr>
                    <w:trPr>
                      <w:trHeight w:val="438" w:hRule="exact"/>
                    </w:trPr>
                    <w:tc>
                      <w:tcPr>
                        <w:tcW w:w="713"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left="7"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487"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5"/>
                            <w:sz w:val="18"/>
                          </w:rPr>
                          <w:t>216,471,064.50</w:t>
                        </w:r>
                        <w:r>
                          <w:rPr>
                            <w:rFonts w:ascii="Times New Roman"/>
                            <w:sz w:val="18"/>
                          </w:rPr>
                        </w:r>
                      </w:p>
                    </w:tc>
                    <w:tc>
                      <w:tcPr>
                        <w:tcW w:w="1321"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left="97" w:right="0"/>
                          <w:jc w:val="left"/>
                          <w:rPr>
                            <w:rFonts w:ascii="Times New Roman" w:hAnsi="Times New Roman" w:cs="Times New Roman" w:eastAsia="Times New Roman" w:hint="default"/>
                            <w:sz w:val="18"/>
                            <w:szCs w:val="18"/>
                          </w:rPr>
                        </w:pPr>
                        <w:r>
                          <w:rPr>
                            <w:rFonts w:ascii="Times New Roman"/>
                            <w:spacing w:val="-4"/>
                            <w:sz w:val="18"/>
                          </w:rPr>
                          <w:t>100.00%</w:t>
                        </w:r>
                        <w:r>
                          <w:rPr>
                            <w:rFonts w:ascii="Times New Roman"/>
                            <w:spacing w:val="29"/>
                            <w:sz w:val="18"/>
                          </w:rPr>
                          <w:t> </w:t>
                        </w:r>
                        <w:r>
                          <w:rPr>
                            <w:rFonts w:ascii="Times New Roman"/>
                            <w:spacing w:val="-4"/>
                            <w:sz w:val="18"/>
                          </w:rPr>
                          <w:t>RMB</w:t>
                        </w:r>
                        <w:r>
                          <w:rPr>
                            <w:rFonts w:ascii="Times New Roman"/>
                            <w:sz w:val="18"/>
                          </w:rPr>
                        </w:r>
                      </w:p>
                    </w:tc>
                    <w:tc>
                      <w:tcPr>
                        <w:tcW w:w="1129"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5"/>
                            <w:sz w:val="18"/>
                          </w:rPr>
                          <w:t>14,144,708.52</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
                          <w:jc w:val="right"/>
                          <w:rPr>
                            <w:rFonts w:ascii="Times New Roman" w:hAnsi="Times New Roman" w:cs="Times New Roman" w:eastAsia="Times New Roman" w:hint="default"/>
                            <w:sz w:val="18"/>
                            <w:szCs w:val="18"/>
                          </w:rPr>
                        </w:pPr>
                        <w:r>
                          <w:rPr>
                            <w:rFonts w:ascii="Times New Roman"/>
                            <w:spacing w:val="-4"/>
                            <w:sz w:val="18"/>
                          </w:rPr>
                          <w:t>6.53%</w:t>
                        </w:r>
                        <w:r>
                          <w:rPr>
                            <w:rFonts w:ascii="Times New Roman"/>
                            <w:sz w:val="18"/>
                          </w:rPr>
                        </w:r>
                      </w:p>
                    </w:tc>
                  </w:tr>
                </w:tbl>
                <w:p>
                  <w:pPr/>
                </w:p>
              </w:txbxContent>
            </v:textbox>
            <w10:wrap type="none"/>
          </v:shape>
        </w:pict>
      </w: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大的应收账款</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pacing w:val="-8"/>
          <w:sz w:val="18"/>
          <w:szCs w:val="18"/>
        </w:rPr>
        <w:t>单项金额不重大的应收账款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28" w:lineRule="exact"/>
        <w:ind w:left="38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233.25pt;height:1.45pt;mso-position-horizontal-relative:char;mso-position-vertical-relative:line" coordorigin="0,0" coordsize="4665,29">
            <v:group style="position:absolute;left:5;top:24;width:429;height:2" coordorigin="5,24" coordsize="429,2">
              <v:shape style="position:absolute;left:5;top:24;width:429;height:2" coordorigin="5,24" coordsize="429,0" path="m5,24l433,24e" filled="false" stroked="true" strokeweight=".48pt" strokecolor="#000000">
                <v:path arrowok="t"/>
              </v:shape>
            </v:group>
            <v:group style="position:absolute;left:5;top:5;width:429;height:2" coordorigin="5,5" coordsize="429,2">
              <v:shape style="position:absolute;left:5;top:5;width:429;height:2" coordorigin="5,5" coordsize="429,0" path="m5,5l433,5e" filled="false" stroked="true" strokeweight=".48pt" strokecolor="#000000">
                <v:path arrowok="t"/>
              </v:shape>
            </v:group>
            <v:group style="position:absolute;left:419;top:5;width:29;height:2" coordorigin="419,5" coordsize="29,2">
              <v:shape style="position:absolute;left:419;top:5;width:29;height:2" coordorigin="419,5" coordsize="29,0" path="m419,5l448,5e" filled="false" stroked="true" strokeweight=".48pt" strokecolor="#000000">
                <v:path arrowok="t"/>
              </v:shape>
            </v:group>
            <v:group style="position:absolute;left:419;top:24;width:1692;height:2" coordorigin="419,24" coordsize="1692,2">
              <v:shape style="position:absolute;left:419;top:24;width:1692;height:2" coordorigin="419,24" coordsize="1692,0" path="m419,24l2111,24e" filled="false" stroked="true" strokeweight=".48pt" strokecolor="#000000">
                <v:path arrowok="t"/>
              </v:shape>
            </v:group>
            <v:group style="position:absolute;left:448;top:5;width:1664;height:2" coordorigin="448,5" coordsize="1664,2">
              <v:shape style="position:absolute;left:448;top:5;width:1664;height:2" coordorigin="448,5" coordsize="1664,0" path="m448,5l2111,5e" filled="false" stroked="true" strokeweight=".48pt" strokecolor="#000000">
                <v:path arrowok="t"/>
              </v:shape>
            </v:group>
            <v:group style="position:absolute;left:2134;top:24;width:796;height:2" coordorigin="2134,24" coordsize="796,2">
              <v:shape style="position:absolute;left:2134;top:24;width:796;height:2" coordorigin="2134,24" coordsize="796,0" path="m2134,24l2929,24e" filled="false" stroked="true" strokeweight=".48pt" strokecolor="#000000">
                <v:path arrowok="t"/>
              </v:shape>
            </v:group>
            <v:group style="position:absolute;left:2134;top:5;width:796;height:2" coordorigin="2134,5" coordsize="796,2">
              <v:shape style="position:absolute;left:2134;top:5;width:796;height:2" coordorigin="2134,5" coordsize="796,0" path="m2134,5l2929,5e" filled="false" stroked="true" strokeweight=".48pt" strokecolor="#000000">
                <v:path arrowok="t"/>
              </v:shape>
            </v:group>
            <v:group style="position:absolute;left:2990;top:24;width:404;height:2" coordorigin="2990,24" coordsize="404,2">
              <v:shape style="position:absolute;left:2990;top:24;width:404;height:2" coordorigin="2990,24" coordsize="404,0" path="m2990,24l3394,24e" filled="false" stroked="true" strokeweight=".48pt" strokecolor="#000000">
                <v:path arrowok="t"/>
              </v:shape>
            </v:group>
            <v:group style="position:absolute;left:2990;top:5;width:404;height:2" coordorigin="2990,5" coordsize="404,2">
              <v:shape style="position:absolute;left:2990;top:5;width:404;height:2" coordorigin="2990,5" coordsize="404,0" path="m2990,5l3394,5e" filled="false" stroked="true" strokeweight=".48pt" strokecolor="#000000">
                <v:path arrowok="t"/>
              </v:shape>
            </v:group>
            <v:group style="position:absolute;left:3379;top:5;width:29;height:2" coordorigin="3379,5" coordsize="29,2">
              <v:shape style="position:absolute;left:3379;top:5;width:29;height:2" coordorigin="3379,5" coordsize="29,0" path="m3379,5l3408,5e" filled="false" stroked="true" strokeweight=".48pt" strokecolor="#000000">
                <v:path arrowok="t"/>
              </v:shape>
            </v:group>
            <v:group style="position:absolute;left:3379;top:24;width:1281;height:2" coordorigin="3379,24" coordsize="1281,2">
              <v:shape style="position:absolute;left:3379;top:24;width:1281;height:2" coordorigin="3379,24" coordsize="1281,0" path="m3379,24l4660,24e" filled="false" stroked="true" strokeweight=".48pt" strokecolor="#000000">
                <v:path arrowok="t"/>
              </v:shape>
            </v:group>
            <v:group style="position:absolute;left:3408;top:5;width:1252;height:2" coordorigin="3408,5" coordsize="1252,2">
              <v:shape style="position:absolute;left:3408;top:5;width:1252;height:2" coordorigin="3408,5" coordsize="1252,0" path="m3408,5l4660,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199" w:lineRule="exact" w:before="76"/>
        <w:ind w:left="6420" w:right="0" w:firstLine="0"/>
        <w:jc w:val="left"/>
        <w:rPr>
          <w:rFonts w:ascii="Times New Roman" w:hAnsi="Times New Roman" w:cs="Times New Roman" w:eastAsia="Times New Roman" w:hint="default"/>
          <w:sz w:val="18"/>
          <w:szCs w:val="18"/>
        </w:rPr>
      </w:pPr>
      <w:r>
        <w:rPr>
          <w:rFonts w:ascii="Times New Roman"/>
          <w:spacing w:val="-5"/>
          <w:sz w:val="18"/>
        </w:rPr>
        <w:t>2006.12.31</w:t>
      </w:r>
      <w:r>
        <w:rPr>
          <w:rFonts w:ascii="Times New Roman"/>
          <w:sz w:val="18"/>
        </w:rPr>
      </w:r>
    </w:p>
    <w:p>
      <w:pPr>
        <w:spacing w:line="227" w:lineRule="exact" w:before="0"/>
        <w:ind w:left="1795" w:right="0" w:firstLine="0"/>
        <w:jc w:val="left"/>
        <w:rPr>
          <w:rFonts w:ascii="宋体" w:hAnsi="宋体" w:cs="宋体" w:eastAsia="宋体" w:hint="default"/>
          <w:sz w:val="18"/>
          <w:szCs w:val="18"/>
        </w:rPr>
      </w:pPr>
      <w:r>
        <w:rPr/>
        <w:pict>
          <v:group style="position:absolute;margin-left:239.699997pt;margin-top:6.95577pt;width:298.6pt;height:.1pt;mso-position-horizontal-relative:page;mso-position-vertical-relative:paragraph;z-index:1552" coordorigin="4794,139" coordsize="5972,2">
            <v:shape style="position:absolute;left:4794;top:139;width:5972;height:2" coordorigin="4794,139" coordsize="5972,0" path="m4794,139l10765,139e" filled="false" stroked="true" strokeweight=".48pt" strokecolor="#000000">
              <v:path arrowok="t"/>
            </v:shape>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167" w:val="left" w:leader="none"/>
          <w:tab w:pos="7289" w:val="left" w:leader="none"/>
          <w:tab w:pos="8908" w:val="left" w:leader="none"/>
        </w:tabs>
        <w:spacing w:line="235" w:lineRule="exact" w:before="0"/>
        <w:ind w:left="4693" w:right="0"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5"/>
        <w:rPr>
          <w:rFonts w:ascii="宋体" w:hAnsi="宋体" w:cs="宋体" w:eastAsia="宋体" w:hint="default"/>
          <w:sz w:val="10"/>
          <w:szCs w:val="10"/>
        </w:rPr>
      </w:pPr>
    </w:p>
    <w:p>
      <w:pPr>
        <w:tabs>
          <w:tab w:pos="8700" w:val="left" w:leader="none"/>
        </w:tabs>
        <w:spacing w:line="20" w:lineRule="exact"/>
        <w:ind w:left="154" w:right="0" w:firstLine="0"/>
        <w:rPr>
          <w:rFonts w:ascii="宋体" w:hAnsi="宋体" w:cs="宋体" w:eastAsia="宋体" w:hint="default"/>
          <w:sz w:val="2"/>
          <w:szCs w:val="2"/>
        </w:rPr>
      </w:pPr>
      <w:r>
        <w:rPr>
          <w:rFonts w:ascii="宋体"/>
          <w:sz w:val="2"/>
        </w:rPr>
        <w:pict>
          <v:group style="width:415.3pt;height:.75pt;mso-position-horizontal-relative:char;mso-position-vertical-relative:line" coordorigin="0,0" coordsize="8306,15">
            <v:group style="position:absolute;left:7;top:7;width:3617;height:2" coordorigin="7,7" coordsize="3617,2">
              <v:shape style="position:absolute;left:7;top:7;width:3617;height:2" coordorigin="7,7" coordsize="3617,0" path="m7,7l3624,7e" filled="false" stroked="true" strokeweight=".72pt" strokecolor="#000000">
                <v:path arrowok="t"/>
              </v:shape>
            </v:group>
            <v:group style="position:absolute;left:3660;top:5;width:2092;height:2" coordorigin="3660,5" coordsize="2092,2">
              <v:shape style="position:absolute;left:3660;top:5;width:2092;height:2" coordorigin="3660,5" coordsize="2092,0" path="m3660,5l5752,5e" filled="false" stroked="true" strokeweight=".48pt" strokecolor="#000000">
                <v:path arrowok="t"/>
              </v:shape>
            </v:group>
            <v:group style="position:absolute;left:5789;top:7;width:782;height:2" coordorigin="5789,7" coordsize="782,2">
              <v:shape style="position:absolute;left:5789;top:7;width:782;height:2" coordorigin="5789,7" coordsize="782,0" path="m5789,7l6570,7e" filled="false" stroked="true" strokeweight=".72pt" strokecolor="#000000">
                <v:path arrowok="t"/>
              </v:shape>
            </v:group>
            <v:group style="position:absolute;left:6646;top:5;width:399;height:2" coordorigin="6646,5" coordsize="399,2">
              <v:shape style="position:absolute;left:6646;top:5;width:399;height:2" coordorigin="6646,5" coordsize="399,0" path="m6646,5l7044,5e" filled="false" stroked="true" strokeweight=".48pt" strokecolor="#000000">
                <v:path arrowok="t"/>
              </v:shape>
            </v:group>
            <v:group style="position:absolute;left:7044;top:5;width:1257;height:2" coordorigin="7044,5" coordsize="1257,2">
              <v:shape style="position:absolute;left:7044;top:5;width:1257;height:2" coordorigin="7044,5" coordsize="1257,0" path="m7044,5l8300,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tabs>
          <w:tab w:pos="3821" w:val="left" w:leader="none"/>
          <w:tab w:pos="4928" w:val="left" w:leader="none"/>
          <w:tab w:pos="6189" w:val="left" w:leader="none"/>
          <w:tab w:pos="7563" w:val="left" w:leader="none"/>
          <w:tab w:pos="9345" w:val="left" w:leader="none"/>
        </w:tabs>
        <w:spacing w:before="78"/>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position w:val="1"/>
          <w:sz w:val="18"/>
          <w:szCs w:val="18"/>
        </w:rPr>
        <w:t>单项金额重大的应收账款</w:t>
        <w:tab/>
      </w:r>
      <w:r>
        <w:rPr>
          <w:rFonts w:ascii="Times New Roman" w:hAnsi="Times New Roman" w:cs="Times New Roman" w:eastAsia="Times New Roman" w:hint="default"/>
          <w:spacing w:val="-3"/>
          <w:position w:val="1"/>
          <w:sz w:val="18"/>
          <w:szCs w:val="18"/>
        </w:rPr>
        <w:t>RMB</w:t>
        <w:tab/>
      </w:r>
      <w:r>
        <w:rPr>
          <w:rFonts w:ascii="Times New Roman" w:hAnsi="Times New Roman" w:cs="Times New Roman" w:eastAsia="Times New Roman" w:hint="default"/>
          <w:spacing w:val="-4"/>
          <w:position w:val="1"/>
          <w:sz w:val="18"/>
          <w:szCs w:val="18"/>
        </w:rPr>
        <w:t>68,121,658.63</w:t>
        <w:tab/>
      </w:r>
      <w:r>
        <w:rPr>
          <w:rFonts w:ascii="Times New Roman" w:hAnsi="Times New Roman" w:cs="Times New Roman" w:eastAsia="Times New Roman" w:hint="default"/>
          <w:spacing w:val="-4"/>
          <w:sz w:val="18"/>
          <w:szCs w:val="18"/>
        </w:rPr>
        <w:t>64.40%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position w:val="1"/>
          <w:sz w:val="18"/>
          <w:szCs w:val="18"/>
        </w:rPr>
        <w:t>RMB</w:t>
        <w:tab/>
      </w:r>
      <w:r>
        <w:rPr>
          <w:rFonts w:ascii="Times New Roman" w:hAnsi="Times New Roman" w:cs="Times New Roman" w:eastAsia="Times New Roman" w:hint="default"/>
          <w:spacing w:val="-4"/>
          <w:position w:val="1"/>
          <w:sz w:val="18"/>
          <w:szCs w:val="18"/>
        </w:rPr>
        <w:t>4,639,235.86</w:t>
        <w:tab/>
        <w:t>6.81%</w:t>
      </w:r>
      <w:r>
        <w:rPr>
          <w:rFonts w:ascii="Times New Roman" w:hAnsi="Times New Roman" w:cs="Times New Roman" w:eastAsia="Times New Roman" w:hint="default"/>
          <w:sz w:val="18"/>
          <w:szCs w:val="18"/>
        </w:rPr>
      </w:r>
    </w:p>
    <w:p>
      <w:pPr>
        <w:spacing w:before="121"/>
        <w:ind w:left="154" w:right="5172" w:firstLine="0"/>
        <w:jc w:val="left"/>
        <w:rPr>
          <w:rFonts w:ascii="宋体" w:hAnsi="宋体" w:cs="宋体" w:eastAsia="宋体" w:hint="default"/>
          <w:sz w:val="18"/>
          <w:szCs w:val="18"/>
        </w:rPr>
      </w:pPr>
      <w:r>
        <w:rPr/>
        <w:pict>
          <v:shape style="position:absolute;margin-left:239.699997pt;margin-top:10.142658pt;width:300.850pt;height:68.1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3"/>
                    <w:gridCol w:w="1481"/>
                    <w:gridCol w:w="757"/>
                    <w:gridCol w:w="614"/>
                    <w:gridCol w:w="1085"/>
                    <w:gridCol w:w="1366"/>
                  </w:tblGrid>
                  <w:tr>
                    <w:trPr>
                      <w:trHeight w:val="447" w:hRule="exact"/>
                    </w:trPr>
                    <w:tc>
                      <w:tcPr>
                        <w:tcW w:w="713" w:type="dxa"/>
                        <w:vMerge w:val="restart"/>
                        <w:tcBorders>
                          <w:top w:val="nil" w:sz="6" w:space="0" w:color="auto"/>
                          <w:left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5"/>
                            <w:sz w:val="18"/>
                          </w:rPr>
                          <w:t>526,238.80</w:t>
                        </w:r>
                        <w:r>
                          <w:rPr>
                            <w:rFonts w:ascii="Times New Roman"/>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
                          <w:jc w:val="right"/>
                          <w:rPr>
                            <w:rFonts w:ascii="Times New Roman" w:hAnsi="Times New Roman" w:cs="Times New Roman" w:eastAsia="Times New Roman" w:hint="default"/>
                            <w:sz w:val="18"/>
                            <w:szCs w:val="18"/>
                          </w:rPr>
                        </w:pPr>
                        <w:r>
                          <w:rPr>
                            <w:rFonts w:ascii="Times New Roman"/>
                            <w:spacing w:val="-4"/>
                            <w:sz w:val="18"/>
                          </w:rPr>
                          <w:t>0.50%</w:t>
                        </w:r>
                        <w:r>
                          <w:rPr>
                            <w:rFonts w:ascii="Times New Roman"/>
                            <w:sz w:val="18"/>
                          </w:rPr>
                        </w:r>
                      </w:p>
                    </w:tc>
                    <w:tc>
                      <w:tcPr>
                        <w:tcW w:w="61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
                          <w:jc w:val="right"/>
                          <w:rPr>
                            <w:rFonts w:ascii="Times New Roman" w:hAnsi="Times New Roman" w:cs="Times New Roman" w:eastAsia="Times New Roman" w:hint="default"/>
                            <w:sz w:val="18"/>
                            <w:szCs w:val="18"/>
                          </w:rPr>
                        </w:pPr>
                        <w:r>
                          <w:rPr>
                            <w:rFonts w:ascii="Times New Roman"/>
                            <w:spacing w:val="-5"/>
                            <w:sz w:val="18"/>
                          </w:rPr>
                          <w:t>157,871.64</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4"/>
                            <w:sz w:val="18"/>
                          </w:rPr>
                          <w:t>30.00%</w:t>
                        </w:r>
                      </w:p>
                    </w:tc>
                  </w:tr>
                  <w:tr>
                    <w:trPr>
                      <w:trHeight w:val="470" w:hRule="exact"/>
                    </w:trPr>
                    <w:tc>
                      <w:tcPr>
                        <w:tcW w:w="713" w:type="dxa"/>
                        <w:vMerge/>
                        <w:tcBorders>
                          <w:left w:val="nil" w:sz="6" w:space="0" w:color="auto"/>
                          <w:bottom w:val="single" w:sz="6" w:space="0" w:color="000000"/>
                          <w:right w:val="nil" w:sz="6" w:space="0" w:color="auto"/>
                        </w:tcBorders>
                      </w:tcPr>
                      <w:p>
                        <w:pPr/>
                      </w:p>
                    </w:tc>
                    <w:tc>
                      <w:tcPr>
                        <w:tcW w:w="1481" w:type="dxa"/>
                        <w:tcBorders>
                          <w:top w:val="nil" w:sz="6" w:space="0" w:color="auto"/>
                          <w:left w:val="nil" w:sz="6" w:space="0" w:color="auto"/>
                          <w:bottom w:val="single" w:sz="6" w:space="0" w:color="000000"/>
                          <w:right w:val="nil" w:sz="6" w:space="0" w:color="auto"/>
                        </w:tcBorders>
                      </w:tcPr>
                      <w:p>
                        <w:pPr>
                          <w:pStyle w:val="TableParagraph"/>
                          <w:spacing w:line="240" w:lineRule="auto" w:before="135"/>
                          <w:ind w:right="93"/>
                          <w:jc w:val="right"/>
                          <w:rPr>
                            <w:rFonts w:ascii="Times New Roman" w:hAnsi="Times New Roman" w:cs="Times New Roman" w:eastAsia="Times New Roman" w:hint="default"/>
                            <w:sz w:val="18"/>
                            <w:szCs w:val="18"/>
                          </w:rPr>
                        </w:pPr>
                        <w:r>
                          <w:rPr>
                            <w:rFonts w:ascii="Times New Roman"/>
                            <w:spacing w:val="-5"/>
                            <w:sz w:val="18"/>
                          </w:rPr>
                          <w:t>37,128,041.22</w:t>
                        </w:r>
                        <w:r>
                          <w:rPr>
                            <w:rFonts w:ascii="Times New Roman"/>
                            <w:sz w:val="18"/>
                          </w:rPr>
                        </w:r>
                      </w:p>
                    </w:tc>
                    <w:tc>
                      <w:tcPr>
                        <w:tcW w:w="75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39"/>
                          <w:jc w:val="right"/>
                          <w:rPr>
                            <w:rFonts w:ascii="Times New Roman" w:hAnsi="Times New Roman" w:cs="Times New Roman" w:eastAsia="Times New Roman" w:hint="default"/>
                            <w:sz w:val="18"/>
                            <w:szCs w:val="18"/>
                          </w:rPr>
                        </w:pPr>
                        <w:r>
                          <w:rPr>
                            <w:rFonts w:ascii="Times New Roman"/>
                            <w:spacing w:val="-4"/>
                            <w:sz w:val="18"/>
                          </w:rPr>
                          <w:t>35.10%</w:t>
                        </w:r>
                      </w:p>
                    </w:tc>
                    <w:tc>
                      <w:tcPr>
                        <w:tcW w:w="614" w:type="dxa"/>
                        <w:tcBorders>
                          <w:top w:val="nil" w:sz="6" w:space="0" w:color="auto"/>
                          <w:left w:val="nil" w:sz="6" w:space="0" w:color="auto"/>
                          <w:bottom w:val="single" w:sz="6" w:space="0" w:color="000000"/>
                          <w:right w:val="nil" w:sz="6" w:space="0" w:color="auto"/>
                        </w:tcBorders>
                      </w:tcPr>
                      <w:p>
                        <w:pPr/>
                      </w:p>
                    </w:tc>
                    <w:tc>
                      <w:tcPr>
                        <w:tcW w:w="1085" w:type="dxa"/>
                        <w:tcBorders>
                          <w:top w:val="nil" w:sz="6" w:space="0" w:color="auto"/>
                          <w:left w:val="nil" w:sz="6" w:space="0" w:color="auto"/>
                          <w:bottom w:val="single" w:sz="6" w:space="0" w:color="000000"/>
                          <w:right w:val="nil" w:sz="6" w:space="0" w:color="auto"/>
                        </w:tcBorders>
                      </w:tcPr>
                      <w:p>
                        <w:pPr>
                          <w:pStyle w:val="TableParagraph"/>
                          <w:spacing w:line="240" w:lineRule="auto" w:before="135"/>
                          <w:ind w:right="0"/>
                          <w:jc w:val="right"/>
                          <w:rPr>
                            <w:rFonts w:ascii="Times New Roman" w:hAnsi="Times New Roman" w:cs="Times New Roman" w:eastAsia="Times New Roman" w:hint="default"/>
                            <w:sz w:val="18"/>
                            <w:szCs w:val="18"/>
                          </w:rPr>
                        </w:pPr>
                        <w:r>
                          <w:rPr>
                            <w:rFonts w:ascii="Times New Roman"/>
                            <w:spacing w:val="-4"/>
                            <w:sz w:val="18"/>
                          </w:rPr>
                          <w:t>2,733,926.76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Times New Roman" w:hAnsi="Times New Roman" w:cs="Times New Roman" w:eastAsia="Times New Roman" w:hint="default"/>
                            <w:sz w:val="18"/>
                            <w:szCs w:val="18"/>
                          </w:rPr>
                        </w:pPr>
                        <w:r>
                          <w:rPr>
                            <w:rFonts w:ascii="Times New Roman"/>
                            <w:w w:val="95"/>
                            <w:sz w:val="18"/>
                          </w:rPr>
                          <w:t>7.36%</w:t>
                        </w:r>
                        <w:r>
                          <w:rPr>
                            <w:rFonts w:ascii="Times New Roman"/>
                            <w:sz w:val="18"/>
                          </w:rPr>
                        </w:r>
                      </w:p>
                    </w:tc>
                  </w:tr>
                  <w:tr>
                    <w:trPr>
                      <w:trHeight w:val="446" w:hRule="exact"/>
                    </w:trPr>
                    <w:tc>
                      <w:tcPr>
                        <w:tcW w:w="713"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left="6"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481"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spacing w:val="-5"/>
                            <w:sz w:val="18"/>
                          </w:rPr>
                          <w:t>105,775,938.65</w:t>
                        </w:r>
                        <w:r>
                          <w:rPr>
                            <w:rFonts w:ascii="Times New Roman"/>
                            <w:sz w:val="18"/>
                          </w:rPr>
                        </w:r>
                      </w:p>
                    </w:tc>
                    <w:tc>
                      <w:tcPr>
                        <w:tcW w:w="757"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42"/>
                          <w:jc w:val="right"/>
                          <w:rPr>
                            <w:rFonts w:ascii="Times New Roman" w:hAnsi="Times New Roman" w:cs="Times New Roman" w:eastAsia="Times New Roman" w:hint="default"/>
                            <w:sz w:val="18"/>
                            <w:szCs w:val="18"/>
                          </w:rPr>
                        </w:pPr>
                        <w:r>
                          <w:rPr>
                            <w:rFonts w:ascii="Times New Roman"/>
                            <w:spacing w:val="-5"/>
                            <w:sz w:val="18"/>
                          </w:rPr>
                          <w:t>100.00%</w:t>
                        </w:r>
                        <w:r>
                          <w:rPr>
                            <w:rFonts w:ascii="Times New Roman"/>
                            <w:sz w:val="18"/>
                          </w:rPr>
                        </w:r>
                      </w:p>
                    </w:tc>
                    <w:tc>
                      <w:tcPr>
                        <w:tcW w:w="614"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left="41"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085"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4"/>
                            <w:sz w:val="18"/>
                          </w:rPr>
                          <w:t>7,531,034.26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6"/>
                          <w:jc w:val="right"/>
                          <w:rPr>
                            <w:rFonts w:ascii="Times New Roman" w:hAnsi="Times New Roman" w:cs="Times New Roman" w:eastAsia="Times New Roman" w:hint="default"/>
                            <w:sz w:val="18"/>
                            <w:szCs w:val="18"/>
                          </w:rPr>
                        </w:pPr>
                        <w:r>
                          <w:rPr>
                            <w:rFonts w:ascii="Times New Roman"/>
                            <w:w w:val="95"/>
                            <w:sz w:val="18"/>
                          </w:rPr>
                          <w:t>7.12%</w:t>
                        </w:r>
                        <w:r>
                          <w:rPr>
                            <w:rFonts w:ascii="Times New Roman"/>
                            <w:sz w:val="18"/>
                          </w:rPr>
                        </w:r>
                      </w:p>
                    </w:tc>
                  </w:tr>
                </w:tbl>
                <w:p>
                  <w:pPr/>
                </w:p>
              </w:txbxContent>
            </v:textbox>
            <w10:wrap type="none"/>
          </v:shape>
        </w:pict>
      </w: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大的应收账款</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pacing w:val="-8"/>
          <w:sz w:val="18"/>
          <w:szCs w:val="18"/>
        </w:rPr>
        <w:t>单项金额不重大的应收账款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28" w:lineRule="exact"/>
        <w:ind w:left="38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233.25pt;height:1.45pt;mso-position-horizontal-relative:char;mso-position-vertical-relative:line" coordorigin="0,0" coordsize="4665,29">
            <v:group style="position:absolute;left:5;top:24;width:429;height:2" coordorigin="5,24" coordsize="429,2">
              <v:shape style="position:absolute;left:5;top:24;width:429;height:2" coordorigin="5,24" coordsize="429,0" path="m5,24l433,24e" filled="false" stroked="true" strokeweight=".48pt" strokecolor="#000000">
                <v:path arrowok="t"/>
              </v:shape>
            </v:group>
            <v:group style="position:absolute;left:5;top:5;width:429;height:2" coordorigin="5,5" coordsize="429,2">
              <v:shape style="position:absolute;left:5;top:5;width:429;height:2" coordorigin="5,5" coordsize="429,0" path="m5,5l433,5e" filled="false" stroked="true" strokeweight=".48pt" strokecolor="#000000">
                <v:path arrowok="t"/>
              </v:shape>
            </v:group>
            <v:group style="position:absolute;left:419;top:5;width:29;height:2" coordorigin="419,5" coordsize="29,2">
              <v:shape style="position:absolute;left:419;top:5;width:29;height:2" coordorigin="419,5" coordsize="29,0" path="m419,5l448,5e" filled="false" stroked="true" strokeweight=".48pt" strokecolor="#000000">
                <v:path arrowok="t"/>
              </v:shape>
            </v:group>
            <v:group style="position:absolute;left:419;top:24;width:1692;height:2" coordorigin="419,24" coordsize="1692,2">
              <v:shape style="position:absolute;left:419;top:24;width:1692;height:2" coordorigin="419,24" coordsize="1692,0" path="m419,24l2111,24e" filled="false" stroked="true" strokeweight=".48pt" strokecolor="#000000">
                <v:path arrowok="t"/>
              </v:shape>
            </v:group>
            <v:group style="position:absolute;left:448;top:5;width:1664;height:2" coordorigin="448,5" coordsize="1664,2">
              <v:shape style="position:absolute;left:448;top:5;width:1664;height:2" coordorigin="448,5" coordsize="1664,0" path="m448,5l2111,5e" filled="false" stroked="true" strokeweight=".48pt" strokecolor="#000000">
                <v:path arrowok="t"/>
              </v:shape>
            </v:group>
            <v:group style="position:absolute;left:2134;top:24;width:796;height:2" coordorigin="2134,24" coordsize="796,2">
              <v:shape style="position:absolute;left:2134;top:24;width:796;height:2" coordorigin="2134,24" coordsize="796,0" path="m2134,24l2929,24e" filled="false" stroked="true" strokeweight=".48pt" strokecolor="#000000">
                <v:path arrowok="t"/>
              </v:shape>
            </v:group>
            <v:group style="position:absolute;left:2134;top:5;width:796;height:2" coordorigin="2134,5" coordsize="796,2">
              <v:shape style="position:absolute;left:2134;top:5;width:796;height:2" coordorigin="2134,5" coordsize="796,0" path="m2134,5l2929,5e" filled="false" stroked="true" strokeweight=".48pt" strokecolor="#000000">
                <v:path arrowok="t"/>
              </v:shape>
            </v:group>
            <v:group style="position:absolute;left:2990;top:24;width:404;height:2" coordorigin="2990,24" coordsize="404,2">
              <v:shape style="position:absolute;left:2990;top:24;width:404;height:2" coordorigin="2990,24" coordsize="404,0" path="m2990,24l3394,24e" filled="false" stroked="true" strokeweight=".48pt" strokecolor="#000000">
                <v:path arrowok="t"/>
              </v:shape>
            </v:group>
            <v:group style="position:absolute;left:2990;top:5;width:404;height:2" coordorigin="2990,5" coordsize="404,2">
              <v:shape style="position:absolute;left:2990;top:5;width:404;height:2" coordorigin="2990,5" coordsize="404,0" path="m2990,5l3394,5e" filled="false" stroked="true" strokeweight=".48pt" strokecolor="#000000">
                <v:path arrowok="t"/>
              </v:shape>
            </v:group>
            <v:group style="position:absolute;left:3379;top:5;width:29;height:2" coordorigin="3379,5" coordsize="29,2">
              <v:shape style="position:absolute;left:3379;top:5;width:29;height:2" coordorigin="3379,5" coordsize="29,0" path="m3379,5l3408,5e" filled="false" stroked="true" strokeweight=".48pt" strokecolor="#000000">
                <v:path arrowok="t"/>
              </v:shape>
            </v:group>
            <v:group style="position:absolute;left:3379;top:24;width:1281;height:2" coordorigin="3379,24" coordsize="1281,2">
              <v:shape style="position:absolute;left:3379;top:24;width:1281;height:2" coordorigin="3379,24" coordsize="1281,0" path="m3379,24l4660,24e" filled="false" stroked="true" strokeweight=".48pt" strokecolor="#000000">
                <v:path arrowok="t"/>
              </v:shape>
            </v:group>
            <v:group style="position:absolute;left:3408;top:5;width:1252;height:2" coordorigin="3408,5" coordsize="1252,2">
              <v:shape style="position:absolute;left:3408;top:5;width:1252;height:2" coordorigin="3408,5" coordsize="1252,0" path="m3408,5l4660,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2"/>
        <w:rPr>
          <w:rFonts w:ascii="宋体" w:hAnsi="宋体" w:cs="宋体" w:eastAsia="宋体" w:hint="default"/>
          <w:sz w:val="17"/>
          <w:szCs w:val="17"/>
        </w:rPr>
      </w:pPr>
    </w:p>
    <w:p>
      <w:pPr>
        <w:pStyle w:val="BodyText"/>
        <w:spacing w:line="240" w:lineRule="auto" w:before="26"/>
        <w:ind w:left="634" w:right="0"/>
        <w:jc w:val="left"/>
      </w:pPr>
      <w:r>
        <w:rPr>
          <w:rFonts w:ascii="Times New Roman" w:hAnsi="Times New Roman" w:cs="Times New Roman" w:eastAsia="Times New Roman" w:hint="default"/>
        </w:rPr>
        <w:t>*  </w:t>
      </w:r>
      <w:r>
        <w:rPr/>
        <w:t>本公司单项金额重大的应收账款指单笔金额为 </w:t>
      </w:r>
      <w:r>
        <w:rPr>
          <w:rFonts w:ascii="Times New Roman" w:hAnsi="Times New Roman" w:cs="Times New Roman" w:eastAsia="Times New Roman" w:hint="default"/>
        </w:rPr>
        <w:t>1,000,000.00</w:t>
      </w:r>
      <w:r>
        <w:rPr>
          <w:rFonts w:ascii="Times New Roman" w:hAnsi="Times New Roman" w:cs="Times New Roman" w:eastAsia="Times New Roman" w:hint="default"/>
          <w:spacing w:val="38"/>
        </w:rPr>
        <w:t> </w:t>
      </w:r>
      <w:r>
        <w:rPr/>
        <w:t>人民币元以上的客户应收</w:t>
      </w:r>
    </w:p>
    <w:p>
      <w:pPr>
        <w:spacing w:after="0" w:line="240" w:lineRule="auto"/>
        <w:jc w:val="left"/>
        <w:sectPr>
          <w:pgSz w:w="11910" w:h="16840"/>
          <w:pgMar w:header="877" w:footer="1022" w:top="1100" w:bottom="1220" w:left="980" w:right="980"/>
        </w:sectPr>
      </w:pPr>
    </w:p>
    <w:p>
      <w:pPr>
        <w:spacing w:line="240" w:lineRule="auto" w:before="5"/>
        <w:rPr>
          <w:rFonts w:ascii="宋体" w:hAnsi="宋体" w:cs="宋体" w:eastAsia="宋体" w:hint="default"/>
          <w:sz w:val="29"/>
          <w:szCs w:val="29"/>
        </w:rPr>
      </w:pPr>
    </w:p>
    <w:p>
      <w:pPr>
        <w:pStyle w:val="BodyText"/>
        <w:spacing w:line="240" w:lineRule="auto" w:before="26"/>
        <w:ind w:left="314" w:right="1410"/>
        <w:jc w:val="left"/>
      </w:pPr>
      <w:r>
        <w:rPr/>
        <w:t>账款，经减值测试后不存在减值，公司按账龄计提坏账准备。</w:t>
      </w:r>
    </w:p>
    <w:p>
      <w:pPr>
        <w:spacing w:line="240" w:lineRule="auto" w:before="10"/>
        <w:rPr>
          <w:rFonts w:ascii="宋体" w:hAnsi="宋体" w:cs="宋体" w:eastAsia="宋体" w:hint="default"/>
          <w:sz w:val="21"/>
          <w:szCs w:val="21"/>
        </w:rPr>
      </w:pPr>
    </w:p>
    <w:p>
      <w:pPr>
        <w:pStyle w:val="BodyText"/>
        <w:spacing w:line="319" w:lineRule="auto"/>
        <w:ind w:left="314" w:right="142" w:firstLine="4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3"/>
        </w:rPr>
        <w:t>本公司单项金额不重大但按信用风险特征组合后该组合的风险较大的应收账款，是指</w:t>
      </w:r>
      <w:r>
        <w:rPr/>
        <w:t> 账龄超过三年的应收账款，经减值测试后不存在减值，公司按账龄计提坏账准备。</w:t>
      </w:r>
    </w:p>
    <w:p>
      <w:pPr>
        <w:pStyle w:val="BodyText"/>
        <w:spacing w:line="319" w:lineRule="auto" w:before="205"/>
        <w:ind w:left="313" w:right="142" w:firstLine="480"/>
        <w:jc w:val="left"/>
      </w:pPr>
      <w:r>
        <w:rPr>
          <w:rFonts w:ascii="Times New Roman" w:hAnsi="Times New Roman" w:cs="Times New Roman" w:eastAsia="Times New Roman" w:hint="default"/>
        </w:rPr>
        <w:t>*** </w:t>
      </w:r>
      <w:r>
        <w:rPr/>
        <w:t>本公司单项金额不重大的应收账款指单笔金额为 </w:t>
      </w:r>
      <w:r>
        <w:rPr>
          <w:rFonts w:ascii="Times New Roman" w:hAnsi="Times New Roman" w:cs="Times New Roman" w:eastAsia="Times New Roman" w:hint="default"/>
        </w:rPr>
        <w:t>1,000,000.00</w:t>
      </w:r>
      <w:r>
        <w:rPr>
          <w:rFonts w:ascii="Times New Roman" w:hAnsi="Times New Roman" w:cs="Times New Roman" w:eastAsia="Times New Roman" w:hint="default"/>
          <w:spacing w:val="38"/>
        </w:rPr>
        <w:t> </w:t>
      </w:r>
      <w:r>
        <w:rPr/>
        <w:t>人民币元以下的客户 应收账款。</w:t>
      </w:r>
    </w:p>
    <w:p>
      <w:pPr>
        <w:pStyle w:val="BodyText"/>
        <w:spacing w:line="240" w:lineRule="auto" w:before="77"/>
        <w:ind w:left="793" w:right="303"/>
        <w:jc w:val="left"/>
        <w:rPr>
          <w:rFonts w:ascii="Times New Roman" w:hAnsi="Times New Roman" w:cs="Times New Roman" w:eastAsia="Times New Roman" w:hint="default"/>
        </w:rPr>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本公司及其子公司应收账款前五名金额占应收账款总额的比例列示如下</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4036"/>
        <w:gridCol w:w="785"/>
        <w:gridCol w:w="1491"/>
        <w:gridCol w:w="1282"/>
        <w:gridCol w:w="783"/>
        <w:gridCol w:w="1489"/>
      </w:tblGrid>
      <w:tr>
        <w:trPr>
          <w:trHeight w:val="262" w:hRule="exact"/>
        </w:trPr>
        <w:tc>
          <w:tcPr>
            <w:tcW w:w="4036"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single" w:sz="4" w:space="0" w:color="000000"/>
              <w:right w:val="nil" w:sz="6" w:space="0" w:color="auto"/>
            </w:tcBorders>
          </w:tcPr>
          <w:p>
            <w:pPr/>
          </w:p>
        </w:tc>
        <w:tc>
          <w:tcPr>
            <w:tcW w:w="1491" w:type="dxa"/>
            <w:tcBorders>
              <w:top w:val="nil" w:sz="6" w:space="0" w:color="auto"/>
              <w:left w:val="nil" w:sz="6" w:space="0" w:color="auto"/>
              <w:bottom w:val="single" w:sz="4" w:space="0" w:color="000000"/>
              <w:right w:val="nil" w:sz="6" w:space="0" w:color="auto"/>
            </w:tcBorders>
          </w:tcPr>
          <w:p>
            <w:pPr>
              <w:pStyle w:val="TableParagraph"/>
              <w:spacing w:line="184" w:lineRule="exact"/>
              <w:ind w:left="-34" w:right="0"/>
              <w:jc w:val="left"/>
              <w:rPr>
                <w:rFonts w:ascii="Times New Roman" w:hAnsi="Times New Roman" w:cs="Times New Roman" w:eastAsia="Times New Roman" w:hint="default"/>
                <w:sz w:val="18"/>
                <w:szCs w:val="18"/>
              </w:rPr>
            </w:pPr>
            <w:r>
              <w:rPr>
                <w:rFonts w:ascii="Times New Roman"/>
                <w:spacing w:val="-3"/>
                <w:sz w:val="18"/>
              </w:rPr>
              <w:t>2007.12.31</w:t>
            </w:r>
            <w:r>
              <w:rPr>
                <w:rFonts w:ascii="Times New Roman"/>
                <w:sz w:val="18"/>
              </w:rPr>
            </w:r>
          </w:p>
        </w:tc>
        <w:tc>
          <w:tcPr>
            <w:tcW w:w="128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single" w:sz="4" w:space="0" w:color="000000"/>
              <w:right w:val="nil" w:sz="6" w:space="0" w:color="auto"/>
            </w:tcBorders>
          </w:tcPr>
          <w:p>
            <w:pPr/>
          </w:p>
        </w:tc>
        <w:tc>
          <w:tcPr>
            <w:tcW w:w="1489" w:type="dxa"/>
            <w:tcBorders>
              <w:top w:val="nil" w:sz="6" w:space="0" w:color="auto"/>
              <w:left w:val="nil" w:sz="6" w:space="0" w:color="auto"/>
              <w:bottom w:val="single" w:sz="4" w:space="0" w:color="000000"/>
              <w:right w:val="nil" w:sz="6" w:space="0" w:color="auto"/>
            </w:tcBorders>
          </w:tcPr>
          <w:p>
            <w:pPr>
              <w:pStyle w:val="TableParagraph"/>
              <w:spacing w:line="184" w:lineRule="exact"/>
              <w:ind w:left="-34" w:right="0"/>
              <w:jc w:val="left"/>
              <w:rPr>
                <w:rFonts w:ascii="Times New Roman" w:hAnsi="Times New Roman" w:cs="Times New Roman" w:eastAsia="Times New Roman" w:hint="default"/>
                <w:sz w:val="18"/>
                <w:szCs w:val="18"/>
              </w:rPr>
            </w:pPr>
            <w:r>
              <w:rPr>
                <w:rFonts w:ascii="Times New Roman"/>
                <w:spacing w:val="-3"/>
                <w:sz w:val="18"/>
              </w:rPr>
              <w:t>2006.12.31</w:t>
            </w:r>
            <w:r>
              <w:rPr>
                <w:rFonts w:ascii="Times New Roman"/>
                <w:sz w:val="18"/>
              </w:rPr>
            </w:r>
          </w:p>
        </w:tc>
      </w:tr>
      <w:tr>
        <w:trPr>
          <w:trHeight w:val="354"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宋体" w:hAnsi="宋体" w:cs="宋体" w:eastAsia="宋体" w:hint="default"/>
                <w:sz w:val="18"/>
                <w:szCs w:val="18"/>
              </w:rPr>
            </w:pPr>
            <w:r>
              <w:rPr>
                <w:rFonts w:ascii="宋体" w:hAnsi="宋体" w:cs="宋体" w:eastAsia="宋体" w:hint="default"/>
                <w:spacing w:val="-4"/>
                <w:sz w:val="18"/>
                <w:szCs w:val="18"/>
              </w:rPr>
              <w:t>应收账款前五名合计金额</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7"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6"/>
              <w:jc w:val="right"/>
              <w:rPr>
                <w:rFonts w:ascii="Times New Roman" w:hAnsi="Times New Roman" w:cs="Times New Roman" w:eastAsia="Times New Roman" w:hint="default"/>
                <w:sz w:val="18"/>
                <w:szCs w:val="18"/>
              </w:rPr>
            </w:pPr>
            <w:r>
              <w:rPr>
                <w:rFonts w:ascii="Times New Roman"/>
                <w:spacing w:val="-3"/>
                <w:sz w:val="18"/>
              </w:rPr>
              <w:t>35,298,607.23</w:t>
            </w:r>
          </w:p>
        </w:tc>
        <w:tc>
          <w:tcPr>
            <w:tcW w:w="1282" w:type="dxa"/>
            <w:tcBorders>
              <w:top w:val="nil" w:sz="6" w:space="0" w:color="auto"/>
              <w:left w:val="nil" w:sz="6" w:space="0" w:color="auto"/>
              <w:bottom w:val="nil" w:sz="6" w:space="0" w:color="auto"/>
              <w:right w:val="nil" w:sz="6" w:space="0" w:color="auto"/>
            </w:tcBorders>
          </w:tcPr>
          <w:p>
            <w:pPr/>
          </w:p>
        </w:tc>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7"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6"/>
              <w:jc w:val="right"/>
              <w:rPr>
                <w:rFonts w:ascii="Times New Roman" w:hAnsi="Times New Roman" w:cs="Times New Roman" w:eastAsia="Times New Roman" w:hint="default"/>
                <w:sz w:val="18"/>
                <w:szCs w:val="18"/>
              </w:rPr>
            </w:pPr>
            <w:r>
              <w:rPr>
                <w:rFonts w:ascii="Times New Roman"/>
                <w:spacing w:val="-3"/>
                <w:sz w:val="18"/>
              </w:rPr>
              <w:t>25,733,122.63</w:t>
            </w:r>
          </w:p>
        </w:tc>
      </w:tr>
      <w:tr>
        <w:trPr>
          <w:trHeight w:val="34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00" w:right="0"/>
              <w:jc w:val="left"/>
              <w:rPr>
                <w:rFonts w:ascii="宋体" w:hAnsi="宋体" w:cs="宋体" w:eastAsia="宋体" w:hint="default"/>
                <w:sz w:val="18"/>
                <w:szCs w:val="18"/>
              </w:rPr>
            </w:pPr>
            <w:r>
              <w:rPr>
                <w:rFonts w:ascii="宋体" w:hAnsi="宋体" w:cs="宋体" w:eastAsia="宋体" w:hint="default"/>
                <w:spacing w:val="-5"/>
                <w:sz w:val="18"/>
                <w:szCs w:val="18"/>
              </w:rPr>
              <w:t>应收账款总金额</w:t>
            </w:r>
            <w:r>
              <w:rPr>
                <w:rFonts w:ascii="宋体" w:hAnsi="宋体" w:cs="宋体" w:eastAsia="宋体" w:hint="default"/>
                <w:sz w:val="18"/>
                <w:szCs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
              <w:jc w:val="right"/>
              <w:rPr>
                <w:rFonts w:ascii="Times New Roman" w:hAnsi="Times New Roman" w:cs="Times New Roman" w:eastAsia="Times New Roman" w:hint="default"/>
                <w:sz w:val="18"/>
                <w:szCs w:val="18"/>
              </w:rPr>
            </w:pPr>
            <w:r>
              <w:rPr>
                <w:rFonts w:ascii="Times New Roman"/>
                <w:spacing w:val="-3"/>
                <w:sz w:val="18"/>
              </w:rPr>
              <w:t>216,471,064.50</w:t>
            </w:r>
            <w:r>
              <w:rPr>
                <w:rFonts w:ascii="Times New Roman"/>
                <w:sz w:val="18"/>
              </w:rPr>
            </w:r>
          </w:p>
        </w:tc>
        <w:tc>
          <w:tcPr>
            <w:tcW w:w="128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
              <w:jc w:val="right"/>
              <w:rPr>
                <w:rFonts w:ascii="Times New Roman" w:hAnsi="Times New Roman" w:cs="Times New Roman" w:eastAsia="Times New Roman" w:hint="default"/>
                <w:sz w:val="18"/>
                <w:szCs w:val="18"/>
              </w:rPr>
            </w:pPr>
            <w:r>
              <w:rPr>
                <w:rFonts w:ascii="Times New Roman"/>
                <w:spacing w:val="-3"/>
                <w:sz w:val="18"/>
              </w:rPr>
              <w:t>105,775,938.65</w:t>
            </w:r>
            <w:r>
              <w:rPr>
                <w:rFonts w:ascii="Times New Roman"/>
                <w:sz w:val="18"/>
              </w:rPr>
            </w:r>
          </w:p>
        </w:tc>
      </w:tr>
      <w:tr>
        <w:trPr>
          <w:trHeight w:val="26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785"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pacing w:val="-3"/>
                <w:sz w:val="18"/>
              </w:rPr>
              <w:t>16.31%</w:t>
            </w:r>
            <w:r>
              <w:rPr>
                <w:rFonts w:ascii="Times New Roman"/>
                <w:sz w:val="18"/>
              </w:rPr>
            </w:r>
          </w:p>
        </w:tc>
        <w:tc>
          <w:tcPr>
            <w:tcW w:w="128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pacing w:val="-3"/>
                <w:sz w:val="18"/>
              </w:rPr>
              <w:t>24.33%</w:t>
            </w:r>
            <w:r>
              <w:rPr>
                <w:rFonts w:ascii="Times New Roman"/>
                <w:sz w:val="18"/>
              </w:rPr>
            </w:r>
          </w:p>
        </w:tc>
      </w:tr>
    </w:tbl>
    <w:p>
      <w:pPr>
        <w:spacing w:line="240" w:lineRule="auto" w:before="3"/>
        <w:rPr>
          <w:rFonts w:ascii="Times New Roman" w:hAnsi="Times New Roman" w:cs="Times New Roman" w:eastAsia="Times New Roman" w:hint="default"/>
          <w:sz w:val="19"/>
          <w:szCs w:val="19"/>
        </w:rPr>
      </w:pPr>
    </w:p>
    <w:p>
      <w:pPr>
        <w:pStyle w:val="BodyText"/>
        <w:spacing w:line="288" w:lineRule="auto" w:before="26"/>
        <w:ind w:left="314" w:right="180" w:firstLine="4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spacing w:val="8"/>
        </w:rPr>
        <w:t>期末应收账款增加较大的主要原因系由于本公司主导产品市场需求增长，导致销</w:t>
      </w:r>
      <w:r>
        <w:rPr>
          <w:spacing w:val="9"/>
          <w:w w:val="99"/>
        </w:rPr>
        <w:t> </w:t>
      </w:r>
      <w:r>
        <w:rPr>
          <w:spacing w:val="8"/>
        </w:rPr>
        <w:t>售收入增长所致。</w:t>
      </w:r>
      <w:r>
        <w:rPr/>
      </w:r>
    </w:p>
    <w:p>
      <w:pPr>
        <w:pStyle w:val="BodyText"/>
        <w:spacing w:line="240" w:lineRule="auto" w:before="138"/>
        <w:ind w:left="809" w:right="1410"/>
        <w:jc w:val="left"/>
      </w:pPr>
      <w:r>
        <w:rPr>
          <w:rFonts w:ascii="Times New Roman" w:hAnsi="Times New Roman" w:cs="Times New Roman" w:eastAsia="Times New Roman" w:hint="default"/>
        </w:rPr>
        <w:t>(5)  </w:t>
      </w:r>
      <w:r>
        <w:rPr>
          <w:spacing w:val="6"/>
        </w:rPr>
        <w:t>应收账款中无持有本公司 </w:t>
      </w:r>
      <w:r>
        <w:rPr>
          <w:rFonts w:ascii="Times New Roman" w:hAnsi="Times New Roman" w:cs="Times New Roman" w:eastAsia="Times New Roman" w:hint="default"/>
          <w:spacing w:val="3"/>
        </w:rPr>
        <w:t>5%(</w:t>
      </w:r>
      <w:r>
        <w:rPr>
          <w:spacing w:val="3"/>
        </w:rPr>
        <w:t>含</w:t>
      </w:r>
      <w:r>
        <w:rPr>
          <w:spacing w:val="-84"/>
        </w:rPr>
        <w:t> </w:t>
      </w:r>
      <w:r>
        <w:rPr>
          <w:rFonts w:ascii="Times New Roman" w:hAnsi="Times New Roman" w:cs="Times New Roman" w:eastAsia="Times New Roman" w:hint="default"/>
          <w:spacing w:val="7"/>
        </w:rPr>
        <w:t>5%)</w:t>
      </w:r>
      <w:r>
        <w:rPr>
          <w:spacing w:val="7"/>
        </w:rPr>
        <w:t>以上股份的股东单位的欠款。</w:t>
      </w:r>
      <w:r>
        <w:rPr/>
      </w:r>
    </w:p>
    <w:p>
      <w:pPr>
        <w:pStyle w:val="Heading4"/>
        <w:spacing w:line="240" w:lineRule="auto" w:before="206"/>
        <w:ind w:left="812" w:right="141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1"/>
        </w:rPr>
        <w:t> </w:t>
      </w:r>
      <w:r>
        <w:rPr>
          <w:spacing w:val="9"/>
        </w:rPr>
        <w:t>预付款项</w:t>
      </w:r>
      <w:r>
        <w:rPr>
          <w:b w:val="0"/>
          <w:bCs w:val="0"/>
        </w:rPr>
      </w:r>
    </w:p>
    <w:p>
      <w:pPr>
        <w:pStyle w:val="BodyText"/>
        <w:spacing w:line="240" w:lineRule="auto" w:before="179"/>
        <w:ind w:left="809" w:right="141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预付款项的账龄分析列示如下：</w:t>
      </w:r>
      <w:r>
        <w:rPr/>
      </w:r>
    </w:p>
    <w:p>
      <w:pPr>
        <w:spacing w:line="240" w:lineRule="auto" w:before="1"/>
        <w:rPr>
          <w:rFonts w:ascii="宋体" w:hAnsi="宋体" w:cs="宋体" w:eastAsia="宋体" w:hint="default"/>
          <w:sz w:val="10"/>
          <w:szCs w:val="10"/>
        </w:rPr>
      </w:pPr>
    </w:p>
    <w:p>
      <w:pPr>
        <w:spacing w:line="187" w:lineRule="exact" w:before="76"/>
        <w:ind w:left="0" w:right="1727" w:firstLine="0"/>
        <w:jc w:val="right"/>
        <w:rPr>
          <w:rFonts w:ascii="Times New Roman" w:hAnsi="Times New Roman" w:cs="Times New Roman" w:eastAsia="Times New Roman" w:hint="default"/>
          <w:sz w:val="18"/>
          <w:szCs w:val="18"/>
        </w:rPr>
      </w:pPr>
      <w:r>
        <w:rPr/>
        <w:pict>
          <v:shape style="position:absolute;margin-left:56.700001pt;margin-top:4.960291pt;width:481.95pt;height:136.8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2"/>
                    <w:gridCol w:w="241"/>
                    <w:gridCol w:w="2695"/>
                    <w:gridCol w:w="1077"/>
                    <w:gridCol w:w="266"/>
                    <w:gridCol w:w="1896"/>
                    <w:gridCol w:w="269"/>
                    <w:gridCol w:w="1613"/>
                  </w:tblGrid>
                  <w:tr>
                    <w:trPr>
                      <w:trHeight w:val="289" w:hRule="exact"/>
                    </w:trPr>
                    <w:tc>
                      <w:tcPr>
                        <w:tcW w:w="1582"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184" w:lineRule="exact"/>
                          <w:ind w:left="1497" w:right="0"/>
                          <w:jc w:val="left"/>
                          <w:rPr>
                            <w:rFonts w:ascii="Times New Roman" w:hAnsi="Times New Roman" w:cs="Times New Roman" w:eastAsia="Times New Roman" w:hint="default"/>
                            <w:sz w:val="18"/>
                            <w:szCs w:val="18"/>
                          </w:rPr>
                        </w:pPr>
                        <w:r>
                          <w:rPr>
                            <w:rFonts w:ascii="Times New Roman"/>
                            <w:spacing w:val="-3"/>
                            <w:sz w:val="18"/>
                          </w:rPr>
                          <w:t>2007.12.31</w:t>
                        </w:r>
                        <w:r>
                          <w:rPr>
                            <w:rFonts w:ascii="Times New Roman"/>
                            <w:sz w:val="18"/>
                          </w:rPr>
                        </w:r>
                      </w:p>
                    </w:tc>
                    <w:tc>
                      <w:tcPr>
                        <w:tcW w:w="107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Times New Roman" w:hAnsi="Times New Roman" w:cs="Times New Roman" w:eastAsia="Times New Roman" w:hint="default"/>
                            <w:sz w:val="18"/>
                            <w:szCs w:val="18"/>
                          </w:rPr>
                        </w:pPr>
                        <w:r>
                          <w:rPr>
                            <w:rFonts w:ascii="Times New Roman"/>
                            <w:spacing w:val="-3"/>
                            <w:sz w:val="18"/>
                          </w:rPr>
                          <w:t>2006.</w:t>
                        </w:r>
                        <w:r>
                          <w:rPr>
                            <w:rFonts w:ascii="Times New Roman"/>
                            <w:sz w:val="18"/>
                          </w:rPr>
                        </w:r>
                      </w:p>
                    </w:tc>
                    <w:tc>
                      <w:tcPr>
                        <w:tcW w:w="269" w:type="dxa"/>
                        <w:tcBorders>
                          <w:top w:val="nil" w:sz="6" w:space="0" w:color="auto"/>
                          <w:left w:val="nil" w:sz="6" w:space="0" w:color="auto"/>
                          <w:bottom w:val="nil" w:sz="6" w:space="0" w:color="auto"/>
                          <w:right w:val="nil" w:sz="6" w:space="0" w:color="auto"/>
                        </w:tcBorders>
                      </w:tcPr>
                      <w:p>
                        <w:pPr>
                          <w:pStyle w:val="TableParagraph"/>
                          <w:spacing w:line="184" w:lineRule="exact"/>
                          <w:ind w:left="-3" w:right="0"/>
                          <w:jc w:val="left"/>
                          <w:rPr>
                            <w:rFonts w:ascii="Times New Roman" w:hAnsi="Times New Roman" w:cs="Times New Roman" w:eastAsia="Times New Roman" w:hint="default"/>
                            <w:sz w:val="18"/>
                            <w:szCs w:val="18"/>
                          </w:rPr>
                        </w:pPr>
                        <w:r>
                          <w:rPr>
                            <w:rFonts w:ascii="Times New Roman"/>
                            <w:spacing w:val="-3"/>
                            <w:sz w:val="18"/>
                          </w:rPr>
                          <w:t>12.</w:t>
                        </w:r>
                        <w:r>
                          <w:rPr>
                            <w:rFonts w:ascii="Times New Roman"/>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Times New Roman" w:hAnsi="Times New Roman" w:cs="Times New Roman" w:eastAsia="Times New Roman" w:hint="default"/>
                            <w:sz w:val="18"/>
                            <w:szCs w:val="18"/>
                          </w:rPr>
                        </w:pPr>
                        <w:r>
                          <w:rPr>
                            <w:rFonts w:ascii="Times New Roman"/>
                            <w:spacing w:val="-3"/>
                            <w:sz w:val="18"/>
                          </w:rPr>
                          <w:t>1</w:t>
                        </w:r>
                        <w:r>
                          <w:rPr>
                            <w:rFonts w:ascii="Times New Roman"/>
                            <w:sz w:val="18"/>
                          </w:rPr>
                        </w:r>
                      </w:p>
                    </w:tc>
                  </w:tr>
                  <w:tr>
                    <w:trPr>
                      <w:trHeight w:val="412" w:hRule="exact"/>
                    </w:trPr>
                    <w:tc>
                      <w:tcPr>
                        <w:tcW w:w="1582" w:type="dxa"/>
                        <w:tcBorders>
                          <w:top w:val="nil" w:sz="6" w:space="0" w:color="auto"/>
                          <w:left w:val="nil" w:sz="6" w:space="0" w:color="auto"/>
                          <w:bottom w:val="single" w:sz="4" w:space="0" w:color="000000"/>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68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7"/>
                            <w:sz w:val="18"/>
                            <w:szCs w:val="18"/>
                          </w:rPr>
                          <w:t> </w:t>
                        </w:r>
                        <w:r>
                          <w:rPr>
                            <w:rFonts w:ascii="宋体" w:hAnsi="宋体" w:cs="宋体" w:eastAsia="宋体" w:hint="default"/>
                            <w:sz w:val="18"/>
                            <w:szCs w:val="18"/>
                          </w:rPr>
                          <w:t>额</w:t>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6" w:space="0" w:color="000000"/>
                          <w:right w:val="nil" w:sz="6" w:space="0" w:color="auto"/>
                        </w:tcBorders>
                      </w:tcPr>
                      <w:p>
                        <w:pPr>
                          <w:pStyle w:val="TableParagraph"/>
                          <w:spacing w:line="240" w:lineRule="auto" w:before="61"/>
                          <w:ind w:left="21"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7"/>
                            <w:sz w:val="18"/>
                            <w:szCs w:val="18"/>
                          </w:rPr>
                          <w:t> </w:t>
                        </w:r>
                        <w:r>
                          <w:rPr>
                            <w:rFonts w:ascii="宋体" w:hAnsi="宋体" w:cs="宋体" w:eastAsia="宋体" w:hint="default"/>
                            <w:sz w:val="18"/>
                            <w:szCs w:val="18"/>
                          </w:rPr>
                          <w:t>额</w:t>
                        </w:r>
                      </w:p>
                    </w:tc>
                    <w:tc>
                      <w:tcPr>
                        <w:tcW w:w="269" w:type="dxa"/>
                        <w:tcBorders>
                          <w:top w:val="nil" w:sz="6" w:space="0" w:color="auto"/>
                          <w:left w:val="nil" w:sz="6" w:space="0" w:color="auto"/>
                          <w:bottom w:val="single" w:sz="6" w:space="0" w:color="000000"/>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8" w:right="0"/>
                          <w:jc w:val="center"/>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r>
                  <w:tr>
                    <w:trPr>
                      <w:trHeight w:val="410" w:hRule="exact"/>
                    </w:trPr>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8"/>
                            <w:szCs w:val="18"/>
                          </w:rPr>
                        </w:pPr>
                        <w:r>
                          <w:rPr>
                            <w:rFonts w:ascii="宋体" w:hAnsi="宋体" w:cs="宋体" w:eastAsia="宋体" w:hint="default"/>
                            <w:spacing w:val="-5"/>
                            <w:sz w:val="18"/>
                            <w:szCs w:val="18"/>
                          </w:rPr>
                          <w:t>一年以内</w:t>
                        </w:r>
                        <w:r>
                          <w:rPr>
                            <w:rFonts w:ascii="宋体" w:hAnsi="宋体" w:cs="宋体" w:eastAsia="宋体" w:hint="default"/>
                            <w:sz w:val="18"/>
                            <w:szCs w:val="18"/>
                          </w:rPr>
                        </w: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265" w:right="0"/>
                          <w:jc w:val="left"/>
                          <w:rPr>
                            <w:rFonts w:ascii="Times New Roman" w:hAnsi="Times New Roman" w:cs="Times New Roman" w:eastAsia="Times New Roman" w:hint="default"/>
                            <w:sz w:val="18"/>
                            <w:szCs w:val="18"/>
                          </w:rPr>
                        </w:pPr>
                        <w:r>
                          <w:rPr>
                            <w:rFonts w:ascii="Times New Roman"/>
                            <w:sz w:val="18"/>
                          </w:rPr>
                          <w:t>RMB  </w:t>
                        </w:r>
                        <w:r>
                          <w:rPr>
                            <w:rFonts w:ascii="Times New Roman"/>
                            <w:spacing w:val="32"/>
                            <w:sz w:val="18"/>
                          </w:rPr>
                          <w:t> </w:t>
                        </w:r>
                        <w:r>
                          <w:rPr>
                            <w:rFonts w:ascii="Times New Roman"/>
                            <w:spacing w:val="-3"/>
                            <w:sz w:val="18"/>
                          </w:rPr>
                          <w:t>44,305,782.34</w:t>
                        </w:r>
                        <w:r>
                          <w:rPr>
                            <w:rFonts w:ascii="Times New Roman"/>
                            <w:sz w:val="18"/>
                          </w:rPr>
                        </w: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36"/>
                          <w:jc w:val="right"/>
                          <w:rPr>
                            <w:rFonts w:ascii="Times New Roman" w:hAnsi="Times New Roman" w:cs="Times New Roman" w:eastAsia="Times New Roman" w:hint="default"/>
                            <w:sz w:val="18"/>
                            <w:szCs w:val="18"/>
                          </w:rPr>
                        </w:pPr>
                        <w:r>
                          <w:rPr>
                            <w:rFonts w:ascii="Times New Roman"/>
                            <w:spacing w:val="-3"/>
                            <w:sz w:val="18"/>
                          </w:rPr>
                          <w:t>98.30%</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z w:val="18"/>
                          </w:rPr>
                          <w:t>RMB  </w:t>
                        </w:r>
                        <w:r>
                          <w:rPr>
                            <w:rFonts w:ascii="Times New Roman"/>
                            <w:spacing w:val="32"/>
                            <w:sz w:val="18"/>
                          </w:rPr>
                          <w:t> </w:t>
                        </w:r>
                        <w:r>
                          <w:rPr>
                            <w:rFonts w:ascii="Times New Roman"/>
                            <w:spacing w:val="-3"/>
                            <w:sz w:val="18"/>
                          </w:rPr>
                          <w:t>15,542,698.87</w:t>
                        </w:r>
                        <w:r>
                          <w:rPr>
                            <w:rFonts w:ascii="Times New Roman"/>
                            <w:sz w:val="18"/>
                          </w:rPr>
                        </w:r>
                      </w:p>
                    </w:tc>
                    <w:tc>
                      <w:tcPr>
                        <w:tcW w:w="269" w:type="dxa"/>
                        <w:tcBorders>
                          <w:top w:val="single" w:sz="6"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42"/>
                          <w:jc w:val="right"/>
                          <w:rPr>
                            <w:rFonts w:ascii="Times New Roman" w:hAnsi="Times New Roman" w:cs="Times New Roman" w:eastAsia="Times New Roman" w:hint="default"/>
                            <w:sz w:val="18"/>
                            <w:szCs w:val="18"/>
                          </w:rPr>
                        </w:pPr>
                        <w:r>
                          <w:rPr>
                            <w:rFonts w:ascii="Times New Roman"/>
                            <w:spacing w:val="-3"/>
                            <w:sz w:val="18"/>
                          </w:rPr>
                          <w:t>75.50%</w:t>
                        </w:r>
                        <w:r>
                          <w:rPr>
                            <w:rFonts w:ascii="Times New Roman"/>
                            <w:sz w:val="18"/>
                          </w:rPr>
                        </w:r>
                      </w:p>
                    </w:tc>
                  </w:tr>
                  <w:tr>
                    <w:trPr>
                      <w:trHeight w:val="397"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pacing w:val="-5"/>
                            <w:sz w:val="18"/>
                            <w:szCs w:val="18"/>
                          </w:rPr>
                          <w:t>一至二年</w:t>
                        </w:r>
                        <w:r>
                          <w:rPr>
                            <w:rFonts w:ascii="宋体" w:hAnsi="宋体" w:cs="宋体" w:eastAsia="宋体" w:hint="default"/>
                            <w:sz w:val="18"/>
                            <w:szCs w:val="18"/>
                          </w:rPr>
                        </w: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50" w:right="0"/>
                          <w:jc w:val="left"/>
                          <w:rPr>
                            <w:rFonts w:ascii="Times New Roman" w:hAnsi="Times New Roman" w:cs="Times New Roman" w:eastAsia="Times New Roman" w:hint="default"/>
                            <w:sz w:val="18"/>
                            <w:szCs w:val="18"/>
                          </w:rPr>
                        </w:pPr>
                        <w:r>
                          <w:rPr>
                            <w:rFonts w:ascii="Times New Roman"/>
                            <w:spacing w:val="-3"/>
                            <w:sz w:val="18"/>
                          </w:rPr>
                          <w:t>154,077.16</w:t>
                        </w:r>
                        <w:r>
                          <w:rPr>
                            <w:rFonts w:ascii="Times New Roman"/>
                            <w:sz w:val="18"/>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6"/>
                          <w:jc w:val="right"/>
                          <w:rPr>
                            <w:rFonts w:ascii="Times New Roman" w:hAnsi="Times New Roman" w:cs="Times New Roman" w:eastAsia="Times New Roman" w:hint="default"/>
                            <w:sz w:val="18"/>
                            <w:szCs w:val="18"/>
                          </w:rPr>
                        </w:pPr>
                        <w:r>
                          <w:rPr>
                            <w:rFonts w:ascii="Times New Roman"/>
                            <w:spacing w:val="-3"/>
                            <w:sz w:val="18"/>
                          </w:rPr>
                          <w:t>0.34%</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
                          <w:jc w:val="right"/>
                          <w:rPr>
                            <w:rFonts w:ascii="Times New Roman" w:hAnsi="Times New Roman" w:cs="Times New Roman" w:eastAsia="Times New Roman" w:hint="default"/>
                            <w:sz w:val="18"/>
                            <w:szCs w:val="18"/>
                          </w:rPr>
                        </w:pPr>
                        <w:r>
                          <w:rPr>
                            <w:rFonts w:ascii="Times New Roman"/>
                            <w:spacing w:val="-3"/>
                            <w:sz w:val="18"/>
                          </w:rPr>
                          <w:t>4,587,309.88</w:t>
                        </w:r>
                        <w:r>
                          <w:rPr>
                            <w:rFonts w:ascii="Times New Roman"/>
                            <w:sz w:val="18"/>
                          </w:rPr>
                        </w:r>
                      </w:p>
                    </w:tc>
                    <w:tc>
                      <w:tcPr>
                        <w:tcW w:w="269"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
                          <w:jc w:val="right"/>
                          <w:rPr>
                            <w:rFonts w:ascii="Times New Roman" w:hAnsi="Times New Roman" w:cs="Times New Roman" w:eastAsia="Times New Roman" w:hint="default"/>
                            <w:sz w:val="18"/>
                            <w:szCs w:val="18"/>
                          </w:rPr>
                        </w:pPr>
                        <w:r>
                          <w:rPr>
                            <w:rFonts w:ascii="Times New Roman"/>
                            <w:spacing w:val="-3"/>
                            <w:sz w:val="18"/>
                          </w:rPr>
                          <w:t>22.29%</w:t>
                        </w:r>
                        <w:r>
                          <w:rPr>
                            <w:rFonts w:ascii="Times New Roman"/>
                            <w:sz w:val="18"/>
                          </w:rPr>
                        </w:r>
                      </w:p>
                    </w:tc>
                  </w:tr>
                  <w:tr>
                    <w:trPr>
                      <w:trHeight w:val="397"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pacing w:val="-5"/>
                            <w:sz w:val="18"/>
                            <w:szCs w:val="18"/>
                          </w:rPr>
                          <w:t>二至三年</w:t>
                        </w:r>
                        <w:r>
                          <w:rPr>
                            <w:rFonts w:ascii="宋体" w:hAnsi="宋体" w:cs="宋体" w:eastAsia="宋体" w:hint="default"/>
                            <w:sz w:val="18"/>
                            <w:szCs w:val="18"/>
                          </w:rPr>
                        </w: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50" w:right="0"/>
                          <w:jc w:val="left"/>
                          <w:rPr>
                            <w:rFonts w:ascii="Times New Roman" w:hAnsi="Times New Roman" w:cs="Times New Roman" w:eastAsia="Times New Roman" w:hint="default"/>
                            <w:sz w:val="18"/>
                            <w:szCs w:val="18"/>
                          </w:rPr>
                        </w:pPr>
                        <w:r>
                          <w:rPr>
                            <w:rFonts w:ascii="Times New Roman"/>
                            <w:spacing w:val="-3"/>
                            <w:sz w:val="18"/>
                          </w:rPr>
                          <w:t>251,231.50</w:t>
                        </w:r>
                        <w:r>
                          <w:rPr>
                            <w:rFonts w:ascii="Times New Roman"/>
                            <w:sz w:val="18"/>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6"/>
                          <w:jc w:val="right"/>
                          <w:rPr>
                            <w:rFonts w:ascii="Times New Roman" w:hAnsi="Times New Roman" w:cs="Times New Roman" w:eastAsia="Times New Roman" w:hint="default"/>
                            <w:sz w:val="18"/>
                            <w:szCs w:val="18"/>
                          </w:rPr>
                        </w:pPr>
                        <w:r>
                          <w:rPr>
                            <w:rFonts w:ascii="Times New Roman"/>
                            <w:spacing w:val="-3"/>
                            <w:sz w:val="18"/>
                          </w:rPr>
                          <w:t>0.56%</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
                          <w:jc w:val="right"/>
                          <w:rPr>
                            <w:rFonts w:ascii="Times New Roman" w:hAnsi="Times New Roman" w:cs="Times New Roman" w:eastAsia="Times New Roman" w:hint="default"/>
                            <w:sz w:val="18"/>
                            <w:szCs w:val="18"/>
                          </w:rPr>
                        </w:pPr>
                        <w:r>
                          <w:rPr>
                            <w:rFonts w:ascii="Times New Roman"/>
                            <w:spacing w:val="-3"/>
                            <w:sz w:val="18"/>
                          </w:rPr>
                          <w:t>455,421.00</w:t>
                        </w:r>
                        <w:r>
                          <w:rPr>
                            <w:rFonts w:ascii="Times New Roman"/>
                            <w:sz w:val="18"/>
                          </w:rPr>
                        </w:r>
                      </w:p>
                    </w:tc>
                    <w:tc>
                      <w:tcPr>
                        <w:tcW w:w="269"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
                          <w:jc w:val="right"/>
                          <w:rPr>
                            <w:rFonts w:ascii="Times New Roman" w:hAnsi="Times New Roman" w:cs="Times New Roman" w:eastAsia="Times New Roman" w:hint="default"/>
                            <w:sz w:val="18"/>
                            <w:szCs w:val="18"/>
                          </w:rPr>
                        </w:pPr>
                        <w:r>
                          <w:rPr>
                            <w:rFonts w:ascii="Times New Roman"/>
                            <w:spacing w:val="-3"/>
                            <w:sz w:val="18"/>
                          </w:rPr>
                          <w:t>2.21%</w:t>
                        </w:r>
                        <w:r>
                          <w:rPr>
                            <w:rFonts w:ascii="Times New Roman"/>
                            <w:sz w:val="18"/>
                          </w:rPr>
                        </w:r>
                      </w:p>
                    </w:tc>
                  </w:tr>
                  <w:tr>
                    <w:trPr>
                      <w:trHeight w:val="397"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pacing w:val="-5"/>
                            <w:sz w:val="18"/>
                            <w:szCs w:val="18"/>
                          </w:rPr>
                          <w:t>三年以上</w:t>
                        </w:r>
                        <w:r>
                          <w:rPr>
                            <w:rFonts w:ascii="宋体" w:hAnsi="宋体" w:cs="宋体" w:eastAsia="宋体" w:hint="default"/>
                            <w:sz w:val="18"/>
                            <w:szCs w:val="18"/>
                          </w:rPr>
                        </w: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1050" w:right="0"/>
                          <w:jc w:val="left"/>
                          <w:rPr>
                            <w:rFonts w:ascii="Times New Roman" w:hAnsi="Times New Roman" w:cs="Times New Roman" w:eastAsia="Times New Roman" w:hint="default"/>
                            <w:sz w:val="18"/>
                            <w:szCs w:val="18"/>
                          </w:rPr>
                        </w:pPr>
                        <w:r>
                          <w:rPr>
                            <w:rFonts w:ascii="Times New Roman"/>
                            <w:spacing w:val="-3"/>
                            <w:sz w:val="18"/>
                          </w:rPr>
                          <w:t>360,900.00</w:t>
                        </w:r>
                        <w:r>
                          <w:rPr>
                            <w:rFonts w:ascii="Times New Roman"/>
                            <w:sz w:val="18"/>
                          </w:rPr>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36"/>
                          <w:jc w:val="right"/>
                          <w:rPr>
                            <w:rFonts w:ascii="Times New Roman" w:hAnsi="Times New Roman" w:cs="Times New Roman" w:eastAsia="Times New Roman" w:hint="default"/>
                            <w:sz w:val="18"/>
                            <w:szCs w:val="18"/>
                          </w:rPr>
                        </w:pPr>
                        <w:r>
                          <w:rPr>
                            <w:rFonts w:ascii="Times New Roman"/>
                            <w:spacing w:val="-3"/>
                            <w:sz w:val="18"/>
                          </w:rPr>
                          <w:t>0.80%</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9" w:hRule="exact"/>
                    </w:trPr>
                    <w:tc>
                      <w:tcPr>
                        <w:tcW w:w="1582"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26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left="260" w:right="0"/>
                          <w:jc w:val="left"/>
                          <w:rPr>
                            <w:rFonts w:ascii="宋体" w:hAnsi="宋体" w:cs="宋体" w:eastAsia="宋体" w:hint="default"/>
                            <w:sz w:val="18"/>
                            <w:szCs w:val="18"/>
                          </w:rPr>
                        </w:pPr>
                        <w:r>
                          <w:rPr>
                            <w:rFonts w:ascii="宋体"/>
                            <w:sz w:val="18"/>
                          </w:rPr>
                          <w:t>RMB</w:t>
                        </w:r>
                        <w:r>
                          <w:rPr>
                            <w:rFonts w:ascii="宋体"/>
                            <w:spacing w:val="77"/>
                            <w:sz w:val="18"/>
                          </w:rPr>
                          <w:t> </w:t>
                        </w:r>
                        <w:r>
                          <w:rPr>
                            <w:rFonts w:ascii="宋体"/>
                            <w:spacing w:val="-3"/>
                            <w:sz w:val="18"/>
                          </w:rPr>
                          <w:t>45,071,991.00</w:t>
                        </w:r>
                        <w:r>
                          <w:rPr>
                            <w:rFonts w:ascii="宋体"/>
                            <w:sz w:val="18"/>
                          </w:rPr>
                        </w:r>
                      </w:p>
                    </w:tc>
                    <w:tc>
                      <w:tcPr>
                        <w:tcW w:w="107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3"/>
                            <w:sz w:val="18"/>
                          </w:rPr>
                          <w:t>100.00%</w:t>
                        </w:r>
                      </w:p>
                    </w:tc>
                    <w:tc>
                      <w:tcPr>
                        <w:tcW w:w="266"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34"/>
                          <w:jc w:val="right"/>
                          <w:rPr>
                            <w:rFonts w:ascii="宋体" w:hAnsi="宋体" w:cs="宋体" w:eastAsia="宋体" w:hint="default"/>
                            <w:sz w:val="18"/>
                            <w:szCs w:val="18"/>
                          </w:rPr>
                        </w:pPr>
                        <w:r>
                          <w:rPr>
                            <w:rFonts w:ascii="宋体"/>
                            <w:sz w:val="18"/>
                          </w:rPr>
                          <w:t>RMB</w:t>
                        </w:r>
                        <w:r>
                          <w:rPr>
                            <w:rFonts w:ascii="宋体"/>
                            <w:spacing w:val="77"/>
                            <w:sz w:val="18"/>
                          </w:rPr>
                          <w:t> </w:t>
                        </w:r>
                        <w:r>
                          <w:rPr>
                            <w:rFonts w:ascii="宋体"/>
                            <w:spacing w:val="-3"/>
                            <w:sz w:val="18"/>
                          </w:rPr>
                          <w:t>20,585,429.75</w:t>
                        </w:r>
                        <w:r>
                          <w:rPr>
                            <w:rFonts w:ascii="宋体"/>
                            <w:sz w:val="18"/>
                          </w:rPr>
                        </w:r>
                      </w:p>
                    </w:tc>
                    <w:tc>
                      <w:tcPr>
                        <w:tcW w:w="269"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39"/>
                          <w:jc w:val="right"/>
                          <w:rPr>
                            <w:rFonts w:ascii="Times New Roman" w:hAnsi="Times New Roman" w:cs="Times New Roman" w:eastAsia="Times New Roman" w:hint="default"/>
                            <w:sz w:val="18"/>
                            <w:szCs w:val="18"/>
                          </w:rPr>
                        </w:pPr>
                        <w:r>
                          <w:rPr>
                            <w:rFonts w:ascii="Times New Roman"/>
                            <w:spacing w:val="-3"/>
                            <w:sz w:val="18"/>
                          </w:rPr>
                          <w:t>100.00%</w:t>
                        </w:r>
                      </w:p>
                    </w:tc>
                  </w:tr>
                </w:tbl>
                <w:p>
                  <w:pPr/>
                </w:p>
              </w:txbxContent>
            </v:textbox>
            <w10:wrap type="none"/>
          </v:shape>
        </w:pict>
      </w:r>
      <w:r>
        <w:rPr>
          <w:rFonts w:ascii="Times New Roman"/>
          <w:spacing w:val="-3"/>
          <w:sz w:val="18"/>
        </w:rPr>
        <w:t>3</w:t>
      </w:r>
      <w:r>
        <w:rPr>
          <w:rFonts w:ascii="Times New Roman"/>
          <w:sz w:val="18"/>
        </w:rPr>
      </w:r>
    </w:p>
    <w:p>
      <w:pPr>
        <w:spacing w:line="216" w:lineRule="exact" w:before="0"/>
        <w:ind w:left="846" w:right="1410" w:firstLine="0"/>
        <w:jc w:val="left"/>
        <w:rPr>
          <w:rFonts w:ascii="宋体" w:hAnsi="宋体" w:cs="宋体" w:eastAsia="宋体" w:hint="default"/>
          <w:sz w:val="18"/>
          <w:szCs w:val="18"/>
        </w:rPr>
      </w:pPr>
      <w:r>
        <w:rPr/>
        <w:pict>
          <v:group style="position:absolute;margin-left:147.839996pt;margin-top:6.171271pt;width:188.6pt;height:.1pt;mso-position-horizontal-relative:page;mso-position-vertical-relative:paragraph;z-index:1672" coordorigin="2957,123" coordsize="3772,2">
            <v:shape style="position:absolute;left:2957;top:123;width:3772;height:2" coordorigin="2957,123" coordsize="3772,0" path="m2957,123l6728,123e" filled="false" stroked="true" strokeweight=".48pt" strokecolor="#000000">
              <v:path arrowok="t"/>
            </v:shape>
            <w10:wrap type="none"/>
          </v:group>
        </w:pict>
      </w:r>
      <w:r>
        <w:rPr>
          <w:rFonts w:ascii="宋体" w:hAnsi="宋体" w:cs="宋体" w:eastAsia="宋体" w:hint="default"/>
          <w:sz w:val="18"/>
          <w:szCs w:val="18"/>
        </w:rPr>
        <w:t>账</w:t>
      </w:r>
      <w:r>
        <w:rPr>
          <w:rFonts w:ascii="宋体" w:hAnsi="宋体" w:cs="宋体" w:eastAsia="宋体" w:hint="default"/>
          <w:spacing w:val="77"/>
          <w:sz w:val="18"/>
          <w:szCs w:val="18"/>
        </w:rPr>
        <w:t> </w:t>
      </w:r>
      <w:r>
        <w:rPr>
          <w:rFonts w:ascii="宋体" w:hAnsi="宋体" w:cs="宋体" w:eastAsia="宋体" w:hint="default"/>
          <w:sz w:val="18"/>
          <w:szCs w:val="18"/>
        </w:rPr>
        <w:t>龄</w:t>
      </w:r>
    </w:p>
    <w:p>
      <w:pPr>
        <w:spacing w:line="240" w:lineRule="auto" w:before="1"/>
        <w:rPr>
          <w:rFonts w:ascii="宋体" w:hAnsi="宋体" w:cs="宋体" w:eastAsia="宋体" w:hint="default"/>
          <w:sz w:val="24"/>
          <w:szCs w:val="24"/>
        </w:rPr>
      </w:pPr>
    </w:p>
    <w:p>
      <w:pPr>
        <w:spacing w:line="20" w:lineRule="exact"/>
        <w:ind w:left="2132" w:right="0" w:firstLine="0"/>
        <w:rPr>
          <w:rFonts w:ascii="宋体" w:hAnsi="宋体" w:cs="宋体" w:eastAsia="宋体" w:hint="default"/>
          <w:sz w:val="2"/>
          <w:szCs w:val="2"/>
        </w:rPr>
      </w:pPr>
      <w:r>
        <w:rPr>
          <w:rFonts w:ascii="宋体" w:hAnsi="宋体" w:cs="宋体" w:eastAsia="宋体" w:hint="default"/>
          <w:sz w:val="2"/>
          <w:szCs w:val="2"/>
        </w:rPr>
        <w:pict>
          <v:group style="width:94.3pt;height:.5pt;mso-position-horizontal-relative:char;mso-position-vertical-relative:line" coordorigin="0,0" coordsize="1886,10">
            <v:group style="position:absolute;left:5;top:5;width:1876;height:2" coordorigin="5,5" coordsize="1876,2">
              <v:shape style="position:absolute;left:5;top:5;width:1876;height:2" coordorigin="5,5" coordsize="1876,0" path="m5,5l188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20" w:lineRule="exact"/>
        <w:ind w:left="2132" w:right="0" w:firstLine="0"/>
        <w:rPr>
          <w:rFonts w:ascii="宋体" w:hAnsi="宋体" w:cs="宋体" w:eastAsia="宋体" w:hint="default"/>
          <w:sz w:val="2"/>
          <w:szCs w:val="2"/>
        </w:rPr>
      </w:pPr>
      <w:r>
        <w:rPr>
          <w:rFonts w:ascii="宋体" w:hAnsi="宋体" w:cs="宋体" w:eastAsia="宋体" w:hint="default"/>
          <w:sz w:val="2"/>
          <w:szCs w:val="2"/>
        </w:rPr>
        <w:pict>
          <v:group style="width:94.3pt;height:.5pt;mso-position-horizontal-relative:char;mso-position-vertical-relative:line" coordorigin="0,0" coordsize="1886,10">
            <v:group style="position:absolute;left:5;top:5;width:1876;height:2" coordorigin="5,5" coordsize="1876,2">
              <v:shape style="position:absolute;left:5;top:5;width:1876;height:2" coordorigin="5,5" coordsize="1876,0" path="m5,5l188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26"/>
        <w:ind w:left="824" w:right="141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spacing w:val="8"/>
        </w:rPr>
        <w:t>预付款项主要明细项目列示如下：</w:t>
      </w:r>
      <w:r>
        <w:rPr/>
      </w:r>
    </w:p>
    <w:p>
      <w:pPr>
        <w:spacing w:line="240" w:lineRule="auto" w:before="4"/>
        <w:rPr>
          <w:rFonts w:ascii="宋体" w:hAnsi="宋体" w:cs="宋体" w:eastAsia="宋体" w:hint="default"/>
          <w:sz w:val="22"/>
          <w:szCs w:val="22"/>
        </w:rPr>
      </w:pPr>
    </w:p>
    <w:tbl>
      <w:tblPr>
        <w:tblW w:w="0" w:type="auto"/>
        <w:jc w:val="left"/>
        <w:tblInd w:w="286" w:type="dxa"/>
        <w:tblLayout w:type="fixed"/>
        <w:tblCellMar>
          <w:top w:w="0" w:type="dxa"/>
          <w:left w:w="0" w:type="dxa"/>
          <w:bottom w:w="0" w:type="dxa"/>
          <w:right w:w="0" w:type="dxa"/>
        </w:tblCellMar>
        <w:tblLook w:val="01E0"/>
      </w:tblPr>
      <w:tblGrid>
        <w:gridCol w:w="3475"/>
        <w:gridCol w:w="277"/>
        <w:gridCol w:w="1931"/>
        <w:gridCol w:w="277"/>
        <w:gridCol w:w="1663"/>
        <w:gridCol w:w="268"/>
        <w:gridCol w:w="1795"/>
      </w:tblGrid>
      <w:tr>
        <w:trPr>
          <w:trHeight w:val="276" w:hRule="exact"/>
        </w:trPr>
        <w:tc>
          <w:tcPr>
            <w:tcW w:w="3475"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7"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single" w:sz="6" w:space="0" w:color="000000"/>
              <w:right w:val="nil" w:sz="6" w:space="0" w:color="auto"/>
            </w:tcBorders>
          </w:tcPr>
          <w:p>
            <w:pPr>
              <w:pStyle w:val="TableParagraph"/>
              <w:spacing w:line="203" w:lineRule="exact"/>
              <w:ind w:left="566" w:right="0"/>
              <w:jc w:val="left"/>
              <w:rPr>
                <w:rFonts w:ascii="Times New Roman" w:hAnsi="Times New Roman" w:cs="Times New Roman" w:eastAsia="Times New Roman" w:hint="default"/>
                <w:sz w:val="18"/>
                <w:szCs w:val="18"/>
              </w:rPr>
            </w:pPr>
            <w:r>
              <w:rPr>
                <w:rFonts w:ascii="Times New Roman"/>
                <w:sz w:val="18"/>
              </w:rPr>
              <w:t>2007.12.31</w:t>
            </w:r>
          </w:p>
        </w:tc>
        <w:tc>
          <w:tcPr>
            <w:tcW w:w="27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欠款时间</w:t>
            </w:r>
          </w:p>
        </w:tc>
        <w:tc>
          <w:tcPr>
            <w:tcW w:w="26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180" w:lineRule="exact"/>
              <w:ind w:left="544" w:right="0"/>
              <w:jc w:val="left"/>
              <w:rPr>
                <w:rFonts w:ascii="宋体" w:hAnsi="宋体" w:cs="宋体" w:eastAsia="宋体" w:hint="default"/>
                <w:sz w:val="18"/>
                <w:szCs w:val="18"/>
              </w:rPr>
            </w:pPr>
            <w:r>
              <w:rPr>
                <w:rFonts w:ascii="宋体" w:hAnsi="宋体" w:cs="宋体" w:eastAsia="宋体" w:hint="default"/>
                <w:sz w:val="18"/>
                <w:szCs w:val="18"/>
              </w:rPr>
              <w:t>欠款原因</w:t>
            </w:r>
          </w:p>
        </w:tc>
      </w:tr>
      <w:tr>
        <w:trPr>
          <w:trHeight w:val="477" w:hRule="exact"/>
        </w:trPr>
        <w:tc>
          <w:tcPr>
            <w:tcW w:w="3475"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27" w:right="0"/>
              <w:jc w:val="left"/>
              <w:rPr>
                <w:rFonts w:ascii="宋体" w:hAnsi="宋体" w:cs="宋体" w:eastAsia="宋体" w:hint="default"/>
                <w:sz w:val="18"/>
                <w:szCs w:val="18"/>
              </w:rPr>
            </w:pPr>
            <w:r>
              <w:rPr>
                <w:rFonts w:ascii="宋体" w:hAnsi="宋体" w:cs="宋体" w:eastAsia="宋体" w:hint="default"/>
                <w:sz w:val="18"/>
                <w:szCs w:val="18"/>
              </w:rPr>
              <w:t>北京鑫坤电力电子科技发展有限公司</w:t>
            </w:r>
          </w:p>
        </w:tc>
        <w:tc>
          <w:tcPr>
            <w:tcW w:w="277" w:type="dxa"/>
            <w:tcBorders>
              <w:top w:val="nil" w:sz="6" w:space="0" w:color="auto"/>
              <w:left w:val="nil" w:sz="6" w:space="0" w:color="auto"/>
              <w:bottom w:val="nil" w:sz="6" w:space="0" w:color="auto"/>
              <w:right w:val="nil" w:sz="6" w:space="0" w:color="auto"/>
            </w:tcBorders>
          </w:tcPr>
          <w:p>
            <w:pPr/>
          </w:p>
        </w:tc>
        <w:tc>
          <w:tcPr>
            <w:tcW w:w="1931" w:type="dxa"/>
            <w:tcBorders>
              <w:top w:val="single" w:sz="6" w:space="0" w:color="000000"/>
              <w:left w:val="nil" w:sz="6" w:space="0" w:color="auto"/>
              <w:bottom w:val="nil" w:sz="6" w:space="0" w:color="auto"/>
              <w:right w:val="nil" w:sz="6" w:space="0" w:color="auto"/>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RMB  </w:t>
            </w:r>
            <w:r>
              <w:rPr>
                <w:rFonts w:ascii="Times New Roman"/>
                <w:spacing w:val="42"/>
                <w:sz w:val="18"/>
              </w:rPr>
              <w:t> </w:t>
            </w:r>
            <w:r>
              <w:rPr>
                <w:rFonts w:ascii="Times New Roman"/>
                <w:sz w:val="18"/>
              </w:rPr>
              <w:t>12,000,000.00</w:t>
            </w:r>
          </w:p>
        </w:tc>
        <w:tc>
          <w:tcPr>
            <w:tcW w:w="277"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3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8"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36"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25" w:hRule="exact"/>
        </w:trPr>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哈尔滨电机厂交直流电机有限公司</w:t>
            </w:r>
          </w:p>
        </w:tc>
        <w:tc>
          <w:tcPr>
            <w:tcW w:w="277"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11,000,000.00</w:t>
            </w:r>
          </w:p>
        </w:tc>
        <w:tc>
          <w:tcPr>
            <w:tcW w:w="27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25" w:hRule="exact"/>
        </w:trPr>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鞍山市高新技术产业开发区管委会</w:t>
            </w:r>
          </w:p>
        </w:tc>
        <w:tc>
          <w:tcPr>
            <w:tcW w:w="277"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3,378,236.80</w:t>
            </w:r>
          </w:p>
        </w:tc>
        <w:tc>
          <w:tcPr>
            <w:tcW w:w="27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25" w:hRule="exact"/>
        </w:trPr>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left"/>
              <w:rPr>
                <w:rFonts w:ascii="Times New Roman" w:hAnsi="Times New Roman" w:cs="Times New Roman" w:eastAsia="Times New Roman" w:hint="default"/>
                <w:sz w:val="18"/>
                <w:szCs w:val="18"/>
              </w:rPr>
            </w:pPr>
            <w:r>
              <w:rPr>
                <w:rFonts w:ascii="Times New Roman"/>
                <w:spacing w:val="-3"/>
                <w:sz w:val="18"/>
              </w:rPr>
              <w:t>RTDS </w:t>
            </w:r>
            <w:r>
              <w:rPr>
                <w:rFonts w:ascii="Times New Roman"/>
                <w:sz w:val="18"/>
              </w:rPr>
              <w:t>TECHNOLOGIES</w:t>
            </w:r>
            <w:r>
              <w:rPr>
                <w:rFonts w:ascii="Times New Roman"/>
                <w:spacing w:val="-17"/>
                <w:sz w:val="18"/>
              </w:rPr>
              <w:t> </w:t>
            </w:r>
            <w:r>
              <w:rPr>
                <w:rFonts w:ascii="Times New Roman"/>
                <w:sz w:val="18"/>
              </w:rPr>
              <w:t>INC.</w:t>
            </w:r>
          </w:p>
        </w:tc>
        <w:tc>
          <w:tcPr>
            <w:tcW w:w="277"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3,053,614.59</w:t>
            </w:r>
          </w:p>
        </w:tc>
        <w:tc>
          <w:tcPr>
            <w:tcW w:w="27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312" w:hRule="exact"/>
        </w:trPr>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顺特电气有限公司</w:t>
            </w:r>
          </w:p>
        </w:tc>
        <w:tc>
          <w:tcPr>
            <w:tcW w:w="277"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tabs>
                <w:tab w:pos="670" w:val="left" w:leader="none"/>
              </w:tabs>
              <w:spacing w:line="240" w:lineRule="auto" w:before="109"/>
              <w:ind w:right="19"/>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1,506,653.80</w:t>
            </w:r>
          </w:p>
        </w:tc>
        <w:tc>
          <w:tcPr>
            <w:tcW w:w="277"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bl>
    <w:p>
      <w:pPr>
        <w:spacing w:line="240" w:lineRule="auto" w:before="12"/>
        <w:rPr>
          <w:rFonts w:ascii="宋体" w:hAnsi="宋体" w:cs="宋体" w:eastAsia="宋体" w:hint="default"/>
          <w:sz w:val="11"/>
          <w:szCs w:val="11"/>
        </w:rPr>
      </w:pPr>
    </w:p>
    <w:p>
      <w:pPr>
        <w:pStyle w:val="BodyText"/>
        <w:spacing w:line="240" w:lineRule="auto" w:before="26"/>
        <w:ind w:left="824" w:right="303"/>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5"/>
        </w:rPr>
        <w:t> </w:t>
      </w:r>
      <w:r>
        <w:rPr>
          <w:spacing w:val="7"/>
        </w:rPr>
        <w:t>期末预付款项增加较大的主要原因系公司的生产规模大幅增长所致。</w:t>
      </w:r>
      <w:r>
        <w:rPr/>
      </w:r>
    </w:p>
    <w:p>
      <w:pPr>
        <w:spacing w:after="0" w:line="240" w:lineRule="auto"/>
        <w:jc w:val="left"/>
        <w:sectPr>
          <w:pgSz w:w="11910" w:h="16840"/>
          <w:pgMar w:header="877" w:footer="1022" w:top="1100" w:bottom="1220" w:left="820" w:right="980"/>
        </w:sectPr>
      </w:pPr>
    </w:p>
    <w:p>
      <w:pPr>
        <w:spacing w:line="240" w:lineRule="auto" w:before="10"/>
        <w:rPr>
          <w:rFonts w:ascii="宋体" w:hAnsi="宋体" w:cs="宋体" w:eastAsia="宋体" w:hint="default"/>
          <w:sz w:val="24"/>
          <w:szCs w:val="24"/>
        </w:rPr>
      </w:pPr>
    </w:p>
    <w:p>
      <w:pPr>
        <w:pStyle w:val="BodyText"/>
        <w:spacing w:line="240" w:lineRule="auto" w:before="26"/>
        <w:ind w:left="664" w:right="0"/>
        <w:jc w:val="left"/>
      </w:pPr>
      <w:r>
        <w:rPr>
          <w:rFonts w:ascii="Times New Roman" w:hAnsi="Times New Roman" w:cs="Times New Roman" w:eastAsia="Times New Roman" w:hint="default"/>
        </w:rPr>
        <w:t>(4)  </w:t>
      </w:r>
      <w:r>
        <w:rPr>
          <w:spacing w:val="6"/>
        </w:rPr>
        <w:t>预付款项中无持有本公司 </w:t>
      </w:r>
      <w:r>
        <w:rPr>
          <w:rFonts w:ascii="Times New Roman" w:hAnsi="Times New Roman" w:cs="Times New Roman" w:eastAsia="Times New Roman" w:hint="default"/>
          <w:spacing w:val="3"/>
        </w:rPr>
        <w:t>5%(</w:t>
      </w:r>
      <w:r>
        <w:rPr>
          <w:spacing w:val="3"/>
        </w:rPr>
        <w:t>含</w:t>
      </w:r>
      <w:r>
        <w:rPr>
          <w:spacing w:val="-84"/>
        </w:rPr>
        <w:t> </w:t>
      </w:r>
      <w:r>
        <w:rPr>
          <w:rFonts w:ascii="Times New Roman" w:hAnsi="Times New Roman" w:cs="Times New Roman" w:eastAsia="Times New Roman" w:hint="default"/>
          <w:spacing w:val="7"/>
        </w:rPr>
        <w:t>5%)</w:t>
      </w:r>
      <w:r>
        <w:rPr>
          <w:spacing w:val="7"/>
        </w:rPr>
        <w:t>以上股份的股东单位的款项。</w:t>
      </w:r>
      <w:r>
        <w:rPr/>
      </w:r>
    </w:p>
    <w:p>
      <w:pPr>
        <w:pStyle w:val="Heading4"/>
        <w:spacing w:line="240" w:lineRule="auto" w:before="207"/>
        <w:ind w:left="652" w:right="0"/>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0"/>
        </w:rPr>
        <w:t> </w:t>
      </w:r>
      <w:r>
        <w:rPr>
          <w:spacing w:val="9"/>
        </w:rPr>
        <w:t>其他应收款</w:t>
      </w:r>
      <w:r>
        <w:rPr>
          <w:b w:val="0"/>
          <w:bCs w:val="0"/>
        </w:rPr>
      </w:r>
    </w:p>
    <w:p>
      <w:pPr>
        <w:pStyle w:val="BodyText"/>
        <w:spacing w:line="240" w:lineRule="auto" w:before="209"/>
        <w:ind w:left="649" w:right="0"/>
        <w:jc w:val="left"/>
      </w:pPr>
      <w:r>
        <w:rPr/>
        <w:pict>
          <v:group style="position:absolute;margin-left:157.979996pt;margin-top:55.545952pt;width:191.05pt;height:.1pt;mso-position-horizontal-relative:page;mso-position-vertical-relative:paragraph;z-index:-508720" coordorigin="3160,1111" coordsize="3821,2">
            <v:shape style="position:absolute;left:3160;top:1111;width:3821;height:2" coordorigin="3160,1111" coordsize="3821,0" path="m3160,1111l6980,1111e" filled="false" stroked="true" strokeweight=".72pt" strokecolor="#000000">
              <v:path arrowok="t"/>
            </v:shape>
            <w10:wrap type="none"/>
          </v:group>
        </w:pict>
      </w:r>
      <w:r>
        <w:rPr/>
        <w:pict>
          <v:group style="position:absolute;margin-left:355.079987pt;margin-top:55.545952pt;width:183.2pt;height:.1pt;mso-position-horizontal-relative:page;mso-position-vertical-relative:paragraph;z-index:-508696" coordorigin="7102,1111" coordsize="3664,2">
            <v:shape style="position:absolute;left:7102;top:1111;width:3664;height:2" coordorigin="7102,1111" coordsize="3664,0" path="m7102,1111l10765,1111e" filled="false" stroked="true" strokeweight=".72pt" strokecolor="#000000">
              <v:path arrowok="t"/>
            </v:shape>
            <w10:wrap type="none"/>
          </v:group>
        </w:pict>
      </w: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其他应收款账龄分析列示如下：</w:t>
      </w:r>
      <w:r>
        <w:rPr/>
      </w:r>
    </w:p>
    <w:p>
      <w:pPr>
        <w:spacing w:line="240" w:lineRule="auto" w:before="4"/>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942"/>
        <w:gridCol w:w="1084"/>
        <w:gridCol w:w="1453"/>
        <w:gridCol w:w="118"/>
        <w:gridCol w:w="808"/>
        <w:gridCol w:w="118"/>
        <w:gridCol w:w="1325"/>
        <w:gridCol w:w="118"/>
        <w:gridCol w:w="1562"/>
        <w:gridCol w:w="754"/>
        <w:gridCol w:w="118"/>
        <w:gridCol w:w="1241"/>
      </w:tblGrid>
      <w:tr>
        <w:trPr>
          <w:trHeight w:val="197" w:hRule="exact"/>
        </w:trPr>
        <w:tc>
          <w:tcPr>
            <w:tcW w:w="942" w:type="dxa"/>
            <w:tcBorders>
              <w:top w:val="nil" w:sz="6" w:space="0" w:color="auto"/>
              <w:left w:val="nil" w:sz="6" w:space="0" w:color="auto"/>
              <w:bottom w:val="nil" w:sz="6" w:space="0" w:color="auto"/>
              <w:right w:val="nil" w:sz="6" w:space="0" w:color="auto"/>
            </w:tcBorders>
          </w:tcPr>
          <w:p>
            <w:pPr/>
          </w:p>
        </w:tc>
        <w:tc>
          <w:tcPr>
            <w:tcW w:w="1084" w:type="dxa"/>
            <w:vMerge w:val="restart"/>
            <w:tcBorders>
              <w:top w:val="nil" w:sz="6" w:space="0" w:color="auto"/>
              <w:left w:val="nil" w:sz="6" w:space="0" w:color="auto"/>
              <w:right w:val="nil" w:sz="6" w:space="0" w:color="auto"/>
            </w:tcBorders>
          </w:tcPr>
          <w:p>
            <w:pPr>
              <w:pStyle w:val="TableParagraph"/>
              <w:spacing w:line="278" w:lineRule="auto" w:before="22"/>
              <w:ind w:left="338" w:right="167" w:hanging="144"/>
              <w:jc w:val="left"/>
              <w:rPr>
                <w:rFonts w:ascii="宋体" w:hAnsi="宋体" w:cs="宋体" w:eastAsia="宋体" w:hint="default"/>
                <w:sz w:val="18"/>
                <w:szCs w:val="18"/>
              </w:rPr>
            </w:pPr>
            <w:r>
              <w:rPr>
                <w:rFonts w:ascii="宋体" w:hAnsi="宋体" w:cs="宋体" w:eastAsia="宋体" w:hint="default"/>
                <w:spacing w:val="-36"/>
                <w:sz w:val="18"/>
                <w:szCs w:val="18"/>
              </w:rPr>
              <w:t>坏账准备计 提比例</w:t>
            </w:r>
            <w:r>
              <w:rPr>
                <w:rFonts w:ascii="宋体" w:hAnsi="宋体" w:cs="宋体" w:eastAsia="宋体" w:hint="default"/>
                <w:sz w:val="18"/>
                <w:szCs w:val="18"/>
              </w:rPr>
            </w:r>
          </w:p>
        </w:tc>
        <w:tc>
          <w:tcPr>
            <w:tcW w:w="145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184" w:lineRule="exact"/>
              <w:ind w:left="-19" w:right="0"/>
              <w:jc w:val="left"/>
              <w:rPr>
                <w:rFonts w:ascii="Times New Roman" w:hAnsi="Times New Roman" w:cs="Times New Roman" w:eastAsia="Times New Roman" w:hint="default"/>
                <w:sz w:val="18"/>
                <w:szCs w:val="18"/>
              </w:rPr>
            </w:pPr>
            <w:r>
              <w:rPr>
                <w:rFonts w:ascii="Times New Roman"/>
                <w:spacing w:val="-9"/>
                <w:sz w:val="18"/>
              </w:rPr>
              <w:t>2007.12.31</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2434" w:type="dxa"/>
            <w:gridSpan w:val="3"/>
            <w:tcBorders>
              <w:top w:val="nil" w:sz="6" w:space="0" w:color="auto"/>
              <w:left w:val="nil" w:sz="6" w:space="0" w:color="auto"/>
              <w:bottom w:val="nil" w:sz="6" w:space="0" w:color="auto"/>
              <w:right w:val="nil" w:sz="6" w:space="0" w:color="auto"/>
            </w:tcBorders>
          </w:tcPr>
          <w:p>
            <w:pPr>
              <w:pStyle w:val="TableParagraph"/>
              <w:spacing w:line="184" w:lineRule="exact"/>
              <w:ind w:left="1594" w:right="0"/>
              <w:jc w:val="left"/>
              <w:rPr>
                <w:rFonts w:ascii="Times New Roman" w:hAnsi="Times New Roman" w:cs="Times New Roman" w:eastAsia="Times New Roman" w:hint="default"/>
                <w:sz w:val="18"/>
                <w:szCs w:val="18"/>
              </w:rPr>
            </w:pPr>
            <w:r>
              <w:rPr>
                <w:rFonts w:ascii="Times New Roman"/>
                <w:spacing w:val="-9"/>
                <w:sz w:val="18"/>
              </w:rPr>
              <w:t>2006.12.31</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217"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197" w:lineRule="exact"/>
              <w:ind w:right="302"/>
              <w:jc w:val="right"/>
              <w:rPr>
                <w:rFonts w:ascii="宋体" w:hAnsi="宋体" w:cs="宋体" w:eastAsia="宋体" w:hint="default"/>
                <w:sz w:val="18"/>
                <w:szCs w:val="18"/>
              </w:rPr>
            </w:pPr>
            <w:r>
              <w:rPr>
                <w:rFonts w:ascii="宋体" w:hAnsi="宋体" w:cs="宋体" w:eastAsia="宋体" w:hint="default"/>
                <w:spacing w:val="-17"/>
                <w:w w:val="95"/>
                <w:sz w:val="18"/>
                <w:szCs w:val="18"/>
              </w:rPr>
              <w:t>账龄</w:t>
            </w:r>
            <w:r>
              <w:rPr>
                <w:rFonts w:ascii="宋体" w:hAnsi="宋体" w:cs="宋体" w:eastAsia="宋体" w:hint="default"/>
                <w:w w:val="95"/>
                <w:sz w:val="18"/>
                <w:szCs w:val="18"/>
              </w:rPr>
            </w:r>
          </w:p>
        </w:tc>
        <w:tc>
          <w:tcPr>
            <w:tcW w:w="1084" w:type="dxa"/>
            <w:vMerge/>
            <w:tcBorders>
              <w:left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328" w:hRule="exact"/>
        </w:trPr>
        <w:tc>
          <w:tcPr>
            <w:tcW w:w="942" w:type="dxa"/>
            <w:tcBorders>
              <w:top w:val="nil" w:sz="6" w:space="0" w:color="auto"/>
              <w:left w:val="nil" w:sz="6" w:space="0" w:color="auto"/>
              <w:bottom w:val="single" w:sz="4" w:space="0" w:color="000000"/>
              <w:right w:val="nil" w:sz="6" w:space="0" w:color="auto"/>
            </w:tcBorders>
          </w:tcPr>
          <w:p>
            <w:pPr/>
          </w:p>
        </w:tc>
        <w:tc>
          <w:tcPr>
            <w:tcW w:w="1084" w:type="dxa"/>
            <w:vMerge/>
            <w:tcBorders>
              <w:left w:val="nil" w:sz="6" w:space="0" w:color="auto"/>
              <w:bottom w:val="single" w:sz="8" w:space="0" w:color="000000"/>
              <w:right w:val="nil" w:sz="6" w:space="0" w:color="auto"/>
            </w:tcBorders>
          </w:tcPr>
          <w:p>
            <w:pPr/>
          </w:p>
        </w:tc>
        <w:tc>
          <w:tcPr>
            <w:tcW w:w="1453" w:type="dxa"/>
            <w:tcBorders>
              <w:top w:val="nil" w:sz="6" w:space="0" w:color="auto"/>
              <w:left w:val="nil" w:sz="6" w:space="0" w:color="auto"/>
              <w:bottom w:val="single" w:sz="6" w:space="0" w:color="000000"/>
              <w:right w:val="nil" w:sz="6" w:space="0" w:color="auto"/>
            </w:tcBorders>
          </w:tcPr>
          <w:p>
            <w:pPr>
              <w:pStyle w:val="TableParagraph"/>
              <w:spacing w:line="200" w:lineRule="exact"/>
              <w:ind w:left="495"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宋体" w:hAnsi="宋体" w:cs="宋体" w:eastAsia="宋体" w:hint="default"/>
                <w:sz w:val="18"/>
                <w:szCs w:val="18"/>
              </w:rPr>
              <w:t>额</w:t>
            </w: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single" w:sz="6" w:space="0" w:color="000000"/>
              <w:right w:val="nil" w:sz="6" w:space="0" w:color="auto"/>
            </w:tcBorders>
          </w:tcPr>
          <w:p>
            <w:pPr>
              <w:pStyle w:val="TableParagraph"/>
              <w:spacing w:line="200" w:lineRule="exact"/>
              <w:ind w:left="248" w:right="0"/>
              <w:jc w:val="left"/>
              <w:rPr>
                <w:rFonts w:ascii="宋体" w:hAnsi="宋体" w:cs="宋体" w:eastAsia="宋体" w:hint="default"/>
                <w:sz w:val="18"/>
                <w:szCs w:val="18"/>
              </w:rPr>
            </w:pPr>
            <w:r>
              <w:rPr>
                <w:rFonts w:ascii="宋体" w:hAnsi="宋体" w:cs="宋体" w:eastAsia="宋体" w:hint="default"/>
                <w:spacing w:val="-17"/>
                <w:sz w:val="18"/>
                <w:szCs w:val="18"/>
              </w:rPr>
              <w:t>比例</w:t>
            </w:r>
            <w:r>
              <w:rPr>
                <w:rFonts w:ascii="宋体" w:hAnsi="宋体" w:cs="宋体" w:eastAsia="宋体" w:hint="default"/>
                <w:sz w:val="18"/>
                <w:szCs w:val="18"/>
              </w:rPr>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00" w:lineRule="exact"/>
              <w:ind w:left="343" w:right="0"/>
              <w:jc w:val="left"/>
              <w:rPr>
                <w:rFonts w:ascii="宋体" w:hAnsi="宋体" w:cs="宋体" w:eastAsia="宋体" w:hint="default"/>
                <w:sz w:val="18"/>
                <w:szCs w:val="18"/>
              </w:rPr>
            </w:pPr>
            <w:r>
              <w:rPr>
                <w:rFonts w:ascii="宋体" w:hAnsi="宋体" w:cs="宋体" w:eastAsia="宋体" w:hint="default"/>
                <w:spacing w:val="-17"/>
                <w:sz w:val="18"/>
                <w:szCs w:val="18"/>
              </w:rPr>
              <w:t>坏账准备</w:t>
            </w:r>
            <w:r>
              <w:rPr>
                <w:rFonts w:ascii="宋体" w:hAnsi="宋体" w:cs="宋体" w:eastAsia="宋体" w:hint="default"/>
                <w:sz w:val="18"/>
                <w:szCs w:val="18"/>
              </w:rPr>
            </w: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6" w:space="0" w:color="000000"/>
              <w:right w:val="nil" w:sz="6" w:space="0" w:color="auto"/>
            </w:tcBorders>
          </w:tcPr>
          <w:p>
            <w:pPr>
              <w:pStyle w:val="TableParagraph"/>
              <w:spacing w:line="200" w:lineRule="exact"/>
              <w:ind w:left="507"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宋体" w:hAnsi="宋体" w:cs="宋体" w:eastAsia="宋体" w:hint="default"/>
                <w:sz w:val="18"/>
                <w:szCs w:val="18"/>
              </w:rPr>
              <w:t>额</w:t>
            </w:r>
          </w:p>
        </w:tc>
        <w:tc>
          <w:tcPr>
            <w:tcW w:w="754" w:type="dxa"/>
            <w:tcBorders>
              <w:top w:val="nil" w:sz="6" w:space="0" w:color="auto"/>
              <w:left w:val="nil" w:sz="6" w:space="0" w:color="auto"/>
              <w:bottom w:val="single" w:sz="4" w:space="0" w:color="000000"/>
              <w:right w:val="nil" w:sz="6" w:space="0" w:color="auto"/>
            </w:tcBorders>
          </w:tcPr>
          <w:p>
            <w:pPr>
              <w:pStyle w:val="TableParagraph"/>
              <w:spacing w:line="200" w:lineRule="exact"/>
              <w:ind w:left="207" w:right="0"/>
              <w:jc w:val="left"/>
              <w:rPr>
                <w:rFonts w:ascii="宋体" w:hAnsi="宋体" w:cs="宋体" w:eastAsia="宋体" w:hint="default"/>
                <w:sz w:val="18"/>
                <w:szCs w:val="18"/>
              </w:rPr>
            </w:pPr>
            <w:r>
              <w:rPr>
                <w:rFonts w:ascii="宋体" w:hAnsi="宋体" w:cs="宋体" w:eastAsia="宋体" w:hint="default"/>
                <w:spacing w:val="-17"/>
                <w:sz w:val="18"/>
                <w:szCs w:val="18"/>
              </w:rPr>
              <w:t>比例</w:t>
            </w:r>
            <w:r>
              <w:rPr>
                <w:rFonts w:ascii="宋体" w:hAnsi="宋体" w:cs="宋体" w:eastAsia="宋体" w:hint="default"/>
                <w:sz w:val="18"/>
                <w:szCs w:val="18"/>
              </w:rPr>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00" w:lineRule="exact"/>
              <w:ind w:left="297" w:right="0"/>
              <w:jc w:val="left"/>
              <w:rPr>
                <w:rFonts w:ascii="宋体" w:hAnsi="宋体" w:cs="宋体" w:eastAsia="宋体" w:hint="default"/>
                <w:sz w:val="18"/>
                <w:szCs w:val="18"/>
              </w:rPr>
            </w:pPr>
            <w:r>
              <w:rPr>
                <w:rFonts w:ascii="宋体" w:hAnsi="宋体" w:cs="宋体" w:eastAsia="宋体" w:hint="default"/>
                <w:spacing w:val="-17"/>
                <w:sz w:val="18"/>
                <w:szCs w:val="18"/>
              </w:rPr>
              <w:t>坏账准备</w:t>
            </w:r>
            <w:r>
              <w:rPr>
                <w:rFonts w:ascii="宋体" w:hAnsi="宋体" w:cs="宋体" w:eastAsia="宋体" w:hint="default"/>
                <w:sz w:val="18"/>
                <w:szCs w:val="18"/>
              </w:rPr>
            </w:r>
          </w:p>
        </w:tc>
      </w:tr>
      <w:tr>
        <w:trPr>
          <w:trHeight w:val="443" w:hRule="exact"/>
        </w:trPr>
        <w:tc>
          <w:tcPr>
            <w:tcW w:w="94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52"/>
              <w:jc w:val="right"/>
              <w:rPr>
                <w:rFonts w:ascii="宋体" w:hAnsi="宋体" w:cs="宋体" w:eastAsia="宋体" w:hint="default"/>
                <w:sz w:val="18"/>
                <w:szCs w:val="18"/>
              </w:rPr>
            </w:pPr>
            <w:r>
              <w:rPr>
                <w:rFonts w:ascii="宋体" w:hAnsi="宋体" w:cs="宋体" w:eastAsia="宋体" w:hint="default"/>
                <w:spacing w:val="-9"/>
                <w:sz w:val="18"/>
                <w:szCs w:val="18"/>
              </w:rPr>
              <w:t>一年以内</w:t>
            </w:r>
            <w:r>
              <w:rPr>
                <w:rFonts w:ascii="宋体" w:hAnsi="宋体" w:cs="宋体" w:eastAsia="宋体" w:hint="default"/>
                <w:sz w:val="18"/>
                <w:szCs w:val="18"/>
              </w:rPr>
            </w:r>
          </w:p>
        </w:tc>
        <w:tc>
          <w:tcPr>
            <w:tcW w:w="1084" w:type="dxa"/>
            <w:tcBorders>
              <w:top w:val="single" w:sz="8" w:space="0" w:color="000000"/>
              <w:left w:val="nil" w:sz="6" w:space="0" w:color="auto"/>
              <w:bottom w:val="nil" w:sz="6" w:space="0" w:color="auto"/>
              <w:right w:val="nil" w:sz="6" w:space="0" w:color="auto"/>
            </w:tcBorders>
          </w:tcPr>
          <w:p>
            <w:pPr>
              <w:pStyle w:val="TableParagraph"/>
              <w:spacing w:line="240" w:lineRule="auto" w:before="104"/>
              <w:ind w:right="74"/>
              <w:jc w:val="right"/>
              <w:rPr>
                <w:rFonts w:ascii="Times New Roman" w:hAnsi="Times New Roman" w:cs="Times New Roman" w:eastAsia="Times New Roman" w:hint="default"/>
                <w:sz w:val="18"/>
                <w:szCs w:val="18"/>
              </w:rPr>
            </w:pPr>
            <w:r>
              <w:rPr>
                <w:rFonts w:ascii="Times New Roman"/>
                <w:spacing w:val="-4"/>
                <w:sz w:val="18"/>
              </w:rPr>
              <w:t>5%</w:t>
            </w:r>
            <w:r>
              <w:rPr>
                <w:rFonts w:ascii="Times New Roman"/>
                <w:sz w:val="18"/>
              </w:rPr>
            </w:r>
          </w:p>
        </w:tc>
        <w:tc>
          <w:tcPr>
            <w:tcW w:w="1453" w:type="dxa"/>
            <w:tcBorders>
              <w:top w:val="single" w:sz="6" w:space="0" w:color="000000"/>
              <w:left w:val="nil" w:sz="6" w:space="0" w:color="auto"/>
              <w:bottom w:val="nil" w:sz="6" w:space="0" w:color="auto"/>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4,880,501.52</w:t>
            </w: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9"/>
              <w:jc w:val="right"/>
              <w:rPr>
                <w:rFonts w:ascii="Times New Roman" w:hAnsi="Times New Roman" w:cs="Times New Roman" w:eastAsia="Times New Roman" w:hint="default"/>
                <w:sz w:val="18"/>
                <w:szCs w:val="18"/>
              </w:rPr>
            </w:pPr>
            <w:r>
              <w:rPr>
                <w:rFonts w:ascii="Times New Roman"/>
                <w:sz w:val="18"/>
              </w:rPr>
              <w:t>87.46%</w:t>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244,025.08</w:t>
            </w: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3,418,843.88</w:t>
            </w:r>
          </w:p>
        </w:tc>
        <w:tc>
          <w:tcPr>
            <w:tcW w:w="754"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9"/>
              <w:jc w:val="right"/>
              <w:rPr>
                <w:rFonts w:ascii="Times New Roman" w:hAnsi="Times New Roman" w:cs="Times New Roman" w:eastAsia="Times New Roman" w:hint="default"/>
                <w:sz w:val="18"/>
                <w:szCs w:val="18"/>
              </w:rPr>
            </w:pPr>
            <w:r>
              <w:rPr>
                <w:rFonts w:ascii="Times New Roman"/>
                <w:sz w:val="18"/>
              </w:rPr>
              <w:t>74.33%</w:t>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w w:val="95"/>
                <w:sz w:val="18"/>
              </w:rPr>
              <w:t>RMB170,942.19</w:t>
            </w:r>
            <w:r>
              <w:rPr>
                <w:rFonts w:ascii="Times New Roman"/>
                <w:sz w:val="18"/>
              </w:rPr>
            </w:r>
          </w:p>
        </w:tc>
      </w:tr>
      <w:tr>
        <w:trPr>
          <w:trHeight w:val="425"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2"/>
              <w:jc w:val="right"/>
              <w:rPr>
                <w:rFonts w:ascii="宋体" w:hAnsi="宋体" w:cs="宋体" w:eastAsia="宋体" w:hint="default"/>
                <w:sz w:val="18"/>
                <w:szCs w:val="18"/>
              </w:rPr>
            </w:pPr>
            <w:r>
              <w:rPr>
                <w:rFonts w:ascii="宋体" w:hAnsi="宋体" w:cs="宋体" w:eastAsia="宋体" w:hint="default"/>
                <w:spacing w:val="-9"/>
                <w:sz w:val="18"/>
                <w:szCs w:val="18"/>
              </w:rPr>
              <w:t>一至二年</w:t>
            </w:r>
            <w:r>
              <w:rPr>
                <w:rFonts w:ascii="宋体" w:hAnsi="宋体" w:cs="宋体" w:eastAsia="宋体" w:hint="default"/>
                <w:sz w:val="18"/>
                <w:szCs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4"/>
              <w:jc w:val="right"/>
              <w:rPr>
                <w:rFonts w:ascii="Times New Roman" w:hAnsi="Times New Roman" w:cs="Times New Roman" w:eastAsia="Times New Roman" w:hint="default"/>
                <w:sz w:val="18"/>
                <w:szCs w:val="18"/>
              </w:rPr>
            </w:pPr>
            <w:r>
              <w:rPr>
                <w:rFonts w:ascii="Times New Roman"/>
                <w:spacing w:val="-4"/>
                <w:sz w:val="18"/>
              </w:rPr>
              <w:t>10%</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311,708.92</w:t>
            </w: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
              <w:jc w:val="right"/>
              <w:rPr>
                <w:rFonts w:ascii="Times New Roman" w:hAnsi="Times New Roman" w:cs="Times New Roman" w:eastAsia="Times New Roman" w:hint="default"/>
                <w:sz w:val="18"/>
                <w:szCs w:val="18"/>
              </w:rPr>
            </w:pPr>
            <w:r>
              <w:rPr>
                <w:rFonts w:ascii="Times New Roman"/>
                <w:sz w:val="18"/>
              </w:rPr>
              <w:t>31,170.89</w:t>
            </w: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5"/>
              <w:jc w:val="right"/>
              <w:rPr>
                <w:rFonts w:ascii="Times New Roman" w:hAnsi="Times New Roman" w:cs="Times New Roman" w:eastAsia="Times New Roman" w:hint="default"/>
                <w:sz w:val="18"/>
                <w:szCs w:val="18"/>
              </w:rPr>
            </w:pPr>
            <w:r>
              <w:rPr>
                <w:rFonts w:ascii="Times New Roman"/>
                <w:sz w:val="18"/>
              </w:rPr>
              <w:t>336,000.00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w w:val="95"/>
                <w:sz w:val="18"/>
              </w:rPr>
              <w:t>7.30%</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
              <w:jc w:val="right"/>
              <w:rPr>
                <w:rFonts w:ascii="Times New Roman" w:hAnsi="Times New Roman" w:cs="Times New Roman" w:eastAsia="Times New Roman" w:hint="default"/>
                <w:sz w:val="18"/>
                <w:szCs w:val="18"/>
              </w:rPr>
            </w:pPr>
            <w:r>
              <w:rPr>
                <w:rFonts w:ascii="Times New Roman"/>
                <w:sz w:val="18"/>
              </w:rPr>
              <w:t>33,600.00</w:t>
            </w:r>
          </w:p>
        </w:tc>
      </w:tr>
      <w:tr>
        <w:trPr>
          <w:trHeight w:val="425"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3"/>
              <w:jc w:val="right"/>
              <w:rPr>
                <w:rFonts w:ascii="宋体" w:hAnsi="宋体" w:cs="宋体" w:eastAsia="宋体" w:hint="default"/>
                <w:sz w:val="18"/>
                <w:szCs w:val="18"/>
              </w:rPr>
            </w:pPr>
            <w:r>
              <w:rPr>
                <w:rFonts w:ascii="宋体" w:hAnsi="宋体" w:cs="宋体" w:eastAsia="宋体" w:hint="default"/>
                <w:spacing w:val="-17"/>
                <w:sz w:val="18"/>
                <w:szCs w:val="18"/>
              </w:rPr>
              <w:t>二至三年</w:t>
            </w:r>
            <w:r>
              <w:rPr>
                <w:rFonts w:ascii="宋体" w:hAnsi="宋体" w:cs="宋体" w:eastAsia="宋体" w:hint="default"/>
                <w:sz w:val="18"/>
                <w:szCs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4"/>
              <w:jc w:val="right"/>
              <w:rPr>
                <w:rFonts w:ascii="Times New Roman" w:hAnsi="Times New Roman" w:cs="Times New Roman" w:eastAsia="Times New Roman" w:hint="default"/>
                <w:sz w:val="18"/>
                <w:szCs w:val="18"/>
              </w:rPr>
            </w:pPr>
            <w:r>
              <w:rPr>
                <w:rFonts w:ascii="Times New Roman"/>
                <w:spacing w:val="-9"/>
                <w:sz w:val="18"/>
              </w:rPr>
              <w:t>20%</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
              <w:jc w:val="right"/>
              <w:rPr>
                <w:rFonts w:ascii="Times New Roman" w:hAnsi="Times New Roman" w:cs="Times New Roman" w:eastAsia="Times New Roman" w:hint="default"/>
                <w:sz w:val="18"/>
                <w:szCs w:val="18"/>
              </w:rPr>
            </w:pPr>
            <w:r>
              <w:rPr>
                <w:rFonts w:ascii="Times New Roman"/>
                <w:sz w:val="18"/>
              </w:rPr>
              <w:t>81,000.00</w:t>
            </w: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
              <w:jc w:val="right"/>
              <w:rPr>
                <w:rFonts w:ascii="Times New Roman" w:hAnsi="Times New Roman" w:cs="Times New Roman" w:eastAsia="Times New Roman" w:hint="default"/>
                <w:sz w:val="18"/>
                <w:szCs w:val="18"/>
              </w:rPr>
            </w:pPr>
            <w:r>
              <w:rPr>
                <w:rFonts w:ascii="Times New Roman"/>
                <w:w w:val="95"/>
                <w:sz w:val="18"/>
              </w:rPr>
              <w:t>1.44%</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
              <w:jc w:val="right"/>
              <w:rPr>
                <w:rFonts w:ascii="Times New Roman" w:hAnsi="Times New Roman" w:cs="Times New Roman" w:eastAsia="Times New Roman" w:hint="default"/>
                <w:sz w:val="18"/>
                <w:szCs w:val="18"/>
              </w:rPr>
            </w:pPr>
            <w:r>
              <w:rPr>
                <w:rFonts w:ascii="Times New Roman"/>
                <w:sz w:val="18"/>
              </w:rPr>
              <w:t>16,200.00</w:t>
            </w: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z w:val="18"/>
              </w:rPr>
              <w:t>844,920.00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
              <w:jc w:val="right"/>
              <w:rPr>
                <w:rFonts w:ascii="Times New Roman" w:hAnsi="Times New Roman" w:cs="Times New Roman" w:eastAsia="Times New Roman" w:hint="default"/>
                <w:sz w:val="18"/>
                <w:szCs w:val="18"/>
              </w:rPr>
            </w:pPr>
            <w:r>
              <w:rPr>
                <w:rFonts w:ascii="Times New Roman"/>
                <w:sz w:val="18"/>
              </w:rPr>
              <w:t>18.37%</w:t>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
              <w:jc w:val="right"/>
              <w:rPr>
                <w:rFonts w:ascii="Times New Roman" w:hAnsi="Times New Roman" w:cs="Times New Roman" w:eastAsia="Times New Roman" w:hint="default"/>
                <w:sz w:val="18"/>
                <w:szCs w:val="18"/>
              </w:rPr>
            </w:pPr>
            <w:r>
              <w:rPr>
                <w:rFonts w:ascii="Times New Roman"/>
                <w:sz w:val="18"/>
              </w:rPr>
              <w:t>168,984.00</w:t>
            </w:r>
          </w:p>
        </w:tc>
      </w:tr>
      <w:tr>
        <w:trPr>
          <w:trHeight w:val="427"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3"/>
              <w:jc w:val="right"/>
              <w:rPr>
                <w:rFonts w:ascii="宋体" w:hAnsi="宋体" w:cs="宋体" w:eastAsia="宋体" w:hint="default"/>
                <w:sz w:val="18"/>
                <w:szCs w:val="18"/>
              </w:rPr>
            </w:pPr>
            <w:r>
              <w:rPr>
                <w:rFonts w:ascii="宋体" w:hAnsi="宋体" w:cs="宋体" w:eastAsia="宋体" w:hint="default"/>
                <w:spacing w:val="-17"/>
                <w:sz w:val="18"/>
                <w:szCs w:val="18"/>
              </w:rPr>
              <w:t>三年以上</w:t>
            </w:r>
            <w:r>
              <w:rPr>
                <w:rFonts w:ascii="宋体" w:hAnsi="宋体" w:cs="宋体" w:eastAsia="宋体" w:hint="default"/>
                <w:sz w:val="18"/>
                <w:szCs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Times New Roman" w:hAnsi="Times New Roman" w:cs="Times New Roman" w:eastAsia="Times New Roman" w:hint="default"/>
                <w:sz w:val="18"/>
                <w:szCs w:val="18"/>
              </w:rPr>
            </w:pPr>
            <w:r>
              <w:rPr>
                <w:rFonts w:ascii="Times New Roman"/>
                <w:spacing w:val="-9"/>
                <w:sz w:val="18"/>
              </w:rPr>
              <w:t>30%</w:t>
            </w:r>
            <w:r>
              <w:rPr>
                <w:rFonts w:ascii="Times New Roman"/>
                <w:sz w:val="18"/>
              </w:rPr>
            </w: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307,320.00</w:t>
            </w: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w w:val="95"/>
                <w:sz w:val="18"/>
              </w:rPr>
              <w:t>5.51%</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7"/>
              <w:jc w:val="right"/>
              <w:rPr>
                <w:rFonts w:ascii="Times New Roman" w:hAnsi="Times New Roman" w:cs="Times New Roman" w:eastAsia="Times New Roman" w:hint="default"/>
                <w:sz w:val="18"/>
                <w:szCs w:val="18"/>
              </w:rPr>
            </w:pPr>
            <w:r>
              <w:rPr>
                <w:rFonts w:ascii="Times New Roman"/>
                <w:sz w:val="18"/>
              </w:rPr>
              <w:t>92,196.00</w:t>
            </w: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942"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single" w:sz="17" w:space="0" w:color="000000"/>
              <w:right w:val="nil" w:sz="6" w:space="0" w:color="auto"/>
            </w:tcBorders>
          </w:tcPr>
          <w:p>
            <w:pPr>
              <w:pStyle w:val="TableParagraph"/>
              <w:spacing w:line="240" w:lineRule="auto" w:before="107"/>
              <w:ind w:right="8"/>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5,580,530.44</w:t>
            </w:r>
          </w:p>
        </w:tc>
        <w:tc>
          <w:tcPr>
            <w:tcW w:w="118" w:type="dxa"/>
            <w:tcBorders>
              <w:top w:val="nil" w:sz="6" w:space="0" w:color="auto"/>
              <w:left w:val="nil" w:sz="6" w:space="0" w:color="auto"/>
              <w:bottom w:val="nil" w:sz="6" w:space="0" w:color="auto"/>
              <w:right w:val="nil" w:sz="6" w:space="0" w:color="auto"/>
            </w:tcBorders>
          </w:tcPr>
          <w:p>
            <w:pPr/>
          </w:p>
        </w:tc>
        <w:tc>
          <w:tcPr>
            <w:tcW w:w="808" w:type="dxa"/>
            <w:tcBorders>
              <w:top w:val="single" w:sz="4" w:space="0" w:color="000000"/>
              <w:left w:val="nil" w:sz="6" w:space="0" w:color="auto"/>
              <w:bottom w:val="single" w:sz="17" w:space="0" w:color="000000"/>
              <w:right w:val="nil" w:sz="6" w:space="0" w:color="auto"/>
            </w:tcBorders>
          </w:tcPr>
          <w:p>
            <w:pPr>
              <w:pStyle w:val="TableParagraph"/>
              <w:spacing w:line="240" w:lineRule="auto" w:before="107"/>
              <w:ind w:right="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8"/>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383,591.97</w:t>
            </w:r>
          </w:p>
        </w:tc>
        <w:tc>
          <w:tcPr>
            <w:tcW w:w="118"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7"/>
              <w:ind w:right="96"/>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4,599,763.88</w:t>
            </w:r>
          </w:p>
        </w:tc>
        <w:tc>
          <w:tcPr>
            <w:tcW w:w="754" w:type="dxa"/>
            <w:tcBorders>
              <w:top w:val="single" w:sz="4" w:space="0" w:color="000000"/>
              <w:left w:val="nil" w:sz="6" w:space="0" w:color="auto"/>
              <w:bottom w:val="single" w:sz="17" w:space="0" w:color="000000"/>
              <w:right w:val="nil" w:sz="6" w:space="0" w:color="auto"/>
            </w:tcBorders>
          </w:tcPr>
          <w:p>
            <w:pPr>
              <w:pStyle w:val="TableParagraph"/>
              <w:spacing w:line="240" w:lineRule="auto" w:before="107"/>
              <w:ind w:right="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17" w:space="0" w:color="000000"/>
              <w:right w:val="nil" w:sz="6" w:space="0" w:color="auto"/>
            </w:tcBorders>
          </w:tcPr>
          <w:p>
            <w:pPr>
              <w:pStyle w:val="TableParagraph"/>
              <w:spacing w:line="240" w:lineRule="auto" w:before="107"/>
              <w:ind w:right="15"/>
              <w:jc w:val="right"/>
              <w:rPr>
                <w:rFonts w:ascii="Times New Roman" w:hAnsi="Times New Roman" w:cs="Times New Roman" w:eastAsia="Times New Roman" w:hint="default"/>
                <w:sz w:val="18"/>
                <w:szCs w:val="18"/>
              </w:rPr>
            </w:pPr>
            <w:r>
              <w:rPr>
                <w:rFonts w:ascii="Times New Roman"/>
                <w:w w:val="95"/>
                <w:sz w:val="18"/>
              </w:rPr>
              <w:t>RMB373,526.19</w:t>
            </w:r>
            <w:r>
              <w:rPr>
                <w:rFonts w:ascii="Times New Roman"/>
                <w:sz w:val="18"/>
              </w:rPr>
            </w:r>
          </w:p>
        </w:tc>
      </w:tr>
    </w:tbl>
    <w:p>
      <w:pPr>
        <w:spacing w:line="240" w:lineRule="auto" w:before="10"/>
        <w:rPr>
          <w:rFonts w:ascii="宋体" w:hAnsi="宋体" w:cs="宋体" w:eastAsia="宋体" w:hint="default"/>
          <w:sz w:val="17"/>
          <w:szCs w:val="17"/>
        </w:rPr>
      </w:pPr>
    </w:p>
    <w:p>
      <w:pPr>
        <w:spacing w:before="44"/>
        <w:ind w:left="514" w:right="0" w:firstLine="0"/>
        <w:jc w:val="left"/>
        <w:rPr>
          <w:rFonts w:ascii="宋体" w:hAnsi="宋体" w:cs="宋体" w:eastAsia="宋体" w:hint="default"/>
          <w:sz w:val="18"/>
          <w:szCs w:val="18"/>
        </w:rPr>
      </w:pPr>
      <w:r>
        <w:rPr/>
        <w:pict>
          <v:group style="position:absolute;margin-left:282.600006pt;margin-top:-13.567971pt;width:66.8pt;height:.1pt;mso-position-horizontal-relative:page;mso-position-vertical-relative:paragraph;z-index:-508672" coordorigin="5652,-271" coordsize="1336,2">
            <v:shape style="position:absolute;left:5652;top:-271;width:1336;height:2" coordorigin="5652,-271" coordsize="1336,0" path="m5652,-271l6988,-271e" filled="false" stroked="true" strokeweight=".48pt" strokecolor="#000000">
              <v:path arrowok="t"/>
            </v:shape>
            <w10:wrap type="none"/>
          </v:group>
        </w:pic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其他应收款按类别分类列示如下：</w:t>
      </w:r>
    </w:p>
    <w:p>
      <w:pPr>
        <w:spacing w:line="240" w:lineRule="auto" w:before="7"/>
        <w:rPr>
          <w:rFonts w:ascii="宋体" w:hAnsi="宋体" w:cs="宋体" w:eastAsia="宋体" w:hint="default"/>
          <w:sz w:val="12"/>
          <w:szCs w:val="12"/>
        </w:rPr>
      </w:pPr>
    </w:p>
    <w:p>
      <w:pPr>
        <w:spacing w:line="192" w:lineRule="exact" w:before="76"/>
        <w:ind w:left="6420" w:right="0" w:firstLine="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p>
      <w:pPr>
        <w:spacing w:line="212" w:lineRule="exact" w:before="0"/>
        <w:ind w:left="1795" w:right="0" w:firstLine="0"/>
        <w:jc w:val="left"/>
        <w:rPr>
          <w:rFonts w:ascii="宋体" w:hAnsi="宋体" w:cs="宋体" w:eastAsia="宋体" w:hint="default"/>
          <w:sz w:val="18"/>
          <w:szCs w:val="18"/>
        </w:rPr>
      </w:pPr>
      <w:r>
        <w:rPr/>
        <w:pict>
          <v:group style="position:absolute;margin-left:239.699997pt;margin-top:6.538767pt;width:298.6pt;height:.1pt;mso-position-horizontal-relative:page;mso-position-vertical-relative:paragraph;z-index:1936" coordorigin="4794,131" coordsize="5972,2">
            <v:shape style="position:absolute;left:4794;top:131;width:5972;height:2" coordorigin="4794,131" coordsize="5972,0" path="m4794,131l10765,131e" filled="false" stroked="true" strokeweight=".48pt" strokecolor="#000000">
              <v:path arrowok="t"/>
            </v:shape>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167" w:val="left" w:leader="none"/>
          <w:tab w:pos="7289" w:val="left" w:leader="none"/>
          <w:tab w:pos="8908" w:val="left" w:leader="none"/>
        </w:tabs>
        <w:spacing w:line="227" w:lineRule="exact" w:before="0"/>
        <w:ind w:left="4693" w:right="0"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5"/>
        <w:rPr>
          <w:rFonts w:ascii="宋体" w:hAnsi="宋体" w:cs="宋体" w:eastAsia="宋体" w:hint="default"/>
          <w:sz w:val="9"/>
          <w:szCs w:val="9"/>
        </w:rPr>
      </w:pPr>
    </w:p>
    <w:p>
      <w:pPr>
        <w:tabs>
          <w:tab w:pos="8700" w:val="left" w:leader="none"/>
        </w:tabs>
        <w:spacing w:line="20" w:lineRule="exact"/>
        <w:ind w:left="154" w:right="0" w:firstLine="0"/>
        <w:rPr>
          <w:rFonts w:ascii="宋体" w:hAnsi="宋体" w:cs="宋体" w:eastAsia="宋体" w:hint="default"/>
          <w:sz w:val="2"/>
          <w:szCs w:val="2"/>
        </w:rPr>
      </w:pPr>
      <w:r>
        <w:rPr>
          <w:rFonts w:ascii="宋体"/>
          <w:sz w:val="2"/>
        </w:rPr>
        <w:pict>
          <v:group style="width:415.3pt;height:.75pt;mso-position-horizontal-relative:char;mso-position-vertical-relative:line" coordorigin="0,0" coordsize="8306,15">
            <v:group style="position:absolute;left:7;top:7;width:3617;height:2" coordorigin="7,7" coordsize="3617,2">
              <v:shape style="position:absolute;left:7;top:7;width:3617;height:2" coordorigin="7,7" coordsize="3617,0" path="m7,7l3624,7e" filled="false" stroked="true" strokeweight=".72pt" strokecolor="#000000">
                <v:path arrowok="t"/>
              </v:shape>
            </v:group>
            <v:group style="position:absolute;left:3660;top:5;width:2092;height:2" coordorigin="3660,5" coordsize="2092,2">
              <v:shape style="position:absolute;left:3660;top:5;width:2092;height:2" coordorigin="3660,5" coordsize="2092,0" path="m3660,5l5752,5e" filled="false" stroked="true" strokeweight=".48pt" strokecolor="#000000">
                <v:path arrowok="t"/>
              </v:shape>
            </v:group>
            <v:group style="position:absolute;left:5789;top:7;width:782;height:2" coordorigin="5789,7" coordsize="782,2">
              <v:shape style="position:absolute;left:5789;top:7;width:782;height:2" coordorigin="5789,7" coordsize="782,0" path="m5789,7l6570,7e" filled="false" stroked="true" strokeweight=".72pt" strokecolor="#000000">
                <v:path arrowok="t"/>
              </v:shape>
            </v:group>
            <v:group style="position:absolute;left:6646;top:5;width:399;height:2" coordorigin="6646,5" coordsize="399,2">
              <v:shape style="position:absolute;left:6646;top:5;width:399;height:2" coordorigin="6646,5" coordsize="399,0" path="m6646,5l7044,5e" filled="false" stroked="true" strokeweight=".48pt" strokecolor="#000000">
                <v:path arrowok="t"/>
              </v:shape>
            </v:group>
            <v:group style="position:absolute;left:7044;top:5;width:1257;height:2" coordorigin="7044,5" coordsize="1257,2">
              <v:shape style="position:absolute;left:7044;top:5;width:1257;height:2" coordorigin="7044,5" coordsize="1257,0" path="m7044,5l8300,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tabs>
          <w:tab w:pos="3821" w:val="left" w:leader="none"/>
          <w:tab w:pos="5015" w:val="left" w:leader="none"/>
          <w:tab w:pos="6199" w:val="left" w:leader="none"/>
          <w:tab w:pos="7689" w:val="left" w:leader="none"/>
          <w:tab w:pos="9345" w:val="left" w:leader="none"/>
        </w:tabs>
        <w:spacing w:before="63"/>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单项金额重大的其他应收款</w:t>
        <w:tab/>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1,937,600.00</w:t>
        <w:tab/>
        <w:t>34.72%</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171,880.00</w:t>
        <w:tab/>
        <w:t>8.87%</w:t>
      </w:r>
      <w:r>
        <w:rPr>
          <w:rFonts w:ascii="Times New Roman" w:hAnsi="Times New Roman" w:cs="Times New Roman" w:eastAsia="Times New Roman" w:hint="default"/>
          <w:sz w:val="18"/>
          <w:szCs w:val="18"/>
        </w:rPr>
      </w:r>
    </w:p>
    <w:p>
      <w:pPr>
        <w:spacing w:before="115"/>
        <w:ind w:left="154" w:right="5172" w:firstLine="0"/>
        <w:jc w:val="left"/>
        <w:rPr>
          <w:rFonts w:ascii="宋体" w:hAnsi="宋体" w:cs="宋体" w:eastAsia="宋体" w:hint="default"/>
          <w:sz w:val="18"/>
          <w:szCs w:val="18"/>
        </w:rPr>
      </w:pPr>
      <w:r>
        <w:rPr/>
        <w:pict>
          <v:shape style="position:absolute;margin-left:239.699997pt;margin-top:9.842659pt;width:300.850pt;height:65.6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9"/>
                    <w:gridCol w:w="1403"/>
                    <w:gridCol w:w="1428"/>
                    <w:gridCol w:w="1021"/>
                    <w:gridCol w:w="1366"/>
                  </w:tblGrid>
                  <w:tr>
                    <w:trPr>
                      <w:trHeight w:val="435" w:hRule="exact"/>
                    </w:trPr>
                    <w:tc>
                      <w:tcPr>
                        <w:tcW w:w="799" w:type="dxa"/>
                        <w:vMerge w:val="restart"/>
                        <w:tcBorders>
                          <w:top w:val="nil" w:sz="6" w:space="0" w:color="auto"/>
                          <w:left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pacing w:val="-4"/>
                            <w:sz w:val="18"/>
                          </w:rPr>
                          <w:t>7,320.00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69" w:right="0"/>
                          <w:jc w:val="left"/>
                          <w:rPr>
                            <w:rFonts w:ascii="Times New Roman" w:hAnsi="Times New Roman" w:cs="Times New Roman" w:eastAsia="Times New Roman" w:hint="default"/>
                            <w:sz w:val="18"/>
                            <w:szCs w:val="18"/>
                          </w:rPr>
                        </w:pPr>
                        <w:r>
                          <w:rPr>
                            <w:rFonts w:ascii="Times New Roman"/>
                            <w:spacing w:val="-4"/>
                            <w:sz w:val="18"/>
                          </w:rPr>
                          <w:t>0.13%</w:t>
                        </w:r>
                        <w:r>
                          <w:rPr>
                            <w:rFonts w:ascii="Times New Roman"/>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pacing w:val="-4"/>
                            <w:sz w:val="18"/>
                          </w:rPr>
                          <w:t>2,196.00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4"/>
                            <w:sz w:val="18"/>
                          </w:rPr>
                          <w:t>30.00%</w:t>
                        </w:r>
                      </w:p>
                    </w:tc>
                  </w:tr>
                  <w:tr>
                    <w:trPr>
                      <w:trHeight w:val="453" w:hRule="exact"/>
                    </w:trPr>
                    <w:tc>
                      <w:tcPr>
                        <w:tcW w:w="799" w:type="dxa"/>
                        <w:vMerge/>
                        <w:tcBorders>
                          <w:left w:val="nil" w:sz="6" w:space="0" w:color="auto"/>
                          <w:bottom w:val="single" w:sz="6" w:space="0" w:color="000000"/>
                          <w:right w:val="nil" w:sz="6" w:space="0" w:color="auto"/>
                        </w:tcBorders>
                      </w:tcPr>
                      <w:p>
                        <w:pPr/>
                      </w:p>
                    </w:tc>
                    <w:tc>
                      <w:tcPr>
                        <w:tcW w:w="1403" w:type="dxa"/>
                        <w:tcBorders>
                          <w:top w:val="nil" w:sz="6" w:space="0" w:color="auto"/>
                          <w:left w:val="nil" w:sz="6" w:space="0" w:color="auto"/>
                          <w:bottom w:val="single" w:sz="6" w:space="0" w:color="000000"/>
                          <w:right w:val="nil" w:sz="6" w:space="0" w:color="auto"/>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pacing w:val="-4"/>
                            <w:sz w:val="18"/>
                          </w:rPr>
                          <w:t>3,635,610.44</w:t>
                        </w:r>
                      </w:p>
                    </w:tc>
                    <w:tc>
                      <w:tcPr>
                        <w:tcW w:w="1428" w:type="dxa"/>
                        <w:tcBorders>
                          <w:top w:val="nil" w:sz="6" w:space="0" w:color="auto"/>
                          <w:left w:val="nil" w:sz="6" w:space="0" w:color="auto"/>
                          <w:bottom w:val="single" w:sz="6" w:space="0" w:color="000000"/>
                          <w:right w:val="nil" w:sz="6" w:space="0" w:color="auto"/>
                        </w:tcBorders>
                      </w:tcPr>
                      <w:p>
                        <w:pPr>
                          <w:pStyle w:val="TableParagraph"/>
                          <w:spacing w:line="240" w:lineRule="auto" w:before="132"/>
                          <w:ind w:left="184" w:right="0"/>
                          <w:jc w:val="left"/>
                          <w:rPr>
                            <w:rFonts w:ascii="Times New Roman" w:hAnsi="Times New Roman" w:cs="Times New Roman" w:eastAsia="Times New Roman" w:hint="default"/>
                            <w:sz w:val="18"/>
                            <w:szCs w:val="18"/>
                          </w:rPr>
                        </w:pPr>
                        <w:r>
                          <w:rPr>
                            <w:rFonts w:ascii="Times New Roman"/>
                            <w:spacing w:val="-5"/>
                            <w:sz w:val="18"/>
                          </w:rPr>
                          <w:t>65.15%</w:t>
                        </w:r>
                        <w:r>
                          <w:rPr>
                            <w:rFonts w:ascii="Times New Roman"/>
                            <w:sz w:val="18"/>
                          </w:rPr>
                        </w:r>
                      </w:p>
                    </w:tc>
                    <w:tc>
                      <w:tcPr>
                        <w:tcW w:w="1021" w:type="dxa"/>
                        <w:tcBorders>
                          <w:top w:val="nil" w:sz="6" w:space="0" w:color="auto"/>
                          <w:left w:val="nil" w:sz="6" w:space="0" w:color="auto"/>
                          <w:bottom w:val="single" w:sz="6" w:space="0" w:color="000000"/>
                          <w:right w:val="nil" w:sz="6" w:space="0" w:color="auto"/>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5"/>
                            <w:sz w:val="18"/>
                          </w:rPr>
                          <w:t>209,515.97</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5"/>
                          <w:jc w:val="right"/>
                          <w:rPr>
                            <w:rFonts w:ascii="Times New Roman" w:hAnsi="Times New Roman" w:cs="Times New Roman" w:eastAsia="Times New Roman" w:hint="default"/>
                            <w:sz w:val="18"/>
                            <w:szCs w:val="18"/>
                          </w:rPr>
                        </w:pPr>
                        <w:r>
                          <w:rPr>
                            <w:rFonts w:ascii="Times New Roman"/>
                            <w:w w:val="95"/>
                            <w:sz w:val="18"/>
                          </w:rPr>
                          <w:t>5.76%</w:t>
                        </w:r>
                        <w:r>
                          <w:rPr>
                            <w:rFonts w:ascii="Times New Roman"/>
                            <w:sz w:val="18"/>
                          </w:rPr>
                        </w:r>
                      </w:p>
                    </w:tc>
                  </w:tr>
                  <w:tr>
                    <w:trPr>
                      <w:trHeight w:val="423" w:hRule="exact"/>
                    </w:trPr>
                    <w:tc>
                      <w:tcPr>
                        <w:tcW w:w="799"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left="7"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403"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pacing w:val="-4"/>
                            <w:sz w:val="18"/>
                          </w:rPr>
                          <w:t>5,580,530.44</w:t>
                        </w:r>
                      </w:p>
                    </w:tc>
                    <w:tc>
                      <w:tcPr>
                        <w:tcW w:w="1428"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pacing w:val="-4"/>
                            <w:sz w:val="18"/>
                          </w:rPr>
                          <w:t>100.00%</w:t>
                        </w:r>
                        <w:r>
                          <w:rPr>
                            <w:rFonts w:ascii="Times New Roman"/>
                            <w:spacing w:val="28"/>
                            <w:sz w:val="18"/>
                          </w:rPr>
                          <w:t> </w:t>
                        </w:r>
                        <w:r>
                          <w:rPr>
                            <w:rFonts w:ascii="Times New Roman"/>
                            <w:spacing w:val="-4"/>
                            <w:sz w:val="18"/>
                          </w:rPr>
                          <w:t>RMB</w:t>
                        </w:r>
                        <w:r>
                          <w:rPr>
                            <w:rFonts w:ascii="Times New Roman"/>
                            <w:sz w:val="18"/>
                          </w:rPr>
                        </w:r>
                      </w:p>
                    </w:tc>
                    <w:tc>
                      <w:tcPr>
                        <w:tcW w:w="1021"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1"/>
                          <w:jc w:val="right"/>
                          <w:rPr>
                            <w:rFonts w:ascii="Times New Roman" w:hAnsi="Times New Roman" w:cs="Times New Roman" w:eastAsia="Times New Roman" w:hint="default"/>
                            <w:sz w:val="18"/>
                            <w:szCs w:val="18"/>
                          </w:rPr>
                        </w:pPr>
                        <w:r>
                          <w:rPr>
                            <w:rFonts w:ascii="Times New Roman"/>
                            <w:spacing w:val="-5"/>
                            <w:sz w:val="18"/>
                          </w:rPr>
                          <w:t>383,591.97</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6"/>
                          <w:jc w:val="right"/>
                          <w:rPr>
                            <w:rFonts w:ascii="Times New Roman" w:hAnsi="Times New Roman" w:cs="Times New Roman" w:eastAsia="Times New Roman" w:hint="default"/>
                            <w:sz w:val="18"/>
                            <w:szCs w:val="18"/>
                          </w:rPr>
                        </w:pPr>
                        <w:r>
                          <w:rPr>
                            <w:rFonts w:ascii="Times New Roman"/>
                            <w:w w:val="95"/>
                            <w:sz w:val="18"/>
                          </w:rPr>
                          <w:t>6.87%</w:t>
                        </w:r>
                        <w:r>
                          <w:rPr>
                            <w:rFonts w:ascii="Times New Roman"/>
                            <w:sz w:val="18"/>
                          </w:rPr>
                        </w:r>
                      </w:p>
                    </w:tc>
                  </w:tr>
                </w:tbl>
                <w:p>
                  <w:pPr/>
                </w:p>
              </w:txbxContent>
            </v:textbox>
            <w10:wrap type="none"/>
          </v:shape>
        </w:pict>
      </w: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大的其他应收款</w:t>
      </w:r>
      <w:r>
        <w:rPr>
          <w:rFonts w:ascii="宋体" w:hAnsi="宋体" w:cs="宋体" w:eastAsia="宋体" w:hint="default"/>
          <w:sz w:val="18"/>
          <w:szCs w:val="18"/>
        </w:rPr>
      </w:r>
    </w:p>
    <w:p>
      <w:pPr>
        <w:spacing w:before="134"/>
        <w:ind w:left="154" w:right="0" w:firstLine="0"/>
        <w:jc w:val="left"/>
        <w:rPr>
          <w:rFonts w:ascii="宋体" w:hAnsi="宋体" w:cs="宋体" w:eastAsia="宋体" w:hint="default"/>
          <w:sz w:val="18"/>
          <w:szCs w:val="18"/>
        </w:rPr>
      </w:pPr>
      <w:r>
        <w:rPr>
          <w:rFonts w:ascii="宋体" w:hAnsi="宋体" w:cs="宋体" w:eastAsia="宋体" w:hint="default"/>
          <w:spacing w:val="-9"/>
          <w:sz w:val="18"/>
          <w:szCs w:val="18"/>
        </w:rPr>
        <w:t>单项金额不重大的其他应收款</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28" w:lineRule="exact"/>
        <w:ind w:left="38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233.25pt;height:1.45pt;mso-position-horizontal-relative:char;mso-position-vertical-relative:line" coordorigin="0,0" coordsize="4665,29">
            <v:group style="position:absolute;left:5;top:24;width:429;height:2" coordorigin="5,24" coordsize="429,2">
              <v:shape style="position:absolute;left:5;top:24;width:429;height:2" coordorigin="5,24" coordsize="429,0" path="m5,24l433,24e" filled="false" stroked="true" strokeweight=".48pt" strokecolor="#000000">
                <v:path arrowok="t"/>
              </v:shape>
            </v:group>
            <v:group style="position:absolute;left:5;top:5;width:429;height:2" coordorigin="5,5" coordsize="429,2">
              <v:shape style="position:absolute;left:5;top:5;width:429;height:2" coordorigin="5,5" coordsize="429,0" path="m5,5l433,5e" filled="false" stroked="true" strokeweight=".48pt" strokecolor="#000000">
                <v:path arrowok="t"/>
              </v:shape>
            </v:group>
            <v:group style="position:absolute;left:419;top:5;width:29;height:2" coordorigin="419,5" coordsize="29,2">
              <v:shape style="position:absolute;left:419;top:5;width:29;height:2" coordorigin="419,5" coordsize="29,0" path="m419,5l448,5e" filled="false" stroked="true" strokeweight=".48pt" strokecolor="#000000">
                <v:path arrowok="t"/>
              </v:shape>
            </v:group>
            <v:group style="position:absolute;left:419;top:24;width:1692;height:2" coordorigin="419,24" coordsize="1692,2">
              <v:shape style="position:absolute;left:419;top:24;width:1692;height:2" coordorigin="419,24" coordsize="1692,0" path="m419,24l2111,24e" filled="false" stroked="true" strokeweight=".48pt" strokecolor="#000000">
                <v:path arrowok="t"/>
              </v:shape>
            </v:group>
            <v:group style="position:absolute;left:448;top:5;width:1664;height:2" coordorigin="448,5" coordsize="1664,2">
              <v:shape style="position:absolute;left:448;top:5;width:1664;height:2" coordorigin="448,5" coordsize="1664,0" path="m448,5l2111,5e" filled="false" stroked="true" strokeweight=".48pt" strokecolor="#000000">
                <v:path arrowok="t"/>
              </v:shape>
            </v:group>
            <v:group style="position:absolute;left:2134;top:24;width:796;height:2" coordorigin="2134,24" coordsize="796,2">
              <v:shape style="position:absolute;left:2134;top:24;width:796;height:2" coordorigin="2134,24" coordsize="796,0" path="m2134,24l2929,24e" filled="false" stroked="true" strokeweight=".48pt" strokecolor="#000000">
                <v:path arrowok="t"/>
              </v:shape>
            </v:group>
            <v:group style="position:absolute;left:2134;top:5;width:796;height:2" coordorigin="2134,5" coordsize="796,2">
              <v:shape style="position:absolute;left:2134;top:5;width:796;height:2" coordorigin="2134,5" coordsize="796,0" path="m2134,5l2929,5e" filled="false" stroked="true" strokeweight=".48pt" strokecolor="#000000">
                <v:path arrowok="t"/>
              </v:shape>
            </v:group>
            <v:group style="position:absolute;left:2990;top:24;width:404;height:2" coordorigin="2990,24" coordsize="404,2">
              <v:shape style="position:absolute;left:2990;top:24;width:404;height:2" coordorigin="2990,24" coordsize="404,0" path="m2990,24l3394,24e" filled="false" stroked="true" strokeweight=".48pt" strokecolor="#000000">
                <v:path arrowok="t"/>
              </v:shape>
            </v:group>
            <v:group style="position:absolute;left:2990;top:5;width:404;height:2" coordorigin="2990,5" coordsize="404,2">
              <v:shape style="position:absolute;left:2990;top:5;width:404;height:2" coordorigin="2990,5" coordsize="404,0" path="m2990,5l3394,5e" filled="false" stroked="true" strokeweight=".48pt" strokecolor="#000000">
                <v:path arrowok="t"/>
              </v:shape>
            </v:group>
            <v:group style="position:absolute;left:3379;top:5;width:29;height:2" coordorigin="3379,5" coordsize="29,2">
              <v:shape style="position:absolute;left:3379;top:5;width:29;height:2" coordorigin="3379,5" coordsize="29,0" path="m3379,5l3408,5e" filled="false" stroked="true" strokeweight=".48pt" strokecolor="#000000">
                <v:path arrowok="t"/>
              </v:shape>
            </v:group>
            <v:group style="position:absolute;left:3379;top:24;width:1281;height:2" coordorigin="3379,24" coordsize="1281,2">
              <v:shape style="position:absolute;left:3379;top:24;width:1281;height:2" coordorigin="3379,24" coordsize="1281,0" path="m3379,24l4660,24e" filled="false" stroked="true" strokeweight=".48pt" strokecolor="#000000">
                <v:path arrowok="t"/>
              </v:shape>
            </v:group>
            <v:group style="position:absolute;left:3408;top:5;width:1252;height:2" coordorigin="3408,5" coordsize="1252,2">
              <v:shape style="position:absolute;left:3408;top:5;width:1252;height:2" coordorigin="3408,5" coordsize="1252,0" path="m3408,5l4660,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192" w:lineRule="exact" w:before="76"/>
        <w:ind w:left="6420" w:right="0" w:firstLine="0"/>
        <w:jc w:val="left"/>
        <w:rPr>
          <w:rFonts w:ascii="Times New Roman" w:hAnsi="Times New Roman" w:cs="Times New Roman" w:eastAsia="Times New Roman" w:hint="default"/>
          <w:sz w:val="18"/>
          <w:szCs w:val="18"/>
        </w:rPr>
      </w:pPr>
      <w:r>
        <w:rPr>
          <w:rFonts w:ascii="Times New Roman"/>
          <w:spacing w:val="-5"/>
          <w:sz w:val="18"/>
        </w:rPr>
        <w:t>2006.12.31</w:t>
      </w:r>
      <w:r>
        <w:rPr>
          <w:rFonts w:ascii="Times New Roman"/>
          <w:sz w:val="18"/>
        </w:rPr>
      </w:r>
    </w:p>
    <w:p>
      <w:pPr>
        <w:spacing w:line="212" w:lineRule="exact" w:before="0"/>
        <w:ind w:left="1795" w:right="0" w:firstLine="0"/>
        <w:jc w:val="left"/>
        <w:rPr>
          <w:rFonts w:ascii="宋体" w:hAnsi="宋体" w:cs="宋体" w:eastAsia="宋体" w:hint="default"/>
          <w:sz w:val="18"/>
          <w:szCs w:val="18"/>
        </w:rPr>
      </w:pPr>
      <w:r>
        <w:rPr/>
        <w:pict>
          <v:group style="position:absolute;margin-left:239.699997pt;margin-top:6.53577pt;width:298.6pt;height:.1pt;mso-position-horizontal-relative:page;mso-position-vertical-relative:paragraph;z-index:1960" coordorigin="4794,131" coordsize="5972,2">
            <v:shape style="position:absolute;left:4794;top:131;width:5972;height:2" coordorigin="4794,131" coordsize="5972,0" path="m4794,131l10765,131e" filled="false" stroked="true" strokeweight=".48pt" strokecolor="#000000">
              <v:path arrowok="t"/>
            </v:shape>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167" w:val="left" w:leader="none"/>
          <w:tab w:pos="7289" w:val="left" w:leader="none"/>
          <w:tab w:pos="8908" w:val="left" w:leader="none"/>
        </w:tabs>
        <w:spacing w:line="227" w:lineRule="exact" w:before="0"/>
        <w:ind w:left="4693" w:right="0"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3"/>
        <w:rPr>
          <w:rFonts w:ascii="宋体" w:hAnsi="宋体" w:cs="宋体" w:eastAsia="宋体" w:hint="default"/>
          <w:sz w:val="9"/>
          <w:szCs w:val="9"/>
        </w:rPr>
      </w:pPr>
    </w:p>
    <w:p>
      <w:pPr>
        <w:tabs>
          <w:tab w:pos="8700" w:val="left" w:leader="none"/>
        </w:tabs>
        <w:spacing w:line="20" w:lineRule="exact"/>
        <w:ind w:left="154" w:right="0" w:firstLine="0"/>
        <w:rPr>
          <w:rFonts w:ascii="宋体" w:hAnsi="宋体" w:cs="宋体" w:eastAsia="宋体" w:hint="default"/>
          <w:sz w:val="2"/>
          <w:szCs w:val="2"/>
        </w:rPr>
      </w:pPr>
      <w:r>
        <w:rPr>
          <w:rFonts w:ascii="宋体"/>
          <w:sz w:val="2"/>
        </w:rPr>
        <w:pict>
          <v:group style="width:415.3pt;height:.75pt;mso-position-horizontal-relative:char;mso-position-vertical-relative:line" coordorigin="0,0" coordsize="8306,15">
            <v:group style="position:absolute;left:7;top:7;width:3617;height:2" coordorigin="7,7" coordsize="3617,2">
              <v:shape style="position:absolute;left:7;top:7;width:3617;height:2" coordorigin="7,7" coordsize="3617,0" path="m7,7l3624,7e" filled="false" stroked="true" strokeweight=".72pt" strokecolor="#000000">
                <v:path arrowok="t"/>
              </v:shape>
            </v:group>
            <v:group style="position:absolute;left:3660;top:5;width:2092;height:2" coordorigin="3660,5" coordsize="2092,2">
              <v:shape style="position:absolute;left:3660;top:5;width:2092;height:2" coordorigin="3660,5" coordsize="2092,0" path="m3660,5l5752,5e" filled="false" stroked="true" strokeweight=".48pt" strokecolor="#000000">
                <v:path arrowok="t"/>
              </v:shape>
            </v:group>
            <v:group style="position:absolute;left:5789;top:7;width:782;height:2" coordorigin="5789,7" coordsize="782,2">
              <v:shape style="position:absolute;left:5789;top:7;width:782;height:2" coordorigin="5789,7" coordsize="782,0" path="m5789,7l6570,7e" filled="false" stroked="true" strokeweight=".72pt" strokecolor="#000000">
                <v:path arrowok="t"/>
              </v:shape>
            </v:group>
            <v:group style="position:absolute;left:6646;top:5;width:399;height:2" coordorigin="6646,5" coordsize="399,2">
              <v:shape style="position:absolute;left:6646;top:5;width:399;height:2" coordorigin="6646,5" coordsize="399,0" path="m6646,5l7044,5e" filled="false" stroked="true" strokeweight=".48pt" strokecolor="#000000">
                <v:path arrowok="t"/>
              </v:shape>
            </v:group>
            <v:group style="position:absolute;left:7044;top:5;width:1257;height:2" coordorigin="7044,5" coordsize="1257,2">
              <v:shape style="position:absolute;left:7044;top:5;width:1257;height:2" coordorigin="7044,5" coordsize="1257,0" path="m7044,5l8300,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tabs>
          <w:tab w:pos="3821" w:val="left" w:leader="none"/>
          <w:tab w:pos="5141" w:val="left" w:leader="none"/>
          <w:tab w:pos="6198" w:val="left" w:leader="none"/>
          <w:tab w:pos="7774" w:val="left" w:leader="none"/>
          <w:tab w:pos="9260" w:val="left" w:leader="none"/>
        </w:tabs>
        <w:spacing w:before="65"/>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单项金额重大的其他应收款</w:t>
        <w:tab/>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500,000.00</w:t>
        <w:tab/>
        <w:t>10.87%</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70,000.00</w:t>
        <w:tab/>
        <w:t>14.00%</w:t>
      </w:r>
    </w:p>
    <w:p>
      <w:pPr>
        <w:spacing w:before="115"/>
        <w:ind w:left="154" w:right="5172" w:firstLine="0"/>
        <w:jc w:val="left"/>
        <w:rPr>
          <w:rFonts w:ascii="宋体" w:hAnsi="宋体" w:cs="宋体" w:eastAsia="宋体" w:hint="default"/>
          <w:sz w:val="18"/>
          <w:szCs w:val="18"/>
        </w:rPr>
      </w:pPr>
      <w:r>
        <w:rPr/>
        <w:pict>
          <v:shape style="position:absolute;margin-left:239.699997pt;margin-top:9.842745pt;width:300.850pt;height:65.6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9"/>
                    <w:gridCol w:w="1402"/>
                    <w:gridCol w:w="1428"/>
                    <w:gridCol w:w="1021"/>
                    <w:gridCol w:w="1367"/>
                  </w:tblGrid>
                  <w:tr>
                    <w:trPr>
                      <w:trHeight w:val="888" w:hRule="exact"/>
                    </w:trPr>
                    <w:tc>
                      <w:tcPr>
                        <w:tcW w:w="799" w:type="dxa"/>
                        <w:tcBorders>
                          <w:top w:val="nil" w:sz="6" w:space="0" w:color="auto"/>
                          <w:left w:val="nil" w:sz="6" w:space="0" w:color="auto"/>
                          <w:bottom w:val="single" w:sz="6" w:space="0" w:color="000000"/>
                          <w:right w:val="nil" w:sz="6" w:space="0" w:color="auto"/>
                        </w:tcBorders>
                      </w:tcPr>
                      <w:p>
                        <w:pPr/>
                      </w:p>
                    </w:tc>
                    <w:tc>
                      <w:tcPr>
                        <w:tcW w:w="1402"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402" w:right="0" w:firstLine="841"/>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pacing w:val="-4"/>
                            <w:sz w:val="18"/>
                          </w:rPr>
                          <w:t>4,099,763.88</w:t>
                        </w:r>
                      </w:p>
                    </w:tc>
                    <w:tc>
                      <w:tcPr>
                        <w:tcW w:w="1428"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184" w:right="0" w:firstLine="474"/>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pacing w:val="-4"/>
                            <w:sz w:val="18"/>
                          </w:rPr>
                          <w:t>89.13%</w:t>
                        </w:r>
                      </w:p>
                    </w:tc>
                    <w:tc>
                      <w:tcPr>
                        <w:tcW w:w="1021"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246" w:right="0" w:firstLine="714"/>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pacing w:val="-5"/>
                            <w:sz w:val="18"/>
                          </w:rPr>
                          <w:t>303,526.19</w:t>
                        </w:r>
                        <w:r>
                          <w:rPr>
                            <w:rFonts w:ascii="Times New Roman"/>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2" w:right="0" w:firstLine="409"/>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62" w:right="0"/>
                          <w:jc w:val="left"/>
                          <w:rPr>
                            <w:rFonts w:ascii="Times New Roman" w:hAnsi="Times New Roman" w:cs="Times New Roman" w:eastAsia="Times New Roman" w:hint="default"/>
                            <w:sz w:val="18"/>
                            <w:szCs w:val="18"/>
                          </w:rPr>
                        </w:pPr>
                        <w:r>
                          <w:rPr>
                            <w:rFonts w:ascii="Times New Roman"/>
                            <w:sz w:val="18"/>
                          </w:rPr>
                          <w:t>7.40%</w:t>
                        </w:r>
                      </w:p>
                    </w:tc>
                  </w:tr>
                  <w:tr>
                    <w:trPr>
                      <w:trHeight w:val="423" w:hRule="exact"/>
                    </w:trPr>
                    <w:tc>
                      <w:tcPr>
                        <w:tcW w:w="799"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left="7"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402"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left="402" w:right="0"/>
                          <w:jc w:val="left"/>
                          <w:rPr>
                            <w:rFonts w:ascii="Times New Roman" w:hAnsi="Times New Roman" w:cs="Times New Roman" w:eastAsia="Times New Roman" w:hint="default"/>
                            <w:sz w:val="18"/>
                            <w:szCs w:val="18"/>
                          </w:rPr>
                        </w:pPr>
                        <w:r>
                          <w:rPr>
                            <w:rFonts w:ascii="Times New Roman"/>
                            <w:spacing w:val="-4"/>
                            <w:sz w:val="18"/>
                          </w:rPr>
                          <w:t>4,599,763.88</w:t>
                        </w:r>
                      </w:p>
                    </w:tc>
                    <w:tc>
                      <w:tcPr>
                        <w:tcW w:w="1428"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pacing w:val="-4"/>
                            <w:sz w:val="18"/>
                          </w:rPr>
                          <w:t>100.00%</w:t>
                        </w:r>
                        <w:r>
                          <w:rPr>
                            <w:rFonts w:ascii="Times New Roman"/>
                            <w:spacing w:val="28"/>
                            <w:sz w:val="18"/>
                          </w:rPr>
                          <w:t> </w:t>
                        </w:r>
                        <w:r>
                          <w:rPr>
                            <w:rFonts w:ascii="Times New Roman"/>
                            <w:spacing w:val="-4"/>
                            <w:sz w:val="18"/>
                          </w:rPr>
                          <w:t>RMB</w:t>
                        </w:r>
                        <w:r>
                          <w:rPr>
                            <w:rFonts w:ascii="Times New Roman"/>
                            <w:sz w:val="18"/>
                          </w:rPr>
                        </w:r>
                      </w:p>
                    </w:tc>
                    <w:tc>
                      <w:tcPr>
                        <w:tcW w:w="1021"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left="246" w:right="0"/>
                          <w:jc w:val="left"/>
                          <w:rPr>
                            <w:rFonts w:ascii="Times New Roman" w:hAnsi="Times New Roman" w:cs="Times New Roman" w:eastAsia="Times New Roman" w:hint="default"/>
                            <w:sz w:val="18"/>
                            <w:szCs w:val="18"/>
                          </w:rPr>
                        </w:pPr>
                        <w:r>
                          <w:rPr>
                            <w:rFonts w:ascii="Times New Roman"/>
                            <w:spacing w:val="-5"/>
                            <w:sz w:val="18"/>
                          </w:rPr>
                          <w:t>373,526.19</w:t>
                        </w:r>
                        <w:r>
                          <w:rPr>
                            <w:rFonts w:ascii="Times New Roman"/>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62" w:right="0"/>
                          <w:jc w:val="left"/>
                          <w:rPr>
                            <w:rFonts w:ascii="Times New Roman" w:hAnsi="Times New Roman" w:cs="Times New Roman" w:eastAsia="Times New Roman" w:hint="default"/>
                            <w:sz w:val="18"/>
                            <w:szCs w:val="18"/>
                          </w:rPr>
                        </w:pPr>
                        <w:r>
                          <w:rPr>
                            <w:rFonts w:ascii="Times New Roman"/>
                            <w:sz w:val="18"/>
                          </w:rPr>
                          <w:t>8.12%</w:t>
                        </w:r>
                      </w:p>
                    </w:tc>
                  </w:tr>
                </w:tbl>
                <w:p>
                  <w:pPr/>
                </w:p>
              </w:txbxContent>
            </v:textbox>
            <w10:wrap type="none"/>
          </v:shape>
        </w:pict>
      </w: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大的其他应收款</w:t>
      </w:r>
      <w:r>
        <w:rPr>
          <w:rFonts w:ascii="宋体" w:hAnsi="宋体" w:cs="宋体" w:eastAsia="宋体" w:hint="default"/>
          <w:sz w:val="18"/>
          <w:szCs w:val="18"/>
        </w:rPr>
      </w:r>
    </w:p>
    <w:p>
      <w:pPr>
        <w:spacing w:before="134"/>
        <w:ind w:left="154" w:right="0" w:firstLine="0"/>
        <w:jc w:val="left"/>
        <w:rPr>
          <w:rFonts w:ascii="宋体" w:hAnsi="宋体" w:cs="宋体" w:eastAsia="宋体" w:hint="default"/>
          <w:sz w:val="18"/>
          <w:szCs w:val="18"/>
        </w:rPr>
      </w:pPr>
      <w:r>
        <w:rPr>
          <w:rFonts w:ascii="宋体" w:hAnsi="宋体" w:cs="宋体" w:eastAsia="宋体" w:hint="default"/>
          <w:spacing w:val="-9"/>
          <w:sz w:val="18"/>
          <w:szCs w:val="18"/>
        </w:rPr>
        <w:t>单项金额不重大的其他应收款</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28" w:lineRule="exact"/>
        <w:ind w:left="38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233.25pt;height:1.45pt;mso-position-horizontal-relative:char;mso-position-vertical-relative:line" coordorigin="0,0" coordsize="4665,29">
            <v:group style="position:absolute;left:5;top:24;width:429;height:2" coordorigin="5,24" coordsize="429,2">
              <v:shape style="position:absolute;left:5;top:24;width:429;height:2" coordorigin="5,24" coordsize="429,0" path="m5,24l433,24e" filled="false" stroked="true" strokeweight=".48pt" strokecolor="#000000">
                <v:path arrowok="t"/>
              </v:shape>
            </v:group>
            <v:group style="position:absolute;left:5;top:5;width:429;height:2" coordorigin="5,5" coordsize="429,2">
              <v:shape style="position:absolute;left:5;top:5;width:429;height:2" coordorigin="5,5" coordsize="429,0" path="m5,5l433,5e" filled="false" stroked="true" strokeweight=".48pt" strokecolor="#000000">
                <v:path arrowok="t"/>
              </v:shape>
            </v:group>
            <v:group style="position:absolute;left:419;top:5;width:29;height:2" coordorigin="419,5" coordsize="29,2">
              <v:shape style="position:absolute;left:419;top:5;width:29;height:2" coordorigin="419,5" coordsize="29,0" path="m419,5l448,5e" filled="false" stroked="true" strokeweight=".48pt" strokecolor="#000000">
                <v:path arrowok="t"/>
              </v:shape>
            </v:group>
            <v:group style="position:absolute;left:419;top:24;width:1692;height:2" coordorigin="419,24" coordsize="1692,2">
              <v:shape style="position:absolute;left:419;top:24;width:1692;height:2" coordorigin="419,24" coordsize="1692,0" path="m419,24l2111,24e" filled="false" stroked="true" strokeweight=".48pt" strokecolor="#000000">
                <v:path arrowok="t"/>
              </v:shape>
            </v:group>
            <v:group style="position:absolute;left:448;top:5;width:1664;height:2" coordorigin="448,5" coordsize="1664,2">
              <v:shape style="position:absolute;left:448;top:5;width:1664;height:2" coordorigin="448,5" coordsize="1664,0" path="m448,5l2111,5e" filled="false" stroked="true" strokeweight=".48pt" strokecolor="#000000">
                <v:path arrowok="t"/>
              </v:shape>
            </v:group>
            <v:group style="position:absolute;left:2134;top:24;width:796;height:2" coordorigin="2134,24" coordsize="796,2">
              <v:shape style="position:absolute;left:2134;top:24;width:796;height:2" coordorigin="2134,24" coordsize="796,0" path="m2134,24l2929,24e" filled="false" stroked="true" strokeweight=".48pt" strokecolor="#000000">
                <v:path arrowok="t"/>
              </v:shape>
            </v:group>
            <v:group style="position:absolute;left:2134;top:5;width:796;height:2" coordorigin="2134,5" coordsize="796,2">
              <v:shape style="position:absolute;left:2134;top:5;width:796;height:2" coordorigin="2134,5" coordsize="796,0" path="m2134,5l2929,5e" filled="false" stroked="true" strokeweight=".48pt" strokecolor="#000000">
                <v:path arrowok="t"/>
              </v:shape>
            </v:group>
            <v:group style="position:absolute;left:2990;top:24;width:404;height:2" coordorigin="2990,24" coordsize="404,2">
              <v:shape style="position:absolute;left:2990;top:24;width:404;height:2" coordorigin="2990,24" coordsize="404,0" path="m2990,24l3394,24e" filled="false" stroked="true" strokeweight=".48pt" strokecolor="#000000">
                <v:path arrowok="t"/>
              </v:shape>
            </v:group>
            <v:group style="position:absolute;left:2990;top:5;width:404;height:2" coordorigin="2990,5" coordsize="404,2">
              <v:shape style="position:absolute;left:2990;top:5;width:404;height:2" coordorigin="2990,5" coordsize="404,0" path="m2990,5l3394,5e" filled="false" stroked="true" strokeweight=".48pt" strokecolor="#000000">
                <v:path arrowok="t"/>
              </v:shape>
            </v:group>
            <v:group style="position:absolute;left:3379;top:5;width:29;height:2" coordorigin="3379,5" coordsize="29,2">
              <v:shape style="position:absolute;left:3379;top:5;width:29;height:2" coordorigin="3379,5" coordsize="29,0" path="m3379,5l3408,5e" filled="false" stroked="true" strokeweight=".48pt" strokecolor="#000000">
                <v:path arrowok="t"/>
              </v:shape>
            </v:group>
            <v:group style="position:absolute;left:3379;top:24;width:1281;height:2" coordorigin="3379,24" coordsize="1281,2">
              <v:shape style="position:absolute;left:3379;top:24;width:1281;height:2" coordorigin="3379,24" coordsize="1281,0" path="m3379,24l4660,24e" filled="false" stroked="true" strokeweight=".48pt" strokecolor="#000000">
                <v:path arrowok="t"/>
              </v:shape>
            </v:group>
            <v:group style="position:absolute;left:3408;top:5;width:1252;height:2" coordorigin="3408,5" coordsize="1252,2">
              <v:shape style="position:absolute;left:3408;top:5;width:1252;height:2" coordorigin="3408,5" coordsize="1252,0" path="m3408,5l4660,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6"/>
        <w:rPr>
          <w:rFonts w:ascii="宋体" w:hAnsi="宋体" w:cs="宋体" w:eastAsia="宋体" w:hint="default"/>
          <w:sz w:val="6"/>
          <w:szCs w:val="6"/>
        </w:rPr>
      </w:pPr>
    </w:p>
    <w:p>
      <w:pPr>
        <w:pStyle w:val="BodyText"/>
        <w:spacing w:line="273" w:lineRule="auto" w:before="26"/>
        <w:ind w:right="0" w:firstLine="480"/>
        <w:jc w:val="left"/>
      </w:pPr>
      <w:r>
        <w:rPr>
          <w:rFonts w:ascii="Times New Roman" w:hAnsi="Times New Roman" w:cs="Times New Roman" w:eastAsia="Times New Roman" w:hint="default"/>
        </w:rPr>
        <w:t>* </w:t>
      </w:r>
      <w:r>
        <w:rPr/>
        <w:t>本公司单项金额重大的其他应收款指单笔金额为 </w:t>
      </w:r>
      <w:r>
        <w:rPr>
          <w:rFonts w:ascii="Times New Roman" w:hAnsi="Times New Roman" w:cs="Times New Roman" w:eastAsia="Times New Roman" w:hint="default"/>
        </w:rPr>
        <w:t>200,000.00</w:t>
      </w:r>
      <w:r>
        <w:rPr>
          <w:rFonts w:ascii="Times New Roman" w:hAnsi="Times New Roman" w:cs="Times New Roman" w:eastAsia="Times New Roman" w:hint="default"/>
          <w:spacing w:val="-22"/>
        </w:rPr>
        <w:t> </w:t>
      </w:r>
      <w:r>
        <w:rPr/>
        <w:t>人民币元以上的其他应收 款，经减值测试后不存在减值，公司按账龄计提坏账准备。</w:t>
      </w:r>
    </w:p>
    <w:p>
      <w:pPr>
        <w:pStyle w:val="BodyText"/>
        <w:spacing w:line="276" w:lineRule="auto" w:before="112"/>
        <w:ind w:right="0" w:firstLine="4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3"/>
        </w:rPr>
        <w:t>本公司单项金额不重大但按信用风险特征组合后该组合的风险较大的其他应收款，是</w:t>
      </w:r>
      <w:r>
        <w:rPr/>
        <w:t> 指账龄超过三年的其他应收款，经减值测试后不存在减值，公司按账龄计提坏账准备。</w:t>
      </w:r>
    </w:p>
    <w:p>
      <w:pPr>
        <w:pStyle w:val="BodyText"/>
        <w:spacing w:line="276" w:lineRule="auto" w:before="109"/>
        <w:ind w:right="0" w:firstLine="480"/>
        <w:jc w:val="left"/>
      </w:pPr>
      <w:r>
        <w:rPr>
          <w:rFonts w:ascii="Times New Roman" w:hAnsi="Times New Roman" w:cs="Times New Roman" w:eastAsia="Times New Roman" w:hint="default"/>
        </w:rPr>
        <w:t>*** </w:t>
      </w:r>
      <w:r>
        <w:rPr/>
        <w:t>本公司单项金额不重大的其他应收款指单笔金额为 </w:t>
      </w:r>
      <w:r>
        <w:rPr>
          <w:rFonts w:ascii="Times New Roman" w:hAnsi="Times New Roman" w:cs="Times New Roman" w:eastAsia="Times New Roman" w:hint="default"/>
        </w:rPr>
        <w:t>200,000.00</w:t>
      </w:r>
      <w:r>
        <w:rPr>
          <w:rFonts w:ascii="Times New Roman" w:hAnsi="Times New Roman" w:cs="Times New Roman" w:eastAsia="Times New Roman" w:hint="default"/>
          <w:spacing w:val="-22"/>
        </w:rPr>
        <w:t> </w:t>
      </w:r>
      <w:r>
        <w:rPr/>
        <w:t>人民币元以下的其他 应收款。</w:t>
      </w:r>
    </w:p>
    <w:p>
      <w:pPr>
        <w:spacing w:after="0" w:line="276" w:lineRule="auto"/>
        <w:jc w:val="left"/>
        <w:sectPr>
          <w:footerReference w:type="default" r:id="rId18"/>
          <w:pgSz w:w="11910" w:h="16840"/>
          <w:pgMar w:footer="1022" w:header="877" w:top="1100" w:bottom="1220" w:left="980" w:right="980"/>
          <w:pgNumType w:start="80"/>
        </w:sectPr>
      </w:pPr>
    </w:p>
    <w:p>
      <w:pPr>
        <w:spacing w:line="240" w:lineRule="auto" w:before="11"/>
        <w:rPr>
          <w:rFonts w:ascii="宋体" w:hAnsi="宋体" w:cs="宋体" w:eastAsia="宋体" w:hint="default"/>
          <w:sz w:val="24"/>
          <w:szCs w:val="24"/>
        </w:rPr>
      </w:pPr>
    </w:p>
    <w:p>
      <w:pPr>
        <w:pStyle w:val="BodyText"/>
        <w:spacing w:line="273" w:lineRule="auto" w:before="26"/>
        <w:ind w:left="274" w:right="0" w:firstLine="510"/>
        <w:jc w:val="left"/>
      </w:pPr>
      <w:r>
        <w:rPr>
          <w:rFonts w:ascii="Times New Roman" w:hAnsi="Times New Roman" w:cs="Times New Roman" w:eastAsia="Times New Roman" w:hint="default"/>
        </w:rPr>
        <w:t>(3) </w:t>
      </w:r>
      <w:r>
        <w:rPr>
          <w:spacing w:val="7"/>
        </w:rPr>
        <w:t>本公司及其子公司其他应收款前五名金额合计 </w:t>
      </w:r>
      <w:r>
        <w:rPr>
          <w:rFonts w:ascii="Times New Roman" w:hAnsi="Times New Roman" w:cs="Times New Roman" w:eastAsia="Times New Roman" w:hint="default"/>
          <w:spacing w:val="2"/>
        </w:rPr>
        <w:t>1,517,600.00</w:t>
      </w:r>
      <w:r>
        <w:rPr>
          <w:rFonts w:ascii="Times New Roman" w:hAnsi="Times New Roman" w:cs="Times New Roman" w:eastAsia="Times New Roman" w:hint="default"/>
          <w:spacing w:val="7"/>
        </w:rPr>
        <w:t> </w:t>
      </w:r>
      <w:r>
        <w:rPr>
          <w:spacing w:val="7"/>
        </w:rPr>
        <w:t>人民币元</w:t>
      </w:r>
      <w:r>
        <w:rPr>
          <w:rFonts w:ascii="Times New Roman" w:hAnsi="Times New Roman" w:cs="Times New Roman" w:eastAsia="Times New Roman" w:hint="default"/>
          <w:spacing w:val="7"/>
        </w:rPr>
        <w:t>,</w:t>
      </w:r>
      <w:r>
        <w:rPr>
          <w:spacing w:val="7"/>
        </w:rPr>
        <w:t>占其他应收</w:t>
      </w:r>
      <w:r>
        <w:rPr>
          <w:spacing w:val="8"/>
          <w:w w:val="99"/>
        </w:rPr>
        <w:t> </w:t>
      </w:r>
      <w:r>
        <w:rPr>
          <w:spacing w:val="5"/>
        </w:rPr>
        <w:t>款总额的</w:t>
      </w:r>
      <w:r>
        <w:rPr>
          <w:spacing w:val="-34"/>
        </w:rPr>
        <w:t> </w:t>
      </w:r>
      <w:r>
        <w:rPr>
          <w:rFonts w:ascii="Times New Roman" w:hAnsi="Times New Roman" w:cs="Times New Roman" w:eastAsia="Times New Roman" w:hint="default"/>
          <w:spacing w:val="5"/>
        </w:rPr>
        <w:t>27.19%,</w:t>
      </w:r>
      <w:r>
        <w:rPr>
          <w:spacing w:val="5"/>
        </w:rPr>
        <w:t>主要明细列示如下：</w:t>
      </w:r>
      <w:r>
        <w:rPr/>
      </w:r>
    </w:p>
    <w:p>
      <w:pPr>
        <w:spacing w:line="240" w:lineRule="auto" w:before="10"/>
        <w:rPr>
          <w:rFonts w:ascii="宋体" w:hAnsi="宋体" w:cs="宋体" w:eastAsia="宋体" w:hint="default"/>
          <w:sz w:val="17"/>
          <w:szCs w:val="17"/>
        </w:rPr>
      </w:pPr>
    </w:p>
    <w:tbl>
      <w:tblPr>
        <w:tblW w:w="0" w:type="auto"/>
        <w:jc w:val="left"/>
        <w:tblInd w:w="273" w:type="dxa"/>
        <w:tblLayout w:type="fixed"/>
        <w:tblCellMar>
          <w:top w:w="0" w:type="dxa"/>
          <w:left w:w="0" w:type="dxa"/>
          <w:bottom w:w="0" w:type="dxa"/>
          <w:right w:w="0" w:type="dxa"/>
        </w:tblCellMar>
        <w:tblLook w:val="01E0"/>
      </w:tblPr>
      <w:tblGrid>
        <w:gridCol w:w="3280"/>
        <w:gridCol w:w="527"/>
        <w:gridCol w:w="1699"/>
        <w:gridCol w:w="272"/>
        <w:gridCol w:w="1708"/>
        <w:gridCol w:w="317"/>
        <w:gridCol w:w="1829"/>
      </w:tblGrid>
      <w:tr>
        <w:trPr>
          <w:trHeight w:val="255" w:hRule="exact"/>
        </w:trPr>
        <w:tc>
          <w:tcPr>
            <w:tcW w:w="328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7"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6" w:space="0" w:color="000000"/>
              <w:right w:val="nil" w:sz="6" w:space="0" w:color="auto"/>
            </w:tcBorders>
          </w:tcPr>
          <w:p>
            <w:pPr>
              <w:pStyle w:val="TableParagraph"/>
              <w:spacing w:line="203" w:lineRule="exact"/>
              <w:ind w:left="451" w:right="0"/>
              <w:jc w:val="left"/>
              <w:rPr>
                <w:rFonts w:ascii="Times New Roman" w:hAnsi="Times New Roman" w:cs="Times New Roman" w:eastAsia="Times New Roman" w:hint="default"/>
                <w:sz w:val="18"/>
                <w:szCs w:val="18"/>
              </w:rPr>
            </w:pPr>
            <w:r>
              <w:rPr>
                <w:rFonts w:ascii="Times New Roman"/>
                <w:sz w:val="18"/>
              </w:rPr>
              <w:t>2007.12.31</w:t>
            </w:r>
          </w:p>
        </w:tc>
        <w:tc>
          <w:tcPr>
            <w:tcW w:w="27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6" w:space="0" w:color="000000"/>
              <w:right w:val="nil" w:sz="6" w:space="0" w:color="auto"/>
            </w:tcBorders>
          </w:tcPr>
          <w:p>
            <w:pPr>
              <w:pStyle w:val="TableParagraph"/>
              <w:spacing w:line="180" w:lineRule="exact"/>
              <w:ind w:right="485"/>
              <w:jc w:val="right"/>
              <w:rPr>
                <w:rFonts w:ascii="宋体" w:hAnsi="宋体" w:cs="宋体" w:eastAsia="宋体" w:hint="default"/>
                <w:sz w:val="18"/>
                <w:szCs w:val="18"/>
              </w:rPr>
            </w:pPr>
            <w:r>
              <w:rPr>
                <w:rFonts w:ascii="宋体" w:hAnsi="宋体" w:cs="宋体" w:eastAsia="宋体" w:hint="default"/>
                <w:sz w:val="18"/>
                <w:szCs w:val="18"/>
              </w:rPr>
              <w:t>欠款时间</w:t>
            </w:r>
          </w:p>
        </w:tc>
        <w:tc>
          <w:tcPr>
            <w:tcW w:w="317"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6"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欠款原因</w:t>
            </w:r>
          </w:p>
        </w:tc>
      </w:tr>
      <w:tr>
        <w:trPr>
          <w:trHeight w:val="419" w:hRule="exact"/>
        </w:trPr>
        <w:tc>
          <w:tcPr>
            <w:tcW w:w="328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0"/>
              <w:jc w:val="left"/>
              <w:rPr>
                <w:rFonts w:ascii="宋体" w:hAnsi="宋体" w:cs="宋体" w:eastAsia="宋体" w:hint="default"/>
                <w:sz w:val="18"/>
                <w:szCs w:val="18"/>
              </w:rPr>
            </w:pPr>
            <w:r>
              <w:rPr>
                <w:rFonts w:ascii="宋体" w:hAnsi="宋体" w:cs="宋体" w:eastAsia="宋体" w:hint="default"/>
                <w:sz w:val="18"/>
                <w:szCs w:val="18"/>
              </w:rPr>
              <w:t>中招国际招标公司</w:t>
            </w:r>
          </w:p>
        </w:tc>
        <w:tc>
          <w:tcPr>
            <w:tcW w:w="527" w:type="dxa"/>
            <w:tcBorders>
              <w:top w:val="nil" w:sz="6" w:space="0" w:color="auto"/>
              <w:left w:val="nil" w:sz="6" w:space="0" w:color="auto"/>
              <w:bottom w:val="nil" w:sz="6" w:space="0" w:color="auto"/>
              <w:right w:val="nil" w:sz="6" w:space="0" w:color="auto"/>
            </w:tcBorders>
          </w:tcPr>
          <w:p>
            <w:pPr/>
          </w:p>
        </w:tc>
        <w:tc>
          <w:tcPr>
            <w:tcW w:w="1699" w:type="dxa"/>
            <w:tcBorders>
              <w:top w:val="single" w:sz="6" w:space="0" w:color="000000"/>
              <w:left w:val="nil" w:sz="6" w:space="0" w:color="auto"/>
              <w:bottom w:val="nil" w:sz="6" w:space="0" w:color="auto"/>
              <w:right w:val="nil" w:sz="6" w:space="0" w:color="auto"/>
            </w:tcBorders>
          </w:tcPr>
          <w:p>
            <w:pPr>
              <w:pStyle w:val="TableParagraph"/>
              <w:tabs>
                <w:tab w:pos="670" w:val="left" w:leader="none"/>
              </w:tabs>
              <w:spacing w:line="240" w:lineRule="auto" w:before="129"/>
              <w:ind w:right="25"/>
              <w:jc w:val="right"/>
              <w:rPr>
                <w:rFonts w:ascii="Times New Roman" w:hAnsi="Times New Roman" w:cs="Times New Roman" w:eastAsia="Times New Roman" w:hint="default"/>
                <w:sz w:val="18"/>
                <w:szCs w:val="18"/>
              </w:rPr>
            </w:pPr>
            <w:r>
              <w:rPr>
                <w:rFonts w:ascii="Times New Roman"/>
                <w:w w:val="95"/>
                <w:sz w:val="18"/>
              </w:rPr>
              <w:t>RMB</w:t>
              <w:tab/>
              <w:t>381,000.00</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708" w:type="dxa"/>
            <w:tcBorders>
              <w:top w:val="single" w:sz="6" w:space="0" w:color="000000"/>
              <w:left w:val="nil" w:sz="6" w:space="0" w:color="auto"/>
              <w:bottom w:val="nil" w:sz="6" w:space="0" w:color="auto"/>
              <w:right w:val="nil" w:sz="6" w:space="0" w:color="auto"/>
            </w:tcBorders>
          </w:tcPr>
          <w:p>
            <w:pPr>
              <w:pStyle w:val="TableParagraph"/>
              <w:spacing w:line="240" w:lineRule="auto" w:before="77"/>
              <w:ind w:right="48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317" w:type="dxa"/>
            <w:tcBorders>
              <w:top w:val="nil" w:sz="6" w:space="0" w:color="auto"/>
              <w:left w:val="nil" w:sz="6" w:space="0" w:color="auto"/>
              <w:bottom w:val="nil" w:sz="6" w:space="0" w:color="auto"/>
              <w:right w:val="nil" w:sz="6" w:space="0" w:color="auto"/>
            </w:tcBorders>
          </w:tcPr>
          <w:p>
            <w:pPr/>
          </w:p>
        </w:tc>
        <w:tc>
          <w:tcPr>
            <w:tcW w:w="1829" w:type="dxa"/>
            <w:tcBorders>
              <w:top w:val="single" w:sz="6" w:space="0" w:color="000000"/>
              <w:left w:val="nil" w:sz="6" w:space="0" w:color="auto"/>
              <w:bottom w:val="nil" w:sz="6" w:space="0" w:color="auto"/>
              <w:right w:val="nil" w:sz="6" w:space="0" w:color="auto"/>
            </w:tcBorders>
          </w:tcPr>
          <w:p>
            <w:pPr>
              <w:pStyle w:val="TableParagraph"/>
              <w:spacing w:line="240" w:lineRule="auto" w:before="77"/>
              <w:ind w:left="14" w:right="0"/>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91"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宋体" w:hAnsi="宋体" w:cs="宋体" w:eastAsia="宋体" w:hint="default"/>
                <w:sz w:val="20"/>
                <w:szCs w:val="20"/>
              </w:rPr>
            </w:pPr>
            <w:r>
              <w:rPr>
                <w:rFonts w:ascii="宋体" w:hAnsi="宋体" w:cs="宋体" w:eastAsia="宋体" w:hint="default"/>
                <w:sz w:val="20"/>
                <w:szCs w:val="20"/>
              </w:rPr>
              <w:t>攀钢集团成都钢铁有限责任公司</w:t>
            </w:r>
          </w:p>
        </w:tc>
        <w:tc>
          <w:tcPr>
            <w:tcW w:w="527"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Times New Roman" w:hAnsi="Times New Roman" w:cs="Times New Roman" w:eastAsia="Times New Roman" w:hint="default"/>
                <w:sz w:val="18"/>
                <w:szCs w:val="18"/>
              </w:rPr>
            </w:pPr>
            <w:r>
              <w:rPr>
                <w:rFonts w:ascii="Times New Roman"/>
                <w:sz w:val="18"/>
              </w:rPr>
              <w:t>372,800.00</w:t>
            </w:r>
          </w:p>
        </w:tc>
        <w:tc>
          <w:tcPr>
            <w:tcW w:w="27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317"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68"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宋体" w:hAnsi="宋体" w:cs="宋体" w:eastAsia="宋体" w:hint="default"/>
                <w:sz w:val="18"/>
                <w:szCs w:val="18"/>
              </w:rPr>
            </w:pPr>
            <w:r>
              <w:rPr>
                <w:rFonts w:ascii="宋体" w:hAnsi="宋体" w:cs="宋体" w:eastAsia="宋体" w:hint="default"/>
                <w:sz w:val="18"/>
                <w:szCs w:val="18"/>
              </w:rPr>
              <w:t>北京先行新机电技术有限责任公司</w:t>
            </w:r>
          </w:p>
        </w:tc>
        <w:tc>
          <w:tcPr>
            <w:tcW w:w="527"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z w:val="18"/>
              </w:rPr>
              <w:t>300,000.00</w:t>
            </w:r>
          </w:p>
        </w:tc>
        <w:tc>
          <w:tcPr>
            <w:tcW w:w="27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5"/>
              <w:jc w:val="right"/>
              <w:rPr>
                <w:rFonts w:ascii="宋体" w:hAnsi="宋体" w:cs="宋体" w:eastAsia="宋体" w:hint="default"/>
                <w:sz w:val="18"/>
                <w:szCs w:val="18"/>
              </w:rPr>
            </w:pPr>
            <w:r>
              <w:rPr>
                <w:rFonts w:ascii="宋体" w:hAnsi="宋体" w:cs="宋体" w:eastAsia="宋体" w:hint="default"/>
                <w:sz w:val="18"/>
                <w:szCs w:val="18"/>
              </w:rPr>
              <w:t>三年以上</w:t>
            </w:r>
          </w:p>
        </w:tc>
        <w:tc>
          <w:tcPr>
            <w:tcW w:w="317"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90"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0"/>
                <w:szCs w:val="20"/>
              </w:rPr>
            </w:pPr>
            <w:r>
              <w:rPr>
                <w:rFonts w:ascii="宋体" w:hAnsi="宋体" w:cs="宋体" w:eastAsia="宋体" w:hint="default"/>
                <w:sz w:val="20"/>
                <w:szCs w:val="20"/>
              </w:rPr>
              <w:t>刘俊娜</w:t>
            </w:r>
          </w:p>
        </w:tc>
        <w:tc>
          <w:tcPr>
            <w:tcW w:w="527"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233,800.00</w:t>
            </w:r>
          </w:p>
        </w:tc>
        <w:tc>
          <w:tcPr>
            <w:tcW w:w="27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317"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差旅费借支</w:t>
            </w:r>
          </w:p>
        </w:tc>
      </w:tr>
      <w:tr>
        <w:trPr>
          <w:trHeight w:val="303"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left"/>
              <w:rPr>
                <w:rFonts w:ascii="宋体" w:hAnsi="宋体" w:cs="宋体" w:eastAsia="宋体" w:hint="default"/>
                <w:sz w:val="20"/>
                <w:szCs w:val="20"/>
              </w:rPr>
            </w:pPr>
            <w:r>
              <w:rPr>
                <w:rFonts w:ascii="宋体" w:hAnsi="宋体" w:cs="宋体" w:eastAsia="宋体" w:hint="default"/>
                <w:sz w:val="20"/>
                <w:szCs w:val="20"/>
              </w:rPr>
              <w:t>中信重型机械公司</w:t>
            </w:r>
          </w:p>
        </w:tc>
        <w:tc>
          <w:tcPr>
            <w:tcW w:w="527"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tabs>
                <w:tab w:pos="670" w:val="left" w:leader="none"/>
              </w:tabs>
              <w:spacing w:line="240" w:lineRule="auto" w:before="100"/>
              <w:ind w:right="25"/>
              <w:jc w:val="right"/>
              <w:rPr>
                <w:rFonts w:ascii="Times New Roman" w:hAnsi="Times New Roman" w:cs="Times New Roman" w:eastAsia="Times New Roman" w:hint="default"/>
                <w:sz w:val="18"/>
                <w:szCs w:val="18"/>
              </w:rPr>
            </w:pPr>
            <w:r>
              <w:rPr>
                <w:rFonts w:ascii="Times New Roman"/>
                <w:w w:val="95"/>
                <w:sz w:val="18"/>
              </w:rPr>
              <w:t>RMB</w:t>
              <w:tab/>
              <w:t>230,000.00</w:t>
            </w:r>
            <w:r>
              <w:rPr>
                <w:rFonts w:ascii="Times New Roman"/>
                <w:sz w:val="18"/>
              </w:rPr>
            </w:r>
          </w:p>
        </w:tc>
        <w:tc>
          <w:tcPr>
            <w:tcW w:w="27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8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317"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投标保证金</w:t>
            </w:r>
          </w:p>
        </w:tc>
      </w:tr>
    </w:tbl>
    <w:p>
      <w:pPr>
        <w:spacing w:line="240" w:lineRule="auto" w:before="13"/>
        <w:rPr>
          <w:rFonts w:ascii="宋体" w:hAnsi="宋体" w:cs="宋体" w:eastAsia="宋体" w:hint="default"/>
          <w:sz w:val="13"/>
          <w:szCs w:val="13"/>
        </w:rPr>
      </w:pPr>
    </w:p>
    <w:p>
      <w:pPr>
        <w:pStyle w:val="BodyText"/>
        <w:spacing w:line="240" w:lineRule="auto" w:before="26"/>
        <w:ind w:left="784" w:right="0"/>
        <w:jc w:val="left"/>
      </w:pPr>
      <w:r>
        <w:rPr>
          <w:rFonts w:ascii="Times New Roman" w:hAnsi="Times New Roman" w:cs="Times New Roman" w:eastAsia="Times New Roman" w:hint="default"/>
        </w:rPr>
        <w:t>(4)  </w:t>
      </w:r>
      <w:r>
        <w:rPr>
          <w:spacing w:val="7"/>
        </w:rPr>
        <w:t>其他应收款中无持有本公司 </w:t>
      </w:r>
      <w:r>
        <w:rPr>
          <w:rFonts w:ascii="Times New Roman" w:hAnsi="Times New Roman" w:cs="Times New Roman" w:eastAsia="Times New Roman" w:hint="default"/>
          <w:spacing w:val="2"/>
        </w:rPr>
        <w:t>5%(</w:t>
      </w:r>
      <w:r>
        <w:rPr>
          <w:spacing w:val="2"/>
        </w:rPr>
        <w:t>含</w:t>
      </w:r>
      <w:r>
        <w:rPr>
          <w:spacing w:val="-82"/>
        </w:rPr>
        <w:t> </w:t>
      </w:r>
      <w:r>
        <w:rPr>
          <w:rFonts w:ascii="Times New Roman" w:hAnsi="Times New Roman" w:cs="Times New Roman" w:eastAsia="Times New Roman" w:hint="default"/>
          <w:spacing w:val="7"/>
        </w:rPr>
        <w:t>5%)</w:t>
      </w:r>
      <w:r>
        <w:rPr>
          <w:spacing w:val="7"/>
        </w:rPr>
        <w:t>以上股份的股东单位的欠款。</w:t>
      </w:r>
      <w:r>
        <w:rPr/>
      </w:r>
    </w:p>
    <w:p>
      <w:pPr>
        <w:spacing w:line="376" w:lineRule="auto" w:before="206"/>
        <w:ind w:left="784" w:right="2353" w:firstLine="0"/>
        <w:jc w:val="left"/>
        <w:rPr>
          <w:rFonts w:ascii="宋体" w:hAnsi="宋体" w:cs="宋体" w:eastAsia="宋体" w:hint="default"/>
          <w:sz w:val="24"/>
          <w:szCs w:val="24"/>
        </w:rPr>
      </w:pPr>
      <w:r>
        <w:rPr/>
        <w:pict>
          <v:group style="position:absolute;margin-left:333.059998pt;margin-top:78.676048pt;width:206.6pt;height:.1pt;mso-position-horizontal-relative:page;mso-position-vertical-relative:paragraph;z-index:-508528" coordorigin="6661,1574" coordsize="4132,2">
            <v:shape style="position:absolute;left:6661;top:1574;width:4132;height:2" coordorigin="6661,1574" coordsize="4132,0" path="m6661,1574l10793,1574e" filled="false" stroked="true" strokeweight=".48pt" strokecolor="#000000">
              <v:path arrowok="t"/>
            </v:shape>
            <w10:wrap type="none"/>
          </v:group>
        </w:pict>
      </w:r>
      <w:r>
        <w:rPr>
          <w:rFonts w:ascii="Times New Roman" w:hAnsi="Times New Roman" w:cs="Times New Roman" w:eastAsia="Times New Roman" w:hint="default"/>
          <w:b/>
          <w:bCs/>
          <w:sz w:val="24"/>
          <w:szCs w:val="24"/>
        </w:rPr>
        <w:t>6.</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9"/>
          <w:sz w:val="24"/>
          <w:szCs w:val="24"/>
        </w:rPr>
        <w:t>存货及存货跌价准备</w:t>
      </w:r>
      <w:r>
        <w:rPr>
          <w:rFonts w:ascii="宋体" w:hAnsi="宋体" w:cs="宋体" w:eastAsia="宋体" w:hint="default"/>
          <w:b/>
          <w:bCs/>
          <w:spacing w:val="9"/>
          <w:w w:val="99"/>
          <w:sz w:val="24"/>
          <w:szCs w:val="24"/>
        </w:rPr>
        <w:t> </w:t>
      </w:r>
      <w:r>
        <w:rPr>
          <w:rFonts w:ascii="宋体" w:hAnsi="宋体" w:cs="宋体" w:eastAsia="宋体" w:hint="default"/>
          <w:spacing w:val="7"/>
          <w:sz w:val="24"/>
          <w:szCs w:val="24"/>
        </w:rPr>
        <w:t>存货及存货跌价准备明细项目列示如下：</w:t>
      </w:r>
      <w:r>
        <w:rPr>
          <w:rFonts w:ascii="宋体" w:hAnsi="宋体" w:cs="宋体" w:eastAsia="宋体" w:hint="default"/>
          <w:sz w:val="24"/>
          <w:szCs w:val="24"/>
        </w:rPr>
      </w:r>
    </w:p>
    <w:p>
      <w:pPr>
        <w:spacing w:line="240" w:lineRule="auto" w:before="11"/>
        <w:rPr>
          <w:rFonts w:ascii="宋体" w:hAnsi="宋体" w:cs="宋体" w:eastAsia="宋体" w:hint="default"/>
          <w:sz w:val="8"/>
          <w:szCs w:val="8"/>
        </w:rPr>
      </w:pPr>
    </w:p>
    <w:tbl>
      <w:tblPr>
        <w:tblW w:w="0" w:type="auto"/>
        <w:jc w:val="left"/>
        <w:tblInd w:w="246" w:type="dxa"/>
        <w:tblLayout w:type="fixed"/>
        <w:tblCellMar>
          <w:top w:w="0" w:type="dxa"/>
          <w:left w:w="0" w:type="dxa"/>
          <w:bottom w:w="0" w:type="dxa"/>
          <w:right w:w="0" w:type="dxa"/>
        </w:tblCellMar>
        <w:tblLook w:val="01E0"/>
      </w:tblPr>
      <w:tblGrid>
        <w:gridCol w:w="1103"/>
        <w:gridCol w:w="115"/>
        <w:gridCol w:w="1530"/>
        <w:gridCol w:w="114"/>
        <w:gridCol w:w="889"/>
        <w:gridCol w:w="115"/>
        <w:gridCol w:w="1570"/>
        <w:gridCol w:w="115"/>
        <w:gridCol w:w="1577"/>
        <w:gridCol w:w="115"/>
        <w:gridCol w:w="852"/>
        <w:gridCol w:w="115"/>
        <w:gridCol w:w="1483"/>
      </w:tblGrid>
      <w:tr>
        <w:trPr>
          <w:trHeight w:val="177" w:hRule="exact"/>
        </w:trPr>
        <w:tc>
          <w:tcPr>
            <w:tcW w:w="110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153" w:lineRule="exact"/>
              <w:ind w:left="156" w:right="0"/>
              <w:jc w:val="left"/>
              <w:rPr>
                <w:rFonts w:ascii="Times New Roman" w:hAnsi="Times New Roman" w:cs="Times New Roman" w:eastAsia="Times New Roman" w:hint="default"/>
                <w:sz w:val="15"/>
                <w:szCs w:val="15"/>
              </w:rPr>
            </w:pPr>
            <w:r>
              <w:rPr>
                <w:rFonts w:ascii="Times New Roman"/>
                <w:spacing w:val="-5"/>
                <w:sz w:val="15"/>
              </w:rPr>
              <w:t>2007.12.31</w:t>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153" w:lineRule="exact"/>
              <w:ind w:left="66" w:right="0"/>
              <w:jc w:val="left"/>
              <w:rPr>
                <w:rFonts w:ascii="Times New Roman" w:hAnsi="Times New Roman" w:cs="Times New Roman" w:eastAsia="Times New Roman" w:hint="default"/>
                <w:sz w:val="15"/>
                <w:szCs w:val="15"/>
              </w:rPr>
            </w:pPr>
            <w:r>
              <w:rPr>
                <w:rFonts w:ascii="Times New Roman"/>
                <w:spacing w:val="-5"/>
                <w:sz w:val="15"/>
              </w:rPr>
              <w:t>2006.12.31</w:t>
            </w:r>
          </w:p>
        </w:tc>
        <w:tc>
          <w:tcPr>
            <w:tcW w:w="11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00"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177" w:lineRule="exact"/>
              <w:ind w:left="6" w:right="0"/>
              <w:jc w:val="center"/>
              <w:rPr>
                <w:rFonts w:ascii="宋体" w:hAnsi="宋体" w:cs="宋体" w:eastAsia="宋体" w:hint="default"/>
                <w:sz w:val="15"/>
                <w:szCs w:val="15"/>
              </w:rPr>
            </w:pPr>
            <w:r>
              <w:rPr>
                <w:rFonts w:ascii="宋体" w:hAnsi="宋体" w:cs="宋体" w:eastAsia="宋体" w:hint="default"/>
                <w:spacing w:val="-8"/>
                <w:sz w:val="15"/>
                <w:szCs w:val="15"/>
              </w:rPr>
              <w:t>项目</w:t>
            </w:r>
            <w:r>
              <w:rPr>
                <w:rFonts w:ascii="宋体" w:hAnsi="宋体" w:cs="宋体" w:eastAsia="宋体" w:hint="default"/>
                <w:sz w:val="15"/>
                <w:szCs w:val="15"/>
              </w:rPr>
            </w:r>
          </w:p>
        </w:tc>
        <w:tc>
          <w:tcPr>
            <w:tcW w:w="433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7"/>
                <w:szCs w:val="7"/>
              </w:rPr>
            </w:pPr>
          </w:p>
          <w:p>
            <w:pPr>
              <w:pStyle w:val="TableParagraph"/>
              <w:spacing w:line="20" w:lineRule="exact"/>
              <w:ind w:left="114" w:right="-55"/>
              <w:jc w:val="left"/>
              <w:rPr>
                <w:rFonts w:ascii="宋体" w:hAnsi="宋体" w:cs="宋体" w:eastAsia="宋体" w:hint="default"/>
                <w:sz w:val="2"/>
                <w:szCs w:val="2"/>
              </w:rPr>
            </w:pPr>
            <w:r>
              <w:rPr>
                <w:rFonts w:ascii="宋体" w:hAnsi="宋体" w:cs="宋体" w:eastAsia="宋体" w:hint="default"/>
                <w:sz w:val="2"/>
                <w:szCs w:val="2"/>
              </w:rPr>
              <w:pict>
                <v:group style="width:211.2pt;height:.5pt;mso-position-horizontal-relative:char;mso-position-vertical-relative:line" coordorigin="0,0" coordsize="4224,10">
                  <v:group style="position:absolute;left:5;top:5;width:4215;height:2" coordorigin="5,5" coordsize="4215,2">
                    <v:shape style="position:absolute;left:5;top:5;width:4215;height:2" coordorigin="5,5" coordsize="4215,0" path="m5,5l4219,5e" filled="false" stroked="true" strokeweight=".48pt" strokecolor="#000000">
                      <v:path arrowok="t"/>
                    </v:shape>
                  </v:group>
                </v:group>
              </w:pict>
            </w:r>
            <w:r>
              <w:rPr>
                <w:rFonts w:ascii="宋体" w:hAnsi="宋体" w:cs="宋体" w:eastAsia="宋体" w:hint="default"/>
                <w:sz w:val="2"/>
                <w:szCs w:val="2"/>
              </w:rPr>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305" w:hRule="exact"/>
        </w:trPr>
        <w:tc>
          <w:tcPr>
            <w:tcW w:w="1103"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4" w:space="0" w:color="000000"/>
              <w:right w:val="nil" w:sz="6" w:space="0" w:color="auto"/>
            </w:tcBorders>
          </w:tcPr>
          <w:p>
            <w:pPr>
              <w:pStyle w:val="TableParagraph"/>
              <w:spacing w:line="179" w:lineRule="exact"/>
              <w:ind w:left="15" w:right="0"/>
              <w:jc w:val="center"/>
              <w:rPr>
                <w:rFonts w:ascii="宋体" w:hAnsi="宋体" w:cs="宋体" w:eastAsia="宋体" w:hint="default"/>
                <w:sz w:val="15"/>
                <w:szCs w:val="15"/>
              </w:rPr>
            </w:pPr>
            <w:r>
              <w:rPr>
                <w:rFonts w:ascii="宋体" w:hAnsi="宋体" w:cs="宋体" w:eastAsia="宋体" w:hint="default"/>
                <w:spacing w:val="-8"/>
                <w:sz w:val="15"/>
                <w:szCs w:val="15"/>
              </w:rPr>
              <w:t>金额</w:t>
            </w:r>
            <w:r>
              <w:rPr>
                <w:rFonts w:ascii="宋体" w:hAnsi="宋体" w:cs="宋体" w:eastAsia="宋体" w:hint="default"/>
                <w:sz w:val="15"/>
                <w:szCs w:val="15"/>
              </w:rPr>
            </w: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173" w:lineRule="exact"/>
              <w:ind w:left="169" w:right="0"/>
              <w:jc w:val="left"/>
              <w:rPr>
                <w:rFonts w:ascii="宋体" w:hAnsi="宋体" w:cs="宋体" w:eastAsia="宋体" w:hint="default"/>
                <w:sz w:val="15"/>
                <w:szCs w:val="15"/>
              </w:rPr>
            </w:pPr>
            <w:r>
              <w:rPr>
                <w:rFonts w:ascii="宋体" w:hAnsi="宋体" w:cs="宋体" w:eastAsia="宋体" w:hint="default"/>
                <w:spacing w:val="-9"/>
                <w:sz w:val="15"/>
                <w:szCs w:val="15"/>
              </w:rPr>
              <w:t>跌价准备</w:t>
            </w:r>
            <w:r>
              <w:rPr>
                <w:rFonts w:ascii="宋体" w:hAnsi="宋体" w:cs="宋体" w:eastAsia="宋体" w:hint="default"/>
                <w:sz w:val="15"/>
                <w:szCs w:val="15"/>
              </w:rPr>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173" w:lineRule="exact"/>
              <w:ind w:left="16" w:right="0"/>
              <w:jc w:val="center"/>
              <w:rPr>
                <w:rFonts w:ascii="宋体" w:hAnsi="宋体" w:cs="宋体" w:eastAsia="宋体" w:hint="default"/>
                <w:sz w:val="15"/>
                <w:szCs w:val="15"/>
              </w:rPr>
            </w:pPr>
            <w:r>
              <w:rPr>
                <w:rFonts w:ascii="宋体" w:hAnsi="宋体" w:cs="宋体" w:eastAsia="宋体" w:hint="default"/>
                <w:spacing w:val="-8"/>
                <w:sz w:val="15"/>
                <w:szCs w:val="15"/>
              </w:rPr>
              <w:t>净值</w:t>
            </w:r>
            <w:r>
              <w:rPr>
                <w:rFonts w:ascii="宋体" w:hAnsi="宋体" w:cs="宋体" w:eastAsia="宋体" w:hint="default"/>
                <w:sz w:val="15"/>
                <w:szCs w:val="15"/>
              </w:rPr>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179" w:lineRule="exact"/>
              <w:ind w:left="16" w:right="0"/>
              <w:jc w:val="center"/>
              <w:rPr>
                <w:rFonts w:ascii="宋体" w:hAnsi="宋体" w:cs="宋体" w:eastAsia="宋体" w:hint="default"/>
                <w:sz w:val="15"/>
                <w:szCs w:val="15"/>
              </w:rPr>
            </w:pPr>
            <w:r>
              <w:rPr>
                <w:rFonts w:ascii="宋体" w:hAnsi="宋体" w:cs="宋体" w:eastAsia="宋体" w:hint="default"/>
                <w:spacing w:val="-8"/>
                <w:sz w:val="15"/>
                <w:szCs w:val="15"/>
              </w:rPr>
              <w:t>金额</w:t>
            </w:r>
            <w:r>
              <w:rPr>
                <w:rFonts w:ascii="宋体" w:hAnsi="宋体" w:cs="宋体" w:eastAsia="宋体" w:hint="default"/>
                <w:sz w:val="15"/>
                <w:szCs w:val="15"/>
              </w:rPr>
            </w: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173" w:lineRule="exact"/>
              <w:ind w:left="150" w:right="0"/>
              <w:jc w:val="left"/>
              <w:rPr>
                <w:rFonts w:ascii="宋体" w:hAnsi="宋体" w:cs="宋体" w:eastAsia="宋体" w:hint="default"/>
                <w:sz w:val="15"/>
                <w:szCs w:val="15"/>
              </w:rPr>
            </w:pPr>
            <w:r>
              <w:rPr>
                <w:rFonts w:ascii="宋体" w:hAnsi="宋体" w:cs="宋体" w:eastAsia="宋体" w:hint="default"/>
                <w:spacing w:val="-9"/>
                <w:sz w:val="15"/>
                <w:szCs w:val="15"/>
              </w:rPr>
              <w:t>跌价准备</w:t>
            </w:r>
            <w:r>
              <w:rPr>
                <w:rFonts w:ascii="宋体" w:hAnsi="宋体" w:cs="宋体" w:eastAsia="宋体" w:hint="default"/>
                <w:sz w:val="15"/>
                <w:szCs w:val="15"/>
              </w:rPr>
            </w:r>
          </w:p>
        </w:tc>
        <w:tc>
          <w:tcPr>
            <w:tcW w:w="115" w:type="dxa"/>
            <w:tcBorders>
              <w:top w:val="nil" w:sz="6" w:space="0" w:color="auto"/>
              <w:left w:val="nil" w:sz="6" w:space="0" w:color="auto"/>
              <w:bottom w:val="single" w:sz="4" w:space="0" w:color="000000"/>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173" w:lineRule="exact"/>
              <w:ind w:left="9" w:right="0"/>
              <w:jc w:val="center"/>
              <w:rPr>
                <w:rFonts w:ascii="宋体" w:hAnsi="宋体" w:cs="宋体" w:eastAsia="宋体" w:hint="default"/>
                <w:sz w:val="15"/>
                <w:szCs w:val="15"/>
              </w:rPr>
            </w:pPr>
            <w:r>
              <w:rPr>
                <w:rFonts w:ascii="宋体" w:hAnsi="宋体" w:cs="宋体" w:eastAsia="宋体" w:hint="default"/>
                <w:spacing w:val="-8"/>
                <w:sz w:val="15"/>
                <w:szCs w:val="15"/>
              </w:rPr>
              <w:t>净值</w:t>
            </w:r>
            <w:r>
              <w:rPr>
                <w:rFonts w:ascii="宋体" w:hAnsi="宋体" w:cs="宋体" w:eastAsia="宋体" w:hint="default"/>
                <w:sz w:val="15"/>
                <w:szCs w:val="15"/>
              </w:rPr>
            </w:r>
          </w:p>
        </w:tc>
      </w:tr>
      <w:tr>
        <w:trPr>
          <w:trHeight w:val="429" w:hRule="exact"/>
        </w:trPr>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5"/>
                <w:szCs w:val="15"/>
              </w:rPr>
            </w:pPr>
            <w:r>
              <w:rPr>
                <w:rFonts w:ascii="宋体" w:hAnsi="宋体" w:cs="宋体" w:eastAsia="宋体" w:hint="default"/>
                <w:spacing w:val="-6"/>
                <w:sz w:val="15"/>
                <w:szCs w:val="15"/>
              </w:rPr>
              <w:t>原材料</w:t>
            </w: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single" w:sz="4" w:space="0" w:color="000000"/>
              <w:left w:val="nil" w:sz="6" w:space="0" w:color="auto"/>
              <w:bottom w:val="nil" w:sz="6" w:space="0" w:color="auto"/>
              <w:right w:val="nil" w:sz="6" w:space="0" w:color="auto"/>
            </w:tcBorders>
          </w:tcPr>
          <w:p>
            <w:pPr>
              <w:pStyle w:val="TableParagraph"/>
              <w:tabs>
                <w:tab w:pos="556" w:val="left" w:leader="none"/>
              </w:tabs>
              <w:spacing w:line="240" w:lineRule="auto" w:before="108"/>
              <w:ind w:right="67"/>
              <w:jc w:val="right"/>
              <w:rPr>
                <w:rFonts w:ascii="Times New Roman" w:hAnsi="Times New Roman" w:cs="Times New Roman" w:eastAsia="Times New Roman" w:hint="default"/>
                <w:sz w:val="15"/>
                <w:szCs w:val="15"/>
              </w:rPr>
            </w:pPr>
            <w:r>
              <w:rPr>
                <w:rFonts w:ascii="Times New Roman"/>
                <w:spacing w:val="-1"/>
                <w:sz w:val="15"/>
              </w:rPr>
              <w:t>RMB</w:t>
              <w:tab/>
              <w:t>19,706,257.68</w:t>
            </w: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tabs>
                <w:tab w:pos="692" w:val="left" w:leader="none"/>
              </w:tabs>
              <w:spacing w:line="240" w:lineRule="auto"/>
              <w:ind w:right="12"/>
              <w:jc w:val="right"/>
              <w:rPr>
                <w:rFonts w:ascii="Times New Roman" w:hAnsi="Times New Roman" w:cs="Times New Roman" w:eastAsia="Times New Roman" w:hint="default"/>
                <w:sz w:val="15"/>
                <w:szCs w:val="15"/>
              </w:rPr>
            </w:pPr>
            <w:r>
              <w:rPr>
                <w:rFonts w:ascii="Times New Roman"/>
                <w:spacing w:val="-5"/>
                <w:sz w:val="15"/>
              </w:rPr>
              <w:t>RMB</w:t>
              <w:tab/>
            </w:r>
            <w:r>
              <w:rPr>
                <w:rFonts w:ascii="Times New Roman"/>
                <w:sz w:val="15"/>
              </w:rPr>
              <w:t>-</w:t>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7"/>
              <w:jc w:val="right"/>
              <w:rPr>
                <w:rFonts w:ascii="Times New Roman" w:hAnsi="Times New Roman" w:cs="Times New Roman" w:eastAsia="Times New Roman" w:hint="default"/>
                <w:sz w:val="15"/>
                <w:szCs w:val="15"/>
              </w:rPr>
            </w:pPr>
            <w:r>
              <w:rPr>
                <w:rFonts w:ascii="Times New Roman"/>
                <w:spacing w:val="-5"/>
                <w:sz w:val="15"/>
              </w:rPr>
              <w:t>RMB  </w:t>
            </w:r>
            <w:r>
              <w:rPr>
                <w:rFonts w:ascii="Times New Roman"/>
                <w:spacing w:val="26"/>
                <w:sz w:val="15"/>
              </w:rPr>
              <w:t> </w:t>
            </w:r>
            <w:r>
              <w:rPr>
                <w:rFonts w:ascii="Times New Roman"/>
                <w:spacing w:val="-7"/>
                <w:sz w:val="15"/>
              </w:rPr>
              <w:t>19,706,257.68</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1"/>
              <w:jc w:val="right"/>
              <w:rPr>
                <w:rFonts w:ascii="Times New Roman" w:hAnsi="Times New Roman" w:cs="Times New Roman" w:eastAsia="Times New Roman" w:hint="default"/>
                <w:sz w:val="15"/>
                <w:szCs w:val="15"/>
              </w:rPr>
            </w:pPr>
            <w:r>
              <w:rPr>
                <w:rFonts w:ascii="Times New Roman"/>
                <w:spacing w:val="-5"/>
                <w:sz w:val="15"/>
              </w:rPr>
              <w:t>RMB  </w:t>
            </w:r>
            <w:r>
              <w:rPr>
                <w:rFonts w:ascii="Times New Roman"/>
                <w:spacing w:val="19"/>
                <w:sz w:val="15"/>
              </w:rPr>
              <w:t> </w:t>
            </w:r>
            <w:r>
              <w:rPr>
                <w:rFonts w:ascii="Times New Roman"/>
                <w:spacing w:val="-6"/>
                <w:sz w:val="15"/>
              </w:rPr>
              <w:t>7,602,845.19</w:t>
            </w: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tabs>
                <w:tab w:pos="692" w:val="left" w:leader="none"/>
              </w:tabs>
              <w:spacing w:line="240" w:lineRule="auto"/>
              <w:ind w:right="12"/>
              <w:jc w:val="right"/>
              <w:rPr>
                <w:rFonts w:ascii="Times New Roman" w:hAnsi="Times New Roman" w:cs="Times New Roman" w:eastAsia="Times New Roman" w:hint="default"/>
                <w:sz w:val="15"/>
                <w:szCs w:val="15"/>
              </w:rPr>
            </w:pPr>
            <w:r>
              <w:rPr>
                <w:rFonts w:ascii="Times New Roman"/>
                <w:spacing w:val="-5"/>
                <w:sz w:val="15"/>
              </w:rPr>
              <w:t>RMB</w:t>
              <w:tab/>
            </w:r>
            <w:r>
              <w:rPr>
                <w:rFonts w:ascii="Times New Roman"/>
                <w:sz w:val="15"/>
              </w:rPr>
              <w:t>-</w:t>
            </w:r>
          </w:p>
        </w:tc>
        <w:tc>
          <w:tcPr>
            <w:tcW w:w="115" w:type="dxa"/>
            <w:tcBorders>
              <w:top w:val="single" w:sz="4" w:space="0" w:color="000000"/>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0"/>
              <w:jc w:val="right"/>
              <w:rPr>
                <w:rFonts w:ascii="Times New Roman" w:hAnsi="Times New Roman" w:cs="Times New Roman" w:eastAsia="Times New Roman" w:hint="default"/>
                <w:sz w:val="15"/>
                <w:szCs w:val="15"/>
              </w:rPr>
            </w:pPr>
            <w:r>
              <w:rPr>
                <w:rFonts w:ascii="Times New Roman"/>
                <w:spacing w:val="-5"/>
                <w:sz w:val="15"/>
              </w:rPr>
              <w:t>RMB</w:t>
            </w:r>
            <w:r>
              <w:rPr>
                <w:rFonts w:ascii="Times New Roman"/>
                <w:spacing w:val="-11"/>
                <w:sz w:val="15"/>
              </w:rPr>
              <w:t> </w:t>
            </w:r>
            <w:r>
              <w:rPr>
                <w:rFonts w:ascii="Times New Roman"/>
                <w:spacing w:val="-6"/>
                <w:sz w:val="15"/>
              </w:rPr>
              <w:t>7,602,845.19</w:t>
            </w:r>
          </w:p>
        </w:tc>
      </w:tr>
      <w:tr>
        <w:trPr>
          <w:trHeight w:val="392"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left"/>
              <w:rPr>
                <w:rFonts w:ascii="宋体" w:hAnsi="宋体" w:cs="宋体" w:eastAsia="宋体" w:hint="default"/>
                <w:sz w:val="15"/>
                <w:szCs w:val="15"/>
              </w:rPr>
            </w:pPr>
            <w:r>
              <w:rPr>
                <w:rFonts w:ascii="宋体" w:hAnsi="宋体" w:cs="宋体" w:eastAsia="宋体" w:hint="default"/>
                <w:spacing w:val="-6"/>
                <w:sz w:val="15"/>
                <w:szCs w:val="15"/>
              </w:rPr>
              <w:t>在产品</w:t>
            </w: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
              <w:jc w:val="right"/>
              <w:rPr>
                <w:rFonts w:ascii="Times New Roman" w:hAnsi="Times New Roman" w:cs="Times New Roman" w:eastAsia="Times New Roman" w:hint="default"/>
                <w:sz w:val="15"/>
                <w:szCs w:val="15"/>
              </w:rPr>
            </w:pPr>
            <w:r>
              <w:rPr>
                <w:rFonts w:ascii="Times New Roman"/>
                <w:spacing w:val="-7"/>
                <w:sz w:val="15"/>
              </w:rPr>
              <w:t>54,755,498.22</w:t>
            </w:r>
            <w:r>
              <w:rPr>
                <w:rFonts w:ascii="Times New Roman"/>
                <w:sz w:val="15"/>
              </w:rPr>
            </w: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
              <w:jc w:val="right"/>
              <w:rPr>
                <w:rFonts w:ascii="Times New Roman" w:hAnsi="Times New Roman" w:cs="Times New Roman" w:eastAsia="Times New Roman" w:hint="default"/>
                <w:sz w:val="15"/>
                <w:szCs w:val="15"/>
              </w:rPr>
            </w:pPr>
            <w:r>
              <w:rPr>
                <w:rFonts w:ascii="Times New Roman"/>
                <w:spacing w:val="-7"/>
                <w:sz w:val="15"/>
              </w:rPr>
              <w:t>54,755,498.22</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
              <w:jc w:val="right"/>
              <w:rPr>
                <w:rFonts w:ascii="Times New Roman" w:hAnsi="Times New Roman" w:cs="Times New Roman" w:eastAsia="Times New Roman" w:hint="default"/>
                <w:sz w:val="15"/>
                <w:szCs w:val="15"/>
              </w:rPr>
            </w:pPr>
            <w:r>
              <w:rPr>
                <w:rFonts w:ascii="Times New Roman"/>
                <w:spacing w:val="-7"/>
                <w:sz w:val="15"/>
              </w:rPr>
              <w:t>22,266,353.06</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5"/>
              <w:jc w:val="right"/>
              <w:rPr>
                <w:rFonts w:ascii="Times New Roman" w:hAnsi="Times New Roman" w:cs="Times New Roman" w:eastAsia="Times New Roman" w:hint="default"/>
                <w:sz w:val="15"/>
                <w:szCs w:val="15"/>
              </w:rPr>
            </w:pPr>
            <w:r>
              <w:rPr>
                <w:rFonts w:ascii="Times New Roman"/>
                <w:spacing w:val="-7"/>
                <w:sz w:val="15"/>
              </w:rPr>
              <w:t>22,266,353.06</w:t>
            </w:r>
            <w:r>
              <w:rPr>
                <w:rFonts w:ascii="Times New Roman"/>
                <w:sz w:val="15"/>
              </w:rPr>
            </w:r>
          </w:p>
        </w:tc>
      </w:tr>
      <w:tr>
        <w:trPr>
          <w:trHeight w:val="358"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left"/>
              <w:rPr>
                <w:rFonts w:ascii="宋体" w:hAnsi="宋体" w:cs="宋体" w:eastAsia="宋体" w:hint="default"/>
                <w:sz w:val="15"/>
                <w:szCs w:val="15"/>
              </w:rPr>
            </w:pPr>
            <w:r>
              <w:rPr>
                <w:rFonts w:ascii="宋体" w:hAnsi="宋体" w:cs="宋体" w:eastAsia="宋体" w:hint="default"/>
                <w:spacing w:val="-6"/>
                <w:sz w:val="15"/>
                <w:szCs w:val="15"/>
              </w:rPr>
              <w:t>产成品</w:t>
            </w: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4"/>
              <w:jc w:val="right"/>
              <w:rPr>
                <w:rFonts w:ascii="Times New Roman" w:hAnsi="Times New Roman" w:cs="Times New Roman" w:eastAsia="Times New Roman" w:hint="default"/>
                <w:sz w:val="15"/>
                <w:szCs w:val="15"/>
              </w:rPr>
            </w:pPr>
            <w:r>
              <w:rPr>
                <w:rFonts w:ascii="Times New Roman"/>
                <w:spacing w:val="-6"/>
                <w:sz w:val="15"/>
              </w:rPr>
              <w:t>4,789,932.02</w:t>
            </w: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
              <w:jc w:val="right"/>
              <w:rPr>
                <w:rFonts w:ascii="Times New Roman" w:hAnsi="Times New Roman" w:cs="Times New Roman" w:eastAsia="Times New Roman" w:hint="default"/>
                <w:sz w:val="15"/>
                <w:szCs w:val="15"/>
              </w:rPr>
            </w:pPr>
            <w:r>
              <w:rPr>
                <w:rFonts w:ascii="Times New Roman"/>
                <w:spacing w:val="-6"/>
                <w:sz w:val="15"/>
              </w:rPr>
              <w:t>4,789,932.02</w:t>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
              <w:jc w:val="right"/>
              <w:rPr>
                <w:rFonts w:ascii="Times New Roman" w:hAnsi="Times New Roman" w:cs="Times New Roman" w:eastAsia="Times New Roman" w:hint="default"/>
                <w:sz w:val="15"/>
                <w:szCs w:val="15"/>
              </w:rPr>
            </w:pPr>
            <w:r>
              <w:rPr>
                <w:rFonts w:ascii="Times New Roman"/>
                <w:spacing w:val="-6"/>
                <w:sz w:val="15"/>
              </w:rPr>
              <w:t>847,431.17</w:t>
            </w: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
              <w:jc w:val="right"/>
              <w:rPr>
                <w:rFonts w:ascii="Times New Roman" w:hAnsi="Times New Roman" w:cs="Times New Roman" w:eastAsia="Times New Roman" w:hint="default"/>
                <w:sz w:val="15"/>
                <w:szCs w:val="15"/>
              </w:rPr>
            </w:pPr>
            <w:r>
              <w:rPr>
                <w:rFonts w:ascii="Times New Roman"/>
                <w:spacing w:val="-6"/>
                <w:sz w:val="15"/>
              </w:rPr>
              <w:t>847,431.17</w:t>
            </w:r>
          </w:p>
        </w:tc>
      </w:tr>
      <w:tr>
        <w:trPr>
          <w:trHeight w:val="399"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5"/>
                <w:szCs w:val="15"/>
              </w:rPr>
            </w:pPr>
            <w:r>
              <w:rPr>
                <w:rFonts w:ascii="宋体" w:hAnsi="宋体" w:cs="宋体" w:eastAsia="宋体" w:hint="default"/>
                <w:spacing w:val="-7"/>
                <w:sz w:val="15"/>
                <w:szCs w:val="15"/>
              </w:rPr>
              <w:t>低值易耗品</w:t>
            </w: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4"/>
              <w:jc w:val="right"/>
              <w:rPr>
                <w:rFonts w:ascii="Times New Roman" w:hAnsi="Times New Roman" w:cs="Times New Roman" w:eastAsia="Times New Roman" w:hint="default"/>
                <w:sz w:val="15"/>
                <w:szCs w:val="15"/>
              </w:rPr>
            </w:pPr>
            <w:r>
              <w:rPr>
                <w:rFonts w:ascii="Times New Roman"/>
                <w:spacing w:val="-6"/>
                <w:sz w:val="15"/>
              </w:rPr>
              <w:t>368,274.25</w:t>
            </w: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4"/>
              <w:jc w:val="right"/>
              <w:rPr>
                <w:rFonts w:ascii="Times New Roman" w:hAnsi="Times New Roman" w:cs="Times New Roman" w:eastAsia="Times New Roman" w:hint="default"/>
                <w:sz w:val="15"/>
                <w:szCs w:val="15"/>
              </w:rPr>
            </w:pPr>
            <w:r>
              <w:rPr>
                <w:rFonts w:ascii="Times New Roman"/>
                <w:spacing w:val="-6"/>
                <w:sz w:val="15"/>
              </w:rPr>
              <w:t>368,274.25</w:t>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4"/>
              <w:jc w:val="right"/>
              <w:rPr>
                <w:rFonts w:ascii="Times New Roman" w:hAnsi="Times New Roman" w:cs="Times New Roman" w:eastAsia="Times New Roman" w:hint="default"/>
                <w:sz w:val="15"/>
                <w:szCs w:val="15"/>
              </w:rPr>
            </w:pPr>
            <w:r>
              <w:rPr>
                <w:rFonts w:ascii="Times New Roman"/>
                <w:spacing w:val="-6"/>
                <w:sz w:val="15"/>
              </w:rPr>
              <w:t>151,438.10</w:t>
            </w: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0"/>
              <w:jc w:val="right"/>
              <w:rPr>
                <w:rFonts w:ascii="Times New Roman" w:hAnsi="Times New Roman" w:cs="Times New Roman" w:eastAsia="Times New Roman" w:hint="default"/>
                <w:sz w:val="15"/>
                <w:szCs w:val="15"/>
              </w:rPr>
            </w:pPr>
            <w:r>
              <w:rPr>
                <w:rFonts w:ascii="Times New Roman"/>
                <w:spacing w:val="-6"/>
                <w:sz w:val="15"/>
              </w:rPr>
              <w:t>151,438.10</w:t>
            </w:r>
          </w:p>
        </w:tc>
      </w:tr>
      <w:tr>
        <w:trPr>
          <w:trHeight w:val="413" w:hRule="exact"/>
        </w:trPr>
        <w:tc>
          <w:tcPr>
            <w:tcW w:w="110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30"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12"/>
              <w:jc w:val="right"/>
              <w:rPr>
                <w:rFonts w:ascii="Times New Roman" w:hAnsi="Times New Roman" w:cs="Times New Roman" w:eastAsia="Times New Roman" w:hint="default"/>
                <w:sz w:val="15"/>
                <w:szCs w:val="15"/>
              </w:rPr>
            </w:pPr>
            <w:r>
              <w:rPr>
                <w:rFonts w:ascii="Times New Roman"/>
                <w:spacing w:val="-5"/>
                <w:sz w:val="15"/>
              </w:rPr>
              <w:t>RMB</w:t>
            </w:r>
            <w:r>
              <w:rPr>
                <w:rFonts w:ascii="Times New Roman"/>
                <w:spacing w:val="20"/>
                <w:sz w:val="15"/>
              </w:rPr>
              <w:t> </w:t>
            </w:r>
            <w:r>
              <w:rPr>
                <w:rFonts w:ascii="Times New Roman"/>
                <w:spacing w:val="-6"/>
                <w:sz w:val="15"/>
              </w:rPr>
              <w:t>79,619,962.17</w:t>
            </w:r>
          </w:p>
        </w:tc>
        <w:tc>
          <w:tcPr>
            <w:tcW w:w="114" w:type="dxa"/>
            <w:tcBorders>
              <w:top w:val="nil" w:sz="6" w:space="0" w:color="auto"/>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left="180" w:right="0"/>
              <w:jc w:val="left"/>
              <w:rPr>
                <w:rFonts w:ascii="Times New Roman" w:hAnsi="Times New Roman" w:cs="Times New Roman" w:eastAsia="Times New Roman" w:hint="default"/>
                <w:sz w:val="15"/>
                <w:szCs w:val="15"/>
              </w:rPr>
            </w:pPr>
            <w:r>
              <w:rPr>
                <w:rFonts w:ascii="Times New Roman"/>
                <w:spacing w:val="-5"/>
                <w:sz w:val="15"/>
              </w:rPr>
              <w:t>RMB    </w:t>
            </w:r>
            <w:r>
              <w:rPr>
                <w:rFonts w:ascii="Times New Roman"/>
                <w:spacing w:val="14"/>
                <w:sz w:val="15"/>
              </w:rPr>
              <w:t> </w:t>
            </w:r>
            <w:r>
              <w:rPr>
                <w:rFonts w:ascii="Times New Roman"/>
                <w:sz w:val="15"/>
              </w:rPr>
              <w:t>-</w:t>
            </w:r>
          </w:p>
        </w:tc>
        <w:tc>
          <w:tcPr>
            <w:tcW w:w="115"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16"/>
              <w:jc w:val="right"/>
              <w:rPr>
                <w:rFonts w:ascii="Times New Roman" w:hAnsi="Times New Roman" w:cs="Times New Roman" w:eastAsia="Times New Roman" w:hint="default"/>
                <w:sz w:val="15"/>
                <w:szCs w:val="15"/>
              </w:rPr>
            </w:pPr>
            <w:r>
              <w:rPr>
                <w:rFonts w:ascii="Times New Roman"/>
                <w:spacing w:val="-5"/>
                <w:sz w:val="15"/>
              </w:rPr>
              <w:t>RMB  </w:t>
            </w:r>
            <w:r>
              <w:rPr>
                <w:rFonts w:ascii="Times New Roman"/>
                <w:spacing w:val="26"/>
                <w:sz w:val="15"/>
              </w:rPr>
              <w:t> </w:t>
            </w:r>
            <w:r>
              <w:rPr>
                <w:rFonts w:ascii="Times New Roman"/>
                <w:spacing w:val="-7"/>
                <w:sz w:val="15"/>
              </w:rPr>
              <w:t>79,619,962.17</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16"/>
              <w:jc w:val="right"/>
              <w:rPr>
                <w:rFonts w:ascii="Times New Roman" w:hAnsi="Times New Roman" w:cs="Times New Roman" w:eastAsia="Times New Roman" w:hint="default"/>
                <w:sz w:val="15"/>
                <w:szCs w:val="15"/>
              </w:rPr>
            </w:pPr>
            <w:r>
              <w:rPr>
                <w:rFonts w:ascii="Times New Roman"/>
                <w:spacing w:val="-5"/>
                <w:sz w:val="15"/>
              </w:rPr>
              <w:t>RMB</w:t>
            </w:r>
            <w:r>
              <w:rPr>
                <w:rFonts w:ascii="Times New Roman"/>
                <w:spacing w:val="-4"/>
                <w:sz w:val="15"/>
              </w:rPr>
              <w:t> </w:t>
            </w:r>
            <w:r>
              <w:rPr>
                <w:rFonts w:ascii="Times New Roman"/>
                <w:spacing w:val="-7"/>
                <w:sz w:val="15"/>
              </w:rPr>
              <w:t>30,868,067.52</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left="137" w:right="0"/>
              <w:jc w:val="left"/>
              <w:rPr>
                <w:rFonts w:ascii="Times New Roman" w:hAnsi="Times New Roman" w:cs="Times New Roman" w:eastAsia="Times New Roman" w:hint="default"/>
                <w:sz w:val="15"/>
                <w:szCs w:val="15"/>
              </w:rPr>
            </w:pPr>
            <w:r>
              <w:rPr>
                <w:rFonts w:ascii="Times New Roman"/>
                <w:spacing w:val="-7"/>
                <w:sz w:val="15"/>
              </w:rPr>
              <w:t>RMB-</w:t>
            </w:r>
            <w:r>
              <w:rPr>
                <w:rFonts w:ascii="Times New Roman"/>
                <w:sz w:val="15"/>
              </w:rPr>
            </w:r>
          </w:p>
        </w:tc>
        <w:tc>
          <w:tcPr>
            <w:tcW w:w="115"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25"/>
              <w:jc w:val="right"/>
              <w:rPr>
                <w:rFonts w:ascii="Times New Roman" w:hAnsi="Times New Roman" w:cs="Times New Roman" w:eastAsia="Times New Roman" w:hint="default"/>
                <w:sz w:val="15"/>
                <w:szCs w:val="15"/>
              </w:rPr>
            </w:pPr>
            <w:r>
              <w:rPr>
                <w:rFonts w:ascii="Times New Roman"/>
                <w:spacing w:val="-7"/>
                <w:sz w:val="15"/>
              </w:rPr>
              <w:t>RMB30,868,067.52</w:t>
            </w:r>
            <w:r>
              <w:rPr>
                <w:rFonts w:ascii="Times New Roman"/>
                <w:sz w:val="15"/>
              </w:rPr>
            </w:r>
          </w:p>
        </w:tc>
      </w:tr>
    </w:tbl>
    <w:p>
      <w:pPr>
        <w:spacing w:line="240" w:lineRule="auto" w:before="5"/>
        <w:rPr>
          <w:rFonts w:ascii="宋体" w:hAnsi="宋体" w:cs="宋体" w:eastAsia="宋体" w:hint="default"/>
          <w:sz w:val="6"/>
          <w:szCs w:val="6"/>
        </w:rPr>
      </w:pPr>
    </w:p>
    <w:p>
      <w:pPr>
        <w:pStyle w:val="BodyText"/>
        <w:spacing w:line="240" w:lineRule="auto" w:before="26"/>
        <w:ind w:left="784"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37"/>
        </w:rPr>
        <w:t> </w:t>
      </w:r>
      <w:r>
        <w:rPr>
          <w:spacing w:val="7"/>
        </w:rPr>
        <w:t>期末存货增加较大的主要原因系公司的生产规模大幅增长所致。</w:t>
      </w:r>
      <w:r>
        <w:rPr/>
      </w:r>
    </w:p>
    <w:p>
      <w:pPr>
        <w:spacing w:line="374" w:lineRule="auto" w:before="207"/>
        <w:ind w:left="784" w:right="566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8"/>
          <w:sz w:val="24"/>
          <w:szCs w:val="24"/>
        </w:rPr>
        <w:t>其他流动资产</w:t>
      </w:r>
      <w:r>
        <w:rPr>
          <w:rFonts w:ascii="宋体" w:hAnsi="宋体" w:cs="宋体" w:eastAsia="宋体" w:hint="default"/>
          <w:b/>
          <w:bCs/>
          <w:spacing w:val="8"/>
          <w:w w:val="99"/>
          <w:sz w:val="24"/>
          <w:szCs w:val="24"/>
        </w:rPr>
        <w:t> </w:t>
      </w:r>
      <w:r>
        <w:rPr>
          <w:rFonts w:ascii="宋体" w:hAnsi="宋体" w:cs="宋体" w:eastAsia="宋体" w:hint="default"/>
          <w:sz w:val="24"/>
          <w:szCs w:val="24"/>
        </w:rPr>
        <w:t>其他流动资产明细项目列示如下：</w:t>
      </w:r>
    </w:p>
    <w:p>
      <w:pPr>
        <w:spacing w:line="240" w:lineRule="auto" w:before="12"/>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651"/>
        <w:gridCol w:w="1924"/>
        <w:gridCol w:w="1078"/>
        <w:gridCol w:w="1934"/>
      </w:tblGrid>
      <w:tr>
        <w:trPr>
          <w:trHeight w:val="253" w:hRule="exact"/>
        </w:trPr>
        <w:tc>
          <w:tcPr>
            <w:tcW w:w="365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184" w:lineRule="exact"/>
              <w:ind w:left="562" w:right="0"/>
              <w:jc w:val="left"/>
              <w:rPr>
                <w:rFonts w:ascii="Times New Roman" w:hAnsi="Times New Roman" w:cs="Times New Roman" w:eastAsia="Times New Roman" w:hint="default"/>
                <w:sz w:val="18"/>
                <w:szCs w:val="18"/>
              </w:rPr>
            </w:pPr>
            <w:r>
              <w:rPr>
                <w:rFonts w:ascii="Times New Roman"/>
                <w:sz w:val="18"/>
              </w:rPr>
              <w:t>2007.12.31</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6" w:space="0" w:color="000000"/>
              <w:right w:val="nil" w:sz="6" w:space="0" w:color="auto"/>
            </w:tcBorders>
          </w:tcPr>
          <w:p>
            <w:pPr>
              <w:pStyle w:val="TableParagraph"/>
              <w:spacing w:line="184" w:lineRule="exact"/>
              <w:ind w:left="566" w:right="0"/>
              <w:jc w:val="left"/>
              <w:rPr>
                <w:rFonts w:ascii="Times New Roman" w:hAnsi="Times New Roman" w:cs="Times New Roman" w:eastAsia="Times New Roman" w:hint="default"/>
                <w:sz w:val="18"/>
                <w:szCs w:val="18"/>
              </w:rPr>
            </w:pPr>
            <w:r>
              <w:rPr>
                <w:rFonts w:ascii="Times New Roman"/>
                <w:sz w:val="18"/>
              </w:rPr>
              <w:t>2006.12.31</w:t>
            </w:r>
          </w:p>
        </w:tc>
      </w:tr>
      <w:tr>
        <w:trPr>
          <w:trHeight w:val="731"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tabs>
                <w:tab w:pos="850" w:val="left" w:leader="none"/>
              </w:tabs>
              <w:spacing w:line="240" w:lineRule="auto"/>
              <w:ind w:right="19"/>
              <w:jc w:val="right"/>
              <w:rPr>
                <w:rFonts w:ascii="Times New Roman" w:hAnsi="Times New Roman" w:cs="Times New Roman" w:eastAsia="Times New Roman" w:hint="default"/>
                <w:sz w:val="18"/>
                <w:szCs w:val="18"/>
              </w:rPr>
            </w:pPr>
            <w:r>
              <w:rPr>
                <w:rFonts w:ascii="Times New Roman"/>
                <w:w w:val="95"/>
                <w:sz w:val="18"/>
              </w:rPr>
              <w:t>RMB</w:t>
              <w:tab/>
              <w:t>1,600,000.00</w:t>
            </w:r>
            <w:r>
              <w:rPr>
                <w:rFonts w:ascii="Times New Roman"/>
                <w:sz w:val="18"/>
              </w:rPr>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129"/>
              <w:ind w:left="67" w:right="0"/>
              <w:jc w:val="left"/>
              <w:rPr>
                <w:rFonts w:ascii="Times New Roman" w:hAnsi="Times New Roman" w:cs="Times New Roman" w:eastAsia="Times New Roman" w:hint="default"/>
                <w:sz w:val="18"/>
                <w:szCs w:val="18"/>
              </w:rPr>
            </w:pPr>
            <w:r>
              <w:rPr>
                <w:rFonts w:ascii="Times New Roman"/>
                <w:sz w:val="18"/>
              </w:rPr>
              <w:t>RMB</w:t>
            </w:r>
          </w:p>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z w:val="18"/>
                <w:szCs w:val="18"/>
              </w:rPr>
              <w:t>取暖费</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98,139.23</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25,161.79</w:t>
            </w:r>
          </w:p>
        </w:tc>
      </w:tr>
      <w:tr>
        <w:trPr>
          <w:trHeight w:val="380"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195,475.02</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104,182.68</w:t>
            </w:r>
          </w:p>
        </w:tc>
      </w:tr>
      <w:tr>
        <w:trPr>
          <w:trHeight w:val="346"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63,287.30</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72,648.66</w:t>
            </w:r>
          </w:p>
        </w:tc>
      </w:tr>
      <w:tr>
        <w:trPr>
          <w:trHeight w:val="410" w:hRule="exact"/>
        </w:trPr>
        <w:tc>
          <w:tcPr>
            <w:tcW w:w="3651"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single" w:sz="12" w:space="0" w:color="000000"/>
              <w:right w:val="nil" w:sz="6" w:space="0" w:color="auto"/>
            </w:tcBorders>
          </w:tcPr>
          <w:p>
            <w:pPr>
              <w:pStyle w:val="TableParagraph"/>
              <w:tabs>
                <w:tab w:pos="850" w:val="left" w:leader="none"/>
              </w:tabs>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RMB</w:t>
              <w:tab/>
              <w:t>1,956,901.55</w:t>
            </w:r>
            <w:r>
              <w:rPr>
                <w:rFonts w:ascii="Times New Roman"/>
                <w:sz w:val="18"/>
              </w:rPr>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single" w:sz="6" w:space="0" w:color="000000"/>
              <w:left w:val="nil" w:sz="6" w:space="0" w:color="auto"/>
              <w:bottom w:val="single" w:sz="17" w:space="0" w:color="000000"/>
              <w:right w:val="nil" w:sz="6" w:space="0" w:color="auto"/>
            </w:tcBorders>
          </w:tcPr>
          <w:p>
            <w:pPr>
              <w:pStyle w:val="TableParagraph"/>
              <w:tabs>
                <w:tab w:pos="1030" w:val="left" w:leader="none"/>
              </w:tabs>
              <w:spacing w:line="240" w:lineRule="auto" w:before="129"/>
              <w:ind w:right="25"/>
              <w:jc w:val="right"/>
              <w:rPr>
                <w:rFonts w:ascii="Times New Roman" w:hAnsi="Times New Roman" w:cs="Times New Roman" w:eastAsia="Times New Roman" w:hint="default"/>
                <w:sz w:val="18"/>
                <w:szCs w:val="18"/>
              </w:rPr>
            </w:pPr>
            <w:r>
              <w:rPr>
                <w:rFonts w:ascii="Times New Roman"/>
                <w:w w:val="95"/>
                <w:sz w:val="18"/>
              </w:rPr>
              <w:t>RMB</w:t>
              <w:tab/>
              <w:t>201,993.13</w:t>
            </w:r>
            <w:r>
              <w:rPr>
                <w:rFonts w:ascii="Times New Roman"/>
                <w:sz w:val="18"/>
              </w:rPr>
            </w:r>
          </w:p>
        </w:tc>
      </w:tr>
    </w:tbl>
    <w:p>
      <w:pPr>
        <w:spacing w:line="240" w:lineRule="auto" w:before="7"/>
        <w:rPr>
          <w:rFonts w:ascii="宋体" w:hAnsi="宋体" w:cs="宋体" w:eastAsia="宋体" w:hint="default"/>
          <w:sz w:val="12"/>
          <w:szCs w:val="12"/>
        </w:rPr>
      </w:pPr>
    </w:p>
    <w:p>
      <w:pPr>
        <w:spacing w:line="374" w:lineRule="auto" w:before="26"/>
        <w:ind w:left="784" w:right="554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8"/>
          <w:sz w:val="24"/>
          <w:szCs w:val="24"/>
        </w:rPr>
        <w:t>长期股权投资</w:t>
      </w:r>
      <w:r>
        <w:rPr>
          <w:rFonts w:ascii="宋体" w:hAnsi="宋体" w:cs="宋体" w:eastAsia="宋体" w:hint="default"/>
          <w:b/>
          <w:bCs/>
          <w:spacing w:val="8"/>
          <w:w w:val="99"/>
          <w:sz w:val="24"/>
          <w:szCs w:val="24"/>
        </w:rPr>
        <w:t> </w:t>
      </w:r>
      <w:r>
        <w:rPr>
          <w:rFonts w:ascii="宋体" w:hAnsi="宋体" w:cs="宋体" w:eastAsia="宋体" w:hint="default"/>
          <w:spacing w:val="8"/>
          <w:sz w:val="24"/>
          <w:szCs w:val="24"/>
        </w:rPr>
        <w:t>长期股权投资明细项目列示如下：</w:t>
      </w:r>
      <w:r>
        <w:rPr>
          <w:rFonts w:ascii="宋体" w:hAnsi="宋体" w:cs="宋体" w:eastAsia="宋体" w:hint="default"/>
          <w:sz w:val="24"/>
          <w:szCs w:val="24"/>
        </w:rPr>
      </w:r>
    </w:p>
    <w:p>
      <w:pPr>
        <w:spacing w:line="240" w:lineRule="auto" w:before="9"/>
        <w:rPr>
          <w:rFonts w:ascii="宋体" w:hAnsi="宋体" w:cs="宋体" w:eastAsia="宋体" w:hint="default"/>
          <w:sz w:val="7"/>
          <w:szCs w:val="7"/>
        </w:rPr>
      </w:pPr>
    </w:p>
    <w:tbl>
      <w:tblPr>
        <w:tblW w:w="0" w:type="auto"/>
        <w:jc w:val="left"/>
        <w:tblInd w:w="281" w:type="dxa"/>
        <w:tblLayout w:type="fixed"/>
        <w:tblCellMar>
          <w:top w:w="0" w:type="dxa"/>
          <w:left w:w="0" w:type="dxa"/>
          <w:bottom w:w="0" w:type="dxa"/>
          <w:right w:w="0" w:type="dxa"/>
        </w:tblCellMar>
        <w:tblLook w:val="01E0"/>
      </w:tblPr>
      <w:tblGrid>
        <w:gridCol w:w="1240"/>
        <w:gridCol w:w="754"/>
        <w:gridCol w:w="127"/>
        <w:gridCol w:w="2904"/>
        <w:gridCol w:w="175"/>
        <w:gridCol w:w="1460"/>
        <w:gridCol w:w="130"/>
        <w:gridCol w:w="2834"/>
      </w:tblGrid>
      <w:tr>
        <w:trPr>
          <w:trHeight w:val="461" w:hRule="exact"/>
        </w:trPr>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373" w:right="0"/>
              <w:jc w:val="left"/>
              <w:rPr>
                <w:rFonts w:ascii="宋体" w:hAnsi="宋体" w:cs="宋体" w:eastAsia="宋体" w:hint="default"/>
                <w:sz w:val="18"/>
                <w:szCs w:val="18"/>
              </w:rPr>
            </w:pPr>
            <w:r>
              <w:rPr>
                <w:rFonts w:ascii="宋体" w:hAnsi="宋体" w:cs="宋体" w:eastAsia="宋体" w:hint="default"/>
                <w:spacing w:val="-11"/>
                <w:sz w:val="18"/>
                <w:szCs w:val="18"/>
              </w:rPr>
              <w:t>被投资</w:t>
            </w:r>
          </w:p>
        </w:tc>
        <w:tc>
          <w:tcPr>
            <w:tcW w:w="754" w:type="dxa"/>
            <w:tcBorders>
              <w:top w:val="nil" w:sz="6" w:space="0" w:color="auto"/>
              <w:left w:val="nil" w:sz="6" w:space="0" w:color="auto"/>
              <w:bottom w:val="single" w:sz="4" w:space="0" w:color="000000"/>
              <w:right w:val="nil" w:sz="6" w:space="0" w:color="auto"/>
            </w:tcBorders>
          </w:tcPr>
          <w:p>
            <w:pPr>
              <w:pStyle w:val="TableParagraph"/>
              <w:spacing w:line="179" w:lineRule="exact"/>
              <w:ind w:left="91" w:right="0"/>
              <w:jc w:val="left"/>
              <w:rPr>
                <w:rFonts w:ascii="宋体" w:hAnsi="宋体" w:cs="宋体" w:eastAsia="宋体" w:hint="default"/>
                <w:sz w:val="18"/>
                <w:szCs w:val="18"/>
              </w:rPr>
            </w:pPr>
            <w:r>
              <w:rPr>
                <w:rFonts w:ascii="宋体" w:hAnsi="宋体" w:cs="宋体" w:eastAsia="宋体" w:hint="default"/>
                <w:spacing w:val="-17"/>
                <w:sz w:val="18"/>
                <w:szCs w:val="18"/>
              </w:rPr>
              <w:t>占被投资</w:t>
            </w:r>
            <w:r>
              <w:rPr>
                <w:rFonts w:ascii="宋体" w:hAnsi="宋体" w:cs="宋体" w:eastAsia="宋体" w:hint="default"/>
                <w:sz w:val="18"/>
                <w:szCs w:val="18"/>
              </w:rPr>
            </w:r>
          </w:p>
          <w:p>
            <w:pPr>
              <w:pStyle w:val="TableParagraph"/>
              <w:spacing w:line="235" w:lineRule="exact"/>
              <w:ind w:left="91" w:right="0"/>
              <w:jc w:val="left"/>
              <w:rPr>
                <w:rFonts w:ascii="宋体" w:hAnsi="宋体" w:cs="宋体" w:eastAsia="宋体" w:hint="default"/>
                <w:sz w:val="18"/>
                <w:szCs w:val="18"/>
              </w:rPr>
            </w:pPr>
            <w:r>
              <w:rPr>
                <w:rFonts w:ascii="宋体" w:hAnsi="宋体" w:cs="宋体" w:eastAsia="宋体" w:hint="default"/>
                <w:spacing w:val="-17"/>
                <w:sz w:val="18"/>
                <w:szCs w:val="18"/>
              </w:rPr>
              <w:t>公司注册</w:t>
            </w:r>
            <w:r>
              <w:rPr>
                <w:rFonts w:ascii="宋体" w:hAnsi="宋体" w:cs="宋体" w:eastAsia="宋体" w:hint="default"/>
                <w:sz w:val="18"/>
                <w:szCs w:val="18"/>
              </w:rPr>
            </w:r>
          </w:p>
        </w:tc>
        <w:tc>
          <w:tcPr>
            <w:tcW w:w="127"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pacing w:val="-9"/>
                <w:sz w:val="18"/>
              </w:rPr>
              <w:t>2007.01.01</w:t>
            </w:r>
            <w:r>
              <w:rPr>
                <w:rFonts w:ascii="Times New Roman"/>
                <w:sz w:val="18"/>
              </w:rPr>
            </w:r>
          </w:p>
        </w:tc>
        <w:tc>
          <w:tcPr>
            <w:tcW w:w="17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401" w:right="0"/>
              <w:jc w:val="left"/>
              <w:rPr>
                <w:rFonts w:ascii="宋体" w:hAnsi="宋体" w:cs="宋体" w:eastAsia="宋体" w:hint="default"/>
                <w:sz w:val="18"/>
                <w:szCs w:val="18"/>
              </w:rPr>
            </w:pPr>
            <w:r>
              <w:rPr>
                <w:rFonts w:ascii="宋体" w:hAnsi="宋体" w:cs="宋体" w:eastAsia="宋体" w:hint="default"/>
                <w:spacing w:val="-17"/>
                <w:sz w:val="18"/>
                <w:szCs w:val="18"/>
              </w:rPr>
              <w:t>本年增减</w:t>
            </w:r>
            <w:r>
              <w:rPr>
                <w:rFonts w:ascii="宋体" w:hAnsi="宋体" w:cs="宋体" w:eastAsia="宋体" w:hint="default"/>
                <w:sz w:val="18"/>
                <w:szCs w:val="18"/>
              </w:rPr>
            </w:r>
          </w:p>
        </w:tc>
        <w:tc>
          <w:tcPr>
            <w:tcW w:w="130"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pacing w:val="-9"/>
                <w:sz w:val="18"/>
              </w:rPr>
              <w:t>2007.12.31</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22" w:top="1100" w:bottom="1220" w:left="860" w:right="980"/>
        </w:sectPr>
      </w:pPr>
    </w:p>
    <w:p>
      <w:pPr>
        <w:spacing w:line="240" w:lineRule="auto" w:before="12"/>
        <w:rPr>
          <w:rFonts w:ascii="宋体" w:hAnsi="宋体" w:cs="宋体" w:eastAsia="宋体" w:hint="default"/>
          <w:sz w:val="2"/>
          <w:szCs w:val="2"/>
        </w:rPr>
      </w:pPr>
    </w:p>
    <w:tbl>
      <w:tblPr>
        <w:tblW w:w="0" w:type="auto"/>
        <w:jc w:val="left"/>
        <w:tblInd w:w="283" w:type="dxa"/>
        <w:tblLayout w:type="fixed"/>
        <w:tblCellMar>
          <w:top w:w="0" w:type="dxa"/>
          <w:left w:w="0" w:type="dxa"/>
          <w:bottom w:w="0" w:type="dxa"/>
          <w:right w:w="0" w:type="dxa"/>
        </w:tblCellMar>
        <w:tblLook w:val="01E0"/>
      </w:tblPr>
      <w:tblGrid>
        <w:gridCol w:w="1277"/>
        <w:gridCol w:w="754"/>
        <w:gridCol w:w="113"/>
        <w:gridCol w:w="1447"/>
        <w:gridCol w:w="1487"/>
        <w:gridCol w:w="145"/>
        <w:gridCol w:w="1475"/>
        <w:gridCol w:w="115"/>
        <w:gridCol w:w="1368"/>
        <w:gridCol w:w="112"/>
        <w:gridCol w:w="1406"/>
      </w:tblGrid>
      <w:tr>
        <w:trPr>
          <w:trHeight w:val="332" w:hRule="exact"/>
        </w:trPr>
        <w:tc>
          <w:tcPr>
            <w:tcW w:w="1277" w:type="dxa"/>
            <w:tcBorders>
              <w:top w:val="single" w:sz="6" w:space="0" w:color="000000"/>
              <w:left w:val="nil" w:sz="6" w:space="0" w:color="auto"/>
              <w:bottom w:val="nil" w:sz="6" w:space="0" w:color="auto"/>
              <w:right w:val="nil" w:sz="6" w:space="0" w:color="auto"/>
            </w:tcBorders>
          </w:tcPr>
          <w:p>
            <w:pPr/>
          </w:p>
        </w:tc>
        <w:tc>
          <w:tcPr>
            <w:tcW w:w="754" w:type="dxa"/>
            <w:tcBorders>
              <w:top w:val="single" w:sz="6" w:space="0" w:color="000000"/>
              <w:left w:val="nil" w:sz="6" w:space="0" w:color="auto"/>
              <w:bottom w:val="nil" w:sz="6" w:space="0" w:color="auto"/>
              <w:right w:val="nil" w:sz="6" w:space="0" w:color="auto"/>
            </w:tcBorders>
          </w:tcPr>
          <w:p>
            <w:pPr/>
          </w:p>
        </w:tc>
        <w:tc>
          <w:tcPr>
            <w:tcW w:w="113" w:type="dxa"/>
            <w:tcBorders>
              <w:top w:val="single" w:sz="6" w:space="0" w:color="000000"/>
              <w:left w:val="nil" w:sz="6" w:space="0" w:color="auto"/>
              <w:bottom w:val="nil" w:sz="6" w:space="0" w:color="auto"/>
              <w:right w:val="nil" w:sz="6" w:space="0" w:color="auto"/>
            </w:tcBorders>
          </w:tcPr>
          <w:p>
            <w:pPr/>
          </w:p>
        </w:tc>
        <w:tc>
          <w:tcPr>
            <w:tcW w:w="1447" w:type="dxa"/>
            <w:tcBorders>
              <w:top w:val="single" w:sz="6" w:space="0" w:color="000000"/>
              <w:left w:val="nil" w:sz="6" w:space="0" w:color="auto"/>
              <w:bottom w:val="single" w:sz="4" w:space="0" w:color="000000"/>
              <w:right w:val="nil" w:sz="6" w:space="0" w:color="auto"/>
            </w:tcBorders>
          </w:tcPr>
          <w:p>
            <w:pPr/>
          </w:p>
        </w:tc>
        <w:tc>
          <w:tcPr>
            <w:tcW w:w="1487" w:type="dxa"/>
            <w:tcBorders>
              <w:top w:val="single" w:sz="6" w:space="0" w:color="000000"/>
              <w:left w:val="nil" w:sz="6" w:space="0" w:color="auto"/>
              <w:bottom w:val="single" w:sz="4" w:space="0" w:color="000000"/>
              <w:right w:val="nil" w:sz="6" w:space="0" w:color="auto"/>
            </w:tcBorders>
          </w:tcPr>
          <w:p>
            <w:pPr/>
          </w:p>
        </w:tc>
        <w:tc>
          <w:tcPr>
            <w:tcW w:w="145" w:type="dxa"/>
            <w:tcBorders>
              <w:top w:val="single" w:sz="6" w:space="0" w:color="000000"/>
              <w:left w:val="nil" w:sz="6" w:space="0" w:color="auto"/>
              <w:bottom w:val="nil" w:sz="6" w:space="0" w:color="auto"/>
              <w:right w:val="nil" w:sz="6" w:space="0" w:color="auto"/>
            </w:tcBorders>
          </w:tcPr>
          <w:p>
            <w:pPr/>
          </w:p>
        </w:tc>
        <w:tc>
          <w:tcPr>
            <w:tcW w:w="1475" w:type="dxa"/>
            <w:tcBorders>
              <w:top w:val="single" w:sz="6" w:space="0" w:color="000000"/>
              <w:left w:val="nil" w:sz="6" w:space="0" w:color="auto"/>
              <w:bottom w:val="nil" w:sz="6" w:space="0" w:color="auto"/>
              <w:right w:val="nil" w:sz="6" w:space="0" w:color="auto"/>
            </w:tcBorders>
          </w:tcPr>
          <w:p>
            <w:pPr/>
          </w:p>
        </w:tc>
        <w:tc>
          <w:tcPr>
            <w:tcW w:w="115" w:type="dxa"/>
            <w:tcBorders>
              <w:top w:val="single" w:sz="6" w:space="0" w:color="000000"/>
              <w:left w:val="nil" w:sz="6" w:space="0" w:color="auto"/>
              <w:bottom w:val="nil" w:sz="6" w:space="0" w:color="auto"/>
              <w:right w:val="nil" w:sz="6" w:space="0" w:color="auto"/>
            </w:tcBorders>
          </w:tcPr>
          <w:p>
            <w:pPr/>
          </w:p>
        </w:tc>
        <w:tc>
          <w:tcPr>
            <w:tcW w:w="1368" w:type="dxa"/>
            <w:tcBorders>
              <w:top w:val="single" w:sz="6" w:space="0" w:color="000000"/>
              <w:left w:val="nil" w:sz="6" w:space="0" w:color="auto"/>
              <w:bottom w:val="single" w:sz="4" w:space="0" w:color="000000"/>
              <w:right w:val="nil" w:sz="6" w:space="0" w:color="auto"/>
            </w:tcBorders>
          </w:tcPr>
          <w:p>
            <w:pPr/>
          </w:p>
        </w:tc>
        <w:tc>
          <w:tcPr>
            <w:tcW w:w="112" w:type="dxa"/>
            <w:tcBorders>
              <w:top w:val="single" w:sz="6" w:space="0" w:color="000000"/>
              <w:left w:val="nil" w:sz="6" w:space="0" w:color="auto"/>
              <w:bottom w:val="nil" w:sz="6" w:space="0" w:color="auto"/>
              <w:right w:val="nil" w:sz="6" w:space="0" w:color="auto"/>
            </w:tcBorders>
          </w:tcPr>
          <w:p>
            <w:pPr/>
          </w:p>
        </w:tc>
        <w:tc>
          <w:tcPr>
            <w:tcW w:w="1406" w:type="dxa"/>
            <w:tcBorders>
              <w:top w:val="single" w:sz="6" w:space="0" w:color="000000"/>
              <w:left w:val="nil" w:sz="6" w:space="0" w:color="auto"/>
              <w:bottom w:val="single" w:sz="4" w:space="0" w:color="000000"/>
              <w:right w:val="nil" w:sz="6" w:space="0" w:color="auto"/>
            </w:tcBorders>
          </w:tcPr>
          <w:p>
            <w:pPr/>
          </w:p>
        </w:tc>
      </w:tr>
      <w:tr>
        <w:trPr>
          <w:trHeight w:val="374" w:hRule="exact"/>
        </w:trPr>
        <w:tc>
          <w:tcPr>
            <w:tcW w:w="1277" w:type="dxa"/>
            <w:tcBorders>
              <w:top w:val="nil" w:sz="6" w:space="0" w:color="auto"/>
              <w:left w:val="nil" w:sz="6" w:space="0" w:color="auto"/>
              <w:bottom w:val="single" w:sz="4" w:space="0" w:color="000000"/>
              <w:right w:val="nil" w:sz="6" w:space="0" w:color="auto"/>
            </w:tcBorders>
          </w:tcPr>
          <w:p>
            <w:pPr>
              <w:pStyle w:val="TableParagraph"/>
              <w:spacing w:line="201" w:lineRule="exact"/>
              <w:ind w:left="328" w:right="0"/>
              <w:jc w:val="left"/>
              <w:rPr>
                <w:rFonts w:ascii="宋体" w:hAnsi="宋体" w:cs="宋体" w:eastAsia="宋体" w:hint="default"/>
                <w:sz w:val="18"/>
                <w:szCs w:val="18"/>
              </w:rPr>
            </w:pPr>
            <w:r>
              <w:rPr>
                <w:rFonts w:ascii="宋体" w:hAnsi="宋体" w:cs="宋体" w:eastAsia="宋体" w:hint="default"/>
                <w:spacing w:val="-17"/>
                <w:sz w:val="18"/>
                <w:szCs w:val="18"/>
              </w:rPr>
              <w:t>公司名称</w:t>
            </w:r>
            <w:r>
              <w:rPr>
                <w:rFonts w:ascii="宋体" w:hAnsi="宋体" w:cs="宋体" w:eastAsia="宋体" w:hint="default"/>
                <w:sz w:val="18"/>
                <w:szCs w:val="18"/>
              </w:rPr>
            </w:r>
          </w:p>
        </w:tc>
        <w:tc>
          <w:tcPr>
            <w:tcW w:w="754" w:type="dxa"/>
            <w:tcBorders>
              <w:top w:val="nil" w:sz="6" w:space="0" w:color="auto"/>
              <w:left w:val="nil" w:sz="6" w:space="0" w:color="auto"/>
              <w:bottom w:val="single" w:sz="4" w:space="0" w:color="000000"/>
              <w:right w:val="nil" w:sz="6" w:space="0" w:color="auto"/>
            </w:tcBorders>
          </w:tcPr>
          <w:p>
            <w:pPr>
              <w:pStyle w:val="TableParagraph"/>
              <w:spacing w:line="201" w:lineRule="exact"/>
              <w:ind w:left="87" w:right="0"/>
              <w:jc w:val="center"/>
              <w:rPr>
                <w:rFonts w:ascii="宋体" w:hAnsi="宋体" w:cs="宋体" w:eastAsia="宋体" w:hint="default"/>
                <w:sz w:val="18"/>
                <w:szCs w:val="18"/>
              </w:rPr>
            </w:pPr>
            <w:r>
              <w:rPr>
                <w:rFonts w:ascii="宋体" w:hAnsi="宋体" w:cs="宋体" w:eastAsia="宋体" w:hint="default"/>
                <w:spacing w:val="-17"/>
                <w:sz w:val="18"/>
                <w:szCs w:val="18"/>
              </w:rPr>
              <w:t>资本比例</w:t>
            </w:r>
            <w:r>
              <w:rPr>
                <w:rFonts w:ascii="宋体" w:hAnsi="宋体" w:cs="宋体" w:eastAsia="宋体" w:hint="default"/>
                <w:sz w:val="18"/>
                <w:szCs w:val="18"/>
              </w:rPr>
            </w:r>
          </w:p>
        </w:tc>
        <w:tc>
          <w:tcPr>
            <w:tcW w:w="11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59"/>
              <w:jc w:val="center"/>
              <w:rPr>
                <w:rFonts w:ascii="宋体" w:hAnsi="宋体" w:cs="宋体" w:eastAsia="宋体" w:hint="default"/>
                <w:sz w:val="18"/>
                <w:szCs w:val="18"/>
              </w:rPr>
            </w:pPr>
            <w:r>
              <w:rPr>
                <w:rFonts w:ascii="宋体" w:hAnsi="宋体" w:cs="宋体" w:eastAsia="宋体" w:hint="default"/>
                <w:spacing w:val="-17"/>
                <w:sz w:val="18"/>
                <w:szCs w:val="18"/>
              </w:rPr>
              <w:t>金额</w:t>
            </w:r>
            <w:r>
              <w:rPr>
                <w:rFonts w:ascii="宋体" w:hAnsi="宋体" w:cs="宋体" w:eastAsia="宋体" w:hint="default"/>
                <w:sz w:val="18"/>
                <w:szCs w:val="18"/>
              </w:rPr>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408" w:right="0"/>
              <w:jc w:val="left"/>
              <w:rPr>
                <w:rFonts w:ascii="宋体" w:hAnsi="宋体" w:cs="宋体" w:eastAsia="宋体" w:hint="default"/>
                <w:sz w:val="18"/>
                <w:szCs w:val="18"/>
              </w:rPr>
            </w:pPr>
            <w:r>
              <w:rPr>
                <w:rFonts w:ascii="宋体" w:hAnsi="宋体" w:cs="宋体" w:eastAsia="宋体" w:hint="default"/>
                <w:spacing w:val="-17"/>
                <w:sz w:val="18"/>
                <w:szCs w:val="18"/>
              </w:rPr>
              <w:t>减值准备</w:t>
            </w:r>
            <w:r>
              <w:rPr>
                <w:rFonts w:ascii="宋体" w:hAnsi="宋体" w:cs="宋体" w:eastAsia="宋体" w:hint="default"/>
                <w:sz w:val="18"/>
                <w:szCs w:val="18"/>
              </w:rPr>
            </w:r>
          </w:p>
        </w:tc>
        <w:tc>
          <w:tcPr>
            <w:tcW w:w="14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single" w:sz="4" w:space="0" w:color="000000"/>
              <w:right w:val="nil" w:sz="6" w:space="0" w:color="auto"/>
            </w:tcBorders>
          </w:tcPr>
          <w:p>
            <w:pPr>
              <w:pStyle w:val="TableParagraph"/>
              <w:spacing w:line="214" w:lineRule="exact"/>
              <w:ind w:left="14" w:right="0"/>
              <w:jc w:val="center"/>
              <w:rPr>
                <w:rFonts w:ascii="Times New Roman" w:hAnsi="Times New Roman" w:cs="Times New Roman" w:eastAsia="Times New Roman" w:hint="default"/>
                <w:sz w:val="18"/>
                <w:szCs w:val="18"/>
              </w:rPr>
            </w:pPr>
            <w:r>
              <w:rPr>
                <w:rFonts w:ascii="宋体" w:hAnsi="宋体" w:cs="宋体" w:eastAsia="宋体" w:hint="default"/>
                <w:spacing w:val="-13"/>
                <w:sz w:val="18"/>
                <w:szCs w:val="18"/>
              </w:rPr>
              <w:t>投资额</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z w:val="18"/>
                <w:szCs w:val="18"/>
              </w:rPr>
            </w:r>
          </w:p>
        </w:tc>
        <w:tc>
          <w:tcPr>
            <w:tcW w:w="115"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2" w:right="0"/>
              <w:jc w:val="center"/>
              <w:rPr>
                <w:rFonts w:ascii="宋体" w:hAnsi="宋体" w:cs="宋体" w:eastAsia="宋体" w:hint="default"/>
                <w:sz w:val="18"/>
                <w:szCs w:val="18"/>
              </w:rPr>
            </w:pPr>
            <w:r>
              <w:rPr>
                <w:rFonts w:ascii="宋体" w:hAnsi="宋体" w:cs="宋体" w:eastAsia="宋体" w:hint="default"/>
                <w:spacing w:val="-17"/>
                <w:sz w:val="18"/>
                <w:szCs w:val="18"/>
              </w:rPr>
              <w:t>金额</w:t>
            </w:r>
            <w:r>
              <w:rPr>
                <w:rFonts w:ascii="宋体" w:hAnsi="宋体" w:cs="宋体" w:eastAsia="宋体" w:hint="default"/>
                <w:sz w:val="18"/>
                <w:szCs w:val="18"/>
              </w:rPr>
            </w:r>
          </w:p>
        </w:tc>
        <w:tc>
          <w:tcPr>
            <w:tcW w:w="112"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20"/>
              <w:jc w:val="center"/>
              <w:rPr>
                <w:rFonts w:ascii="宋体" w:hAnsi="宋体" w:cs="宋体" w:eastAsia="宋体" w:hint="default"/>
                <w:sz w:val="18"/>
                <w:szCs w:val="18"/>
              </w:rPr>
            </w:pPr>
            <w:r>
              <w:rPr>
                <w:rFonts w:ascii="宋体" w:hAnsi="宋体" w:cs="宋体" w:eastAsia="宋体" w:hint="default"/>
                <w:spacing w:val="-17"/>
                <w:sz w:val="18"/>
                <w:szCs w:val="18"/>
              </w:rPr>
              <w:t>减值准备</w:t>
            </w:r>
            <w:r>
              <w:rPr>
                <w:rFonts w:ascii="宋体" w:hAnsi="宋体" w:cs="宋体" w:eastAsia="宋体" w:hint="default"/>
                <w:sz w:val="18"/>
                <w:szCs w:val="18"/>
              </w:rPr>
            </w:r>
          </w:p>
        </w:tc>
      </w:tr>
      <w:tr>
        <w:trPr>
          <w:trHeight w:val="282" w:hRule="exact"/>
        </w:trPr>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30" w:right="0"/>
              <w:jc w:val="left"/>
              <w:rPr>
                <w:rFonts w:ascii="宋体" w:hAnsi="宋体" w:cs="宋体" w:eastAsia="宋体" w:hint="default"/>
                <w:sz w:val="18"/>
                <w:szCs w:val="18"/>
              </w:rPr>
            </w:pPr>
            <w:r>
              <w:rPr>
                <w:rFonts w:ascii="宋体" w:hAnsi="宋体" w:cs="宋体" w:eastAsia="宋体" w:hint="default"/>
                <w:spacing w:val="-17"/>
                <w:sz w:val="18"/>
                <w:szCs w:val="18"/>
              </w:rPr>
              <w:t>荣信电通</w:t>
            </w:r>
            <w:r>
              <w:rPr>
                <w:rFonts w:ascii="宋体" w:hAnsi="宋体" w:cs="宋体" w:eastAsia="宋体" w:hint="default"/>
                <w:sz w:val="18"/>
                <w:szCs w:val="18"/>
              </w:rPr>
            </w:r>
          </w:p>
        </w:tc>
        <w:tc>
          <w:tcPr>
            <w:tcW w:w="75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86" w:right="0"/>
              <w:jc w:val="center"/>
              <w:rPr>
                <w:rFonts w:ascii="Times New Roman" w:hAnsi="Times New Roman" w:cs="Times New Roman" w:eastAsia="Times New Roman" w:hint="default"/>
                <w:sz w:val="18"/>
                <w:szCs w:val="18"/>
              </w:rPr>
            </w:pPr>
            <w:r>
              <w:rPr>
                <w:rFonts w:ascii="Times New Roman"/>
                <w:spacing w:val="-9"/>
                <w:sz w:val="18"/>
              </w:rPr>
              <w:t>10%</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2"/>
              <w:jc w:val="center"/>
              <w:rPr>
                <w:rFonts w:ascii="Times New Roman" w:hAnsi="Times New Roman" w:cs="Times New Roman" w:eastAsia="Times New Roman" w:hint="default"/>
                <w:sz w:val="18"/>
                <w:szCs w:val="18"/>
              </w:rPr>
            </w:pPr>
            <w:r>
              <w:rPr>
                <w:rFonts w:ascii="Times New Roman"/>
                <w:spacing w:val="-6"/>
                <w:sz w:val="18"/>
              </w:rPr>
              <w:t>RMB</w:t>
            </w:r>
            <w:r>
              <w:rPr>
                <w:rFonts w:ascii="Times New Roman"/>
                <w:spacing w:val="22"/>
                <w:sz w:val="18"/>
              </w:rPr>
              <w:t> </w:t>
            </w:r>
            <w:r>
              <w:rPr>
                <w:rFonts w:ascii="Times New Roman"/>
                <w:spacing w:val="-8"/>
                <w:sz w:val="18"/>
              </w:rPr>
              <w:t>1,000,000.00</w:t>
            </w:r>
          </w:p>
        </w:tc>
        <w:tc>
          <w:tcPr>
            <w:tcW w:w="1487" w:type="dxa"/>
            <w:tcBorders>
              <w:top w:val="single" w:sz="4" w:space="0" w:color="000000"/>
              <w:left w:val="nil" w:sz="6" w:space="0" w:color="auto"/>
              <w:bottom w:val="nil" w:sz="6" w:space="0" w:color="auto"/>
              <w:right w:val="nil" w:sz="6" w:space="0" w:color="auto"/>
            </w:tcBorders>
          </w:tcPr>
          <w:p>
            <w:pPr>
              <w:pStyle w:val="TableParagraph"/>
              <w:tabs>
                <w:tab w:pos="1427" w:val="left" w:leader="none"/>
              </w:tabs>
              <w:spacing w:line="240" w:lineRule="auto" w:before="74"/>
              <w:ind w:left="87" w:right="0"/>
              <w:jc w:val="left"/>
              <w:rPr>
                <w:rFonts w:ascii="Times New Roman" w:hAnsi="Times New Roman" w:cs="Times New Roman" w:eastAsia="Times New Roman" w:hint="default"/>
                <w:sz w:val="18"/>
                <w:szCs w:val="18"/>
              </w:rPr>
            </w:pPr>
            <w:r>
              <w:rPr>
                <w:rFonts w:ascii="Times New Roman"/>
                <w:spacing w:val="-6"/>
                <w:sz w:val="18"/>
              </w:rPr>
              <w:t>RMB</w:t>
              <w:tab/>
            </w:r>
            <w:r>
              <w:rPr>
                <w:rFonts w:ascii="Times New Roman"/>
                <w:sz w:val="18"/>
              </w:rPr>
              <w:t>-</w:t>
            </w:r>
          </w:p>
        </w:tc>
        <w:tc>
          <w:tcPr>
            <w:tcW w:w="145" w:type="dxa"/>
            <w:tcBorders>
              <w:top w:val="nil" w:sz="6" w:space="0" w:color="auto"/>
              <w:left w:val="nil" w:sz="6" w:space="0" w:color="auto"/>
              <w:bottom w:val="nil" w:sz="6" w:space="0" w:color="auto"/>
              <w:right w:val="nil" w:sz="6" w:space="0" w:color="auto"/>
            </w:tcBorders>
          </w:tcPr>
          <w:p>
            <w:pPr/>
          </w:p>
        </w:tc>
        <w:tc>
          <w:tcPr>
            <w:tcW w:w="1475" w:type="dxa"/>
            <w:tcBorders>
              <w:top w:val="single" w:sz="4" w:space="0" w:color="000000"/>
              <w:left w:val="nil" w:sz="6" w:space="0" w:color="auto"/>
              <w:bottom w:val="nil" w:sz="6" w:space="0" w:color="auto"/>
              <w:right w:val="nil" w:sz="6" w:space="0" w:color="auto"/>
            </w:tcBorders>
          </w:tcPr>
          <w:p>
            <w:pPr>
              <w:pStyle w:val="TableParagraph"/>
              <w:tabs>
                <w:tab w:pos="1396" w:val="left" w:leader="none"/>
              </w:tabs>
              <w:spacing w:line="240" w:lineRule="auto" w:before="74"/>
              <w:ind w:left="11" w:right="0"/>
              <w:jc w:val="center"/>
              <w:rPr>
                <w:rFonts w:ascii="Times New Roman" w:hAnsi="Times New Roman" w:cs="Times New Roman" w:eastAsia="Times New Roman" w:hint="default"/>
                <w:sz w:val="18"/>
                <w:szCs w:val="18"/>
              </w:rPr>
            </w:pPr>
            <w:r>
              <w:rPr>
                <w:rFonts w:ascii="Times New Roman"/>
                <w:spacing w:val="-6"/>
                <w:sz w:val="18"/>
              </w:rPr>
              <w:t>RMB</w:t>
              <w:tab/>
            </w:r>
            <w:r>
              <w:rPr>
                <w:rFonts w:ascii="Times New Roman"/>
                <w:sz w:val="18"/>
              </w:rPr>
              <w:t>-</w:t>
            </w:r>
          </w:p>
        </w:tc>
        <w:tc>
          <w:tcPr>
            <w:tcW w:w="115"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7" w:right="0"/>
              <w:jc w:val="center"/>
              <w:rPr>
                <w:rFonts w:ascii="Times New Roman" w:hAnsi="Times New Roman" w:cs="Times New Roman" w:eastAsia="Times New Roman" w:hint="default"/>
                <w:sz w:val="18"/>
                <w:szCs w:val="18"/>
              </w:rPr>
            </w:pPr>
            <w:r>
              <w:rPr>
                <w:rFonts w:ascii="Times New Roman"/>
                <w:spacing w:val="-6"/>
                <w:sz w:val="18"/>
              </w:rPr>
              <w:t>RMB</w:t>
            </w:r>
            <w:r>
              <w:rPr>
                <w:rFonts w:ascii="Times New Roman"/>
                <w:spacing w:val="22"/>
                <w:sz w:val="18"/>
              </w:rPr>
              <w:t> </w:t>
            </w:r>
            <w:r>
              <w:rPr>
                <w:rFonts w:ascii="Times New Roman"/>
                <w:spacing w:val="-8"/>
                <w:sz w:val="18"/>
              </w:rPr>
              <w:t>1,000,000.00</w:t>
            </w:r>
          </w:p>
        </w:tc>
        <w:tc>
          <w:tcPr>
            <w:tcW w:w="112"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tabs>
                <w:tab w:pos="1303" w:val="left" w:leader="none"/>
              </w:tabs>
              <w:spacing w:line="240" w:lineRule="auto" w:before="74"/>
              <w:ind w:left="38" w:right="0"/>
              <w:jc w:val="center"/>
              <w:rPr>
                <w:rFonts w:ascii="Times New Roman" w:hAnsi="Times New Roman" w:cs="Times New Roman" w:eastAsia="Times New Roman" w:hint="default"/>
                <w:sz w:val="18"/>
                <w:szCs w:val="18"/>
              </w:rPr>
            </w:pPr>
            <w:r>
              <w:rPr>
                <w:rFonts w:ascii="Times New Roman"/>
                <w:spacing w:val="-6"/>
                <w:sz w:val="18"/>
              </w:rPr>
              <w:t>RMB</w:t>
              <w:tab/>
            </w:r>
            <w:r>
              <w:rPr>
                <w:rFonts w:ascii="Times New Roman"/>
                <w:sz w:val="18"/>
              </w:rPr>
              <w:t>-</w:t>
            </w:r>
          </w:p>
        </w:tc>
      </w:tr>
    </w:tbl>
    <w:p>
      <w:pPr>
        <w:spacing w:line="240" w:lineRule="auto" w:before="7"/>
        <w:rPr>
          <w:rFonts w:ascii="宋体" w:hAnsi="宋体" w:cs="宋体" w:eastAsia="宋体" w:hint="default"/>
          <w:sz w:val="17"/>
          <w:szCs w:val="17"/>
        </w:rPr>
      </w:pPr>
    </w:p>
    <w:p>
      <w:pPr>
        <w:pStyle w:val="BodyText"/>
        <w:spacing w:line="240" w:lineRule="auto" w:before="26"/>
        <w:ind w:left="824" w:right="0"/>
        <w:jc w:val="left"/>
      </w:pPr>
      <w:r>
        <w:rPr>
          <w:spacing w:val="7"/>
        </w:rPr>
        <w:t>本公司不存在投资变现及投资收益汇回的重大限制。</w:t>
      </w:r>
      <w:r>
        <w:rPr/>
      </w:r>
    </w:p>
    <w:p>
      <w:pPr>
        <w:spacing w:line="240" w:lineRule="auto" w:before="5"/>
        <w:rPr>
          <w:rFonts w:ascii="宋体" w:hAnsi="宋体" w:cs="宋体" w:eastAsia="宋体" w:hint="default"/>
          <w:sz w:val="17"/>
          <w:szCs w:val="17"/>
        </w:rPr>
      </w:pPr>
    </w:p>
    <w:p>
      <w:pPr>
        <w:spacing w:line="362" w:lineRule="auto" w:before="0"/>
        <w:ind w:left="824" w:right="279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8"/>
          <w:sz w:val="24"/>
          <w:szCs w:val="24"/>
        </w:rPr>
        <w:t>固定资产及其累计折旧</w:t>
      </w:r>
      <w:r>
        <w:rPr>
          <w:rFonts w:ascii="宋体" w:hAnsi="宋体" w:cs="宋体" w:eastAsia="宋体" w:hint="default"/>
          <w:b/>
          <w:bCs/>
          <w:spacing w:val="8"/>
          <w:w w:val="99"/>
          <w:sz w:val="24"/>
          <w:szCs w:val="24"/>
        </w:rPr>
        <w:t> </w:t>
      </w:r>
      <w:r>
        <w:rPr>
          <w:rFonts w:ascii="宋体" w:hAnsi="宋体" w:cs="宋体" w:eastAsia="宋体" w:hint="default"/>
          <w:spacing w:val="8"/>
          <w:sz w:val="24"/>
          <w:szCs w:val="24"/>
        </w:rPr>
        <w:t>固定资产原价及其累计折旧的增减变动明细项目列示如下：</w:t>
      </w:r>
      <w:r>
        <w:rPr>
          <w:rFonts w:ascii="宋体" w:hAnsi="宋体" w:cs="宋体" w:eastAsia="宋体" w:hint="default"/>
          <w:sz w:val="24"/>
          <w:szCs w:val="24"/>
        </w:rPr>
      </w:r>
    </w:p>
    <w:p>
      <w:pPr>
        <w:spacing w:line="240" w:lineRule="auto" w:before="5"/>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105"/>
        <w:gridCol w:w="1760"/>
        <w:gridCol w:w="1949"/>
        <w:gridCol w:w="131"/>
        <w:gridCol w:w="1841"/>
        <w:gridCol w:w="276"/>
        <w:gridCol w:w="1778"/>
      </w:tblGrid>
      <w:tr>
        <w:trPr>
          <w:trHeight w:val="306" w:hRule="exact"/>
        </w:trPr>
        <w:tc>
          <w:tcPr>
            <w:tcW w:w="210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single" w:sz="6" w:space="0" w:color="000000"/>
              <w:right w:val="nil" w:sz="6" w:space="0" w:color="auto"/>
            </w:tcBorders>
          </w:tcPr>
          <w:p>
            <w:pPr>
              <w:pStyle w:val="TableParagraph"/>
              <w:spacing w:line="184" w:lineRule="exact"/>
              <w:ind w:left="482" w:right="0"/>
              <w:jc w:val="left"/>
              <w:rPr>
                <w:rFonts w:ascii="Times New Roman" w:hAnsi="Times New Roman" w:cs="Times New Roman" w:eastAsia="Times New Roman" w:hint="default"/>
                <w:sz w:val="18"/>
                <w:szCs w:val="18"/>
              </w:rPr>
            </w:pPr>
            <w:r>
              <w:rPr>
                <w:rFonts w:ascii="Times New Roman"/>
                <w:sz w:val="18"/>
              </w:rPr>
              <w:t>2007.01.01</w:t>
            </w:r>
          </w:p>
        </w:tc>
        <w:tc>
          <w:tcPr>
            <w:tcW w:w="1949" w:type="dxa"/>
            <w:tcBorders>
              <w:top w:val="nil" w:sz="6" w:space="0" w:color="auto"/>
              <w:left w:val="nil" w:sz="6" w:space="0" w:color="auto"/>
              <w:bottom w:val="single" w:sz="6" w:space="0" w:color="000000"/>
              <w:right w:val="nil" w:sz="6" w:space="0" w:color="auto"/>
            </w:tcBorders>
          </w:tcPr>
          <w:p>
            <w:pPr>
              <w:pStyle w:val="TableParagraph"/>
              <w:spacing w:line="186" w:lineRule="exact"/>
              <w:ind w:left="64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186" w:lineRule="exact"/>
              <w:ind w:left="54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4" w:space="0" w:color="000000"/>
              <w:right w:val="nil" w:sz="6" w:space="0" w:color="auto"/>
            </w:tcBorders>
          </w:tcPr>
          <w:p>
            <w:pPr>
              <w:pStyle w:val="TableParagraph"/>
              <w:spacing w:line="184" w:lineRule="exact"/>
              <w:ind w:left="485" w:right="0"/>
              <w:jc w:val="left"/>
              <w:rPr>
                <w:rFonts w:ascii="Times New Roman" w:hAnsi="Times New Roman" w:cs="Times New Roman" w:eastAsia="Times New Roman" w:hint="default"/>
                <w:sz w:val="18"/>
                <w:szCs w:val="18"/>
              </w:rPr>
            </w:pPr>
            <w:r>
              <w:rPr>
                <w:rFonts w:ascii="Times New Roman"/>
                <w:sz w:val="18"/>
              </w:rPr>
              <w:t>2007.12.31</w:t>
            </w:r>
          </w:p>
        </w:tc>
      </w:tr>
      <w:tr>
        <w:trPr>
          <w:trHeight w:val="398"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固定资产原价：</w:t>
            </w:r>
          </w:p>
        </w:tc>
        <w:tc>
          <w:tcPr>
            <w:tcW w:w="1760" w:type="dxa"/>
            <w:tcBorders>
              <w:top w:val="single" w:sz="6" w:space="0" w:color="000000"/>
              <w:left w:val="nil" w:sz="6" w:space="0" w:color="auto"/>
              <w:bottom w:val="nil" w:sz="6" w:space="0" w:color="auto"/>
              <w:right w:val="nil" w:sz="6" w:space="0" w:color="auto"/>
            </w:tcBorders>
          </w:tcPr>
          <w:p>
            <w:pPr/>
          </w:p>
        </w:tc>
        <w:tc>
          <w:tcPr>
            <w:tcW w:w="1949" w:type="dxa"/>
            <w:tcBorders>
              <w:top w:val="single" w:sz="6" w:space="0" w:color="000000"/>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8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RMB13,379,460.36</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7"/>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19,677,685.74</w:t>
            </w:r>
          </w:p>
        </w:tc>
        <w:tc>
          <w:tcPr>
            <w:tcW w:w="13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 w:right="0"/>
              <w:jc w:val="left"/>
              <w:rPr>
                <w:rFonts w:ascii="Times New Roman" w:hAnsi="Times New Roman" w:cs="Times New Roman" w:eastAsia="Times New Roman" w:hint="default"/>
                <w:sz w:val="18"/>
                <w:szCs w:val="18"/>
              </w:rPr>
            </w:pPr>
            <w:r>
              <w:rPr>
                <w:rFonts w:ascii="Times New Roman"/>
                <w:sz w:val="18"/>
              </w:rPr>
              <w:t>*</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1,712,458.00</w:t>
            </w:r>
          </w:p>
        </w:tc>
        <w:tc>
          <w:tcPr>
            <w:tcW w:w="2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Times New Roman" w:hAnsi="Times New Roman" w:cs="Times New Roman" w:eastAsia="Times New Roman" w:hint="default"/>
                <w:sz w:val="18"/>
                <w:szCs w:val="18"/>
              </w:rPr>
            </w:pPr>
            <w:r>
              <w:rPr>
                <w:rFonts w:ascii="Times New Roman"/>
                <w:sz w:val="18"/>
              </w:rPr>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31,344,688.10</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5,902,335.93</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7"/>
              <w:jc w:val="right"/>
              <w:rPr>
                <w:rFonts w:ascii="Times New Roman" w:hAnsi="Times New Roman" w:cs="Times New Roman" w:eastAsia="Times New Roman" w:hint="default"/>
                <w:sz w:val="18"/>
                <w:szCs w:val="18"/>
              </w:rPr>
            </w:pPr>
            <w:r>
              <w:rPr>
                <w:rFonts w:ascii="Times New Roman"/>
                <w:sz w:val="18"/>
              </w:rPr>
              <w:t>32,820.51</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pacing w:val="-1"/>
                <w:sz w:val="18"/>
              </w:rPr>
              <w:t>5,935,156.44</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1,873,987.97</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6"/>
              <w:jc w:val="right"/>
              <w:rPr>
                <w:rFonts w:ascii="Times New Roman" w:hAnsi="Times New Roman" w:cs="Times New Roman" w:eastAsia="Times New Roman" w:hint="default"/>
                <w:sz w:val="18"/>
                <w:szCs w:val="18"/>
              </w:rPr>
            </w:pPr>
            <w:r>
              <w:rPr>
                <w:rFonts w:ascii="Times New Roman"/>
                <w:spacing w:val="-1"/>
                <w:sz w:val="18"/>
              </w:rPr>
              <w:t>1,234,834.45</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sz w:val="18"/>
              </w:rPr>
              <w:t>286,917.47</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pacing w:val="-1"/>
                <w:sz w:val="18"/>
              </w:rPr>
              <w:t>2,821,904.95</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39"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8,750,512.53</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6"/>
              <w:jc w:val="right"/>
              <w:rPr>
                <w:rFonts w:ascii="Times New Roman" w:hAnsi="Times New Roman" w:cs="Times New Roman" w:eastAsia="Times New Roman" w:hint="default"/>
                <w:sz w:val="18"/>
                <w:szCs w:val="18"/>
              </w:rPr>
            </w:pPr>
            <w:r>
              <w:rPr>
                <w:rFonts w:ascii="Times New Roman"/>
                <w:spacing w:val="-1"/>
                <w:sz w:val="18"/>
              </w:rPr>
              <w:t>4,999,570.00</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sz w:val="18"/>
              </w:rPr>
              <w:t>206,022.00</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13,544,060.53</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83"/>
              <w:jc w:val="right"/>
              <w:rPr>
                <w:rFonts w:ascii="宋体" w:hAnsi="宋体" w:cs="宋体" w:eastAsia="宋体" w:hint="default"/>
                <w:sz w:val="18"/>
                <w:szCs w:val="18"/>
              </w:rPr>
            </w:pPr>
            <w:r>
              <w:rPr>
                <w:rFonts w:ascii="宋体" w:hAnsi="宋体" w:cs="宋体" w:eastAsia="宋体" w:hint="default"/>
                <w:sz w:val="18"/>
                <w:szCs w:val="18"/>
              </w:rPr>
              <w:t>仪器仪表设备</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1,399,136.68</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6"/>
              <w:jc w:val="right"/>
              <w:rPr>
                <w:rFonts w:ascii="Times New Roman" w:hAnsi="Times New Roman" w:cs="Times New Roman" w:eastAsia="Times New Roman" w:hint="default"/>
                <w:sz w:val="18"/>
                <w:szCs w:val="18"/>
              </w:rPr>
            </w:pPr>
            <w:r>
              <w:rPr>
                <w:rFonts w:ascii="Times New Roman"/>
                <w:sz w:val="18"/>
              </w:rPr>
              <w:t>481,491.18</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pacing w:val="-1"/>
                <w:sz w:val="18"/>
              </w:rPr>
              <w:t>1,880,627.86</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9"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Times New Roman" w:hAnsi="Times New Roman" w:cs="Times New Roman" w:eastAsia="Times New Roman" w:hint="default"/>
                <w:sz w:val="18"/>
                <w:szCs w:val="18"/>
              </w:rPr>
            </w:pPr>
            <w:r>
              <w:rPr>
                <w:rFonts w:ascii="Times New Roman"/>
                <w:sz w:val="18"/>
              </w:rPr>
              <w:t>998,701.14</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998,701.14</w:t>
            </w:r>
          </w:p>
        </w:tc>
      </w:tr>
      <w:tr>
        <w:trPr>
          <w:trHeight w:val="413"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60" w:type="dxa"/>
            <w:tcBorders>
              <w:top w:val="nil" w:sz="6" w:space="0" w:color="auto"/>
              <w:left w:val="nil" w:sz="6" w:space="0" w:color="auto"/>
              <w:bottom w:val="single" w:sz="6" w:space="0" w:color="000000"/>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5,624,828.33</w:t>
            </w:r>
          </w:p>
        </w:tc>
        <w:tc>
          <w:tcPr>
            <w:tcW w:w="1949" w:type="dxa"/>
            <w:tcBorders>
              <w:top w:val="nil" w:sz="6" w:space="0" w:color="auto"/>
              <w:left w:val="nil" w:sz="6" w:space="0" w:color="auto"/>
              <w:bottom w:val="single" w:sz="6" w:space="0" w:color="000000"/>
              <w:right w:val="nil" w:sz="6" w:space="0" w:color="auto"/>
            </w:tcBorders>
          </w:tcPr>
          <w:p>
            <w:pPr>
              <w:pStyle w:val="TableParagraph"/>
              <w:spacing w:line="240" w:lineRule="auto" w:before="82"/>
              <w:ind w:right="47"/>
              <w:jc w:val="right"/>
              <w:rPr>
                <w:rFonts w:ascii="Times New Roman" w:hAnsi="Times New Roman" w:cs="Times New Roman" w:eastAsia="Times New Roman" w:hint="default"/>
                <w:sz w:val="18"/>
                <w:szCs w:val="18"/>
              </w:rPr>
            </w:pPr>
            <w:r>
              <w:rPr>
                <w:rFonts w:ascii="Times New Roman"/>
                <w:spacing w:val="-1"/>
                <w:sz w:val="18"/>
              </w:rPr>
              <w:t>3,737,560.44</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6" w:space="0" w:color="000000"/>
              <w:right w:val="nil" w:sz="6" w:space="0" w:color="auto"/>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pacing w:val="-1"/>
                <w:sz w:val="18"/>
              </w:rPr>
              <w:t>9,362,388.77</w:t>
            </w:r>
          </w:p>
        </w:tc>
      </w:tr>
      <w:tr>
        <w:trPr>
          <w:trHeight w:val="412"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pacing w:val="-1"/>
                <w:sz w:val="18"/>
              </w:rPr>
              <w:t>37,928,962.94</w:t>
            </w:r>
          </w:p>
        </w:tc>
        <w:tc>
          <w:tcPr>
            <w:tcW w:w="1949"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46"/>
              <w:jc w:val="right"/>
              <w:rPr>
                <w:rFonts w:ascii="Times New Roman" w:hAnsi="Times New Roman" w:cs="Times New Roman" w:eastAsia="Times New Roman" w:hint="default"/>
                <w:sz w:val="18"/>
                <w:szCs w:val="18"/>
              </w:rPr>
            </w:pPr>
            <w:r>
              <w:rPr>
                <w:rFonts w:ascii="Times New Roman"/>
                <w:spacing w:val="-1"/>
                <w:sz w:val="18"/>
              </w:rPr>
              <w:t>30,163,962.32</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43"/>
              <w:jc w:val="right"/>
              <w:rPr>
                <w:rFonts w:ascii="Times New Roman" w:hAnsi="Times New Roman" w:cs="Times New Roman" w:eastAsia="Times New Roman" w:hint="default"/>
                <w:sz w:val="18"/>
                <w:szCs w:val="18"/>
              </w:rPr>
            </w:pPr>
            <w:r>
              <w:rPr>
                <w:rFonts w:ascii="Times New Roman"/>
                <w:spacing w:val="-1"/>
                <w:sz w:val="18"/>
              </w:rPr>
              <w:t>2,205,397.47</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pacing w:val="-1"/>
                <w:sz w:val="18"/>
              </w:rPr>
              <w:t>65,887,527.79</w:t>
            </w:r>
          </w:p>
        </w:tc>
      </w:tr>
      <w:tr>
        <w:trPr>
          <w:trHeight w:val="398"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60" w:type="dxa"/>
            <w:tcBorders>
              <w:top w:val="single" w:sz="6" w:space="0" w:color="000000"/>
              <w:left w:val="nil" w:sz="6" w:space="0" w:color="auto"/>
              <w:bottom w:val="nil" w:sz="6" w:space="0" w:color="auto"/>
              <w:right w:val="nil" w:sz="6" w:space="0" w:color="auto"/>
            </w:tcBorders>
          </w:tcPr>
          <w:p>
            <w:pPr/>
          </w:p>
        </w:tc>
        <w:tc>
          <w:tcPr>
            <w:tcW w:w="1949" w:type="dxa"/>
            <w:tcBorders>
              <w:top w:val="single" w:sz="6" w:space="0" w:color="000000"/>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single" w:sz="6" w:space="0" w:color="000000"/>
              <w:left w:val="nil" w:sz="6" w:space="0" w:color="auto"/>
              <w:bottom w:val="nil" w:sz="6" w:space="0" w:color="auto"/>
              <w:right w:val="nil" w:sz="6" w:space="0" w:color="auto"/>
            </w:tcBorders>
          </w:tcPr>
          <w:p>
            <w:pPr/>
          </w:p>
        </w:tc>
      </w:tr>
      <w:tr>
        <w:trPr>
          <w:trHeight w:val="405"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8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1,647,626.08</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
              <w:jc w:val="right"/>
              <w:rPr>
                <w:rFonts w:ascii="Times New Roman" w:hAnsi="Times New Roman" w:cs="Times New Roman" w:eastAsia="Times New Roman" w:hint="default"/>
                <w:sz w:val="18"/>
                <w:szCs w:val="18"/>
              </w:rPr>
            </w:pPr>
            <w:r>
              <w:rPr>
                <w:rFonts w:ascii="Times New Roman"/>
                <w:sz w:val="18"/>
              </w:rPr>
              <w:t>317,366.44</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z w:val="18"/>
              </w:rPr>
              <w:t>155,905.04</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1,809,087.48</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1,644,674.84</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t>376,432.26</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2,021,107.10</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1,047,914.62</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t>399,043.17</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274,177.38</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1,172,780.41</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8"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2,416,767.63</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1,306,052.89</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50,017.58</w:t>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3,672,802.94</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83"/>
              <w:jc w:val="right"/>
              <w:rPr>
                <w:rFonts w:ascii="宋体" w:hAnsi="宋体" w:cs="宋体" w:eastAsia="宋体" w:hint="default"/>
                <w:sz w:val="18"/>
                <w:szCs w:val="18"/>
              </w:rPr>
            </w:pPr>
            <w:r>
              <w:rPr>
                <w:rFonts w:ascii="宋体" w:hAnsi="宋体" w:cs="宋体" w:eastAsia="宋体" w:hint="default"/>
                <w:sz w:val="18"/>
                <w:szCs w:val="18"/>
              </w:rPr>
              <w:t>仪器仪表设备</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448,565.78</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189,403.30</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637,969.08</w:t>
            </w:r>
          </w:p>
        </w:tc>
      </w:tr>
      <w:tr>
        <w:trPr>
          <w:trHeight w:val="39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9"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209,175.01</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188,747.04</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397,922.05</w:t>
            </w:r>
          </w:p>
        </w:tc>
      </w:tr>
      <w:tr>
        <w:trPr>
          <w:trHeight w:val="403"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60"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2,434,364.17</w:t>
            </w:r>
          </w:p>
        </w:tc>
        <w:tc>
          <w:tcPr>
            <w:tcW w:w="1949"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right="30"/>
              <w:jc w:val="right"/>
              <w:rPr>
                <w:rFonts w:ascii="Times New Roman" w:hAnsi="Times New Roman" w:cs="Times New Roman" w:eastAsia="Times New Roman" w:hint="default"/>
                <w:sz w:val="18"/>
                <w:szCs w:val="18"/>
              </w:rPr>
            </w:pPr>
            <w:r>
              <w:rPr>
                <w:rFonts w:ascii="Times New Roman"/>
                <w:spacing w:val="-1"/>
                <w:sz w:val="18"/>
              </w:rPr>
              <w:t>1,166,562.43</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3,600,926.60</w:t>
            </w:r>
          </w:p>
        </w:tc>
      </w:tr>
      <w:tr>
        <w:trPr>
          <w:trHeight w:val="413"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6" w:space="0" w:color="000000"/>
              <w:left w:val="nil" w:sz="6" w:space="0" w:color="auto"/>
              <w:bottom w:val="single" w:sz="6" w:space="0" w:color="000000"/>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9,849,088.13</w:t>
            </w:r>
          </w:p>
        </w:tc>
        <w:tc>
          <w:tcPr>
            <w:tcW w:w="1949" w:type="dxa"/>
            <w:tcBorders>
              <w:top w:val="single" w:sz="6" w:space="0" w:color="000000"/>
              <w:left w:val="nil" w:sz="6" w:space="0" w:color="auto"/>
              <w:bottom w:val="single" w:sz="6" w:space="0" w:color="000000"/>
              <w:right w:val="nil" w:sz="6" w:space="0" w:color="auto"/>
            </w:tcBorders>
          </w:tcPr>
          <w:p>
            <w:pPr>
              <w:pStyle w:val="TableParagraph"/>
              <w:spacing w:line="240" w:lineRule="auto" w:before="73"/>
              <w:ind w:right="47"/>
              <w:jc w:val="right"/>
              <w:rPr>
                <w:rFonts w:ascii="Times New Roman" w:hAnsi="Times New Roman" w:cs="Times New Roman" w:eastAsia="Times New Roman" w:hint="default"/>
                <w:sz w:val="18"/>
                <w:szCs w:val="18"/>
              </w:rPr>
            </w:pPr>
            <w:r>
              <w:rPr>
                <w:rFonts w:ascii="Times New Roman"/>
                <w:sz w:val="18"/>
              </w:rPr>
              <w:t>RMB  </w:t>
            </w:r>
            <w:r>
              <w:rPr>
                <w:rFonts w:ascii="Times New Roman"/>
                <w:spacing w:val="42"/>
                <w:sz w:val="18"/>
              </w:rPr>
              <w:t> </w:t>
            </w:r>
            <w:r>
              <w:rPr>
                <w:rFonts w:ascii="Times New Roman"/>
                <w:sz w:val="18"/>
              </w:rPr>
              <w:t>3,943,607.53</w:t>
            </w: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4" w:space="0" w:color="000000"/>
              <w:right w:val="nil" w:sz="6" w:space="0" w:color="auto"/>
            </w:tcBorders>
          </w:tcPr>
          <w:p>
            <w:pPr>
              <w:pStyle w:val="TableParagraph"/>
              <w:tabs>
                <w:tab w:pos="760" w:val="left" w:leader="none"/>
              </w:tabs>
              <w:spacing w:line="240" w:lineRule="auto" w:before="78"/>
              <w:ind w:right="44"/>
              <w:jc w:val="right"/>
              <w:rPr>
                <w:rFonts w:ascii="Times New Roman" w:hAnsi="Times New Roman" w:cs="Times New Roman" w:eastAsia="Times New Roman" w:hint="default"/>
                <w:sz w:val="18"/>
                <w:szCs w:val="18"/>
              </w:rPr>
            </w:pPr>
            <w:r>
              <w:rPr>
                <w:rFonts w:ascii="Times New Roman"/>
                <w:w w:val="95"/>
                <w:sz w:val="18"/>
              </w:rPr>
              <w:t>RMB</w:t>
              <w:tab/>
              <w:t>480,100.00</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single" w:sz="6" w:space="0" w:color="000000"/>
              <w:left w:val="nil" w:sz="6" w:space="0" w:color="auto"/>
              <w:bottom w:val="single" w:sz="6" w:space="0" w:color="000000"/>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13,312,595.66</w:t>
            </w:r>
          </w:p>
        </w:tc>
      </w:tr>
      <w:tr>
        <w:trPr>
          <w:trHeight w:val="42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1760" w:type="dxa"/>
            <w:tcBorders>
              <w:top w:val="single" w:sz="6" w:space="0" w:color="000000"/>
              <w:left w:val="nil" w:sz="6" w:space="0" w:color="auto"/>
              <w:bottom w:val="single" w:sz="12" w:space="0" w:color="000000"/>
              <w:right w:val="nil" w:sz="6" w:space="0" w:color="auto"/>
            </w:tcBorders>
          </w:tcPr>
          <w:p>
            <w:pPr>
              <w:pStyle w:val="TableParagraph"/>
              <w:spacing w:line="240" w:lineRule="auto" w:before="73"/>
              <w:ind w:right="7"/>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28,079,874.81</w:t>
            </w:r>
          </w:p>
        </w:tc>
        <w:tc>
          <w:tcPr>
            <w:tcW w:w="1949" w:type="dxa"/>
            <w:tcBorders>
              <w:top w:val="single" w:sz="6" w:space="0" w:color="000000"/>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78" w:type="dxa"/>
            <w:tcBorders>
              <w:top w:val="single" w:sz="6" w:space="0" w:color="000000"/>
              <w:left w:val="nil" w:sz="6" w:space="0" w:color="auto"/>
              <w:bottom w:val="single" w:sz="12" w:space="0" w:color="000000"/>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z w:val="18"/>
              </w:rPr>
              <w:t>RMB</w:t>
            </w:r>
            <w:r>
              <w:rPr>
                <w:rFonts w:ascii="Times New Roman"/>
                <w:spacing w:val="-3"/>
                <w:sz w:val="18"/>
              </w:rPr>
              <w:t> </w:t>
            </w:r>
            <w:r>
              <w:rPr>
                <w:rFonts w:ascii="Times New Roman"/>
                <w:sz w:val="18"/>
              </w:rPr>
              <w:t>52,574,932.13</w:t>
            </w:r>
          </w:p>
        </w:tc>
      </w:tr>
    </w:tbl>
    <w:p>
      <w:pPr>
        <w:spacing w:line="240" w:lineRule="auto" w:before="4"/>
        <w:rPr>
          <w:rFonts w:ascii="宋体" w:hAnsi="宋体" w:cs="宋体" w:eastAsia="宋体" w:hint="default"/>
          <w:sz w:val="13"/>
          <w:szCs w:val="13"/>
        </w:rPr>
      </w:pPr>
    </w:p>
    <w:p>
      <w:pPr>
        <w:pStyle w:val="BodyText"/>
        <w:spacing w:line="240" w:lineRule="auto" w:before="26"/>
        <w:ind w:left="824"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4"/>
        </w:rPr>
        <w:t>本年增加房屋及建筑物系购入的生产厂房及装修。</w:t>
      </w:r>
    </w:p>
    <w:p>
      <w:pPr>
        <w:spacing w:line="240" w:lineRule="auto" w:before="8"/>
        <w:rPr>
          <w:rFonts w:ascii="宋体" w:hAnsi="宋体" w:cs="宋体" w:eastAsia="宋体" w:hint="default"/>
          <w:sz w:val="16"/>
          <w:szCs w:val="16"/>
        </w:rPr>
      </w:pPr>
    </w:p>
    <w:p>
      <w:pPr>
        <w:pStyle w:val="BodyText"/>
        <w:spacing w:line="240" w:lineRule="auto"/>
        <w:ind w:left="823"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6"/>
        </w:rPr>
        <w:t>本年减少房屋及建筑物系诚和伟业转让办公用房。</w:t>
      </w:r>
      <w:r>
        <w:rPr/>
      </w:r>
    </w:p>
    <w:p>
      <w:pPr>
        <w:spacing w:line="240" w:lineRule="auto" w:before="9"/>
        <w:rPr>
          <w:rFonts w:ascii="宋体" w:hAnsi="宋体" w:cs="宋体" w:eastAsia="宋体" w:hint="default"/>
          <w:sz w:val="16"/>
          <w:szCs w:val="16"/>
        </w:rPr>
      </w:pPr>
    </w:p>
    <w:p>
      <w:pPr>
        <w:pStyle w:val="BodyText"/>
        <w:spacing w:line="240" w:lineRule="auto"/>
        <w:ind w:left="823" w:right="0"/>
        <w:jc w:val="left"/>
      </w:pPr>
      <w:r>
        <w:rPr>
          <w:rFonts w:ascii="Times New Roman" w:hAnsi="Times New Roman" w:cs="Times New Roman" w:eastAsia="Times New Roman" w:hint="default"/>
          <w:spacing w:val="2"/>
        </w:rPr>
        <w:t>***  </w:t>
      </w:r>
      <w:r>
        <w:rPr>
          <w:spacing w:val="7"/>
        </w:rPr>
        <w:t>本公司以账面原值 </w:t>
      </w:r>
      <w:r>
        <w:rPr>
          <w:rFonts w:ascii="Times New Roman" w:hAnsi="Times New Roman" w:cs="Times New Roman" w:eastAsia="Times New Roman" w:hint="default"/>
          <w:spacing w:val="2"/>
        </w:rPr>
        <w:t>6,334,316.40 </w:t>
      </w:r>
      <w:r>
        <w:rPr>
          <w:spacing w:val="7"/>
        </w:rPr>
        <w:t>人民币元，账面净值 </w:t>
      </w:r>
      <w:r>
        <w:rPr>
          <w:rFonts w:ascii="Times New Roman" w:hAnsi="Times New Roman" w:cs="Times New Roman" w:eastAsia="Times New Roman" w:hint="default"/>
          <w:spacing w:val="3"/>
        </w:rPr>
        <w:t>5,063,658.53</w:t>
      </w:r>
      <w:r>
        <w:rPr>
          <w:rFonts w:ascii="Times New Roman" w:hAnsi="Times New Roman" w:cs="Times New Roman" w:eastAsia="Times New Roman" w:hint="default"/>
          <w:spacing w:val="-21"/>
        </w:rPr>
        <w:t> </w:t>
      </w:r>
      <w:r>
        <w:rPr>
          <w:spacing w:val="7"/>
        </w:rPr>
        <w:t>人民币元的房</w:t>
      </w:r>
      <w:r>
        <w:rPr/>
      </w:r>
    </w:p>
    <w:p>
      <w:pPr>
        <w:pStyle w:val="BodyText"/>
        <w:spacing w:line="240" w:lineRule="auto" w:before="97"/>
        <w:ind w:left="313" w:right="0"/>
        <w:jc w:val="left"/>
      </w:pPr>
      <w:r>
        <w:rPr>
          <w:spacing w:val="5"/>
        </w:rPr>
        <w:t>屋及建筑物；账面原值</w:t>
      </w:r>
      <w:r>
        <w:rPr>
          <w:spacing w:val="-48"/>
        </w:rPr>
        <w:t> </w:t>
      </w:r>
      <w:r>
        <w:rPr>
          <w:rFonts w:ascii="Times New Roman" w:hAnsi="Times New Roman" w:cs="Times New Roman" w:eastAsia="Times New Roman" w:hint="default"/>
          <w:spacing w:val="2"/>
        </w:rPr>
        <w:t>11,791,083.69</w:t>
      </w:r>
      <w:r>
        <w:rPr>
          <w:rFonts w:ascii="Times New Roman" w:hAnsi="Times New Roman" w:cs="Times New Roman" w:eastAsia="Times New Roman" w:hint="default"/>
          <w:spacing w:val="10"/>
        </w:rPr>
        <w:t> </w:t>
      </w:r>
      <w:r>
        <w:rPr>
          <w:spacing w:val="5"/>
        </w:rPr>
        <w:t>人民币元，账面净值</w:t>
      </w:r>
      <w:r>
        <w:rPr>
          <w:spacing w:val="-48"/>
        </w:rPr>
        <w:t> </w:t>
      </w:r>
      <w:r>
        <w:rPr>
          <w:rFonts w:ascii="Times New Roman" w:hAnsi="Times New Roman" w:cs="Times New Roman" w:eastAsia="Times New Roman" w:hint="default"/>
          <w:spacing w:val="3"/>
        </w:rPr>
        <w:t>3,817,870.02</w:t>
      </w:r>
      <w:r>
        <w:rPr>
          <w:rFonts w:ascii="Times New Roman" w:hAnsi="Times New Roman" w:cs="Times New Roman" w:eastAsia="Times New Roman" w:hint="default"/>
          <w:spacing w:val="9"/>
        </w:rPr>
        <w:t> </w:t>
      </w:r>
      <w:r>
        <w:rPr>
          <w:spacing w:val="8"/>
        </w:rPr>
        <w:t>人民币元的设备及</w:t>
      </w:r>
      <w:r>
        <w:rPr/>
      </w:r>
    </w:p>
    <w:p>
      <w:pPr>
        <w:pStyle w:val="BodyText"/>
        <w:spacing w:line="240" w:lineRule="auto" w:before="97"/>
        <w:ind w:left="313" w:right="0"/>
        <w:jc w:val="left"/>
        <w:rPr>
          <w:rFonts w:ascii="Times New Roman" w:hAnsi="Times New Roman" w:cs="Times New Roman" w:eastAsia="Times New Roman" w:hint="default"/>
        </w:rPr>
      </w:pPr>
      <w:r>
        <w:rPr>
          <w:spacing w:val="7"/>
        </w:rPr>
        <w:t>部分土地使用权作为抵押</w:t>
      </w:r>
      <w:r>
        <w:rPr>
          <w:rFonts w:ascii="Times New Roman" w:hAnsi="Times New Roman" w:cs="Times New Roman" w:eastAsia="Times New Roman" w:hint="default"/>
          <w:spacing w:val="7"/>
        </w:rPr>
        <w:t>,  </w:t>
      </w:r>
      <w:r>
        <w:rPr>
          <w:spacing w:val="7"/>
        </w:rPr>
        <w:t>与中国银行鞍山铁东支行签订了债权最高限额为</w:t>
      </w:r>
      <w:r>
        <w:rPr>
          <w:spacing w:val="-23"/>
        </w:rPr>
        <w:t> </w:t>
      </w:r>
      <w:r>
        <w:rPr>
          <w:rFonts w:ascii="Times New Roman" w:hAnsi="Times New Roman" w:cs="Times New Roman" w:eastAsia="Times New Roman" w:hint="default"/>
          <w:spacing w:val="3"/>
        </w:rPr>
        <w:t>60,000,000.00</w:t>
      </w:r>
      <w:r>
        <w:rPr>
          <w:rFonts w:ascii="Times New Roman" w:hAnsi="Times New Roman" w:cs="Times New Roman" w:eastAsia="Times New Roman" w:hint="default"/>
        </w:rPr>
      </w:r>
    </w:p>
    <w:p>
      <w:pPr>
        <w:pStyle w:val="BodyText"/>
        <w:spacing w:line="240" w:lineRule="auto" w:before="98"/>
        <w:ind w:left="313" w:right="0"/>
        <w:jc w:val="left"/>
      </w:pPr>
      <w:r>
        <w:rPr>
          <w:spacing w:val="7"/>
        </w:rPr>
        <w:t>人民币元的最高额抵押合同，抵押期限为二零零七年九月六日至二零零八年九月六日。</w:t>
      </w:r>
      <w:r>
        <w:rPr/>
      </w:r>
    </w:p>
    <w:p>
      <w:pPr>
        <w:spacing w:line="240" w:lineRule="auto" w:before="3"/>
        <w:rPr>
          <w:rFonts w:ascii="宋体" w:hAnsi="宋体" w:cs="宋体" w:eastAsia="宋体" w:hint="default"/>
          <w:sz w:val="17"/>
          <w:szCs w:val="17"/>
        </w:rPr>
      </w:pPr>
    </w:p>
    <w:p>
      <w:pPr>
        <w:pStyle w:val="Heading4"/>
        <w:spacing w:line="240" w:lineRule="auto" w:before="0"/>
        <w:ind w:left="823" w:right="0"/>
        <w:jc w:val="left"/>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14"/>
        </w:rPr>
        <w:t> </w:t>
      </w:r>
      <w:r>
        <w:rPr>
          <w:spacing w:val="9"/>
        </w:rPr>
        <w:t>在建工程</w:t>
      </w:r>
      <w:r>
        <w:rPr>
          <w:b w:val="0"/>
          <w:bCs w:val="0"/>
        </w:rPr>
      </w:r>
    </w:p>
    <w:p>
      <w:pPr>
        <w:spacing w:after="0" w:line="240" w:lineRule="auto"/>
        <w:jc w:val="left"/>
        <w:sectPr>
          <w:pgSz w:w="11910" w:h="16840"/>
          <w:pgMar w:header="877" w:footer="1022" w:top="1060" w:bottom="1220" w:left="820" w:right="100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5"/>
          <w:szCs w:val="25"/>
        </w:rPr>
      </w:pPr>
    </w:p>
    <w:p>
      <w:pPr>
        <w:pStyle w:val="BodyText"/>
        <w:spacing w:line="240" w:lineRule="auto" w:before="26"/>
        <w:ind w:left="634" w:right="0"/>
        <w:jc w:val="left"/>
      </w:pPr>
      <w:r>
        <w:rPr/>
        <w:t>在建工程明细项目列示如下：</w:t>
      </w:r>
    </w:p>
    <w:p>
      <w:pPr>
        <w:spacing w:line="240" w:lineRule="auto" w:before="2"/>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1762"/>
        <w:gridCol w:w="164"/>
        <w:gridCol w:w="1592"/>
        <w:gridCol w:w="1784"/>
        <w:gridCol w:w="1464"/>
        <w:gridCol w:w="158"/>
        <w:gridCol w:w="1569"/>
        <w:gridCol w:w="100"/>
        <w:gridCol w:w="1037"/>
      </w:tblGrid>
      <w:tr>
        <w:trPr>
          <w:trHeight w:val="296" w:hRule="exact"/>
        </w:trPr>
        <w:tc>
          <w:tcPr>
            <w:tcW w:w="1762" w:type="dxa"/>
            <w:tcBorders>
              <w:top w:val="nil" w:sz="6" w:space="0" w:color="auto"/>
              <w:left w:val="nil" w:sz="6" w:space="0" w:color="auto"/>
              <w:bottom w:val="single" w:sz="4" w:space="0" w:color="000000"/>
              <w:right w:val="nil" w:sz="6" w:space="0" w:color="auto"/>
            </w:tcBorders>
          </w:tcPr>
          <w:p>
            <w:pPr>
              <w:pStyle w:val="TableParagraph"/>
              <w:spacing w:line="180" w:lineRule="exact"/>
              <w:ind w:right="531"/>
              <w:jc w:val="right"/>
              <w:rPr>
                <w:rFonts w:ascii="宋体" w:hAnsi="宋体" w:cs="宋体" w:eastAsia="宋体" w:hint="default"/>
                <w:sz w:val="18"/>
                <w:szCs w:val="18"/>
              </w:rPr>
            </w:pPr>
            <w:r>
              <w:rPr>
                <w:rFonts w:ascii="宋体" w:hAnsi="宋体" w:cs="宋体" w:eastAsia="宋体" w:hint="default"/>
                <w:spacing w:val="-9"/>
                <w:sz w:val="18"/>
                <w:szCs w:val="18"/>
              </w:rPr>
              <w:t>工程项目</w:t>
            </w:r>
            <w:r>
              <w:rPr>
                <w:rFonts w:ascii="宋体" w:hAnsi="宋体" w:cs="宋体" w:eastAsia="宋体" w:hint="default"/>
                <w:sz w:val="18"/>
                <w:szCs w:val="18"/>
              </w:rPr>
            </w:r>
          </w:p>
        </w:tc>
        <w:tc>
          <w:tcPr>
            <w:tcW w:w="164"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03" w:lineRule="exact"/>
              <w:ind w:left="379" w:right="0"/>
              <w:jc w:val="left"/>
              <w:rPr>
                <w:rFonts w:ascii="Times New Roman" w:hAnsi="Times New Roman" w:cs="Times New Roman" w:eastAsia="Times New Roman" w:hint="default"/>
                <w:sz w:val="18"/>
                <w:szCs w:val="18"/>
              </w:rPr>
            </w:pPr>
            <w:r>
              <w:rPr>
                <w:rFonts w:ascii="Times New Roman"/>
                <w:spacing w:val="-5"/>
                <w:sz w:val="18"/>
              </w:rPr>
              <w:t>2007.01.01</w:t>
            </w:r>
            <w:r>
              <w:rPr>
                <w:rFonts w:ascii="Times New Roman"/>
                <w:sz w:val="18"/>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180" w:lineRule="exact"/>
              <w:ind w:left="463" w:right="0"/>
              <w:jc w:val="left"/>
              <w:rPr>
                <w:rFonts w:ascii="宋体" w:hAnsi="宋体" w:cs="宋体" w:eastAsia="宋体" w:hint="default"/>
                <w:sz w:val="18"/>
                <w:szCs w:val="18"/>
              </w:rPr>
            </w:pPr>
            <w:r>
              <w:rPr>
                <w:rFonts w:ascii="宋体" w:hAnsi="宋体" w:cs="宋体" w:eastAsia="宋体" w:hint="default"/>
                <w:spacing w:val="-9"/>
                <w:sz w:val="18"/>
                <w:szCs w:val="18"/>
              </w:rPr>
              <w:t>本年增加</w:t>
            </w:r>
            <w:r>
              <w:rPr>
                <w:rFonts w:ascii="宋体" w:hAnsi="宋体" w:cs="宋体" w:eastAsia="宋体" w:hint="default"/>
                <w:sz w:val="18"/>
                <w:szCs w:val="18"/>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180" w:lineRule="exact"/>
              <w:ind w:left="327" w:right="0"/>
              <w:jc w:val="left"/>
              <w:rPr>
                <w:rFonts w:ascii="宋体" w:hAnsi="宋体" w:cs="宋体" w:eastAsia="宋体" w:hint="default"/>
                <w:sz w:val="18"/>
                <w:szCs w:val="18"/>
              </w:rPr>
            </w:pPr>
            <w:r>
              <w:rPr>
                <w:rFonts w:ascii="宋体" w:hAnsi="宋体" w:cs="宋体" w:eastAsia="宋体" w:hint="default"/>
                <w:spacing w:val="-9"/>
                <w:sz w:val="18"/>
                <w:szCs w:val="18"/>
              </w:rPr>
              <w:t>本年减少</w:t>
            </w:r>
            <w:r>
              <w:rPr>
                <w:rFonts w:ascii="宋体" w:hAnsi="宋体" w:cs="宋体" w:eastAsia="宋体" w:hint="default"/>
                <w:sz w:val="18"/>
                <w:szCs w:val="18"/>
              </w:rPr>
            </w:r>
          </w:p>
        </w:tc>
        <w:tc>
          <w:tcPr>
            <w:tcW w:w="158"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single" w:sz="4" w:space="0" w:color="000000"/>
              <w:right w:val="nil" w:sz="6" w:space="0" w:color="auto"/>
            </w:tcBorders>
          </w:tcPr>
          <w:p>
            <w:pPr>
              <w:pStyle w:val="TableParagraph"/>
              <w:spacing w:line="203" w:lineRule="exact"/>
              <w:ind w:left="402" w:right="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tc>
        <w:tc>
          <w:tcPr>
            <w:tcW w:w="10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4" w:space="0" w:color="000000"/>
              <w:right w:val="nil" w:sz="6" w:space="0" w:color="auto"/>
            </w:tcBorders>
          </w:tcPr>
          <w:p>
            <w:pPr>
              <w:pStyle w:val="TableParagraph"/>
              <w:spacing w:line="180" w:lineRule="exact"/>
              <w:ind w:left="13" w:right="0"/>
              <w:jc w:val="center"/>
              <w:rPr>
                <w:rFonts w:ascii="宋体" w:hAnsi="宋体" w:cs="宋体" w:eastAsia="宋体" w:hint="default"/>
                <w:sz w:val="18"/>
                <w:szCs w:val="18"/>
              </w:rPr>
            </w:pPr>
            <w:r>
              <w:rPr>
                <w:rFonts w:ascii="宋体" w:hAnsi="宋体" w:cs="宋体" w:eastAsia="宋体" w:hint="default"/>
                <w:spacing w:val="-9"/>
                <w:sz w:val="18"/>
                <w:szCs w:val="18"/>
              </w:rPr>
              <w:t>资金来源</w:t>
            </w:r>
            <w:r>
              <w:rPr>
                <w:rFonts w:ascii="宋体" w:hAnsi="宋体" w:cs="宋体" w:eastAsia="宋体" w:hint="default"/>
                <w:sz w:val="18"/>
                <w:szCs w:val="18"/>
              </w:rPr>
            </w:r>
          </w:p>
        </w:tc>
      </w:tr>
      <w:tr>
        <w:trPr>
          <w:trHeight w:val="445" w:hRule="exact"/>
        </w:trPr>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RGM</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产业化</w:t>
            </w:r>
          </w:p>
        </w:tc>
        <w:tc>
          <w:tcPr>
            <w:tcW w:w="164"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72"/>
              <w:jc w:val="right"/>
              <w:rPr>
                <w:rFonts w:ascii="Times New Roman" w:hAnsi="Times New Roman" w:cs="Times New Roman" w:eastAsia="Times New Roman" w:hint="default"/>
                <w:sz w:val="18"/>
                <w:szCs w:val="18"/>
              </w:rPr>
            </w:pPr>
            <w:r>
              <w:rPr>
                <w:rFonts w:ascii="Times New Roman"/>
                <w:spacing w:val="-5"/>
                <w:sz w:val="18"/>
              </w:rPr>
              <w:t>RMB2,555,377.62</w:t>
            </w:r>
            <w:r>
              <w:rPr>
                <w:rFonts w:ascii="Times New Roman"/>
                <w:sz w:val="18"/>
              </w:rPr>
            </w: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73"/>
              <w:jc w:val="right"/>
              <w:rPr>
                <w:rFonts w:ascii="宋体" w:hAnsi="宋体" w:cs="宋体" w:eastAsia="宋体" w:hint="default"/>
                <w:sz w:val="18"/>
                <w:szCs w:val="18"/>
              </w:rPr>
            </w:pPr>
            <w:r>
              <w:rPr>
                <w:rFonts w:ascii="宋体"/>
                <w:spacing w:val="-3"/>
                <w:sz w:val="18"/>
              </w:rPr>
              <w:t>RMB</w:t>
            </w:r>
            <w:r>
              <w:rPr>
                <w:rFonts w:ascii="宋体"/>
                <w:sz w:val="18"/>
              </w:rPr>
              <w:t> </w:t>
            </w:r>
            <w:r>
              <w:rPr>
                <w:rFonts w:ascii="宋体"/>
                <w:spacing w:val="-5"/>
                <w:sz w:val="18"/>
              </w:rPr>
              <w:t>3,463,716.72</w:t>
            </w:r>
            <w:r>
              <w:rPr>
                <w:rFonts w:ascii="宋体"/>
                <w:sz w:val="18"/>
              </w:rPr>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5"/>
                <w:sz w:val="18"/>
              </w:rPr>
              <w:t>RMB3,287,446.71</w:t>
            </w:r>
            <w:r>
              <w:rPr>
                <w:rFonts w:ascii="Times New Roman"/>
                <w:sz w:val="18"/>
              </w:rPr>
            </w:r>
          </w:p>
        </w:tc>
        <w:tc>
          <w:tcPr>
            <w:tcW w:w="158" w:type="dxa"/>
            <w:tcBorders>
              <w:top w:val="nil" w:sz="6" w:space="0" w:color="auto"/>
              <w:left w:val="nil" w:sz="6" w:space="0" w:color="auto"/>
              <w:bottom w:val="nil" w:sz="6" w:space="0" w:color="auto"/>
              <w:right w:val="nil" w:sz="6" w:space="0" w:color="auto"/>
            </w:tcBorders>
          </w:tcPr>
          <w:p>
            <w:pP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pacing w:val="-5"/>
                <w:sz w:val="18"/>
              </w:rPr>
              <w:t>RMB2,731,647.63</w:t>
            </w:r>
            <w:r>
              <w:rPr>
                <w:rFonts w:ascii="Times New Roman"/>
                <w:sz w:val="18"/>
              </w:rPr>
            </w:r>
          </w:p>
        </w:tc>
        <w:tc>
          <w:tcPr>
            <w:tcW w:w="100" w:type="dxa"/>
            <w:tcBorders>
              <w:top w:val="nil" w:sz="6" w:space="0" w:color="auto"/>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3" w:right="0"/>
              <w:jc w:val="center"/>
              <w:rPr>
                <w:rFonts w:ascii="宋体" w:hAnsi="宋体" w:cs="宋体" w:eastAsia="宋体" w:hint="default"/>
                <w:sz w:val="18"/>
                <w:szCs w:val="18"/>
              </w:rPr>
            </w:pPr>
            <w:r>
              <w:rPr>
                <w:rFonts w:ascii="宋体" w:hAnsi="宋体" w:cs="宋体" w:eastAsia="宋体" w:hint="default"/>
                <w:spacing w:val="-9"/>
                <w:sz w:val="18"/>
                <w:szCs w:val="18"/>
              </w:rPr>
              <w:t>募集资金</w:t>
            </w:r>
            <w:r>
              <w:rPr>
                <w:rFonts w:ascii="宋体" w:hAnsi="宋体" w:cs="宋体" w:eastAsia="宋体" w:hint="default"/>
                <w:sz w:val="18"/>
                <w:szCs w:val="18"/>
              </w:rPr>
            </w:r>
          </w:p>
        </w:tc>
      </w:tr>
      <w:tr>
        <w:trPr>
          <w:trHeight w:val="420"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SVC</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产业升级</w:t>
            </w:r>
            <w:r>
              <w:rPr>
                <w:rFonts w:ascii="宋体" w:hAnsi="宋体" w:cs="宋体" w:eastAsia="宋体" w:hint="default"/>
                <w:sz w:val="18"/>
                <w:szCs w:val="18"/>
              </w:rPr>
            </w:r>
          </w:p>
        </w:tc>
        <w:tc>
          <w:tcPr>
            <w:tcW w:w="164"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71"/>
              <w:jc w:val="right"/>
              <w:rPr>
                <w:rFonts w:ascii="Times New Roman" w:hAnsi="Times New Roman" w:cs="Times New Roman" w:eastAsia="Times New Roman" w:hint="default"/>
                <w:sz w:val="18"/>
                <w:szCs w:val="18"/>
              </w:rPr>
            </w:pPr>
            <w:r>
              <w:rPr>
                <w:rFonts w:ascii="Times New Roman"/>
                <w:spacing w:val="-5"/>
                <w:sz w:val="18"/>
              </w:rPr>
              <w:t>928,882.53</w:t>
            </w:r>
            <w:r>
              <w:rPr>
                <w:rFonts w:ascii="Times New Roman"/>
                <w:sz w:val="18"/>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3"/>
              <w:jc w:val="right"/>
              <w:rPr>
                <w:rFonts w:ascii="宋体" w:hAnsi="宋体" w:cs="宋体" w:eastAsia="宋体" w:hint="default"/>
                <w:sz w:val="18"/>
                <w:szCs w:val="18"/>
              </w:rPr>
            </w:pPr>
            <w:r>
              <w:rPr>
                <w:rFonts w:ascii="宋体"/>
                <w:spacing w:val="-5"/>
                <w:sz w:val="18"/>
              </w:rPr>
              <w:t>7,964,233.77</w:t>
            </w:r>
            <w:r>
              <w:rPr>
                <w:rFonts w:ascii="宋体"/>
                <w:sz w:val="18"/>
              </w:rPr>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spacing w:val="-5"/>
                <w:sz w:val="18"/>
              </w:rPr>
              <w:t>8,893,116.30</w:t>
            </w:r>
            <w:r>
              <w:rPr>
                <w:rFonts w:ascii="Times New Roman"/>
                <w:sz w:val="18"/>
              </w:rPr>
            </w:r>
          </w:p>
        </w:tc>
        <w:tc>
          <w:tcPr>
            <w:tcW w:w="10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pacing w:val="-9"/>
                <w:sz w:val="18"/>
                <w:szCs w:val="18"/>
              </w:rPr>
              <w:t>募集资金</w:t>
            </w:r>
            <w:r>
              <w:rPr>
                <w:rFonts w:ascii="宋体" w:hAnsi="宋体" w:cs="宋体" w:eastAsia="宋体" w:hint="default"/>
                <w:sz w:val="18"/>
                <w:szCs w:val="18"/>
              </w:rPr>
            </w:r>
          </w:p>
        </w:tc>
      </w:tr>
      <w:tr>
        <w:trPr>
          <w:trHeight w:val="419"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0"/>
                <w:szCs w:val="20"/>
              </w:rPr>
            </w:pPr>
            <w:r>
              <w:rPr>
                <w:rFonts w:ascii="宋体" w:hAnsi="宋体" w:cs="宋体" w:eastAsia="宋体" w:hint="default"/>
                <w:spacing w:val="-9"/>
                <w:sz w:val="20"/>
                <w:szCs w:val="20"/>
              </w:rPr>
              <w:t>其他</w:t>
            </w:r>
            <w:r>
              <w:rPr>
                <w:rFonts w:ascii="宋体" w:hAnsi="宋体" w:cs="宋体" w:eastAsia="宋体" w:hint="default"/>
                <w:sz w:val="20"/>
                <w:szCs w:val="20"/>
              </w:rPr>
            </w:r>
          </w:p>
        </w:tc>
        <w:tc>
          <w:tcPr>
            <w:tcW w:w="164"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71"/>
              <w:jc w:val="right"/>
              <w:rPr>
                <w:rFonts w:ascii="Times New Roman" w:hAnsi="Times New Roman" w:cs="Times New Roman" w:eastAsia="Times New Roman" w:hint="default"/>
                <w:sz w:val="18"/>
                <w:szCs w:val="18"/>
              </w:rPr>
            </w:pPr>
            <w:r>
              <w:rPr>
                <w:rFonts w:ascii="Times New Roman"/>
                <w:spacing w:val="-5"/>
                <w:sz w:val="18"/>
              </w:rPr>
              <w:t>263,469.73</w:t>
            </w:r>
            <w:r>
              <w:rPr>
                <w:rFonts w:ascii="Times New Roman"/>
                <w:sz w:val="18"/>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73"/>
              <w:jc w:val="right"/>
              <w:rPr>
                <w:rFonts w:ascii="宋体" w:hAnsi="宋体" w:cs="宋体" w:eastAsia="宋体" w:hint="default"/>
                <w:sz w:val="18"/>
                <w:szCs w:val="18"/>
              </w:rPr>
            </w:pPr>
            <w:r>
              <w:rPr>
                <w:rFonts w:ascii="宋体"/>
                <w:spacing w:val="-5"/>
                <w:sz w:val="18"/>
              </w:rPr>
              <w:t>72,153.85</w:t>
            </w:r>
            <w:r>
              <w:rPr>
                <w:rFonts w:ascii="宋体"/>
                <w:sz w:val="18"/>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5"/>
                <w:sz w:val="18"/>
              </w:rPr>
              <w:t>335,623.58</w:t>
            </w:r>
            <w:r>
              <w:rPr>
                <w:rFonts w:ascii="Times New Roman"/>
                <w:sz w:val="18"/>
              </w:rPr>
            </w:r>
          </w:p>
        </w:tc>
        <w:tc>
          <w:tcPr>
            <w:tcW w:w="10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16"/>
                <w:sz w:val="18"/>
                <w:szCs w:val="18"/>
              </w:rPr>
              <w:t> </w:t>
            </w:r>
            <w:r>
              <w:rPr>
                <w:rFonts w:ascii="宋体" w:hAnsi="宋体" w:cs="宋体" w:eastAsia="宋体" w:hint="default"/>
                <w:sz w:val="18"/>
                <w:szCs w:val="18"/>
              </w:rPr>
              <w:t>筹</w:t>
            </w:r>
          </w:p>
        </w:tc>
      </w:tr>
      <w:tr>
        <w:trPr>
          <w:trHeight w:val="454" w:hRule="exact"/>
        </w:trPr>
        <w:tc>
          <w:tcPr>
            <w:tcW w:w="1762"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85"/>
              <w:ind w:right="57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4"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single" w:sz="17" w:space="0" w:color="000000"/>
              <w:right w:val="nil" w:sz="6" w:space="0" w:color="auto"/>
            </w:tcBorders>
          </w:tcPr>
          <w:p>
            <w:pPr>
              <w:pStyle w:val="TableParagraph"/>
              <w:spacing w:line="240" w:lineRule="auto" w:before="132"/>
              <w:ind w:right="68"/>
              <w:jc w:val="right"/>
              <w:rPr>
                <w:rFonts w:ascii="Times New Roman" w:hAnsi="Times New Roman" w:cs="Times New Roman" w:eastAsia="Times New Roman" w:hint="default"/>
                <w:sz w:val="18"/>
                <w:szCs w:val="18"/>
              </w:rPr>
            </w:pPr>
            <w:r>
              <w:rPr>
                <w:rFonts w:ascii="Times New Roman"/>
                <w:spacing w:val="-4"/>
                <w:w w:val="95"/>
                <w:sz w:val="18"/>
              </w:rPr>
              <w:t>RMB3,747,729.88</w:t>
            </w:r>
            <w:r>
              <w:rPr>
                <w:rFonts w:ascii="Times New Roman"/>
                <w:spacing w:val="-4"/>
                <w:sz w:val="18"/>
              </w:rPr>
            </w:r>
          </w:p>
        </w:tc>
        <w:tc>
          <w:tcPr>
            <w:tcW w:w="1784" w:type="dxa"/>
            <w:tcBorders>
              <w:top w:val="single" w:sz="4" w:space="0" w:color="000000"/>
              <w:left w:val="nil" w:sz="6" w:space="0" w:color="auto"/>
              <w:bottom w:val="single" w:sz="17" w:space="0" w:color="000000"/>
              <w:right w:val="nil" w:sz="6" w:space="0" w:color="auto"/>
            </w:tcBorders>
          </w:tcPr>
          <w:p>
            <w:pPr>
              <w:pStyle w:val="TableParagraph"/>
              <w:spacing w:line="240" w:lineRule="auto" w:before="132"/>
              <w:ind w:right="173"/>
              <w:jc w:val="right"/>
              <w:rPr>
                <w:rFonts w:ascii="Times New Roman" w:hAnsi="Times New Roman" w:cs="Times New Roman" w:eastAsia="Times New Roman" w:hint="default"/>
                <w:sz w:val="18"/>
                <w:szCs w:val="18"/>
              </w:rPr>
            </w:pPr>
            <w:r>
              <w:rPr>
                <w:rFonts w:ascii="Times New Roman"/>
                <w:spacing w:val="-5"/>
                <w:sz w:val="18"/>
              </w:rPr>
              <w:t>RMB11,500,104.34</w:t>
            </w:r>
            <w:r>
              <w:rPr>
                <w:rFonts w:ascii="Times New Roman"/>
                <w:sz w:val="18"/>
              </w:rPr>
            </w:r>
          </w:p>
        </w:tc>
        <w:tc>
          <w:tcPr>
            <w:tcW w:w="1464" w:type="dxa"/>
            <w:tcBorders>
              <w:top w:val="single" w:sz="4" w:space="0" w:color="000000"/>
              <w:left w:val="nil" w:sz="6" w:space="0" w:color="auto"/>
              <w:bottom w:val="single" w:sz="17" w:space="0" w:color="000000"/>
              <w:right w:val="nil" w:sz="6" w:space="0" w:color="auto"/>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4"/>
                <w:sz w:val="18"/>
              </w:rPr>
              <w:t>RMB3,287,446.71</w:t>
            </w:r>
          </w:p>
        </w:tc>
        <w:tc>
          <w:tcPr>
            <w:tcW w:w="158" w:type="dxa"/>
            <w:tcBorders>
              <w:top w:val="nil" w:sz="6" w:space="0" w:color="auto"/>
              <w:left w:val="nil" w:sz="6" w:space="0" w:color="auto"/>
              <w:bottom w:val="nil" w:sz="6" w:space="0" w:color="auto"/>
              <w:right w:val="nil" w:sz="6" w:space="0" w:color="auto"/>
            </w:tcBorders>
          </w:tcPr>
          <w:p>
            <w:pPr/>
          </w:p>
        </w:tc>
        <w:tc>
          <w:tcPr>
            <w:tcW w:w="1569" w:type="dxa"/>
            <w:tcBorders>
              <w:top w:val="single" w:sz="4" w:space="0" w:color="000000"/>
              <w:left w:val="nil" w:sz="6" w:space="0" w:color="auto"/>
              <w:bottom w:val="single" w:sz="17" w:space="0" w:color="000000"/>
              <w:right w:val="nil" w:sz="6" w:space="0" w:color="auto"/>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5"/>
                <w:sz w:val="18"/>
              </w:rPr>
              <w:t>RMB11,960,387.51</w:t>
            </w:r>
            <w:r>
              <w:rPr>
                <w:rFonts w:ascii="Times New Roman"/>
                <w:sz w:val="18"/>
              </w:rPr>
            </w:r>
          </w:p>
        </w:tc>
        <w:tc>
          <w:tcPr>
            <w:tcW w:w="100"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6"/>
          <w:szCs w:val="16"/>
        </w:rPr>
      </w:pPr>
    </w:p>
    <w:p>
      <w:pPr>
        <w:spacing w:line="396" w:lineRule="auto" w:before="26"/>
        <w:ind w:left="664" w:right="5172"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本年减少系生产厂房转入固定资产。 </w:t>
      </w:r>
      <w:r>
        <w:rPr>
          <w:rFonts w:ascii="Times New Roman" w:hAnsi="Times New Roman" w:cs="Times New Roman" w:eastAsia="Times New Roman" w:hint="default"/>
          <w:b/>
          <w:bCs/>
          <w:spacing w:val="-3"/>
          <w:sz w:val="24"/>
          <w:szCs w:val="24"/>
        </w:rPr>
        <w:t>11.</w:t>
      </w:r>
      <w:r>
        <w:rPr>
          <w:rFonts w:ascii="Times New Roman" w:hAnsi="Times New Roman" w:cs="Times New Roman" w:eastAsia="Times New Roman" w:hint="default"/>
          <w:b/>
          <w:bCs/>
          <w:spacing w:val="14"/>
          <w:sz w:val="24"/>
          <w:szCs w:val="24"/>
        </w:rPr>
        <w:t> </w:t>
      </w:r>
      <w:r>
        <w:rPr>
          <w:rFonts w:ascii="宋体" w:hAnsi="宋体" w:cs="宋体" w:eastAsia="宋体" w:hint="default"/>
          <w:b/>
          <w:bCs/>
          <w:spacing w:val="9"/>
          <w:sz w:val="24"/>
          <w:szCs w:val="24"/>
        </w:rPr>
        <w:t>无形资产</w:t>
      </w:r>
      <w:r>
        <w:rPr>
          <w:rFonts w:ascii="宋体" w:hAnsi="宋体" w:cs="宋体" w:eastAsia="宋体" w:hint="default"/>
          <w:b/>
          <w:bCs/>
          <w:spacing w:val="9"/>
          <w:w w:val="99"/>
          <w:sz w:val="24"/>
          <w:szCs w:val="24"/>
        </w:rPr>
        <w:t> </w:t>
      </w:r>
      <w:r>
        <w:rPr>
          <w:rFonts w:ascii="宋体" w:hAnsi="宋体" w:cs="宋体" w:eastAsia="宋体" w:hint="default"/>
          <w:spacing w:val="8"/>
          <w:sz w:val="24"/>
          <w:szCs w:val="24"/>
        </w:rPr>
        <w:t>无形资产明细项目列示如下：</w:t>
      </w:r>
      <w:r>
        <w:rPr>
          <w:rFonts w:ascii="宋体" w:hAnsi="宋体" w:cs="宋体" w:eastAsia="宋体" w:hint="default"/>
          <w:sz w:val="24"/>
          <w:szCs w:val="24"/>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80"/>
        <w:ind w:left="1570" w:right="0" w:firstLine="0"/>
        <w:jc w:val="left"/>
        <w:rPr>
          <w:rFonts w:ascii="Times New Roman" w:hAnsi="Times New Roman" w:cs="Times New Roman" w:eastAsia="Times New Roman" w:hint="default"/>
          <w:sz w:val="15"/>
          <w:szCs w:val="15"/>
        </w:rPr>
      </w:pPr>
      <w:r>
        <w:rPr/>
        <w:pict>
          <v:shape style="position:absolute;margin-left:56.700001pt;margin-top:-19.143354pt;width:480.85pt;height:208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82"/>
                    <w:gridCol w:w="71"/>
                    <w:gridCol w:w="625"/>
                    <w:gridCol w:w="1325"/>
                    <w:gridCol w:w="1264"/>
                    <w:gridCol w:w="1193"/>
                    <w:gridCol w:w="1245"/>
                    <w:gridCol w:w="1202"/>
                    <w:gridCol w:w="1200"/>
                  </w:tblGrid>
                  <w:tr>
                    <w:trPr>
                      <w:trHeight w:val="325" w:hRule="exact"/>
                    </w:trPr>
                    <w:tc>
                      <w:tcPr>
                        <w:tcW w:w="1409" w:type="dxa"/>
                        <w:tcBorders>
                          <w:top w:val="nil" w:sz="6" w:space="0" w:color="auto"/>
                          <w:left w:val="nil" w:sz="6" w:space="0" w:color="auto"/>
                          <w:bottom w:val="single" w:sz="4" w:space="0" w:color="000000"/>
                          <w:right w:val="nil" w:sz="6" w:space="0" w:color="auto"/>
                        </w:tcBorders>
                      </w:tcPr>
                      <w:p>
                        <w:pPr>
                          <w:pStyle w:val="TableParagraph"/>
                          <w:spacing w:line="150" w:lineRule="exact"/>
                          <w:ind w:left="22" w:right="0"/>
                          <w:jc w:val="center"/>
                          <w:rPr>
                            <w:rFonts w:ascii="宋体" w:hAnsi="宋体" w:cs="宋体" w:eastAsia="宋体" w:hint="default"/>
                            <w:sz w:val="15"/>
                            <w:szCs w:val="15"/>
                          </w:rPr>
                        </w:pPr>
                        <w:r>
                          <w:rPr>
                            <w:rFonts w:ascii="宋体" w:hAnsi="宋体" w:cs="宋体" w:eastAsia="宋体" w:hint="default"/>
                            <w:sz w:val="15"/>
                            <w:szCs w:val="15"/>
                          </w:rPr>
                          <w:t>类</w:t>
                        </w:r>
                        <w:r>
                          <w:rPr>
                            <w:rFonts w:ascii="宋体" w:hAnsi="宋体" w:cs="宋体" w:eastAsia="宋体" w:hint="default"/>
                            <w:spacing w:val="-33"/>
                            <w:sz w:val="15"/>
                            <w:szCs w:val="15"/>
                          </w:rPr>
                          <w:t> </w:t>
                        </w:r>
                        <w:r>
                          <w:rPr>
                            <w:rFonts w:ascii="宋体" w:hAnsi="宋体" w:cs="宋体" w:eastAsia="宋体" w:hint="default"/>
                            <w:sz w:val="15"/>
                            <w:szCs w:val="15"/>
                          </w:rPr>
                          <w:t>别</w:t>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single" w:sz="4" w:space="0" w:color="000000"/>
                          <w:right w:val="nil" w:sz="6" w:space="0" w:color="auto"/>
                        </w:tcBorders>
                      </w:tcPr>
                      <w:p>
                        <w:pPr>
                          <w:pStyle w:val="TableParagraph"/>
                          <w:spacing w:line="150" w:lineRule="exact"/>
                          <w:ind w:left="52" w:right="0"/>
                          <w:jc w:val="left"/>
                          <w:rPr>
                            <w:rFonts w:ascii="宋体" w:hAnsi="宋体" w:cs="宋体" w:eastAsia="宋体" w:hint="default"/>
                            <w:sz w:val="15"/>
                            <w:szCs w:val="15"/>
                          </w:rPr>
                        </w:pPr>
                        <w:r>
                          <w:rPr>
                            <w:rFonts w:ascii="宋体" w:hAnsi="宋体" w:cs="宋体" w:eastAsia="宋体" w:hint="default"/>
                            <w:spacing w:val="-17"/>
                            <w:sz w:val="15"/>
                            <w:szCs w:val="15"/>
                          </w:rPr>
                          <w:t>取得方式</w:t>
                        </w:r>
                        <w:r>
                          <w:rPr>
                            <w:rFonts w:ascii="宋体" w:hAnsi="宋体" w:cs="宋体" w:eastAsia="宋体" w:hint="default"/>
                            <w:sz w:val="15"/>
                            <w:szCs w:val="15"/>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150" w:lineRule="exact"/>
                          <w:ind w:left="436" w:right="0"/>
                          <w:jc w:val="left"/>
                          <w:rPr>
                            <w:rFonts w:ascii="宋体" w:hAnsi="宋体" w:cs="宋体" w:eastAsia="宋体" w:hint="default"/>
                            <w:sz w:val="15"/>
                            <w:szCs w:val="15"/>
                          </w:rPr>
                        </w:pPr>
                        <w:r>
                          <w:rPr>
                            <w:rFonts w:ascii="宋体" w:hAnsi="宋体" w:cs="宋体" w:eastAsia="宋体" w:hint="default"/>
                            <w:spacing w:val="-17"/>
                            <w:sz w:val="15"/>
                            <w:szCs w:val="15"/>
                          </w:rPr>
                          <w:t>原始金额</w:t>
                        </w:r>
                        <w:r>
                          <w:rPr>
                            <w:rFonts w:ascii="宋体" w:hAnsi="宋体" w:cs="宋体" w:eastAsia="宋体" w:hint="default"/>
                            <w:sz w:val="15"/>
                            <w:szCs w:val="15"/>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155" w:lineRule="exact"/>
                          <w:ind w:left="345" w:right="0"/>
                          <w:jc w:val="left"/>
                          <w:rPr>
                            <w:rFonts w:ascii="Times New Roman" w:hAnsi="Times New Roman" w:cs="Times New Roman" w:eastAsia="Times New Roman" w:hint="default"/>
                            <w:sz w:val="15"/>
                            <w:szCs w:val="15"/>
                          </w:rPr>
                        </w:pPr>
                        <w:r>
                          <w:rPr>
                            <w:rFonts w:ascii="Times New Roman"/>
                            <w:spacing w:val="-9"/>
                            <w:sz w:val="15"/>
                          </w:rPr>
                          <w:t>2007.01.01</w:t>
                        </w:r>
                        <w:r>
                          <w:rPr>
                            <w:rFonts w:ascii="Times New Roman"/>
                            <w:sz w:val="15"/>
                          </w:rPr>
                        </w:r>
                      </w:p>
                    </w:tc>
                    <w:tc>
                      <w:tcPr>
                        <w:tcW w:w="1193" w:type="dxa"/>
                        <w:tcBorders>
                          <w:top w:val="nil" w:sz="6" w:space="0" w:color="auto"/>
                          <w:left w:val="nil" w:sz="6" w:space="0" w:color="auto"/>
                          <w:bottom w:val="single" w:sz="4" w:space="0" w:color="000000"/>
                          <w:right w:val="nil" w:sz="6" w:space="0" w:color="auto"/>
                        </w:tcBorders>
                      </w:tcPr>
                      <w:p>
                        <w:pPr>
                          <w:pStyle w:val="TableParagraph"/>
                          <w:spacing w:line="150" w:lineRule="exact"/>
                          <w:ind w:left="342" w:right="0"/>
                          <w:jc w:val="left"/>
                          <w:rPr>
                            <w:rFonts w:ascii="宋体" w:hAnsi="宋体" w:cs="宋体" w:eastAsia="宋体" w:hint="default"/>
                            <w:sz w:val="15"/>
                            <w:szCs w:val="15"/>
                          </w:rPr>
                        </w:pPr>
                        <w:r>
                          <w:rPr>
                            <w:rFonts w:ascii="宋体" w:hAnsi="宋体" w:cs="宋体" w:eastAsia="宋体" w:hint="default"/>
                            <w:spacing w:val="-17"/>
                            <w:sz w:val="15"/>
                            <w:szCs w:val="15"/>
                          </w:rPr>
                          <w:t>本年增加</w:t>
                        </w:r>
                        <w:r>
                          <w:rPr>
                            <w:rFonts w:ascii="宋体" w:hAnsi="宋体" w:cs="宋体" w:eastAsia="宋体" w:hint="default"/>
                            <w:sz w:val="15"/>
                            <w:szCs w:val="15"/>
                          </w:rPr>
                        </w:r>
                      </w:p>
                    </w:tc>
                    <w:tc>
                      <w:tcPr>
                        <w:tcW w:w="1245" w:type="dxa"/>
                        <w:tcBorders>
                          <w:top w:val="nil" w:sz="6" w:space="0" w:color="auto"/>
                          <w:left w:val="nil" w:sz="6" w:space="0" w:color="auto"/>
                          <w:bottom w:val="single" w:sz="4" w:space="0" w:color="000000"/>
                          <w:right w:val="nil" w:sz="6" w:space="0" w:color="auto"/>
                        </w:tcBorders>
                      </w:tcPr>
                      <w:p>
                        <w:pPr>
                          <w:pStyle w:val="TableParagraph"/>
                          <w:spacing w:line="150" w:lineRule="exact"/>
                          <w:ind w:left="324" w:right="0"/>
                          <w:jc w:val="left"/>
                          <w:rPr>
                            <w:rFonts w:ascii="宋体" w:hAnsi="宋体" w:cs="宋体" w:eastAsia="宋体" w:hint="default"/>
                            <w:sz w:val="15"/>
                            <w:szCs w:val="15"/>
                          </w:rPr>
                        </w:pPr>
                        <w:r>
                          <w:rPr>
                            <w:rFonts w:ascii="宋体" w:hAnsi="宋体" w:cs="宋体" w:eastAsia="宋体" w:hint="default"/>
                            <w:spacing w:val="-17"/>
                            <w:sz w:val="15"/>
                            <w:szCs w:val="15"/>
                          </w:rPr>
                          <w:t>本年摊销</w:t>
                        </w:r>
                        <w:r>
                          <w:rPr>
                            <w:rFonts w:ascii="宋体" w:hAnsi="宋体" w:cs="宋体" w:eastAsia="宋体" w:hint="default"/>
                            <w:sz w:val="15"/>
                            <w:szCs w:val="15"/>
                          </w:rPr>
                        </w:r>
                      </w:p>
                    </w:tc>
                    <w:tc>
                      <w:tcPr>
                        <w:tcW w:w="1202" w:type="dxa"/>
                        <w:tcBorders>
                          <w:top w:val="nil" w:sz="6" w:space="0" w:color="auto"/>
                          <w:left w:val="nil" w:sz="6" w:space="0" w:color="auto"/>
                          <w:bottom w:val="single" w:sz="4" w:space="0" w:color="000000"/>
                          <w:right w:val="nil" w:sz="6" w:space="0" w:color="auto"/>
                        </w:tcBorders>
                      </w:tcPr>
                      <w:p>
                        <w:pPr>
                          <w:pStyle w:val="TableParagraph"/>
                          <w:spacing w:line="150" w:lineRule="exact"/>
                          <w:ind w:left="252" w:right="0"/>
                          <w:jc w:val="left"/>
                          <w:rPr>
                            <w:rFonts w:ascii="宋体" w:hAnsi="宋体" w:cs="宋体" w:eastAsia="宋体" w:hint="default"/>
                            <w:sz w:val="15"/>
                            <w:szCs w:val="15"/>
                          </w:rPr>
                        </w:pPr>
                        <w:r>
                          <w:rPr>
                            <w:rFonts w:ascii="宋体" w:hAnsi="宋体" w:cs="宋体" w:eastAsia="宋体" w:hint="default"/>
                            <w:spacing w:val="-17"/>
                            <w:sz w:val="15"/>
                            <w:szCs w:val="15"/>
                          </w:rPr>
                          <w:t>累计摊销</w:t>
                        </w:r>
                        <w:r>
                          <w:rPr>
                            <w:rFonts w:ascii="宋体" w:hAnsi="宋体" w:cs="宋体" w:eastAsia="宋体" w:hint="default"/>
                            <w:sz w:val="15"/>
                            <w:szCs w:val="15"/>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155" w:lineRule="exact"/>
                          <w:ind w:left="260" w:right="0"/>
                          <w:jc w:val="left"/>
                          <w:rPr>
                            <w:rFonts w:ascii="Times New Roman" w:hAnsi="Times New Roman" w:cs="Times New Roman" w:eastAsia="Times New Roman" w:hint="default"/>
                            <w:sz w:val="15"/>
                            <w:szCs w:val="15"/>
                          </w:rPr>
                        </w:pPr>
                        <w:r>
                          <w:rPr>
                            <w:rFonts w:ascii="Times New Roman"/>
                            <w:spacing w:val="-9"/>
                            <w:sz w:val="15"/>
                          </w:rPr>
                          <w:t>2007.12.31</w:t>
                        </w:r>
                        <w:r>
                          <w:rPr>
                            <w:rFonts w:ascii="Times New Roman"/>
                            <w:sz w:val="15"/>
                          </w:rPr>
                        </w:r>
                      </w:p>
                    </w:tc>
                  </w:tr>
                  <w:tr>
                    <w:trPr>
                      <w:trHeight w:val="509" w:hRule="exact"/>
                    </w:trPr>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pacing w:val="-14"/>
                            <w:sz w:val="15"/>
                            <w:szCs w:val="15"/>
                          </w:rPr>
                          <w:t>土地使用权</w:t>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7" w:right="0"/>
                          <w:jc w:val="left"/>
                          <w:rPr>
                            <w:rFonts w:ascii="宋体" w:hAnsi="宋体" w:cs="宋体" w:eastAsia="宋体" w:hint="default"/>
                            <w:sz w:val="15"/>
                            <w:szCs w:val="15"/>
                          </w:rPr>
                        </w:pPr>
                        <w:r>
                          <w:rPr>
                            <w:rFonts w:ascii="宋体" w:hAnsi="宋体" w:cs="宋体" w:eastAsia="宋体" w:hint="default"/>
                            <w:spacing w:val="-17"/>
                            <w:sz w:val="15"/>
                            <w:szCs w:val="15"/>
                          </w:rPr>
                          <w:t>股东投入</w:t>
                        </w:r>
                        <w:r>
                          <w:rPr>
                            <w:rFonts w:ascii="宋体" w:hAnsi="宋体" w:cs="宋体" w:eastAsia="宋体" w:hint="default"/>
                            <w:sz w:val="15"/>
                            <w:szCs w:val="15"/>
                          </w:rPr>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9"/>
                            <w:sz w:val="15"/>
                          </w:rPr>
                          <w:t>RMB2,558,193.75</w:t>
                        </w:r>
                        <w:r>
                          <w:rPr>
                            <w:rFonts w:ascii="Times New Roman"/>
                            <w:sz w:val="15"/>
                          </w:rPr>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6"/>
                            <w:sz w:val="15"/>
                          </w:rPr>
                          <w:t>RMB</w:t>
                        </w:r>
                        <w:r>
                          <w:rPr>
                            <w:rFonts w:ascii="Times New Roman"/>
                            <w:spacing w:val="-7"/>
                            <w:sz w:val="15"/>
                          </w:rPr>
                          <w:t> </w:t>
                        </w:r>
                        <w:r>
                          <w:rPr>
                            <w:rFonts w:ascii="Times New Roman"/>
                            <w:spacing w:val="-9"/>
                            <w:sz w:val="15"/>
                          </w:rPr>
                          <w:t>1,674,500.48</w:t>
                        </w:r>
                        <w:r>
                          <w:rPr>
                            <w:rFonts w:ascii="Times New Roman"/>
                            <w:sz w:val="15"/>
                          </w:rPr>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tabs>
                            <w:tab w:pos="1016" w:val="left" w:leader="none"/>
                          </w:tabs>
                          <w:spacing w:line="240" w:lineRule="auto"/>
                          <w:ind w:right="13"/>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z w:val="15"/>
                          </w:rPr>
                          <w:t>-</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97" w:lineRule="auto" w:before="14"/>
                          <w:ind w:left="567" w:right="82" w:firstLine="274"/>
                          <w:jc w:val="left"/>
                          <w:rPr>
                            <w:rFonts w:ascii="Times New Roman" w:hAnsi="Times New Roman" w:cs="Times New Roman" w:eastAsia="Times New Roman" w:hint="default"/>
                            <w:sz w:val="15"/>
                            <w:szCs w:val="15"/>
                          </w:rPr>
                        </w:pPr>
                        <w:r>
                          <w:rPr>
                            <w:rFonts w:ascii="Times New Roman"/>
                            <w:spacing w:val="-6"/>
                            <w:sz w:val="15"/>
                          </w:rPr>
                          <w:t>RMB</w:t>
                        </w:r>
                        <w:r>
                          <w:rPr>
                            <w:rFonts w:ascii="Times New Roman"/>
                            <w:sz w:val="15"/>
                          </w:rPr>
                          <w:t> </w:t>
                        </w:r>
                        <w:r>
                          <w:rPr>
                            <w:rFonts w:ascii="Times New Roman"/>
                            <w:spacing w:val="-10"/>
                            <w:sz w:val="15"/>
                          </w:rPr>
                          <w:t>111,225.84</w:t>
                        </w:r>
                        <w:r>
                          <w:rPr>
                            <w:rFonts w:ascii="Times New Roman"/>
                            <w:sz w:val="15"/>
                          </w:rPr>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12"/>
                          <w:jc w:val="right"/>
                          <w:rPr>
                            <w:rFonts w:ascii="Times New Roman" w:hAnsi="Times New Roman" w:cs="Times New Roman" w:eastAsia="Times New Roman" w:hint="default"/>
                            <w:sz w:val="15"/>
                            <w:szCs w:val="15"/>
                          </w:rPr>
                        </w:pPr>
                        <w:r>
                          <w:rPr>
                            <w:rFonts w:ascii="Times New Roman"/>
                            <w:spacing w:val="-6"/>
                            <w:sz w:val="15"/>
                          </w:rPr>
                          <w:t>RMB</w:t>
                        </w:r>
                        <w:r>
                          <w:rPr>
                            <w:rFonts w:ascii="Times New Roman"/>
                            <w:spacing w:val="13"/>
                            <w:sz w:val="15"/>
                          </w:rPr>
                          <w:t> </w:t>
                        </w:r>
                        <w:r>
                          <w:rPr>
                            <w:rFonts w:ascii="Times New Roman"/>
                            <w:spacing w:val="-8"/>
                            <w:sz w:val="15"/>
                          </w:rPr>
                          <w:t>994,919.11</w:t>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6"/>
                            <w:sz w:val="15"/>
                          </w:rPr>
                          <w:t>RMB</w:t>
                        </w:r>
                        <w:r>
                          <w:rPr>
                            <w:rFonts w:ascii="Times New Roman"/>
                            <w:spacing w:val="-7"/>
                            <w:sz w:val="15"/>
                          </w:rPr>
                          <w:t> </w:t>
                        </w:r>
                        <w:r>
                          <w:rPr>
                            <w:rFonts w:ascii="Times New Roman"/>
                            <w:spacing w:val="-9"/>
                            <w:sz w:val="15"/>
                          </w:rPr>
                          <w:t>1,563,274.64</w:t>
                        </w:r>
                        <w:r>
                          <w:rPr>
                            <w:rFonts w:ascii="Times New Roman"/>
                            <w:sz w:val="15"/>
                          </w:rPr>
                        </w:r>
                      </w:p>
                    </w:tc>
                  </w:tr>
                  <w:tr>
                    <w:trPr>
                      <w:trHeight w:val="425"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5"/>
                            <w:szCs w:val="15"/>
                          </w:rPr>
                        </w:pPr>
                        <w:r>
                          <w:rPr>
                            <w:rFonts w:ascii="宋体" w:hAnsi="宋体" w:cs="宋体" w:eastAsia="宋体" w:hint="default"/>
                            <w:spacing w:val="-14"/>
                            <w:sz w:val="15"/>
                            <w:szCs w:val="15"/>
                          </w:rPr>
                          <w:t>土地使用权</w:t>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 w:right="0"/>
                          <w:jc w:val="left"/>
                          <w:rPr>
                            <w:rFonts w:ascii="宋体" w:hAnsi="宋体" w:cs="宋体" w:eastAsia="宋体" w:hint="default"/>
                            <w:sz w:val="15"/>
                            <w:szCs w:val="15"/>
                          </w:rPr>
                        </w:pPr>
                        <w:r>
                          <w:rPr>
                            <w:rFonts w:ascii="宋体" w:hAnsi="宋体" w:cs="宋体" w:eastAsia="宋体" w:hint="default"/>
                            <w:spacing w:val="-17"/>
                            <w:sz w:val="15"/>
                            <w:szCs w:val="15"/>
                          </w:rPr>
                          <w:t>购买</w:t>
                        </w:r>
                        <w:r>
                          <w:rPr>
                            <w:rFonts w:ascii="宋体" w:hAnsi="宋体" w:cs="宋体" w:eastAsia="宋体" w:hint="default"/>
                            <w:sz w:val="15"/>
                            <w:szCs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
                          <w:jc w:val="right"/>
                          <w:rPr>
                            <w:rFonts w:ascii="Times New Roman" w:hAnsi="Times New Roman" w:cs="Times New Roman" w:eastAsia="Times New Roman" w:hint="default"/>
                            <w:sz w:val="15"/>
                            <w:szCs w:val="15"/>
                          </w:rPr>
                        </w:pPr>
                        <w:r>
                          <w:rPr>
                            <w:rFonts w:ascii="Times New Roman"/>
                            <w:spacing w:val="-9"/>
                            <w:sz w:val="15"/>
                          </w:rPr>
                          <w:t>6,641,573.12</w:t>
                        </w:r>
                        <w:r>
                          <w:rPr>
                            <w:rFonts w:ascii="Times New Roman"/>
                            <w:sz w:val="15"/>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
                          <w:jc w:val="right"/>
                          <w:rPr>
                            <w:rFonts w:ascii="Times New Roman" w:hAnsi="Times New Roman" w:cs="Times New Roman" w:eastAsia="Times New Roman" w:hint="default"/>
                            <w:sz w:val="15"/>
                            <w:szCs w:val="15"/>
                          </w:rPr>
                        </w:pPr>
                        <w:r>
                          <w:rPr>
                            <w:rFonts w:ascii="Times New Roman"/>
                            <w:spacing w:val="-9"/>
                            <w:sz w:val="15"/>
                          </w:rPr>
                          <w:t>6,630,503.83</w:t>
                        </w:r>
                        <w:r>
                          <w:rPr>
                            <w:rFonts w:ascii="Times New Roman"/>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1"/>
                          <w:jc w:val="right"/>
                          <w:rPr>
                            <w:rFonts w:ascii="Times New Roman" w:hAnsi="Times New Roman" w:cs="Times New Roman" w:eastAsia="Times New Roman" w:hint="default"/>
                            <w:sz w:val="15"/>
                            <w:szCs w:val="15"/>
                          </w:rPr>
                        </w:pPr>
                        <w:r>
                          <w:rPr>
                            <w:rFonts w:ascii="Times New Roman"/>
                            <w:spacing w:val="-9"/>
                            <w:sz w:val="15"/>
                          </w:rPr>
                          <w:t>132,831.48</w:t>
                        </w:r>
                        <w:r>
                          <w:rPr>
                            <w:rFonts w:ascii="Times New Roman"/>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5"/>
                            <w:szCs w:val="15"/>
                          </w:rPr>
                        </w:pPr>
                        <w:r>
                          <w:rPr>
                            <w:rFonts w:ascii="Times New Roman"/>
                            <w:spacing w:val="-9"/>
                            <w:sz w:val="15"/>
                          </w:rPr>
                          <w:t>143,900.77</w:t>
                        </w:r>
                        <w:r>
                          <w:rPr>
                            <w:rFonts w:ascii="Times New Roman"/>
                            <w:sz w:val="15"/>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
                          <w:jc w:val="right"/>
                          <w:rPr>
                            <w:rFonts w:ascii="Times New Roman" w:hAnsi="Times New Roman" w:cs="Times New Roman" w:eastAsia="Times New Roman" w:hint="default"/>
                            <w:sz w:val="15"/>
                            <w:szCs w:val="15"/>
                          </w:rPr>
                        </w:pPr>
                        <w:r>
                          <w:rPr>
                            <w:rFonts w:ascii="Times New Roman"/>
                            <w:spacing w:val="-9"/>
                            <w:sz w:val="15"/>
                          </w:rPr>
                          <w:t>6,497,672.35</w:t>
                        </w:r>
                        <w:r>
                          <w:rPr>
                            <w:rFonts w:ascii="Times New Roman"/>
                            <w:sz w:val="15"/>
                          </w:rPr>
                        </w:r>
                      </w:p>
                    </w:tc>
                  </w:tr>
                  <w:tr>
                    <w:trPr>
                      <w:trHeight w:val="475"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left"/>
                          <w:rPr>
                            <w:rFonts w:ascii="宋体" w:hAnsi="宋体" w:cs="宋体" w:eastAsia="宋体" w:hint="default"/>
                            <w:sz w:val="15"/>
                            <w:szCs w:val="15"/>
                          </w:rPr>
                        </w:pPr>
                        <w:r>
                          <w:rPr>
                            <w:rFonts w:ascii="宋体" w:hAnsi="宋体" w:cs="宋体" w:eastAsia="宋体" w:hint="default"/>
                            <w:spacing w:val="-14"/>
                            <w:sz w:val="15"/>
                            <w:szCs w:val="15"/>
                          </w:rPr>
                          <w:t>土地使用权</w:t>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7" w:right="0"/>
                          <w:jc w:val="left"/>
                          <w:rPr>
                            <w:rFonts w:ascii="宋体" w:hAnsi="宋体" w:cs="宋体" w:eastAsia="宋体" w:hint="default"/>
                            <w:sz w:val="15"/>
                            <w:szCs w:val="15"/>
                          </w:rPr>
                        </w:pPr>
                        <w:r>
                          <w:rPr>
                            <w:rFonts w:ascii="宋体" w:hAnsi="宋体" w:cs="宋体" w:eastAsia="宋体" w:hint="default"/>
                            <w:spacing w:val="-17"/>
                            <w:sz w:val="15"/>
                            <w:szCs w:val="15"/>
                          </w:rPr>
                          <w:t>购买</w:t>
                        </w:r>
                        <w:r>
                          <w:rPr>
                            <w:rFonts w:ascii="宋体" w:hAnsi="宋体" w:cs="宋体" w:eastAsia="宋体" w:hint="default"/>
                            <w:sz w:val="15"/>
                            <w:szCs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9"/>
                            <w:sz w:val="15"/>
                          </w:rPr>
                          <w:t>839,904.00</w:t>
                        </w:r>
                        <w:r>
                          <w:rPr>
                            <w:rFonts w:ascii="Times New Roman"/>
                            <w:sz w:val="15"/>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9"/>
                            <w:sz w:val="15"/>
                          </w:rPr>
                          <w:t>837,104.32</w:t>
                        </w:r>
                        <w:r>
                          <w:rPr>
                            <w:rFonts w:ascii="Times New Roman"/>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9"/>
                            <w:sz w:val="15"/>
                          </w:rPr>
                          <w:t>16,798.08</w:t>
                        </w:r>
                        <w:r>
                          <w:rPr>
                            <w:rFonts w:ascii="Times New Roman"/>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9"/>
                            <w:sz w:val="15"/>
                          </w:rPr>
                          <w:t>19,597.76</w:t>
                        </w:r>
                        <w:r>
                          <w:rPr>
                            <w:rFonts w:ascii="Times New Roman"/>
                            <w:sz w:val="15"/>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9"/>
                            <w:sz w:val="15"/>
                          </w:rPr>
                          <w:t>820,306.24</w:t>
                        </w:r>
                        <w:r>
                          <w:rPr>
                            <w:rFonts w:ascii="Times New Roman"/>
                            <w:sz w:val="15"/>
                          </w:rPr>
                        </w:r>
                      </w:p>
                    </w:tc>
                  </w:tr>
                  <w:tr>
                    <w:trPr>
                      <w:trHeight w:val="47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ITBA</w:t>
                        </w:r>
                        <w:r>
                          <w:rPr>
                            <w:rFonts w:ascii="Times New Roman" w:hAnsi="Times New Roman" w:cs="Times New Roman" w:eastAsia="Times New Roman" w:hint="default"/>
                            <w:spacing w:val="-6"/>
                            <w:sz w:val="15"/>
                            <w:szCs w:val="15"/>
                          </w:rPr>
                          <w:t> </w:t>
                        </w:r>
                        <w:r>
                          <w:rPr>
                            <w:rFonts w:ascii="宋体" w:hAnsi="宋体" w:cs="宋体" w:eastAsia="宋体" w:hint="default"/>
                            <w:spacing w:val="-17"/>
                            <w:sz w:val="15"/>
                            <w:szCs w:val="15"/>
                          </w:rPr>
                          <w:t>专有技术</w:t>
                        </w:r>
                        <w:r>
                          <w:rPr>
                            <w:rFonts w:ascii="宋体" w:hAnsi="宋体" w:cs="宋体" w:eastAsia="宋体" w:hint="default"/>
                            <w:sz w:val="15"/>
                            <w:szCs w:val="15"/>
                          </w:rPr>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pacing w:val="-17"/>
                            <w:sz w:val="15"/>
                            <w:szCs w:val="15"/>
                          </w:rPr>
                          <w:t>股东投入</w:t>
                        </w:r>
                        <w:r>
                          <w:rPr>
                            <w:rFonts w:ascii="宋体" w:hAnsi="宋体" w:cs="宋体" w:eastAsia="宋体" w:hint="default"/>
                            <w:sz w:val="15"/>
                            <w:szCs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9"/>
                            <w:sz w:val="15"/>
                          </w:rPr>
                          <w:t>2,300,000.00</w:t>
                        </w:r>
                        <w:r>
                          <w:rPr>
                            <w:rFonts w:ascii="Times New Roman"/>
                            <w:sz w:val="15"/>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9"/>
                            <w:sz w:val="15"/>
                          </w:rPr>
                          <w:t>843,308.00</w:t>
                        </w:r>
                        <w:r>
                          <w:rPr>
                            <w:rFonts w:ascii="Times New Roman"/>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9"/>
                            <w:sz w:val="15"/>
                          </w:rPr>
                          <w:t>230,004.00</w:t>
                        </w:r>
                        <w:r>
                          <w:rPr>
                            <w:rFonts w:ascii="Times New Roman"/>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9"/>
                            <w:sz w:val="15"/>
                          </w:rPr>
                          <w:t>1,686,696.00</w:t>
                        </w:r>
                        <w:r>
                          <w:rPr>
                            <w:rFonts w:ascii="Times New Roman"/>
                            <w:sz w:val="15"/>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9"/>
                            <w:sz w:val="15"/>
                          </w:rPr>
                          <w:t>613,304.00</w:t>
                        </w:r>
                        <w:r>
                          <w:rPr>
                            <w:rFonts w:ascii="Times New Roman"/>
                            <w:sz w:val="15"/>
                          </w:rPr>
                        </w:r>
                      </w:p>
                    </w:tc>
                  </w:tr>
                  <w:tr>
                    <w:trPr>
                      <w:trHeight w:val="475"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SVC</w:t>
                        </w:r>
                        <w:r>
                          <w:rPr>
                            <w:rFonts w:ascii="Times New Roman" w:hAnsi="Times New Roman" w:cs="Times New Roman" w:eastAsia="Times New Roman" w:hint="default"/>
                            <w:spacing w:val="-8"/>
                            <w:sz w:val="15"/>
                            <w:szCs w:val="15"/>
                          </w:rPr>
                          <w:t> </w:t>
                        </w:r>
                        <w:r>
                          <w:rPr>
                            <w:rFonts w:ascii="宋体" w:hAnsi="宋体" w:cs="宋体" w:eastAsia="宋体" w:hint="default"/>
                            <w:spacing w:val="-17"/>
                            <w:sz w:val="15"/>
                            <w:szCs w:val="15"/>
                          </w:rPr>
                          <w:t>专有技术</w:t>
                        </w:r>
                        <w:r>
                          <w:rPr>
                            <w:rFonts w:ascii="宋体" w:hAnsi="宋体" w:cs="宋体" w:eastAsia="宋体" w:hint="default"/>
                            <w:sz w:val="15"/>
                            <w:szCs w:val="15"/>
                          </w:rPr>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 w:right="0"/>
                          <w:jc w:val="left"/>
                          <w:rPr>
                            <w:rFonts w:ascii="宋体" w:hAnsi="宋体" w:cs="宋体" w:eastAsia="宋体" w:hint="default"/>
                            <w:sz w:val="15"/>
                            <w:szCs w:val="15"/>
                          </w:rPr>
                        </w:pPr>
                        <w:r>
                          <w:rPr>
                            <w:rFonts w:ascii="宋体" w:hAnsi="宋体" w:cs="宋体" w:eastAsia="宋体" w:hint="default"/>
                            <w:spacing w:val="-17"/>
                            <w:sz w:val="15"/>
                            <w:szCs w:val="15"/>
                          </w:rPr>
                          <w:t>股东投入</w:t>
                        </w:r>
                        <w:r>
                          <w:rPr>
                            <w:rFonts w:ascii="宋体" w:hAnsi="宋体" w:cs="宋体" w:eastAsia="宋体" w:hint="default"/>
                            <w:sz w:val="15"/>
                            <w:szCs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9"/>
                            <w:sz w:val="15"/>
                          </w:rPr>
                          <w:t>2,690,000.00</w:t>
                        </w:r>
                        <w:r>
                          <w:rPr>
                            <w:rFonts w:ascii="Times New Roman"/>
                            <w:sz w:val="15"/>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9"/>
                            <w:sz w:val="15"/>
                          </w:rPr>
                          <w:t>537,999.72</w:t>
                        </w:r>
                        <w:r>
                          <w:rPr>
                            <w:rFonts w:ascii="Times New Roman"/>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9"/>
                            <w:sz w:val="15"/>
                          </w:rPr>
                          <w:t>269,000.04</w:t>
                        </w:r>
                        <w:r>
                          <w:rPr>
                            <w:rFonts w:ascii="Times New Roman"/>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9"/>
                            <w:sz w:val="15"/>
                          </w:rPr>
                          <w:t>2,421,000.32</w:t>
                        </w:r>
                        <w:r>
                          <w:rPr>
                            <w:rFonts w:ascii="Times New Roman"/>
                            <w:sz w:val="15"/>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9"/>
                            <w:sz w:val="15"/>
                          </w:rPr>
                          <w:t>268,999.68</w:t>
                        </w:r>
                        <w:r>
                          <w:rPr>
                            <w:rFonts w:ascii="Times New Roman"/>
                            <w:sz w:val="15"/>
                          </w:rPr>
                        </w:r>
                      </w:p>
                    </w:tc>
                  </w:tr>
                  <w:tr>
                    <w:trPr>
                      <w:trHeight w:val="475"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5"/>
                            <w:szCs w:val="15"/>
                          </w:rPr>
                        </w:pPr>
                        <w:r>
                          <w:rPr>
                            <w:rFonts w:ascii="Times New Roman" w:hAnsi="Times New Roman" w:cs="Times New Roman" w:eastAsia="Times New Roman" w:hint="default"/>
                            <w:spacing w:val="-10"/>
                            <w:sz w:val="15"/>
                            <w:szCs w:val="15"/>
                          </w:rPr>
                          <w:t>BY-SCADA</w:t>
                        </w:r>
                        <w:r>
                          <w:rPr>
                            <w:rFonts w:ascii="Times New Roman" w:hAnsi="Times New Roman" w:cs="Times New Roman" w:eastAsia="Times New Roman" w:hint="default"/>
                            <w:spacing w:val="-9"/>
                            <w:sz w:val="15"/>
                            <w:szCs w:val="15"/>
                          </w:rPr>
                          <w:t> </w:t>
                        </w:r>
                        <w:r>
                          <w:rPr>
                            <w:rFonts w:ascii="宋体" w:hAnsi="宋体" w:cs="宋体" w:eastAsia="宋体" w:hint="default"/>
                            <w:spacing w:val="-16"/>
                            <w:sz w:val="15"/>
                            <w:szCs w:val="15"/>
                          </w:rPr>
                          <w:t>系统技术</w:t>
                        </w:r>
                        <w:r>
                          <w:rPr>
                            <w:rFonts w:ascii="宋体" w:hAnsi="宋体" w:cs="宋体" w:eastAsia="宋体" w:hint="default"/>
                            <w:sz w:val="15"/>
                            <w:szCs w:val="15"/>
                          </w:rPr>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 w:right="0"/>
                          <w:jc w:val="left"/>
                          <w:rPr>
                            <w:rFonts w:ascii="宋体" w:hAnsi="宋体" w:cs="宋体" w:eastAsia="宋体" w:hint="default"/>
                            <w:sz w:val="15"/>
                            <w:szCs w:val="15"/>
                          </w:rPr>
                        </w:pPr>
                        <w:r>
                          <w:rPr>
                            <w:rFonts w:ascii="宋体" w:hAnsi="宋体" w:cs="宋体" w:eastAsia="宋体" w:hint="default"/>
                            <w:spacing w:val="-17"/>
                            <w:sz w:val="15"/>
                            <w:szCs w:val="15"/>
                          </w:rPr>
                          <w:t>股东投入</w:t>
                        </w:r>
                        <w:r>
                          <w:rPr>
                            <w:rFonts w:ascii="宋体" w:hAnsi="宋体" w:cs="宋体" w:eastAsia="宋体" w:hint="default"/>
                            <w:sz w:val="15"/>
                            <w:szCs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9"/>
                            <w:sz w:val="15"/>
                          </w:rPr>
                          <w:t>480,000.00</w:t>
                        </w:r>
                        <w:r>
                          <w:rPr>
                            <w:rFonts w:ascii="Times New Roman"/>
                            <w:sz w:val="15"/>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9"/>
                            <w:sz w:val="15"/>
                          </w:rPr>
                          <w:t>324,000.00</w:t>
                        </w:r>
                        <w:r>
                          <w:rPr>
                            <w:rFonts w:ascii="Times New Roman"/>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9"/>
                            <w:sz w:val="15"/>
                          </w:rPr>
                          <w:t>48,000.00</w:t>
                        </w:r>
                        <w:r>
                          <w:rPr>
                            <w:rFonts w:ascii="Times New Roman"/>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9"/>
                            <w:sz w:val="15"/>
                          </w:rPr>
                          <w:t>204,000.00</w:t>
                        </w:r>
                        <w:r>
                          <w:rPr>
                            <w:rFonts w:ascii="Times New Roman"/>
                            <w:sz w:val="15"/>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9"/>
                            <w:sz w:val="15"/>
                          </w:rPr>
                          <w:t>276,000.00</w:t>
                        </w:r>
                        <w:r>
                          <w:rPr>
                            <w:rFonts w:ascii="Times New Roman"/>
                            <w:sz w:val="15"/>
                          </w:rPr>
                        </w:r>
                      </w:p>
                    </w:tc>
                  </w:tr>
                  <w:tr>
                    <w:trPr>
                      <w:trHeight w:val="489"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5"/>
                            <w:szCs w:val="15"/>
                          </w:rPr>
                        </w:pPr>
                        <w:r>
                          <w:rPr>
                            <w:rFonts w:ascii="宋体" w:hAnsi="宋体" w:cs="宋体" w:eastAsia="宋体" w:hint="default"/>
                            <w:spacing w:val="-17"/>
                            <w:sz w:val="15"/>
                            <w:szCs w:val="15"/>
                          </w:rPr>
                          <w:t>软件</w:t>
                        </w:r>
                        <w:r>
                          <w:rPr>
                            <w:rFonts w:ascii="宋体" w:hAnsi="宋体" w:cs="宋体" w:eastAsia="宋体" w:hint="default"/>
                            <w:sz w:val="15"/>
                            <w:szCs w:val="15"/>
                          </w:rPr>
                        </w: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 w:right="0"/>
                          <w:jc w:val="left"/>
                          <w:rPr>
                            <w:rFonts w:ascii="宋体" w:hAnsi="宋体" w:cs="宋体" w:eastAsia="宋体" w:hint="default"/>
                            <w:sz w:val="15"/>
                            <w:szCs w:val="15"/>
                          </w:rPr>
                        </w:pPr>
                        <w:r>
                          <w:rPr>
                            <w:rFonts w:ascii="宋体" w:hAnsi="宋体" w:cs="宋体" w:eastAsia="宋体" w:hint="default"/>
                            <w:spacing w:val="-17"/>
                            <w:sz w:val="15"/>
                            <w:szCs w:val="15"/>
                          </w:rPr>
                          <w:t>购买</w:t>
                        </w:r>
                        <w:r>
                          <w:rPr>
                            <w:rFonts w:ascii="宋体" w:hAnsi="宋体" w:cs="宋体" w:eastAsia="宋体" w:hint="default"/>
                            <w:sz w:val="15"/>
                            <w:szCs w:val="15"/>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9"/>
                            <w:sz w:val="15"/>
                          </w:rPr>
                          <w:t>804,520.00</w:t>
                        </w:r>
                        <w:r>
                          <w:rPr>
                            <w:rFonts w:ascii="Times New Roman"/>
                            <w:sz w:val="15"/>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9"/>
                            <w:sz w:val="15"/>
                          </w:rPr>
                          <w:t>112,557.00</w:t>
                        </w:r>
                        <w:r>
                          <w:rPr>
                            <w:rFonts w:ascii="Times New Roman"/>
                            <w:sz w:val="15"/>
                          </w:rPr>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9"/>
                            <w:sz w:val="15"/>
                          </w:rPr>
                          <w:t>589,000.00</w:t>
                        </w:r>
                        <w:r>
                          <w:rPr>
                            <w:rFonts w:ascii="Times New Roman"/>
                            <w:sz w:val="15"/>
                          </w:rPr>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9"/>
                            <w:sz w:val="15"/>
                          </w:rPr>
                          <w:t>95,040.35</w:t>
                        </w:r>
                        <w:r>
                          <w:rPr>
                            <w:rFonts w:ascii="Times New Roman"/>
                            <w:sz w:val="15"/>
                          </w:rPr>
                        </w: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9"/>
                            <w:sz w:val="15"/>
                          </w:rPr>
                          <w:t>198,003.35</w:t>
                        </w:r>
                        <w:r>
                          <w:rPr>
                            <w:rFonts w:ascii="Times New Roman"/>
                            <w:sz w:val="15"/>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9"/>
                            <w:sz w:val="15"/>
                          </w:rPr>
                          <w:t>606,516.65</w:t>
                        </w:r>
                        <w:r>
                          <w:rPr>
                            <w:rFonts w:ascii="Times New Roman"/>
                            <w:sz w:val="15"/>
                          </w:rPr>
                        </w:r>
                      </w:p>
                    </w:tc>
                  </w:tr>
                  <w:tr>
                    <w:trPr>
                      <w:trHeight w:val="496" w:hRule="exact"/>
                    </w:trPr>
                    <w:tc>
                      <w:tcPr>
                        <w:tcW w:w="1409"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c>
                      <w:tcPr>
                        <w:tcW w:w="62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6"/>
                            <w:sz w:val="15"/>
                          </w:rPr>
                          <w:t>RMB  </w:t>
                        </w:r>
                        <w:r>
                          <w:rPr>
                            <w:rFonts w:ascii="Times New Roman"/>
                            <w:spacing w:val="20"/>
                            <w:sz w:val="15"/>
                          </w:rPr>
                          <w:t> </w:t>
                        </w:r>
                        <w:r>
                          <w:rPr>
                            <w:rFonts w:ascii="Times New Roman"/>
                            <w:spacing w:val="-9"/>
                            <w:sz w:val="15"/>
                          </w:rPr>
                          <w:t>16,314,190.87</w:t>
                        </w:r>
                        <w:r>
                          <w:rPr>
                            <w:rFonts w:ascii="Times New Roman"/>
                            <w:sz w:val="15"/>
                          </w:rPr>
                        </w:r>
                      </w:p>
                    </w:tc>
                    <w:tc>
                      <w:tcPr>
                        <w:tcW w:w="1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6"/>
                            <w:sz w:val="15"/>
                          </w:rPr>
                          <w:t>RMB  </w:t>
                        </w:r>
                        <w:r>
                          <w:rPr>
                            <w:rFonts w:ascii="Times New Roman"/>
                            <w:spacing w:val="20"/>
                            <w:sz w:val="15"/>
                          </w:rPr>
                          <w:t> </w:t>
                        </w:r>
                        <w:r>
                          <w:rPr>
                            <w:rFonts w:ascii="Times New Roman"/>
                            <w:spacing w:val="-9"/>
                            <w:sz w:val="15"/>
                          </w:rPr>
                          <w:t>10,959,973.35</w:t>
                        </w:r>
                        <w:r>
                          <w:rPr>
                            <w:rFonts w:ascii="Times New Roman"/>
                            <w:sz w:val="15"/>
                          </w:rPr>
                        </w: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tabs>
                            <w:tab w:pos="544" w:val="left" w:leader="none"/>
                          </w:tabs>
                          <w:spacing w:line="240" w:lineRule="auto"/>
                          <w:ind w:right="32"/>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pacing w:val="-9"/>
                            <w:sz w:val="15"/>
                          </w:rPr>
                          <w:t>589,000.00</w:t>
                        </w:r>
                        <w:r>
                          <w:rPr>
                            <w:rFonts w:ascii="Times New Roman"/>
                            <w:sz w:val="15"/>
                          </w:rPr>
                        </w:r>
                      </w:p>
                    </w:tc>
                    <w:tc>
                      <w:tcPr>
                        <w:tcW w:w="1245"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5" w:right="0"/>
                          <w:jc w:val="left"/>
                          <w:rPr>
                            <w:rFonts w:ascii="Times New Roman" w:hAnsi="Times New Roman" w:cs="Times New Roman" w:eastAsia="Times New Roman" w:hint="default"/>
                            <w:sz w:val="15"/>
                            <w:szCs w:val="15"/>
                          </w:rPr>
                        </w:pPr>
                        <w:r>
                          <w:rPr>
                            <w:rFonts w:ascii="Times New Roman"/>
                            <w:sz w:val="15"/>
                          </w:rPr>
                          <w:t>RMB</w:t>
                        </w:r>
                        <w:r>
                          <w:rPr>
                            <w:rFonts w:ascii="Times New Roman"/>
                            <w:spacing w:val="-6"/>
                            <w:sz w:val="15"/>
                          </w:rPr>
                          <w:t> </w:t>
                        </w:r>
                        <w:r>
                          <w:rPr>
                            <w:rFonts w:ascii="Times New Roman"/>
                            <w:sz w:val="15"/>
                          </w:rPr>
                          <w:t>902,899.79</w:t>
                        </w:r>
                      </w:p>
                    </w:tc>
                    <w:tc>
                      <w:tcPr>
                        <w:tcW w:w="12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9"/>
                            <w:sz w:val="15"/>
                          </w:rPr>
                          <w:t>RMB5,668,117.31</w:t>
                        </w:r>
                        <w:r>
                          <w:rPr>
                            <w:rFonts w:ascii="Times New Roman"/>
                            <w:sz w:val="15"/>
                          </w:rPr>
                        </w:r>
                      </w:p>
                    </w:tc>
                    <w:tc>
                      <w:tcPr>
                        <w:tcW w:w="120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9"/>
                            <w:sz w:val="15"/>
                          </w:rPr>
                          <w:t>RMB10,646,073.56</w:t>
                        </w:r>
                        <w:r>
                          <w:rPr>
                            <w:rFonts w:ascii="Times New Roman"/>
                            <w:sz w:val="15"/>
                          </w:rPr>
                        </w:r>
                      </w:p>
                    </w:tc>
                  </w:tr>
                </w:tbl>
                <w:p>
                  <w:pPr/>
                </w:p>
              </w:txbxContent>
            </v:textbox>
            <w10:wrap type="none"/>
          </v:shape>
        </w:pict>
      </w:r>
      <w:r>
        <w:rPr>
          <w:rFonts w:ascii="Times New Roman"/>
          <w:sz w:val="15"/>
        </w:rPr>
        <w:t>*</w:t>
      </w:r>
    </w:p>
    <w:p>
      <w:pPr>
        <w:spacing w:line="240" w:lineRule="auto" w:before="10"/>
        <w:rPr>
          <w:rFonts w:ascii="Times New Roman" w:hAnsi="Times New Roman" w:cs="Times New Roman" w:eastAsia="Times New Roman" w:hint="default"/>
          <w:sz w:val="18"/>
          <w:szCs w:val="18"/>
        </w:rPr>
      </w:pPr>
    </w:p>
    <w:p>
      <w:pPr>
        <w:spacing w:before="80"/>
        <w:ind w:left="1570" w:right="0" w:firstLine="0"/>
        <w:jc w:val="left"/>
        <w:rPr>
          <w:rFonts w:ascii="Times New Roman" w:hAnsi="Times New Roman" w:cs="Times New Roman" w:eastAsia="Times New Roman" w:hint="default"/>
          <w:sz w:val="15"/>
          <w:szCs w:val="15"/>
        </w:rPr>
      </w:pPr>
      <w:r>
        <w:rPr>
          <w:rFonts w:ascii="Times New Roman"/>
          <w:sz w:val="15"/>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302" w:lineRule="auto" w:before="26"/>
        <w:ind w:left="154" w:right="146" w:firstLine="51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spacing w:val="10"/>
        </w:rPr>
        <w:t>本公司以该等土地使用权及部分房产设备作抵押</w:t>
      </w:r>
      <w:r>
        <w:rPr>
          <w:rFonts w:ascii="Times New Roman" w:hAnsi="Times New Roman" w:cs="Times New Roman" w:eastAsia="Times New Roman" w:hint="default"/>
          <w:spacing w:val="10"/>
        </w:rPr>
        <w:t>,</w:t>
      </w:r>
      <w:r>
        <w:rPr>
          <w:spacing w:val="10"/>
        </w:rPr>
        <w:t>与中国银行鞍山铁东支行签订了</w:t>
      </w:r>
      <w:r>
        <w:rPr>
          <w:spacing w:val="11"/>
        </w:rPr>
        <w:t> </w:t>
      </w:r>
      <w:r>
        <w:rPr>
          <w:spacing w:val="6"/>
        </w:rPr>
        <w:t>债权最高限额为</w:t>
      </w:r>
      <w:r>
        <w:rPr>
          <w:spacing w:val="-44"/>
        </w:rPr>
        <w:t> </w:t>
      </w:r>
      <w:r>
        <w:rPr>
          <w:rFonts w:ascii="Times New Roman" w:hAnsi="Times New Roman" w:cs="Times New Roman" w:eastAsia="Times New Roman" w:hint="default"/>
          <w:spacing w:val="2"/>
        </w:rPr>
        <w:t>60,000,000.00</w:t>
      </w:r>
      <w:r>
        <w:rPr>
          <w:rFonts w:ascii="Times New Roman" w:hAnsi="Times New Roman" w:cs="Times New Roman" w:eastAsia="Times New Roman" w:hint="default"/>
          <w:spacing w:val="14"/>
        </w:rPr>
        <w:t> </w:t>
      </w:r>
      <w:r>
        <w:rPr>
          <w:spacing w:val="4"/>
        </w:rPr>
        <w:t>人民币元的最高额抵押合同，抵押期限为二零零七年九月六</w:t>
      </w:r>
      <w:r>
        <w:rPr>
          <w:spacing w:val="-118"/>
        </w:rPr>
        <w:t> </w:t>
      </w:r>
      <w:r>
        <w:rPr>
          <w:spacing w:val="-118"/>
        </w:rPr>
      </w:r>
      <w:r>
        <w:rPr>
          <w:spacing w:val="7"/>
        </w:rPr>
        <w:t>日至二零零八年九月六日。相关抵押手续正在办理之中。</w:t>
      </w:r>
      <w:r>
        <w:rPr/>
      </w:r>
    </w:p>
    <w:p>
      <w:pPr>
        <w:spacing w:line="374" w:lineRule="auto" w:before="163"/>
        <w:ind w:left="634" w:right="5450"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9"/>
          <w:sz w:val="24"/>
          <w:szCs w:val="24"/>
        </w:rPr>
        <w:t>递延所得税资产</w:t>
      </w:r>
      <w:r>
        <w:rPr>
          <w:rFonts w:ascii="宋体" w:hAnsi="宋体" w:cs="宋体" w:eastAsia="宋体" w:hint="default"/>
          <w:b/>
          <w:bCs/>
          <w:spacing w:val="9"/>
          <w:w w:val="99"/>
          <w:sz w:val="24"/>
          <w:szCs w:val="24"/>
        </w:rPr>
        <w:t> </w:t>
      </w:r>
      <w:r>
        <w:rPr>
          <w:rFonts w:ascii="宋体" w:hAnsi="宋体" w:cs="宋体" w:eastAsia="宋体" w:hint="default"/>
          <w:sz w:val="24"/>
          <w:szCs w:val="24"/>
        </w:rPr>
        <w:t>递延所得税资产明细项目列示如下：</w:t>
      </w:r>
    </w:p>
    <w:p>
      <w:pPr>
        <w:spacing w:line="240" w:lineRule="auto" w:before="7"/>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2014"/>
        <w:gridCol w:w="205"/>
        <w:gridCol w:w="1823"/>
        <w:gridCol w:w="1914"/>
        <w:gridCol w:w="1813"/>
        <w:gridCol w:w="193"/>
        <w:gridCol w:w="1680"/>
      </w:tblGrid>
      <w:tr>
        <w:trPr>
          <w:trHeight w:val="324" w:hRule="exact"/>
        </w:trPr>
        <w:tc>
          <w:tcPr>
            <w:tcW w:w="2014" w:type="dxa"/>
            <w:tcBorders>
              <w:top w:val="nil" w:sz="6" w:space="0" w:color="auto"/>
              <w:left w:val="nil" w:sz="6" w:space="0" w:color="auto"/>
              <w:bottom w:val="single" w:sz="4" w:space="0" w:color="000000"/>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03" w:lineRule="exact"/>
              <w:ind w:left="483" w:right="0"/>
              <w:jc w:val="left"/>
              <w:rPr>
                <w:rFonts w:ascii="Times New Roman" w:hAnsi="Times New Roman" w:cs="Times New Roman" w:eastAsia="Times New Roman" w:hint="default"/>
                <w:sz w:val="18"/>
                <w:szCs w:val="18"/>
              </w:rPr>
            </w:pPr>
            <w:r>
              <w:rPr>
                <w:rFonts w:ascii="Times New Roman"/>
                <w:spacing w:val="-5"/>
                <w:sz w:val="18"/>
              </w:rPr>
              <w:t>2007.01.01</w:t>
            </w:r>
            <w:r>
              <w:rPr>
                <w:rFonts w:ascii="Times New Roman"/>
                <w:sz w:val="18"/>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180" w:lineRule="exact"/>
              <w:ind w:left="578" w:right="0"/>
              <w:jc w:val="left"/>
              <w:rPr>
                <w:rFonts w:ascii="宋体" w:hAnsi="宋体" w:cs="宋体" w:eastAsia="宋体" w:hint="default"/>
                <w:sz w:val="18"/>
                <w:szCs w:val="18"/>
              </w:rPr>
            </w:pPr>
            <w:r>
              <w:rPr>
                <w:rFonts w:ascii="宋体" w:hAnsi="宋体" w:cs="宋体" w:eastAsia="宋体" w:hint="default"/>
                <w:spacing w:val="-9"/>
                <w:sz w:val="18"/>
                <w:szCs w:val="18"/>
              </w:rPr>
              <w:t>本年增加</w:t>
            </w:r>
            <w:r>
              <w:rPr>
                <w:rFonts w:ascii="宋体" w:hAnsi="宋体" w:cs="宋体" w:eastAsia="宋体" w:hint="default"/>
                <w:sz w:val="18"/>
                <w:szCs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180" w:lineRule="exact"/>
              <w:ind w:left="564" w:right="0"/>
              <w:jc w:val="left"/>
              <w:rPr>
                <w:rFonts w:ascii="宋体" w:hAnsi="宋体" w:cs="宋体" w:eastAsia="宋体" w:hint="default"/>
                <w:sz w:val="18"/>
                <w:szCs w:val="18"/>
              </w:rPr>
            </w:pPr>
            <w:r>
              <w:rPr>
                <w:rFonts w:ascii="宋体" w:hAnsi="宋体" w:cs="宋体" w:eastAsia="宋体" w:hint="default"/>
                <w:spacing w:val="-9"/>
                <w:sz w:val="18"/>
                <w:szCs w:val="18"/>
              </w:rPr>
              <w:t>本年减少</w:t>
            </w:r>
            <w:r>
              <w:rPr>
                <w:rFonts w:ascii="宋体" w:hAnsi="宋体" w:cs="宋体" w:eastAsia="宋体" w:hint="default"/>
                <w:sz w:val="18"/>
                <w:szCs w:val="18"/>
              </w:rPr>
            </w:r>
          </w:p>
        </w:tc>
        <w:tc>
          <w:tcPr>
            <w:tcW w:w="19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03" w:lineRule="exact"/>
              <w:ind w:left="456" w:right="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tc>
      </w:tr>
      <w:tr>
        <w:trPr>
          <w:trHeight w:val="367" w:hRule="exact"/>
        </w:trPr>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0"/>
              <w:jc w:val="left"/>
              <w:rPr>
                <w:rFonts w:ascii="宋体" w:hAnsi="宋体" w:cs="宋体" w:eastAsia="宋体" w:hint="default"/>
                <w:sz w:val="18"/>
                <w:szCs w:val="18"/>
              </w:rPr>
            </w:pPr>
            <w:r>
              <w:rPr>
                <w:rFonts w:ascii="宋体" w:hAnsi="宋体" w:cs="宋体" w:eastAsia="宋体" w:hint="default"/>
                <w:spacing w:val="-9"/>
                <w:sz w:val="18"/>
                <w:szCs w:val="18"/>
              </w:rPr>
              <w:t>资产减值准备</w:t>
            </w:r>
            <w:r>
              <w:rPr>
                <w:rFonts w:ascii="宋体" w:hAnsi="宋体" w:cs="宋体" w:eastAsia="宋体" w:hint="default"/>
                <w:sz w:val="18"/>
                <w:szCs w:val="18"/>
              </w:rPr>
            </w:r>
          </w:p>
        </w:tc>
        <w:tc>
          <w:tcPr>
            <w:tcW w:w="20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tabs>
                <w:tab w:pos="962" w:val="left" w:leader="none"/>
              </w:tabs>
              <w:spacing w:line="240" w:lineRule="auto" w:before="159"/>
              <w:ind w:left="246" w:right="0"/>
              <w:jc w:val="lef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5"/>
                <w:sz w:val="18"/>
              </w:rPr>
              <w:t>730,816.63</w:t>
            </w:r>
            <w:r>
              <w:rPr>
                <w:rFonts w:ascii="Times New Roman"/>
                <w:sz w:val="18"/>
              </w:rPr>
            </w:r>
          </w:p>
        </w:tc>
        <w:tc>
          <w:tcPr>
            <w:tcW w:w="1914" w:type="dxa"/>
            <w:tcBorders>
              <w:top w:val="single" w:sz="4" w:space="0" w:color="000000"/>
              <w:left w:val="nil" w:sz="6" w:space="0" w:color="auto"/>
              <w:bottom w:val="nil" w:sz="6" w:space="0" w:color="auto"/>
              <w:right w:val="nil" w:sz="6" w:space="0" w:color="auto"/>
            </w:tcBorders>
          </w:tcPr>
          <w:p>
            <w:pPr>
              <w:pStyle w:val="TableParagraph"/>
              <w:tabs>
                <w:tab w:pos="980" w:val="left" w:leader="none"/>
              </w:tabs>
              <w:spacing w:line="240" w:lineRule="auto" w:before="106"/>
              <w:ind w:left="229" w:right="0"/>
              <w:jc w:val="left"/>
              <w:rPr>
                <w:rFonts w:ascii="宋体" w:hAnsi="宋体" w:cs="宋体" w:eastAsia="宋体" w:hint="default"/>
                <w:sz w:val="18"/>
                <w:szCs w:val="18"/>
              </w:rPr>
            </w:pPr>
            <w:r>
              <w:rPr>
                <w:rFonts w:ascii="宋体"/>
                <w:spacing w:val="-3"/>
                <w:sz w:val="18"/>
              </w:rPr>
              <w:t>RMB</w:t>
              <w:tab/>
            </w:r>
            <w:r>
              <w:rPr>
                <w:rFonts w:ascii="宋体"/>
                <w:spacing w:val="-4"/>
                <w:sz w:val="18"/>
              </w:rPr>
              <w:t>613,795.31</w:t>
            </w:r>
          </w:p>
        </w:tc>
        <w:tc>
          <w:tcPr>
            <w:tcW w:w="1813" w:type="dxa"/>
            <w:tcBorders>
              <w:top w:val="single" w:sz="4" w:space="0" w:color="000000"/>
              <w:left w:val="nil" w:sz="6" w:space="0" w:color="auto"/>
              <w:bottom w:val="nil" w:sz="6" w:space="0" w:color="auto"/>
              <w:right w:val="nil" w:sz="6" w:space="0" w:color="auto"/>
            </w:tcBorders>
          </w:tcPr>
          <w:p>
            <w:pPr>
              <w:pStyle w:val="TableParagraph"/>
              <w:tabs>
                <w:tab w:pos="1210" w:val="left" w:leader="none"/>
              </w:tabs>
              <w:spacing w:line="240" w:lineRule="auto" w:before="159"/>
              <w:ind w:left="248" w:right="0"/>
              <w:jc w:val="lef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4"/>
                <w:sz w:val="18"/>
              </w:rPr>
              <w:t>2,101.29</w:t>
            </w:r>
          </w:p>
        </w:tc>
        <w:tc>
          <w:tcPr>
            <w:tcW w:w="193"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226" w:right="0"/>
              <w:jc w:val="left"/>
              <w:rPr>
                <w:rFonts w:ascii="Times New Roman" w:hAnsi="Times New Roman" w:cs="Times New Roman" w:eastAsia="Times New Roman" w:hint="default"/>
                <w:sz w:val="18"/>
                <w:szCs w:val="18"/>
              </w:rPr>
            </w:pPr>
            <w:r>
              <w:rPr>
                <w:rFonts w:ascii="Times New Roman"/>
                <w:spacing w:val="-3"/>
                <w:sz w:val="18"/>
              </w:rPr>
              <w:t>RMB   </w:t>
            </w:r>
            <w:r>
              <w:rPr>
                <w:rFonts w:ascii="Times New Roman"/>
                <w:sz w:val="18"/>
              </w:rPr>
              <w:t> </w:t>
            </w:r>
            <w:r>
              <w:rPr>
                <w:rFonts w:ascii="Times New Roman"/>
                <w:spacing w:val="-5"/>
                <w:sz w:val="18"/>
              </w:rPr>
              <w:t>1,342,510.65</w:t>
            </w:r>
          </w:p>
        </w:tc>
      </w:tr>
    </w:tbl>
    <w:p>
      <w:pPr>
        <w:spacing w:line="240" w:lineRule="auto" w:before="9"/>
        <w:rPr>
          <w:rFonts w:ascii="宋体" w:hAnsi="宋体" w:cs="宋体" w:eastAsia="宋体" w:hint="default"/>
          <w:sz w:val="21"/>
          <w:szCs w:val="21"/>
        </w:rPr>
      </w:pPr>
    </w:p>
    <w:p>
      <w:pPr>
        <w:spacing w:line="374" w:lineRule="auto" w:before="26"/>
        <w:ind w:left="634" w:right="5690" w:firstLine="30"/>
        <w:jc w:val="left"/>
        <w:rPr>
          <w:rFonts w:ascii="宋体" w:hAnsi="宋体" w:cs="宋体" w:eastAsia="宋体" w:hint="default"/>
          <w:sz w:val="24"/>
          <w:szCs w:val="24"/>
        </w:rPr>
      </w:pPr>
      <w:r>
        <w:rPr/>
        <w:pict>
          <v:group style="position:absolute;margin-left:57.060001pt;margin-top:66.495934pt;width:80.650pt;height:.1pt;mso-position-horizontal-relative:page;mso-position-vertical-relative:paragraph;z-index:-508480" coordorigin="1141,1330" coordsize="1613,2">
            <v:shape style="position:absolute;left:1141;top:1330;width:1613;height:2" coordorigin="1141,1330" coordsize="1613,0" path="m1141,1330l2754,1330e" filled="false" stroked="true" strokeweight=".48pt" strokecolor="#000000">
              <v:path arrowok="t"/>
            </v:shape>
            <w10:wrap type="none"/>
          </v:group>
        </w:pict>
      </w:r>
      <w:r>
        <w:rPr/>
        <w:pict>
          <v:group style="position:absolute;margin-left:456.179993pt;margin-top:66.495934pt;width:82.1pt;height:.1pt;mso-position-horizontal-relative:page;mso-position-vertical-relative:paragraph;z-index:-508456" coordorigin="9124,1330" coordsize="1642,2">
            <v:shape style="position:absolute;left:9124;top:1330;width:1642;height:2" coordorigin="9124,1330" coordsize="1642,0" path="m9124,1330l10765,1330e" filled="false" stroked="true" strokeweight=".48pt" strokecolor="#000000">
              <v:path arrowok="t"/>
            </v:shape>
            <w10:wrap type="none"/>
          </v:group>
        </w:pict>
      </w:r>
      <w:r>
        <w:rPr>
          <w:rFonts w:ascii="Times New Roman" w:hAnsi="Times New Roman" w:cs="Times New Roman" w:eastAsia="Times New Roman" w:hint="default"/>
          <w:b/>
          <w:bCs/>
          <w:spacing w:val="6"/>
          <w:sz w:val="24"/>
          <w:szCs w:val="24"/>
        </w:rPr>
        <w:t>13.</w:t>
      </w:r>
      <w:r>
        <w:rPr>
          <w:rFonts w:ascii="宋体" w:hAnsi="宋体" w:cs="宋体" w:eastAsia="宋体" w:hint="default"/>
          <w:b/>
          <w:bCs/>
          <w:spacing w:val="6"/>
          <w:sz w:val="24"/>
          <w:szCs w:val="24"/>
        </w:rPr>
        <w:t>资产减值准备</w:t>
      </w:r>
      <w:r>
        <w:rPr>
          <w:rFonts w:ascii="宋体" w:hAnsi="宋体" w:cs="宋体" w:eastAsia="宋体" w:hint="default"/>
          <w:b/>
          <w:bCs/>
          <w:spacing w:val="8"/>
          <w:w w:val="99"/>
          <w:sz w:val="24"/>
          <w:szCs w:val="24"/>
        </w:rPr>
        <w:t> </w:t>
      </w:r>
      <w:r>
        <w:rPr>
          <w:rFonts w:ascii="宋体" w:hAnsi="宋体" w:cs="宋体" w:eastAsia="宋体" w:hint="default"/>
          <w:sz w:val="24"/>
          <w:szCs w:val="24"/>
        </w:rPr>
        <w:t>资产减值准备明细项目列示如下：</w:t>
      </w:r>
    </w:p>
    <w:p>
      <w:pPr>
        <w:spacing w:line="240" w:lineRule="auto" w:before="3"/>
        <w:rPr>
          <w:rFonts w:ascii="宋体" w:hAnsi="宋体" w:cs="宋体" w:eastAsia="宋体" w:hint="default"/>
          <w:sz w:val="4"/>
          <w:szCs w:val="4"/>
        </w:rPr>
      </w:pPr>
    </w:p>
    <w:tbl>
      <w:tblPr>
        <w:tblW w:w="0" w:type="auto"/>
        <w:jc w:val="left"/>
        <w:tblInd w:w="594" w:type="dxa"/>
        <w:tblLayout w:type="fixed"/>
        <w:tblCellMar>
          <w:top w:w="0" w:type="dxa"/>
          <w:left w:w="0" w:type="dxa"/>
          <w:bottom w:w="0" w:type="dxa"/>
          <w:right w:w="0" w:type="dxa"/>
        </w:tblCellMar>
        <w:tblLook w:val="01E0"/>
      </w:tblPr>
      <w:tblGrid>
        <w:gridCol w:w="1179"/>
        <w:gridCol w:w="1841"/>
        <w:gridCol w:w="162"/>
        <w:gridCol w:w="1482"/>
        <w:gridCol w:w="167"/>
        <w:gridCol w:w="2627"/>
        <w:gridCol w:w="1698"/>
      </w:tblGrid>
      <w:tr>
        <w:trPr>
          <w:trHeight w:val="281"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pacing w:val="-8"/>
                <w:sz w:val="18"/>
                <w:szCs w:val="18"/>
              </w:rPr>
              <w:t>内容</w:t>
            </w:r>
            <w:r>
              <w:rPr>
                <w:rFonts w:ascii="宋体" w:hAnsi="宋体" w:cs="宋体" w:eastAsia="宋体" w:hint="default"/>
                <w:sz w:val="18"/>
                <w:szCs w:val="18"/>
              </w:rPr>
            </w:r>
          </w:p>
        </w:tc>
        <w:tc>
          <w:tcPr>
            <w:tcW w:w="1841" w:type="dxa"/>
            <w:tcBorders>
              <w:top w:val="nil" w:sz="6" w:space="0" w:color="auto"/>
              <w:left w:val="nil" w:sz="6" w:space="0" w:color="auto"/>
              <w:bottom w:val="single" w:sz="4" w:space="0" w:color="000000"/>
              <w:right w:val="nil" w:sz="6" w:space="0" w:color="auto"/>
            </w:tcBorders>
          </w:tcPr>
          <w:p>
            <w:pPr>
              <w:pStyle w:val="TableParagraph"/>
              <w:spacing w:line="190" w:lineRule="exact"/>
              <w:ind w:left="580" w:right="0"/>
              <w:jc w:val="left"/>
              <w:rPr>
                <w:rFonts w:ascii="Times New Roman" w:hAnsi="Times New Roman" w:cs="Times New Roman" w:eastAsia="Times New Roman" w:hint="default"/>
                <w:sz w:val="18"/>
                <w:szCs w:val="18"/>
              </w:rPr>
            </w:pPr>
            <w:r>
              <w:rPr>
                <w:rFonts w:ascii="Times New Roman"/>
                <w:spacing w:val="-5"/>
                <w:sz w:val="18"/>
              </w:rPr>
              <w:t>2007.01.01</w:t>
            </w:r>
            <w:r>
              <w:rPr>
                <w:rFonts w:ascii="Times New Roman"/>
                <w:sz w:val="18"/>
              </w:rPr>
            </w:r>
          </w:p>
        </w:tc>
        <w:tc>
          <w:tcPr>
            <w:tcW w:w="162"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pacing w:val="-9"/>
                <w:sz w:val="18"/>
                <w:szCs w:val="18"/>
              </w:rPr>
              <w:t>本年计提</w:t>
            </w:r>
            <w:r>
              <w:rPr>
                <w:rFonts w:ascii="宋体" w:hAnsi="宋体" w:cs="宋体" w:eastAsia="宋体" w:hint="default"/>
                <w:sz w:val="18"/>
                <w:szCs w:val="18"/>
              </w:rPr>
            </w:r>
          </w:p>
        </w:tc>
        <w:tc>
          <w:tcPr>
            <w:tcW w:w="167"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本年减少</w:t>
            </w:r>
            <w:r>
              <w:rPr>
                <w:rFonts w:ascii="宋体" w:hAnsi="宋体" w:cs="宋体" w:eastAsia="宋体" w:hint="default"/>
                <w:sz w:val="18"/>
                <w:szCs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190" w:lineRule="exact"/>
              <w:ind w:left="525" w:right="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tc>
      </w:tr>
    </w:tbl>
    <w:p>
      <w:pPr>
        <w:spacing w:after="0" w:line="190" w:lineRule="exact"/>
        <w:jc w:val="left"/>
        <w:rPr>
          <w:rFonts w:ascii="Times New Roman" w:hAnsi="Times New Roman" w:cs="Times New Roman" w:eastAsia="Times New Roman" w:hint="default"/>
          <w:sz w:val="18"/>
          <w:szCs w:val="18"/>
        </w:rPr>
        <w:sectPr>
          <w:pgSz w:w="11910" w:h="16840"/>
          <w:pgMar w:header="877"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313" w:type="dxa"/>
        <w:tblLayout w:type="fixed"/>
        <w:tblCellMar>
          <w:top w:w="0" w:type="dxa"/>
          <w:left w:w="0" w:type="dxa"/>
          <w:bottom w:w="0" w:type="dxa"/>
          <w:right w:w="0" w:type="dxa"/>
        </w:tblCellMar>
        <w:tblLook w:val="01E0"/>
      </w:tblPr>
      <w:tblGrid>
        <w:gridCol w:w="1620"/>
        <w:gridCol w:w="1842"/>
        <w:gridCol w:w="146"/>
        <w:gridCol w:w="1496"/>
        <w:gridCol w:w="152"/>
        <w:gridCol w:w="1168"/>
        <w:gridCol w:w="135"/>
        <w:gridCol w:w="1415"/>
        <w:gridCol w:w="1658"/>
      </w:tblGrid>
      <w:tr>
        <w:trPr>
          <w:trHeight w:val="379" w:hRule="exact"/>
        </w:trPr>
        <w:tc>
          <w:tcPr>
            <w:tcW w:w="1620" w:type="dxa"/>
            <w:tcBorders>
              <w:top w:val="nil" w:sz="6" w:space="0" w:color="auto"/>
              <w:left w:val="nil" w:sz="6" w:space="0" w:color="auto"/>
              <w:bottom w:val="single" w:sz="4" w:space="0" w:color="000000"/>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540" w:right="0"/>
              <w:jc w:val="left"/>
              <w:rPr>
                <w:rFonts w:ascii="宋体" w:hAnsi="宋体" w:cs="宋体" w:eastAsia="宋体" w:hint="default"/>
                <w:sz w:val="18"/>
                <w:szCs w:val="18"/>
              </w:rPr>
            </w:pPr>
            <w:r>
              <w:rPr>
                <w:rFonts w:ascii="宋体" w:hAnsi="宋体" w:cs="宋体" w:eastAsia="宋体" w:hint="default"/>
                <w:spacing w:val="-8"/>
                <w:sz w:val="18"/>
                <w:szCs w:val="18"/>
              </w:rPr>
              <w:t>转回</w:t>
            </w:r>
            <w:r>
              <w:rPr>
                <w:rFonts w:ascii="宋体" w:hAnsi="宋体" w:cs="宋体" w:eastAsia="宋体" w:hint="default"/>
                <w:sz w:val="18"/>
                <w:szCs w:val="18"/>
              </w:rPr>
            </w:r>
          </w:p>
        </w:tc>
        <w:tc>
          <w:tcPr>
            <w:tcW w:w="135" w:type="dxa"/>
            <w:tcBorders>
              <w:top w:val="nil" w:sz="6" w:space="0" w:color="auto"/>
              <w:left w:val="nil" w:sz="6" w:space="0" w:color="auto"/>
              <w:bottom w:val="nil" w:sz="6" w:space="0" w:color="auto"/>
              <w:right w:val="nil" w:sz="6" w:space="0" w:color="auto"/>
            </w:tcBorders>
          </w:tcPr>
          <w:p>
            <w:pPr/>
          </w:p>
        </w:tc>
        <w:tc>
          <w:tcPr>
            <w:tcW w:w="141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61"/>
              <w:jc w:val="center"/>
              <w:rPr>
                <w:rFonts w:ascii="宋体" w:hAnsi="宋体" w:cs="宋体" w:eastAsia="宋体" w:hint="default"/>
                <w:sz w:val="18"/>
                <w:szCs w:val="18"/>
              </w:rPr>
            </w:pPr>
            <w:r>
              <w:rPr>
                <w:rFonts w:ascii="宋体" w:hAnsi="宋体" w:cs="宋体" w:eastAsia="宋体" w:hint="default"/>
                <w:spacing w:val="-8"/>
                <w:sz w:val="18"/>
                <w:szCs w:val="18"/>
              </w:rPr>
              <w:t>转销</w:t>
            </w:r>
            <w:r>
              <w:rPr>
                <w:rFonts w:ascii="宋体" w:hAnsi="宋体" w:cs="宋体" w:eastAsia="宋体" w:hint="default"/>
                <w:sz w:val="18"/>
                <w:szCs w:val="18"/>
              </w:rPr>
            </w:r>
          </w:p>
        </w:tc>
        <w:tc>
          <w:tcPr>
            <w:tcW w:w="1658" w:type="dxa"/>
            <w:tcBorders>
              <w:top w:val="nil" w:sz="6" w:space="0" w:color="auto"/>
              <w:left w:val="nil" w:sz="6" w:space="0" w:color="auto"/>
              <w:bottom w:val="single" w:sz="4" w:space="0" w:color="000000"/>
              <w:right w:val="nil" w:sz="6" w:space="0" w:color="auto"/>
            </w:tcBorders>
          </w:tcPr>
          <w:p>
            <w:pPr/>
          </w:p>
        </w:tc>
      </w:tr>
      <w:tr>
        <w:trPr>
          <w:trHeight w:val="285"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r>
          </w:p>
        </w:tc>
        <w:tc>
          <w:tcPr>
            <w:tcW w:w="1842" w:type="dxa"/>
            <w:tcBorders>
              <w:top w:val="single" w:sz="4" w:space="0" w:color="000000"/>
              <w:left w:val="nil" w:sz="6" w:space="0" w:color="auto"/>
              <w:bottom w:val="nil" w:sz="6" w:space="0" w:color="auto"/>
              <w:right w:val="nil" w:sz="6" w:space="0" w:color="auto"/>
            </w:tcBorders>
          </w:tcPr>
          <w:p>
            <w:pPr>
              <w:pStyle w:val="TableParagraph"/>
              <w:tabs>
                <w:tab w:pos="940" w:val="left" w:leader="none"/>
              </w:tabs>
              <w:spacing w:line="240" w:lineRule="auto" w:before="76"/>
              <w:ind w:left="306" w:right="0"/>
              <w:jc w:val="lef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5"/>
                <w:sz w:val="18"/>
              </w:rPr>
              <w:t>7,904,560.45</w:t>
            </w:r>
          </w:p>
        </w:tc>
        <w:tc>
          <w:tcPr>
            <w:tcW w:w="146"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09" w:right="0"/>
              <w:jc w:val="left"/>
              <w:rPr>
                <w:rFonts w:ascii="Times New Roman" w:hAnsi="Times New Roman" w:cs="Times New Roman" w:eastAsia="Times New Roman" w:hint="default"/>
                <w:sz w:val="18"/>
                <w:szCs w:val="18"/>
              </w:rPr>
            </w:pPr>
            <w:r>
              <w:rPr>
                <w:rFonts w:ascii="Times New Roman"/>
                <w:spacing w:val="-5"/>
                <w:sz w:val="18"/>
              </w:rPr>
              <w:t>RMB6,623,740.04</w:t>
            </w:r>
            <w:r>
              <w:rPr>
                <w:rFonts w:ascii="Times New Roman"/>
                <w:sz w:val="18"/>
              </w:rPr>
            </w:r>
          </w:p>
        </w:tc>
        <w:tc>
          <w:tcPr>
            <w:tcW w:w="152" w:type="dxa"/>
            <w:tcBorders>
              <w:top w:val="nil" w:sz="6" w:space="0" w:color="auto"/>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Style w:val="TableParagraph"/>
              <w:tabs>
                <w:tab w:pos="1108" w:val="left" w:leader="none"/>
              </w:tabs>
              <w:spacing w:line="240" w:lineRule="auto" w:before="76"/>
              <w:ind w:left="63" w:right="0"/>
              <w:jc w:val="left"/>
              <w:rPr>
                <w:rFonts w:ascii="Times New Roman" w:hAnsi="Times New Roman" w:cs="Times New Roman" w:eastAsia="Times New Roman" w:hint="default"/>
                <w:sz w:val="18"/>
                <w:szCs w:val="18"/>
              </w:rPr>
            </w:pPr>
            <w:r>
              <w:rPr>
                <w:rFonts w:ascii="Times New Roman"/>
                <w:spacing w:val="-3"/>
                <w:sz w:val="18"/>
              </w:rPr>
              <w:t>RMB</w:t>
              <w:tab/>
            </w: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1415" w:type="dxa"/>
            <w:tcBorders>
              <w:top w:val="single" w:sz="4" w:space="0" w:color="000000"/>
              <w:left w:val="nil" w:sz="6" w:space="0" w:color="auto"/>
              <w:bottom w:val="nil" w:sz="6" w:space="0" w:color="auto"/>
              <w:right w:val="nil" w:sz="6" w:space="0" w:color="auto"/>
            </w:tcBorders>
          </w:tcPr>
          <w:p>
            <w:pPr>
              <w:pStyle w:val="TableParagraph"/>
              <w:tabs>
                <w:tab w:pos="1207" w:val="left" w:leader="none"/>
              </w:tabs>
              <w:spacing w:line="240" w:lineRule="auto" w:before="76"/>
              <w:ind w:right="2"/>
              <w:jc w:val="center"/>
              <w:rPr>
                <w:rFonts w:ascii="Times New Roman" w:hAnsi="Times New Roman" w:cs="Times New Roman" w:eastAsia="Times New Roman" w:hint="default"/>
                <w:sz w:val="18"/>
                <w:szCs w:val="18"/>
              </w:rPr>
            </w:pPr>
            <w:r>
              <w:rPr>
                <w:rFonts w:ascii="Times New Roman"/>
                <w:spacing w:val="-3"/>
                <w:sz w:val="18"/>
              </w:rPr>
              <w:t>RMB</w:t>
              <w:tab/>
            </w:r>
            <w:r>
              <w:rPr>
                <w:rFonts w:ascii="Times New Roman"/>
                <w:sz w:val="18"/>
              </w:rPr>
              <w:t>-</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83" w:right="0"/>
              <w:jc w:val="left"/>
              <w:rPr>
                <w:rFonts w:ascii="Times New Roman" w:hAnsi="Times New Roman" w:cs="Times New Roman" w:eastAsia="Times New Roman" w:hint="default"/>
                <w:sz w:val="18"/>
                <w:szCs w:val="18"/>
              </w:rPr>
            </w:pPr>
            <w:r>
              <w:rPr>
                <w:rFonts w:ascii="Times New Roman"/>
                <w:spacing w:val="-5"/>
                <w:sz w:val="18"/>
              </w:rPr>
              <w:t>RMB14,528,300.49</w:t>
            </w:r>
          </w:p>
        </w:tc>
      </w:tr>
    </w:tbl>
    <w:p>
      <w:pPr>
        <w:spacing w:line="240" w:lineRule="auto" w:before="5"/>
        <w:rPr>
          <w:rFonts w:ascii="宋体" w:hAnsi="宋体" w:cs="宋体" w:eastAsia="宋体" w:hint="default"/>
          <w:sz w:val="19"/>
          <w:szCs w:val="19"/>
        </w:rPr>
      </w:pPr>
    </w:p>
    <w:p>
      <w:pPr>
        <w:spacing w:line="374" w:lineRule="auto" w:before="26"/>
        <w:ind w:left="824" w:right="603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短期借款</w:t>
      </w:r>
      <w:r>
        <w:rPr>
          <w:rFonts w:ascii="宋体" w:hAnsi="宋体" w:cs="宋体" w:eastAsia="宋体" w:hint="default"/>
          <w:b/>
          <w:bCs/>
          <w:spacing w:val="-119"/>
          <w:sz w:val="24"/>
          <w:szCs w:val="24"/>
        </w:rPr>
        <w:t> </w:t>
      </w:r>
      <w:r>
        <w:rPr>
          <w:rFonts w:ascii="宋体" w:hAnsi="宋体" w:cs="宋体" w:eastAsia="宋体" w:hint="default"/>
          <w:spacing w:val="8"/>
          <w:sz w:val="24"/>
          <w:szCs w:val="24"/>
        </w:rPr>
        <w:t>短期借款明细项目列示如下：</w:t>
      </w:r>
      <w:r>
        <w:rPr>
          <w:rFonts w:ascii="宋体" w:hAnsi="宋体" w:cs="宋体" w:eastAsia="宋体" w:hint="default"/>
          <w:sz w:val="24"/>
          <w:szCs w:val="24"/>
        </w:rPr>
      </w:r>
    </w:p>
    <w:p>
      <w:pPr>
        <w:spacing w:line="240" w:lineRule="auto" w:before="8"/>
        <w:rPr>
          <w:rFonts w:ascii="宋体" w:hAnsi="宋体" w:cs="宋体" w:eastAsia="宋体" w:hint="default"/>
          <w:sz w:val="16"/>
          <w:szCs w:val="16"/>
        </w:rPr>
      </w:pPr>
    </w:p>
    <w:tbl>
      <w:tblPr>
        <w:tblW w:w="0" w:type="auto"/>
        <w:jc w:val="left"/>
        <w:tblInd w:w="286" w:type="dxa"/>
        <w:tblLayout w:type="fixed"/>
        <w:tblCellMar>
          <w:top w:w="0" w:type="dxa"/>
          <w:left w:w="0" w:type="dxa"/>
          <w:bottom w:w="0" w:type="dxa"/>
          <w:right w:w="0" w:type="dxa"/>
        </w:tblCellMar>
        <w:tblLook w:val="01E0"/>
      </w:tblPr>
      <w:tblGrid>
        <w:gridCol w:w="1770"/>
        <w:gridCol w:w="1643"/>
        <w:gridCol w:w="2306"/>
        <w:gridCol w:w="1643"/>
        <w:gridCol w:w="2324"/>
      </w:tblGrid>
      <w:tr>
        <w:trPr>
          <w:trHeight w:val="329" w:hRule="exact"/>
        </w:trPr>
        <w:tc>
          <w:tcPr>
            <w:tcW w:w="1770" w:type="dxa"/>
            <w:tcBorders>
              <w:top w:val="nil" w:sz="6" w:space="0" w:color="auto"/>
              <w:left w:val="nil" w:sz="6" w:space="0" w:color="auto"/>
              <w:bottom w:val="single" w:sz="4" w:space="0" w:color="000000"/>
              <w:right w:val="nil" w:sz="6" w:space="0" w:color="auto"/>
            </w:tcBorders>
          </w:tcPr>
          <w:p>
            <w:pPr>
              <w:pStyle w:val="TableParagraph"/>
              <w:spacing w:line="180" w:lineRule="exact"/>
              <w:ind w:left="528" w:right="0"/>
              <w:jc w:val="left"/>
              <w:rPr>
                <w:rFonts w:ascii="宋体" w:hAnsi="宋体" w:cs="宋体" w:eastAsia="宋体" w:hint="default"/>
                <w:sz w:val="18"/>
                <w:szCs w:val="18"/>
              </w:rPr>
            </w:pPr>
            <w:r>
              <w:rPr>
                <w:rFonts w:ascii="宋体" w:hAnsi="宋体" w:cs="宋体" w:eastAsia="宋体" w:hint="default"/>
                <w:sz w:val="18"/>
                <w:szCs w:val="18"/>
              </w:rPr>
              <w:t>借款类型</w:t>
            </w:r>
          </w:p>
        </w:tc>
        <w:tc>
          <w:tcPr>
            <w:tcW w:w="1643"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4" w:space="0" w:color="000000"/>
              <w:right w:val="nil" w:sz="6" w:space="0" w:color="auto"/>
            </w:tcBorders>
          </w:tcPr>
          <w:p>
            <w:pPr>
              <w:pStyle w:val="TableParagraph"/>
              <w:spacing w:line="191" w:lineRule="exact"/>
              <w:ind w:left="754" w:right="0"/>
              <w:jc w:val="left"/>
              <w:rPr>
                <w:rFonts w:ascii="Times New Roman" w:hAnsi="Times New Roman" w:cs="Times New Roman" w:eastAsia="Times New Roman" w:hint="default"/>
                <w:sz w:val="18"/>
                <w:szCs w:val="18"/>
              </w:rPr>
            </w:pPr>
            <w:r>
              <w:rPr>
                <w:rFonts w:ascii="Times New Roman"/>
                <w:sz w:val="18"/>
              </w:rPr>
              <w:t>2007.12.31</w:t>
            </w:r>
          </w:p>
        </w:tc>
        <w:tc>
          <w:tcPr>
            <w:tcW w:w="1643"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single" w:sz="4" w:space="0" w:color="000000"/>
              <w:right w:val="nil" w:sz="6" w:space="0" w:color="auto"/>
            </w:tcBorders>
          </w:tcPr>
          <w:p>
            <w:pPr>
              <w:pStyle w:val="TableParagraph"/>
              <w:spacing w:line="191" w:lineRule="exact"/>
              <w:ind w:left="763" w:right="0"/>
              <w:jc w:val="left"/>
              <w:rPr>
                <w:rFonts w:ascii="Times New Roman" w:hAnsi="Times New Roman" w:cs="Times New Roman" w:eastAsia="Times New Roman" w:hint="default"/>
                <w:sz w:val="18"/>
                <w:szCs w:val="18"/>
              </w:rPr>
            </w:pPr>
            <w:r>
              <w:rPr>
                <w:rFonts w:ascii="Times New Roman"/>
                <w:sz w:val="18"/>
              </w:rPr>
              <w:t>2006.12.31</w:t>
            </w:r>
          </w:p>
        </w:tc>
      </w:tr>
      <w:tr>
        <w:trPr>
          <w:trHeight w:val="319" w:hRule="exact"/>
        </w:trPr>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643" w:type="dxa"/>
            <w:tcBorders>
              <w:top w:val="nil" w:sz="6" w:space="0" w:color="auto"/>
              <w:left w:val="nil" w:sz="6" w:space="0" w:color="auto"/>
              <w:bottom w:val="nil" w:sz="6" w:space="0" w:color="auto"/>
              <w:right w:val="nil" w:sz="6" w:space="0" w:color="auto"/>
            </w:tcBorders>
          </w:tcPr>
          <w:p>
            <w:pPr/>
          </w:p>
        </w:tc>
        <w:tc>
          <w:tcPr>
            <w:tcW w:w="2306" w:type="dxa"/>
            <w:tcBorders>
              <w:top w:val="single" w:sz="4" w:space="0" w:color="000000"/>
              <w:left w:val="nil" w:sz="6" w:space="0" w:color="auto"/>
              <w:bottom w:val="nil" w:sz="6" w:space="0" w:color="auto"/>
              <w:right w:val="nil" w:sz="6" w:space="0" w:color="auto"/>
            </w:tcBorders>
          </w:tcPr>
          <w:p>
            <w:pPr>
              <w:pStyle w:val="TableParagraph"/>
              <w:tabs>
                <w:tab w:pos="2226" w:val="left" w:leader="none"/>
              </w:tabs>
              <w:spacing w:line="240" w:lineRule="auto" w:before="110"/>
              <w:ind w:left="206"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c>
          <w:tcPr>
            <w:tcW w:w="1643" w:type="dxa"/>
            <w:tcBorders>
              <w:top w:val="nil" w:sz="6" w:space="0" w:color="auto"/>
              <w:left w:val="nil" w:sz="6" w:space="0" w:color="auto"/>
              <w:bottom w:val="nil" w:sz="6" w:space="0" w:color="auto"/>
              <w:right w:val="nil" w:sz="6" w:space="0" w:color="auto"/>
            </w:tcBorders>
          </w:tcPr>
          <w:p>
            <w:pPr/>
          </w:p>
        </w:tc>
        <w:tc>
          <w:tcPr>
            <w:tcW w:w="2324" w:type="dxa"/>
            <w:tcBorders>
              <w:top w:val="single" w:sz="4" w:space="0" w:color="000000"/>
              <w:left w:val="nil" w:sz="6" w:space="0" w:color="auto"/>
              <w:bottom w:val="nil" w:sz="6" w:space="0" w:color="auto"/>
              <w:right w:val="nil" w:sz="6" w:space="0" w:color="auto"/>
            </w:tcBorders>
          </w:tcPr>
          <w:p>
            <w:pPr>
              <w:pStyle w:val="TableParagraph"/>
              <w:tabs>
                <w:tab w:pos="1268" w:val="left" w:leader="none"/>
              </w:tabs>
              <w:spacing w:line="240" w:lineRule="auto" w:before="110"/>
              <w:ind w:left="328"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12,800,000.00</w:t>
            </w:r>
          </w:p>
        </w:tc>
      </w:tr>
    </w:tbl>
    <w:p>
      <w:pPr>
        <w:spacing w:line="240" w:lineRule="auto" w:before="11"/>
        <w:rPr>
          <w:rFonts w:ascii="宋体" w:hAnsi="宋体" w:cs="宋体" w:eastAsia="宋体" w:hint="default"/>
          <w:sz w:val="13"/>
          <w:szCs w:val="13"/>
        </w:rPr>
      </w:pPr>
    </w:p>
    <w:p>
      <w:pPr>
        <w:pStyle w:val="Heading4"/>
        <w:spacing w:line="240" w:lineRule="auto"/>
        <w:ind w:left="824" w:right="1410"/>
        <w:jc w:val="left"/>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14"/>
        </w:rPr>
        <w:t> </w:t>
      </w:r>
      <w:r>
        <w:rPr>
          <w:spacing w:val="9"/>
        </w:rPr>
        <w:t>应付票据</w:t>
      </w:r>
      <w:r>
        <w:rPr>
          <w:b w:val="0"/>
          <w:bCs w:val="0"/>
        </w:rPr>
      </w:r>
    </w:p>
    <w:p>
      <w:pPr>
        <w:pStyle w:val="BodyText"/>
        <w:spacing w:line="240" w:lineRule="auto" w:before="187"/>
        <w:ind w:left="824" w:right="141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应付票据明细项目列示如下：</w:t>
      </w:r>
      <w:r>
        <w:rPr/>
      </w:r>
    </w:p>
    <w:p>
      <w:pPr>
        <w:spacing w:line="240" w:lineRule="auto" w:before="3"/>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3772"/>
        <w:gridCol w:w="2211"/>
        <w:gridCol w:w="1508"/>
        <w:gridCol w:w="2340"/>
      </w:tblGrid>
      <w:tr>
        <w:trPr>
          <w:trHeight w:val="272" w:hRule="exact"/>
        </w:trPr>
        <w:tc>
          <w:tcPr>
            <w:tcW w:w="3772"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6" w:space="0" w:color="000000"/>
              <w:right w:val="nil" w:sz="6" w:space="0" w:color="auto"/>
            </w:tcBorders>
          </w:tcPr>
          <w:p>
            <w:pPr>
              <w:pStyle w:val="TableParagraph"/>
              <w:spacing w:line="184" w:lineRule="exact"/>
              <w:ind w:left="684" w:right="0"/>
              <w:jc w:val="left"/>
              <w:rPr>
                <w:rFonts w:ascii="Times New Roman" w:hAnsi="Times New Roman" w:cs="Times New Roman" w:eastAsia="Times New Roman" w:hint="default"/>
                <w:sz w:val="18"/>
                <w:szCs w:val="18"/>
              </w:rPr>
            </w:pPr>
            <w:r>
              <w:rPr>
                <w:rFonts w:ascii="Times New Roman"/>
                <w:spacing w:val="3"/>
                <w:sz w:val="18"/>
              </w:rPr>
              <w:t>2007.12.31</w:t>
            </w:r>
            <w:r>
              <w:rPr>
                <w:rFonts w:ascii="Times New Roman"/>
                <w:sz w:val="18"/>
              </w:rPr>
            </w:r>
          </w:p>
        </w:tc>
        <w:tc>
          <w:tcPr>
            <w:tcW w:w="150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184" w:lineRule="exact"/>
              <w:ind w:left="752" w:right="0"/>
              <w:jc w:val="left"/>
              <w:rPr>
                <w:rFonts w:ascii="Times New Roman" w:hAnsi="Times New Roman" w:cs="Times New Roman" w:eastAsia="Times New Roman" w:hint="default"/>
                <w:sz w:val="18"/>
                <w:szCs w:val="18"/>
              </w:rPr>
            </w:pPr>
            <w:r>
              <w:rPr>
                <w:rFonts w:ascii="Times New Roman"/>
                <w:spacing w:val="3"/>
                <w:sz w:val="18"/>
              </w:rPr>
              <w:t>2006.12.31</w:t>
            </w:r>
            <w:r>
              <w:rPr>
                <w:rFonts w:ascii="Times New Roman"/>
                <w:sz w:val="18"/>
              </w:rPr>
            </w:r>
          </w:p>
        </w:tc>
      </w:tr>
      <w:tr>
        <w:trPr>
          <w:trHeight w:val="344" w:hRule="exact"/>
        </w:trPr>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银行承兑汇票</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c>
          <w:tcPr>
            <w:tcW w:w="2211" w:type="dxa"/>
            <w:tcBorders>
              <w:top w:val="single" w:sz="6" w:space="0" w:color="000000"/>
              <w:left w:val="nil" w:sz="6" w:space="0" w:color="auto"/>
              <w:bottom w:val="nil" w:sz="6" w:space="0" w:color="auto"/>
              <w:right w:val="nil" w:sz="6" w:space="0" w:color="auto"/>
            </w:tcBorders>
          </w:tcPr>
          <w:p>
            <w:pPr>
              <w:pStyle w:val="TableParagraph"/>
              <w:tabs>
                <w:tab w:pos="1125" w:val="left" w:leader="none"/>
              </w:tabs>
              <w:spacing w:line="240" w:lineRule="auto" w:before="130"/>
              <w:ind w:left="418" w:right="0"/>
              <w:jc w:val="left"/>
              <w:rPr>
                <w:rFonts w:ascii="Times New Roman" w:hAnsi="Times New Roman" w:cs="Times New Roman" w:eastAsia="Times New Roman" w:hint="default"/>
                <w:sz w:val="18"/>
                <w:szCs w:val="18"/>
              </w:rPr>
            </w:pPr>
            <w:r>
              <w:rPr>
                <w:rFonts w:ascii="Times New Roman"/>
                <w:sz w:val="18"/>
              </w:rPr>
              <w:t>RMB</w:t>
              <w:tab/>
            </w:r>
            <w:r>
              <w:rPr>
                <w:rFonts w:ascii="Times New Roman"/>
                <w:spacing w:val="3"/>
                <w:sz w:val="18"/>
              </w:rPr>
              <w:t>89,372,317.90</w:t>
            </w:r>
            <w:r>
              <w:rPr>
                <w:rFonts w:ascii="Times New Roman"/>
                <w:sz w:val="18"/>
              </w:rPr>
            </w:r>
          </w:p>
        </w:tc>
        <w:tc>
          <w:tcPr>
            <w:tcW w:w="1508"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tabs>
                <w:tab w:pos="1257" w:val="left" w:leader="none"/>
              </w:tabs>
              <w:spacing w:line="240" w:lineRule="auto" w:before="135"/>
              <w:ind w:left="452" w:right="0"/>
              <w:jc w:val="left"/>
              <w:rPr>
                <w:rFonts w:ascii="Times New Roman" w:hAnsi="Times New Roman" w:cs="Times New Roman" w:eastAsia="Times New Roman" w:hint="default"/>
                <w:sz w:val="18"/>
                <w:szCs w:val="18"/>
              </w:rPr>
            </w:pPr>
            <w:r>
              <w:rPr>
                <w:rFonts w:ascii="Times New Roman"/>
                <w:sz w:val="18"/>
              </w:rPr>
              <w:t>RMB</w:t>
              <w:tab/>
            </w:r>
            <w:r>
              <w:rPr>
                <w:rFonts w:ascii="Times New Roman"/>
                <w:spacing w:val="2"/>
                <w:sz w:val="18"/>
              </w:rPr>
              <w:t>1,170,000.00</w:t>
            </w:r>
          </w:p>
        </w:tc>
      </w:tr>
    </w:tbl>
    <w:p>
      <w:pPr>
        <w:spacing w:line="240" w:lineRule="auto" w:before="0"/>
        <w:rPr>
          <w:rFonts w:ascii="宋体" w:hAnsi="宋体" w:cs="宋体" w:eastAsia="宋体" w:hint="default"/>
          <w:sz w:val="16"/>
          <w:szCs w:val="16"/>
        </w:rPr>
      </w:pPr>
    </w:p>
    <w:p>
      <w:pPr>
        <w:pStyle w:val="BodyText"/>
        <w:spacing w:line="276" w:lineRule="auto" w:before="26"/>
        <w:ind w:left="314" w:right="142" w:firstLine="51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6"/>
        </w:rPr>
        <w:t>该等应付票据系由本公司的银行保证金存款、银行定期存单及应收银行承兑汇票作</w:t>
      </w:r>
      <w:r>
        <w:rPr>
          <w:spacing w:val="8"/>
        </w:rPr>
        <w:t> 为抵押，签发的银行承兑汇票。</w:t>
      </w:r>
      <w:r>
        <w:rPr/>
      </w:r>
    </w:p>
    <w:p>
      <w:pPr>
        <w:pStyle w:val="BodyText"/>
        <w:spacing w:line="240" w:lineRule="auto" w:before="150"/>
        <w:ind w:left="824" w:right="303"/>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5"/>
        </w:rPr>
        <w:t> </w:t>
      </w:r>
      <w:r>
        <w:rPr>
          <w:spacing w:val="7"/>
        </w:rPr>
        <w:t>期末应付票据增加较大的主要原因系公司的生产规模大幅增长所致。</w:t>
      </w:r>
      <w:r>
        <w:rPr/>
      </w:r>
    </w:p>
    <w:p>
      <w:pPr>
        <w:pStyle w:val="BodyText"/>
        <w:spacing w:line="240" w:lineRule="auto" w:before="168"/>
        <w:ind w:left="824" w:right="180"/>
        <w:jc w:val="left"/>
      </w:pPr>
      <w:r>
        <w:rPr>
          <w:rFonts w:ascii="Times New Roman" w:hAnsi="Times New Roman" w:cs="Times New Roman" w:eastAsia="Times New Roman" w:hint="default"/>
        </w:rPr>
        <w:t>(3)  </w:t>
      </w:r>
      <w:r>
        <w:rPr>
          <w:spacing w:val="7"/>
        </w:rPr>
        <w:t>应付票据余额中无持有本公司 </w:t>
      </w:r>
      <w:r>
        <w:rPr>
          <w:rFonts w:ascii="Times New Roman" w:hAnsi="Times New Roman" w:cs="Times New Roman" w:eastAsia="Times New Roman" w:hint="default"/>
          <w:spacing w:val="2"/>
        </w:rPr>
        <w:t>5%(</w:t>
      </w:r>
      <w:r>
        <w:rPr>
          <w:spacing w:val="2"/>
        </w:rPr>
        <w:t>含</w:t>
      </w:r>
      <w:r>
        <w:rPr>
          <w:spacing w:val="-78"/>
        </w:rPr>
        <w:t> </w:t>
      </w:r>
      <w:r>
        <w:rPr>
          <w:rFonts w:ascii="Times New Roman" w:hAnsi="Times New Roman" w:cs="Times New Roman" w:eastAsia="Times New Roman" w:hint="default"/>
          <w:spacing w:val="7"/>
        </w:rPr>
        <w:t>5%)</w:t>
      </w:r>
      <w:r>
        <w:rPr>
          <w:spacing w:val="7"/>
        </w:rPr>
        <w:t>以上股份的股东单位的银行承兑汇票。</w:t>
      </w:r>
      <w:r>
        <w:rPr/>
      </w:r>
    </w:p>
    <w:p>
      <w:pPr>
        <w:pStyle w:val="Heading4"/>
        <w:spacing w:line="240" w:lineRule="auto" w:before="207"/>
        <w:ind w:left="823" w:right="1410"/>
        <w:jc w:val="left"/>
        <w:rPr>
          <w:b w:val="0"/>
          <w:bCs w:val="0"/>
        </w:rPr>
      </w:pPr>
      <w:r>
        <w:rPr>
          <w:rFonts w:ascii="Times New Roman" w:hAnsi="Times New Roman" w:cs="Times New Roman" w:eastAsia="Times New Roman" w:hint="default"/>
        </w:rPr>
        <w:t>16. </w:t>
      </w:r>
      <w:r>
        <w:rPr>
          <w:rFonts w:ascii="Times New Roman" w:hAnsi="Times New Roman" w:cs="Times New Roman" w:eastAsia="Times New Roman" w:hint="default"/>
          <w:spacing w:val="14"/>
        </w:rPr>
        <w:t> </w:t>
      </w:r>
      <w:r>
        <w:rPr>
          <w:spacing w:val="9"/>
        </w:rPr>
        <w:t>应付账款</w:t>
      </w:r>
      <w:r>
        <w:rPr>
          <w:b w:val="0"/>
          <w:bCs w:val="0"/>
        </w:rPr>
      </w:r>
    </w:p>
    <w:p>
      <w:pPr>
        <w:pStyle w:val="BodyText"/>
        <w:spacing w:line="240" w:lineRule="auto" w:before="187"/>
        <w:ind w:left="824" w:right="141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应付账款明细项目列示如下：</w:t>
      </w:r>
      <w:r>
        <w:rPr/>
      </w:r>
    </w:p>
    <w:p>
      <w:pPr>
        <w:spacing w:line="240" w:lineRule="auto" w:before="4"/>
        <w:rPr>
          <w:rFonts w:ascii="宋体" w:hAnsi="宋体" w:cs="宋体" w:eastAsia="宋体" w:hint="default"/>
          <w:sz w:val="29"/>
          <w:szCs w:val="29"/>
        </w:rPr>
      </w:pPr>
    </w:p>
    <w:tbl>
      <w:tblPr>
        <w:tblW w:w="0" w:type="auto"/>
        <w:jc w:val="left"/>
        <w:tblInd w:w="141" w:type="dxa"/>
        <w:tblLayout w:type="fixed"/>
        <w:tblCellMar>
          <w:top w:w="0" w:type="dxa"/>
          <w:left w:w="0" w:type="dxa"/>
          <w:bottom w:w="0" w:type="dxa"/>
          <w:right w:w="0" w:type="dxa"/>
        </w:tblCellMar>
        <w:tblLook w:val="01E0"/>
      </w:tblPr>
      <w:tblGrid>
        <w:gridCol w:w="2929"/>
        <w:gridCol w:w="1564"/>
        <w:gridCol w:w="1802"/>
        <w:gridCol w:w="358"/>
        <w:gridCol w:w="1934"/>
      </w:tblGrid>
      <w:tr>
        <w:trPr>
          <w:trHeight w:val="262" w:hRule="exact"/>
        </w:trPr>
        <w:tc>
          <w:tcPr>
            <w:tcW w:w="292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single" w:sz="4" w:space="0" w:color="000000"/>
              <w:right w:val="nil" w:sz="6" w:space="0" w:color="auto"/>
            </w:tcBorders>
          </w:tcPr>
          <w:p>
            <w:pPr>
              <w:pStyle w:val="TableParagraph"/>
              <w:spacing w:line="180" w:lineRule="exact"/>
              <w:ind w:left="308" w:right="0"/>
              <w:jc w:val="left"/>
              <w:rPr>
                <w:rFonts w:ascii="宋体" w:hAnsi="宋体" w:cs="宋体" w:eastAsia="宋体" w:hint="default"/>
                <w:sz w:val="18"/>
                <w:szCs w:val="18"/>
              </w:rPr>
            </w:pPr>
            <w:r>
              <w:rPr>
                <w:rFonts w:ascii="宋体" w:hAnsi="宋体" w:cs="宋体" w:eastAsia="宋体" w:hint="default"/>
                <w:sz w:val="18"/>
                <w:szCs w:val="18"/>
              </w:rPr>
              <w:t>欠款内容</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191" w:lineRule="exact"/>
              <w:ind w:left="502" w:right="0"/>
              <w:jc w:val="left"/>
              <w:rPr>
                <w:rFonts w:ascii="Times New Roman" w:hAnsi="Times New Roman" w:cs="Times New Roman" w:eastAsia="Times New Roman" w:hint="default"/>
                <w:sz w:val="18"/>
                <w:szCs w:val="18"/>
              </w:rPr>
            </w:pPr>
            <w:r>
              <w:rPr>
                <w:rFonts w:ascii="Times New Roman"/>
                <w:sz w:val="18"/>
              </w:rPr>
              <w:t>2007.12.31</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6" w:space="0" w:color="000000"/>
              <w:right w:val="nil" w:sz="6" w:space="0" w:color="auto"/>
            </w:tcBorders>
          </w:tcPr>
          <w:p>
            <w:pPr>
              <w:pStyle w:val="TableParagraph"/>
              <w:spacing w:line="191" w:lineRule="exact"/>
              <w:ind w:left="567" w:right="0"/>
              <w:jc w:val="left"/>
              <w:rPr>
                <w:rFonts w:ascii="Times New Roman" w:hAnsi="Times New Roman" w:cs="Times New Roman" w:eastAsia="Times New Roman" w:hint="default"/>
                <w:sz w:val="18"/>
                <w:szCs w:val="18"/>
              </w:rPr>
            </w:pPr>
            <w:r>
              <w:rPr>
                <w:rFonts w:ascii="Times New Roman"/>
                <w:sz w:val="18"/>
              </w:rPr>
              <w:t>2006.12.31</w:t>
            </w:r>
          </w:p>
        </w:tc>
      </w:tr>
      <w:tr>
        <w:trPr>
          <w:trHeight w:val="430"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电力电容器有限公司</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398"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1802" w:type="dxa"/>
            <w:tcBorders>
              <w:top w:val="single" w:sz="4" w:space="0" w:color="000000"/>
              <w:left w:val="nil" w:sz="6" w:space="0" w:color="auto"/>
              <w:bottom w:val="nil" w:sz="6" w:space="0" w:color="auto"/>
              <w:right w:val="nil" w:sz="6" w:space="0" w:color="auto"/>
            </w:tcBorders>
          </w:tcPr>
          <w:p>
            <w:pPr>
              <w:pStyle w:val="TableParagraph"/>
              <w:tabs>
                <w:tab w:pos="670" w:val="left" w:leader="none"/>
              </w:tabs>
              <w:spacing w:line="240" w:lineRule="auto" w:before="134"/>
              <w:ind w:right="18"/>
              <w:jc w:val="right"/>
              <w:rPr>
                <w:rFonts w:ascii="Times New Roman" w:hAnsi="Times New Roman" w:cs="Times New Roman" w:eastAsia="Times New Roman" w:hint="default"/>
                <w:sz w:val="18"/>
                <w:szCs w:val="18"/>
              </w:rPr>
            </w:pPr>
            <w:r>
              <w:rPr>
                <w:rFonts w:ascii="Times New Roman"/>
                <w:w w:val="95"/>
                <w:sz w:val="18"/>
              </w:rPr>
              <w:t>RMB</w:t>
              <w:tab/>
              <w:t>17,223,576.50</w:t>
            </w:r>
            <w:r>
              <w:rPr>
                <w:rFonts w:ascii="Times New Roman"/>
                <w:sz w:val="18"/>
              </w:rPr>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single" w:sz="6" w:space="0" w:color="000000"/>
              <w:left w:val="nil" w:sz="6" w:space="0" w:color="auto"/>
              <w:bottom w:val="nil" w:sz="6" w:space="0" w:color="auto"/>
              <w:right w:val="nil" w:sz="6" w:space="0" w:color="auto"/>
            </w:tcBorders>
          </w:tcPr>
          <w:p>
            <w:pPr>
              <w:pStyle w:val="TableParagraph"/>
              <w:tabs>
                <w:tab w:pos="760" w:val="left" w:leader="none"/>
              </w:tabs>
              <w:spacing w:line="240" w:lineRule="auto" w:before="129"/>
              <w:ind w:right="25"/>
              <w:jc w:val="right"/>
              <w:rPr>
                <w:rFonts w:ascii="Times New Roman" w:hAnsi="Times New Roman" w:cs="Times New Roman" w:eastAsia="Times New Roman" w:hint="default"/>
                <w:sz w:val="18"/>
                <w:szCs w:val="18"/>
              </w:rPr>
            </w:pPr>
            <w:r>
              <w:rPr>
                <w:rFonts w:ascii="Times New Roman"/>
                <w:w w:val="95"/>
                <w:sz w:val="18"/>
              </w:rPr>
              <w:t>RMB</w:t>
              <w:tab/>
              <w:t>7,572,365.55</w:t>
            </w:r>
            <w:r>
              <w:rPr>
                <w:rFonts w:ascii="Times New Roman"/>
                <w:sz w:val="18"/>
              </w:rPr>
            </w:r>
          </w:p>
        </w:tc>
      </w:tr>
      <w:tr>
        <w:trPr>
          <w:trHeight w:val="370"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z w:val="18"/>
                <w:szCs w:val="18"/>
              </w:rPr>
              <w:t>西安中扬电气股份有限公司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8"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9,973,556.50</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7,046,779.45</w:t>
            </w:r>
          </w:p>
        </w:tc>
      </w:tr>
      <w:tr>
        <w:trPr>
          <w:trHeight w:val="390"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宋体" w:hAnsi="宋体" w:cs="宋体" w:eastAsia="宋体" w:hint="default"/>
                <w:sz w:val="18"/>
                <w:szCs w:val="18"/>
              </w:rPr>
              <w:t>鞍山高新经济发展有限公司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购买厂房款</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3,380,000.00</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0"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0" w:right="0"/>
              <w:jc w:val="left"/>
              <w:rPr>
                <w:rFonts w:ascii="宋体" w:hAnsi="宋体" w:cs="宋体" w:eastAsia="宋体" w:hint="default"/>
                <w:sz w:val="18"/>
                <w:szCs w:val="18"/>
              </w:rPr>
            </w:pPr>
            <w:r>
              <w:rPr>
                <w:rFonts w:ascii="宋体" w:hAnsi="宋体" w:cs="宋体" w:eastAsia="宋体" w:hint="default"/>
                <w:sz w:val="18"/>
                <w:szCs w:val="18"/>
              </w:rPr>
              <w:t>沈阳华利能源设备制造有限公司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8"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2,180,870.42</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751,330.00</w:t>
            </w:r>
          </w:p>
        </w:tc>
      </w:tr>
      <w:tr>
        <w:trPr>
          <w:trHeight w:val="364"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z w:val="18"/>
                <w:szCs w:val="18"/>
              </w:rPr>
              <w:t>烟台哈大电气有限公司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8"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1,782,186.88</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982,220.00</w:t>
            </w:r>
          </w:p>
        </w:tc>
      </w:tr>
      <w:tr>
        <w:trPr>
          <w:trHeight w:val="360"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 w:right="0"/>
              <w:jc w:val="left"/>
              <w:rPr>
                <w:rFonts w:ascii="宋体" w:hAnsi="宋体" w:cs="宋体" w:eastAsia="宋体" w:hint="default"/>
                <w:sz w:val="18"/>
                <w:szCs w:val="18"/>
              </w:rPr>
            </w:pPr>
            <w:r>
              <w:rPr>
                <w:rFonts w:ascii="宋体" w:hAnsi="宋体" w:cs="宋体" w:eastAsia="宋体" w:hint="default"/>
                <w:sz w:val="18"/>
                <w:szCs w:val="18"/>
              </w:rPr>
              <w:t>材料及零星工程款</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8"/>
              <w:jc w:val="right"/>
              <w:rPr>
                <w:rFonts w:ascii="宋体" w:hAnsi="宋体" w:cs="宋体" w:eastAsia="宋体" w:hint="default"/>
                <w:sz w:val="18"/>
                <w:szCs w:val="18"/>
              </w:rPr>
            </w:pPr>
            <w:r>
              <w:rPr>
                <w:rFonts w:ascii="宋体"/>
                <w:sz w:val="18"/>
              </w:rPr>
              <w:t>17,569,962.11</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5"/>
              <w:jc w:val="right"/>
              <w:rPr>
                <w:rFonts w:ascii="宋体" w:hAnsi="宋体" w:cs="宋体" w:eastAsia="宋体" w:hint="default"/>
                <w:sz w:val="18"/>
                <w:szCs w:val="18"/>
              </w:rPr>
            </w:pPr>
            <w:r>
              <w:rPr>
                <w:rFonts w:ascii="宋体"/>
                <w:sz w:val="18"/>
              </w:rPr>
              <w:t>19,995,201.52</w:t>
            </w:r>
          </w:p>
        </w:tc>
      </w:tr>
      <w:tr>
        <w:trPr>
          <w:trHeight w:val="401" w:hRule="exact"/>
        </w:trPr>
        <w:tc>
          <w:tcPr>
            <w:tcW w:w="292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single" w:sz="12" w:space="0" w:color="000000"/>
              <w:right w:val="nil" w:sz="6" w:space="0" w:color="auto"/>
            </w:tcBorders>
          </w:tcPr>
          <w:p>
            <w:pPr>
              <w:pStyle w:val="TableParagraph"/>
              <w:tabs>
                <w:tab w:pos="670" w:val="left" w:leader="none"/>
              </w:tabs>
              <w:spacing w:line="240" w:lineRule="auto" w:before="110"/>
              <w:ind w:right="19"/>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52,110,152.41</w:t>
            </w:r>
          </w:p>
        </w:tc>
        <w:tc>
          <w:tcPr>
            <w:tcW w:w="358"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single" w:sz="12" w:space="0" w:color="000000"/>
              <w:right w:val="nil" w:sz="6" w:space="0" w:color="auto"/>
            </w:tcBorders>
          </w:tcPr>
          <w:p>
            <w:pPr>
              <w:pStyle w:val="TableParagraph"/>
              <w:tabs>
                <w:tab w:pos="670" w:val="left" w:leader="none"/>
              </w:tabs>
              <w:spacing w:line="240" w:lineRule="auto" w:before="110"/>
              <w:ind w:right="26"/>
              <w:jc w:val="right"/>
              <w:rPr>
                <w:rFonts w:ascii="Times New Roman" w:hAnsi="Times New Roman" w:cs="Times New Roman" w:eastAsia="Times New Roman" w:hint="default"/>
                <w:sz w:val="18"/>
                <w:szCs w:val="18"/>
              </w:rPr>
            </w:pPr>
            <w:r>
              <w:rPr>
                <w:rFonts w:ascii="Times New Roman"/>
                <w:w w:val="95"/>
                <w:sz w:val="18"/>
              </w:rPr>
              <w:t>RMB</w:t>
              <w:tab/>
              <w:t>36,347,896.52</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26"/>
        <w:ind w:left="824" w:right="303"/>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5"/>
        </w:rPr>
        <w:t> </w:t>
      </w:r>
      <w:r>
        <w:rPr>
          <w:spacing w:val="7"/>
        </w:rPr>
        <w:t>期末应付账款增加较大的主要原因系公司的生产规模大幅增长所致。</w:t>
      </w:r>
      <w:r>
        <w:rPr/>
      </w:r>
    </w:p>
    <w:p>
      <w:pPr>
        <w:pStyle w:val="BodyText"/>
        <w:spacing w:line="240" w:lineRule="auto" w:before="187"/>
        <w:ind w:left="823" w:right="1410"/>
        <w:jc w:val="left"/>
      </w:pPr>
      <w:r>
        <w:rPr>
          <w:rFonts w:ascii="Times New Roman" w:hAnsi="Times New Roman" w:cs="Times New Roman" w:eastAsia="Times New Roman" w:hint="default"/>
        </w:rPr>
        <w:t>(3)  </w:t>
      </w:r>
      <w:r>
        <w:rPr>
          <w:spacing w:val="7"/>
        </w:rPr>
        <w:t>应付账款余额中无账龄超过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spacing w:val="8"/>
        </w:rPr>
        <w:t>年的大额款项。</w:t>
      </w:r>
      <w:r>
        <w:rPr/>
      </w:r>
    </w:p>
    <w:p>
      <w:pPr>
        <w:pStyle w:val="BodyText"/>
        <w:spacing w:line="240" w:lineRule="auto" w:before="187"/>
        <w:ind w:left="823" w:right="303"/>
        <w:jc w:val="left"/>
      </w:pPr>
      <w:r>
        <w:rPr>
          <w:rFonts w:ascii="Times New Roman" w:hAnsi="Times New Roman" w:cs="Times New Roman" w:eastAsia="Times New Roman" w:hint="default"/>
        </w:rPr>
        <w:t>(4)  </w:t>
      </w:r>
      <w:r>
        <w:rPr>
          <w:spacing w:val="7"/>
        </w:rPr>
        <w:t>应付账款余额中无持有本公司 </w:t>
      </w:r>
      <w:r>
        <w:rPr>
          <w:rFonts w:ascii="Times New Roman" w:hAnsi="Times New Roman" w:cs="Times New Roman" w:eastAsia="Times New Roman" w:hint="default"/>
          <w:spacing w:val="2"/>
        </w:rPr>
        <w:t>5%(</w:t>
      </w:r>
      <w:r>
        <w:rPr>
          <w:spacing w:val="2"/>
        </w:rPr>
        <w:t>含</w:t>
      </w:r>
      <w:r>
        <w:rPr>
          <w:spacing w:val="-82"/>
        </w:rPr>
        <w:t> </w:t>
      </w:r>
      <w:r>
        <w:rPr>
          <w:rFonts w:ascii="Times New Roman" w:hAnsi="Times New Roman" w:cs="Times New Roman" w:eastAsia="Times New Roman" w:hint="default"/>
          <w:spacing w:val="7"/>
        </w:rPr>
        <w:t>5%)</w:t>
      </w:r>
      <w:r>
        <w:rPr>
          <w:spacing w:val="7"/>
        </w:rPr>
        <w:t>以上股份的股东单位的款项。</w:t>
      </w:r>
      <w:r>
        <w:rPr/>
      </w:r>
    </w:p>
    <w:p>
      <w:pPr>
        <w:pStyle w:val="Heading4"/>
        <w:spacing w:line="240" w:lineRule="auto" w:before="209"/>
        <w:ind w:left="823" w:right="1410"/>
        <w:jc w:val="left"/>
        <w:rPr>
          <w:b w:val="0"/>
          <w:bCs w:val="0"/>
        </w:rPr>
      </w:pPr>
      <w:r>
        <w:rPr>
          <w:rFonts w:ascii="Times New Roman" w:hAnsi="Times New Roman" w:cs="Times New Roman" w:eastAsia="Times New Roman" w:hint="default"/>
        </w:rPr>
        <w:t>17. </w:t>
      </w:r>
      <w:r>
        <w:rPr>
          <w:rFonts w:ascii="Times New Roman" w:hAnsi="Times New Roman" w:cs="Times New Roman" w:eastAsia="Times New Roman" w:hint="default"/>
          <w:spacing w:val="14"/>
        </w:rPr>
        <w:t> </w:t>
      </w:r>
      <w:r>
        <w:rPr>
          <w:spacing w:val="9"/>
        </w:rPr>
        <w:t>预收款项</w:t>
      </w:r>
      <w:r>
        <w:rPr>
          <w:b w:val="0"/>
          <w:bCs w:val="0"/>
        </w:rPr>
      </w:r>
    </w:p>
    <w:p>
      <w:pPr>
        <w:pStyle w:val="BodyText"/>
        <w:spacing w:line="240" w:lineRule="auto" w:before="187"/>
        <w:ind w:left="823" w:right="141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预收款项账龄分析列示如下：</w:t>
      </w:r>
      <w:r>
        <w:rPr/>
      </w:r>
    </w:p>
    <w:p>
      <w:pPr>
        <w:spacing w:after="0" w:line="240" w:lineRule="auto"/>
        <w:jc w:val="left"/>
        <w:sectPr>
          <w:pgSz w:w="11910" w:h="16840"/>
          <w:pgMar w:header="877" w:footer="1022" w:top="1060" w:bottom="1220" w:left="820" w:right="980"/>
        </w:sectPr>
      </w:pPr>
    </w:p>
    <w:p>
      <w:pPr>
        <w:spacing w:line="240" w:lineRule="auto" w:before="8"/>
        <w:rPr>
          <w:rFonts w:ascii="宋体" w:hAnsi="宋体" w:cs="宋体" w:eastAsia="宋体" w:hint="default"/>
          <w:sz w:val="29"/>
          <w:szCs w:val="29"/>
        </w:rPr>
      </w:pPr>
    </w:p>
    <w:p>
      <w:pPr>
        <w:tabs>
          <w:tab w:pos="6157" w:val="left" w:leader="none"/>
        </w:tabs>
        <w:spacing w:line="185" w:lineRule="exact" w:before="76"/>
        <w:ind w:left="2254" w:right="0" w:firstLine="0"/>
        <w:jc w:val="center"/>
        <w:rPr>
          <w:rFonts w:ascii="Times New Roman" w:hAnsi="Times New Roman" w:cs="Times New Roman" w:eastAsia="Times New Roman" w:hint="default"/>
          <w:sz w:val="18"/>
          <w:szCs w:val="18"/>
        </w:rPr>
      </w:pPr>
      <w:r>
        <w:rPr>
          <w:rFonts w:ascii="Times New Roman"/>
          <w:spacing w:val="-3"/>
          <w:sz w:val="18"/>
        </w:rPr>
        <w:t>2007.12.31</w:t>
        <w:tab/>
        <w:t>2006.12.31</w:t>
      </w:r>
      <w:r>
        <w:rPr>
          <w:rFonts w:ascii="Times New Roman"/>
          <w:sz w:val="18"/>
        </w:rPr>
      </w:r>
    </w:p>
    <w:p>
      <w:pPr>
        <w:spacing w:line="198" w:lineRule="exact" w:before="0"/>
        <w:ind w:left="820" w:right="1410" w:firstLine="0"/>
        <w:jc w:val="left"/>
        <w:rPr>
          <w:rFonts w:ascii="宋体" w:hAnsi="宋体" w:cs="宋体" w:eastAsia="宋体" w:hint="default"/>
          <w:sz w:val="18"/>
          <w:szCs w:val="18"/>
        </w:rPr>
      </w:pPr>
      <w:r>
        <w:rPr/>
        <w:pict>
          <v:group style="position:absolute;margin-left:160.979996pt;margin-top:6.052474pt;width:182.25pt;height:.1pt;mso-position-horizontal-relative:page;mso-position-vertical-relative:paragraph;z-index:2296" coordorigin="3220,121" coordsize="3645,2">
            <v:shape style="position:absolute;left:3220;top:121;width:3645;height:2" coordorigin="3220,121" coordsize="3645,0" path="m3220,121l6864,121e" filled="false" stroked="true" strokeweight=".48pt" strokecolor="#000000">
              <v:path arrowok="t"/>
            </v:shape>
            <w10:wrap type="none"/>
          </v:group>
        </w:pict>
      </w:r>
      <w:r>
        <w:rPr/>
        <w:pict>
          <v:group style="position:absolute;margin-left:356.220001pt;margin-top:6.172474pt;width:182.05pt;height:.1pt;mso-position-horizontal-relative:page;mso-position-vertical-relative:paragraph;z-index:2320" coordorigin="7124,123" coordsize="3641,2">
            <v:shape style="position:absolute;left:7124;top:123;width:3641;height:2" coordorigin="7124,123" coordsize="3641,0" path="m7124,123l10765,123e" filled="false" stroked="true" strokeweight=".72pt" strokecolor="#000000">
              <v:path arrowok="t"/>
            </v:shape>
            <w10:wrap type="none"/>
          </v:group>
        </w:pict>
      </w:r>
      <w:r>
        <w:rPr>
          <w:rFonts w:ascii="宋体" w:hAnsi="宋体" w:cs="宋体" w:eastAsia="宋体" w:hint="default"/>
          <w:sz w:val="18"/>
          <w:szCs w:val="18"/>
        </w:rPr>
        <w:t>账</w:t>
      </w:r>
      <w:r>
        <w:rPr>
          <w:rFonts w:ascii="宋体" w:hAnsi="宋体" w:cs="宋体" w:eastAsia="宋体" w:hint="default"/>
          <w:spacing w:val="77"/>
          <w:sz w:val="18"/>
          <w:szCs w:val="18"/>
        </w:rPr>
        <w:t> </w:t>
      </w:r>
      <w:r>
        <w:rPr>
          <w:rFonts w:ascii="宋体" w:hAnsi="宋体" w:cs="宋体" w:eastAsia="宋体" w:hint="default"/>
          <w:sz w:val="18"/>
          <w:szCs w:val="18"/>
        </w:rPr>
        <w:t>龄</w:t>
      </w:r>
    </w:p>
    <w:p>
      <w:pPr>
        <w:tabs>
          <w:tab w:pos="4345" w:val="left" w:leader="none"/>
          <w:tab w:pos="6210" w:val="left" w:leader="none"/>
          <w:tab w:pos="8246" w:val="left" w:leader="none"/>
        </w:tabs>
        <w:spacing w:line="220" w:lineRule="exact" w:before="0"/>
        <w:ind w:left="2297" w:right="0" w:firstLine="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7"/>
          <w:sz w:val="18"/>
          <w:szCs w:val="18"/>
        </w:rPr>
        <w:t> </w:t>
      </w:r>
      <w:r>
        <w:rPr>
          <w:rFonts w:ascii="宋体" w:hAnsi="宋体" w:cs="宋体" w:eastAsia="宋体" w:hint="default"/>
          <w:sz w:val="18"/>
          <w:szCs w:val="18"/>
        </w:rPr>
        <w:t>额</w:t>
        <w:tab/>
      </w:r>
      <w:r>
        <w:rPr>
          <w:rFonts w:ascii="宋体" w:hAnsi="宋体" w:cs="宋体" w:eastAsia="宋体" w:hint="default"/>
          <w:spacing w:val="-3"/>
          <w:sz w:val="18"/>
          <w:szCs w:val="18"/>
        </w:rPr>
        <w:t>比例</w:t>
        <w:tab/>
      </w:r>
      <w:r>
        <w:rPr>
          <w:rFonts w:ascii="宋体" w:hAnsi="宋体" w:cs="宋体" w:eastAsia="宋体" w:hint="default"/>
          <w:sz w:val="18"/>
          <w:szCs w:val="18"/>
        </w:rPr>
        <w:t>金</w:t>
      </w:r>
      <w:r>
        <w:rPr>
          <w:rFonts w:ascii="宋体" w:hAnsi="宋体" w:cs="宋体" w:eastAsia="宋体" w:hint="default"/>
          <w:spacing w:val="77"/>
          <w:sz w:val="18"/>
          <w:szCs w:val="18"/>
        </w:rPr>
        <w:t> </w:t>
      </w:r>
      <w:r>
        <w:rPr>
          <w:rFonts w:ascii="宋体" w:hAnsi="宋体" w:cs="宋体" w:eastAsia="宋体" w:hint="default"/>
          <w:sz w:val="18"/>
          <w:szCs w:val="18"/>
        </w:rPr>
        <w:t>额</w:t>
        <w:tab/>
      </w:r>
      <w:r>
        <w:rPr>
          <w:rFonts w:ascii="宋体" w:hAnsi="宋体" w:cs="宋体" w:eastAsia="宋体" w:hint="default"/>
          <w:spacing w:val="-5"/>
          <w:sz w:val="18"/>
          <w:szCs w:val="18"/>
        </w:rPr>
        <w:t>比例</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p>
      <w:pPr>
        <w:tabs>
          <w:tab w:pos="2394" w:val="left" w:leader="none"/>
          <w:tab w:pos="4487" w:val="left" w:leader="none"/>
          <w:tab w:pos="6297" w:val="left" w:leader="none"/>
          <w:tab w:pos="8390" w:val="left" w:leader="none"/>
        </w:tabs>
        <w:spacing w:line="20" w:lineRule="exact"/>
        <w:ind w:left="309" w:right="0" w:firstLine="0"/>
        <w:rPr>
          <w:rFonts w:ascii="宋体" w:hAnsi="宋体" w:cs="宋体" w:eastAsia="宋体" w:hint="default"/>
          <w:sz w:val="2"/>
          <w:szCs w:val="2"/>
        </w:rPr>
      </w:pP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宋体"/>
          <w:sz w:val="2"/>
        </w:rPr>
      </w:r>
      <w:r>
        <w:rPr>
          <w:rFonts w:ascii="宋体"/>
          <w:sz w:val="2"/>
        </w:rPr>
        <w:tab/>
      </w:r>
      <w:r>
        <w:rPr>
          <w:rFonts w:ascii="宋体"/>
          <w:sz w:val="2"/>
        </w:rPr>
        <w:pict>
          <v:group style="width:91.1pt;height:.5pt;mso-position-horizontal-relative:char;mso-position-vertical-relative:line" coordorigin="0,0" coordsize="1822,10">
            <v:group style="position:absolute;left:5;top:5;width:1812;height:2" coordorigin="5,5" coordsize="1812,2">
              <v:shape style="position:absolute;left:5;top:5;width:1812;height:2" coordorigin="5,5" coordsize="1812,0" path="m5,5l1817,5e" filled="false" stroked="true" strokeweight=".48pt" strokecolor="#000000">
                <v:path arrowok="t"/>
              </v:shape>
            </v:group>
          </v:group>
        </w:pict>
      </w:r>
      <w:r>
        <w:rPr>
          <w:rFonts w:ascii="宋体"/>
          <w:sz w:val="2"/>
        </w:rPr>
      </w:r>
      <w:r>
        <w:rPr>
          <w:rFonts w:ascii="宋体"/>
          <w:sz w:val="2"/>
        </w:rPr>
        <w:tab/>
      </w:r>
      <w:r>
        <w:rPr>
          <w:rFonts w:ascii="宋体"/>
          <w:sz w:val="2"/>
        </w:rPr>
        <w:pict>
          <v:group style="width:78.1pt;height:.5pt;mso-position-horizontal-relative:char;mso-position-vertical-relative:line" coordorigin="0,0" coordsize="1562,10">
            <v:group style="position:absolute;left:5;top:5;width:1552;height:2" coordorigin="5,5" coordsize="1552,2">
              <v:shape style="position:absolute;left:5;top:5;width:1552;height:2" coordorigin="5,5" coordsize="1552,0" path="m5,5l1556,5e" filled="false" stroked="true" strokeweight=".48pt" strokecolor="#000000">
                <v:path arrowok="t"/>
              </v:shape>
            </v:group>
          </v:group>
        </w:pict>
      </w:r>
      <w:r>
        <w:rPr>
          <w:rFonts w:ascii="宋体"/>
          <w:sz w:val="2"/>
        </w:rPr>
      </w:r>
      <w:r>
        <w:rPr>
          <w:rFonts w:ascii="宋体"/>
          <w:sz w:val="2"/>
        </w:rPr>
        <w:tab/>
      </w:r>
      <w:r>
        <w:rPr>
          <w:rFonts w:ascii="宋体"/>
          <w:sz w:val="2"/>
        </w:rPr>
        <w:pict>
          <v:group style="width:92.2pt;height:.75pt;mso-position-horizontal-relative:char;mso-position-vertical-relative:line" coordorigin="0,0" coordsize="1844,15">
            <v:group style="position:absolute;left:7;top:7;width:1829;height:2" coordorigin="7,7" coordsize="1829,2">
              <v:shape style="position:absolute;left:7;top:7;width:1829;height:2" coordorigin="7,7" coordsize="1829,0" path="m7,7l1836,7e" filled="false" stroked="true" strokeweight=".72pt" strokecolor="#000000">
                <v:path arrowok="t"/>
              </v:shape>
            </v:group>
          </v:group>
        </w:pict>
      </w:r>
      <w:r>
        <w:rPr>
          <w:rFonts w:ascii="宋体"/>
          <w:sz w:val="2"/>
        </w:rPr>
      </w:r>
      <w:r>
        <w:rPr>
          <w:rFonts w:ascii="宋体"/>
          <w:sz w:val="2"/>
        </w:rPr>
        <w:tab/>
      </w:r>
      <w:r>
        <w:rPr>
          <w:rFonts w:ascii="宋体"/>
          <w:sz w:val="2"/>
        </w:rPr>
        <w:pict>
          <v:group style="width:78pt;height:.5pt;mso-position-horizontal-relative:char;mso-position-vertical-relative:line" coordorigin="0,0" coordsize="1560,10">
            <v:group style="position:absolute;left:5;top:5;width:1551;height:2" coordorigin="5,5" coordsize="1551,2">
              <v:shape style="position:absolute;left:5;top:5;width:1551;height:2" coordorigin="5,5" coordsize="1551,0" path="m5,5l1555,5e" filled="false" stroked="true" strokeweight=".48pt" strokecolor="#000000">
                <v:path arrowok="t"/>
              </v:shape>
            </v:group>
          </v:group>
        </w:pict>
      </w:r>
      <w:r>
        <w:rPr>
          <w:rFonts w:ascii="宋体"/>
          <w:sz w:val="2"/>
        </w:rPr>
      </w:r>
    </w:p>
    <w:tbl>
      <w:tblPr>
        <w:tblW w:w="0" w:type="auto"/>
        <w:jc w:val="left"/>
        <w:tblInd w:w="278" w:type="dxa"/>
        <w:tblLayout w:type="fixed"/>
        <w:tblCellMar>
          <w:top w:w="0" w:type="dxa"/>
          <w:left w:w="0" w:type="dxa"/>
          <w:bottom w:w="0" w:type="dxa"/>
          <w:right w:w="0" w:type="dxa"/>
        </w:tblCellMar>
        <w:tblLook w:val="01E0"/>
      </w:tblPr>
      <w:tblGrid>
        <w:gridCol w:w="2121"/>
        <w:gridCol w:w="1812"/>
        <w:gridCol w:w="277"/>
        <w:gridCol w:w="1555"/>
        <w:gridCol w:w="257"/>
        <w:gridCol w:w="1832"/>
        <w:gridCol w:w="258"/>
        <w:gridCol w:w="1554"/>
      </w:tblGrid>
      <w:tr>
        <w:trPr>
          <w:trHeight w:val="389"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5"/>
                <w:sz w:val="18"/>
                <w:szCs w:val="18"/>
              </w:rPr>
              <w:t>一年以内</w:t>
            </w:r>
            <w:r>
              <w:rPr>
                <w:rFonts w:ascii="宋体" w:hAnsi="宋体" w:cs="宋体" w:eastAsia="宋体" w:hint="default"/>
                <w:sz w:val="18"/>
                <w:szCs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
              <w:jc w:val="right"/>
              <w:rPr>
                <w:rFonts w:ascii="Times New Roman" w:hAnsi="Times New Roman" w:cs="Times New Roman" w:eastAsia="Times New Roman" w:hint="default"/>
                <w:sz w:val="18"/>
                <w:szCs w:val="18"/>
              </w:rPr>
            </w:pPr>
            <w:r>
              <w:rPr>
                <w:rFonts w:ascii="Times New Roman"/>
                <w:sz w:val="18"/>
              </w:rPr>
              <w:t>RMB</w:t>
            </w:r>
            <w:r>
              <w:rPr>
                <w:rFonts w:ascii="Times New Roman"/>
                <w:spacing w:val="-5"/>
                <w:sz w:val="18"/>
              </w:rPr>
              <w:t> </w:t>
            </w:r>
            <w:r>
              <w:rPr>
                <w:rFonts w:ascii="Times New Roman"/>
                <w:spacing w:val="-3"/>
                <w:sz w:val="18"/>
              </w:rPr>
              <w:t>49,988,312.72</w:t>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
              <w:jc w:val="right"/>
              <w:rPr>
                <w:rFonts w:ascii="Times New Roman" w:hAnsi="Times New Roman" w:cs="Times New Roman" w:eastAsia="Times New Roman" w:hint="default"/>
                <w:sz w:val="18"/>
                <w:szCs w:val="18"/>
              </w:rPr>
            </w:pPr>
            <w:r>
              <w:rPr>
                <w:rFonts w:ascii="Times New Roman"/>
                <w:spacing w:val="-3"/>
                <w:sz w:val="18"/>
              </w:rPr>
              <w:t>95.27%</w:t>
            </w:r>
            <w:r>
              <w:rPr>
                <w:rFonts w:ascii="Times New Roman"/>
                <w:sz w:val="18"/>
              </w:rPr>
            </w:r>
          </w:p>
        </w:tc>
        <w:tc>
          <w:tcPr>
            <w:tcW w:w="257"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
              <w:jc w:val="right"/>
              <w:rPr>
                <w:rFonts w:ascii="Times New Roman" w:hAnsi="Times New Roman" w:cs="Times New Roman" w:eastAsia="Times New Roman" w:hint="default"/>
                <w:sz w:val="18"/>
                <w:szCs w:val="18"/>
              </w:rPr>
            </w:pPr>
            <w:r>
              <w:rPr>
                <w:rFonts w:ascii="Times New Roman"/>
                <w:sz w:val="18"/>
              </w:rPr>
              <w:t>RMB</w:t>
            </w:r>
            <w:r>
              <w:rPr>
                <w:rFonts w:ascii="Times New Roman"/>
                <w:spacing w:val="-5"/>
                <w:sz w:val="18"/>
              </w:rPr>
              <w:t> </w:t>
            </w:r>
            <w:r>
              <w:rPr>
                <w:rFonts w:ascii="Times New Roman"/>
                <w:spacing w:val="-3"/>
                <w:sz w:val="18"/>
              </w:rPr>
              <w:t>43,180,093.12</w:t>
            </w:r>
            <w:r>
              <w:rPr>
                <w:rFonts w:ascii="Times New Roman"/>
                <w:sz w:val="18"/>
              </w:rPr>
            </w:r>
          </w:p>
        </w:tc>
        <w:tc>
          <w:tcPr>
            <w:tcW w:w="25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Times New Roman" w:hAnsi="Times New Roman" w:cs="Times New Roman" w:eastAsia="Times New Roman" w:hint="default"/>
                <w:sz w:val="18"/>
                <w:szCs w:val="18"/>
              </w:rPr>
            </w:pPr>
            <w:r>
              <w:rPr>
                <w:rFonts w:ascii="Times New Roman"/>
                <w:spacing w:val="-3"/>
                <w:sz w:val="18"/>
              </w:rPr>
              <w:t>99.84%</w:t>
            </w:r>
            <w:r>
              <w:rPr>
                <w:rFonts w:ascii="Times New Roman"/>
                <w:sz w:val="18"/>
              </w:rPr>
            </w:r>
          </w:p>
        </w:tc>
      </w:tr>
      <w:tr>
        <w:trPr>
          <w:trHeight w:val="392"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5"/>
                <w:sz w:val="18"/>
                <w:szCs w:val="18"/>
              </w:rPr>
              <w:t>一至二年</w:t>
            </w:r>
            <w:r>
              <w:rPr>
                <w:rFonts w:ascii="宋体" w:hAnsi="宋体" w:cs="宋体" w:eastAsia="宋体" w:hint="default"/>
                <w:sz w:val="18"/>
                <w:szCs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2,413,000.00</w:t>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4.60%</w:t>
            </w:r>
            <w:r>
              <w:rPr>
                <w:rFonts w:ascii="Times New Roman"/>
                <w:sz w:val="18"/>
              </w:rPr>
            </w:r>
          </w:p>
        </w:tc>
        <w:tc>
          <w:tcPr>
            <w:tcW w:w="257"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45,600.00</w:t>
            </w:r>
            <w:r>
              <w:rPr>
                <w:rFonts w:ascii="Times New Roman"/>
                <w:sz w:val="18"/>
              </w:rPr>
            </w:r>
          </w:p>
        </w:tc>
        <w:tc>
          <w:tcPr>
            <w:tcW w:w="25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4"/>
                <w:sz w:val="18"/>
              </w:rPr>
              <w:t>0.11%</w:t>
            </w:r>
          </w:p>
        </w:tc>
      </w:tr>
      <w:tr>
        <w:trPr>
          <w:trHeight w:val="392"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pacing w:val="-5"/>
                <w:sz w:val="18"/>
                <w:szCs w:val="18"/>
              </w:rPr>
              <w:t>二至三年</w:t>
            </w:r>
            <w:r>
              <w:rPr>
                <w:rFonts w:ascii="宋体" w:hAnsi="宋体" w:cs="宋体" w:eastAsia="宋体" w:hint="default"/>
                <w:sz w:val="18"/>
                <w:szCs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45,600.00</w:t>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0.09%</w:t>
            </w:r>
            <w:r>
              <w:rPr>
                <w:rFonts w:ascii="Times New Roman"/>
                <w:sz w:val="18"/>
              </w:rPr>
            </w:r>
          </w:p>
        </w:tc>
        <w:tc>
          <w:tcPr>
            <w:tcW w:w="257"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20,000.00</w:t>
            </w:r>
            <w:r>
              <w:rPr>
                <w:rFonts w:ascii="Times New Roman"/>
                <w:sz w:val="18"/>
              </w:rPr>
            </w:r>
          </w:p>
        </w:tc>
        <w:tc>
          <w:tcPr>
            <w:tcW w:w="25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
              <w:jc w:val="right"/>
              <w:rPr>
                <w:rFonts w:ascii="Times New Roman" w:hAnsi="Times New Roman" w:cs="Times New Roman" w:eastAsia="Times New Roman" w:hint="default"/>
                <w:sz w:val="18"/>
                <w:szCs w:val="18"/>
              </w:rPr>
            </w:pPr>
            <w:r>
              <w:rPr>
                <w:rFonts w:ascii="Times New Roman"/>
                <w:spacing w:val="-3"/>
                <w:sz w:val="18"/>
              </w:rPr>
              <w:t>0.05%</w:t>
            </w:r>
            <w:r>
              <w:rPr>
                <w:rFonts w:ascii="Times New Roman"/>
                <w:sz w:val="18"/>
              </w:rPr>
            </w:r>
          </w:p>
        </w:tc>
      </w:tr>
      <w:tr>
        <w:trPr>
          <w:trHeight w:val="392"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5"/>
                <w:sz w:val="18"/>
                <w:szCs w:val="18"/>
              </w:rPr>
              <w:t>三年以上</w:t>
            </w:r>
            <w:r>
              <w:rPr>
                <w:rFonts w:ascii="宋体" w:hAnsi="宋体" w:cs="宋体" w:eastAsia="宋体" w:hint="default"/>
                <w:sz w:val="18"/>
                <w:szCs w:val="18"/>
              </w:rPr>
            </w: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3"/>
                <w:sz w:val="18"/>
              </w:rPr>
              <w:t>20,000.00</w:t>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5"/>
              <w:jc w:val="right"/>
              <w:rPr>
                <w:rFonts w:ascii="Times New Roman" w:hAnsi="Times New Roman" w:cs="Times New Roman" w:eastAsia="Times New Roman" w:hint="default"/>
                <w:sz w:val="18"/>
                <w:szCs w:val="18"/>
              </w:rPr>
            </w:pPr>
            <w:r>
              <w:rPr>
                <w:rFonts w:ascii="Times New Roman"/>
                <w:spacing w:val="-3"/>
                <w:sz w:val="18"/>
              </w:rPr>
              <w:t>0.04%</w:t>
            </w:r>
            <w:r>
              <w:rPr>
                <w:rFonts w:ascii="Times New Roman"/>
                <w:sz w:val="18"/>
              </w:rPr>
            </w:r>
          </w:p>
        </w:tc>
        <w:tc>
          <w:tcPr>
            <w:tcW w:w="257"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3" w:hRule="exact"/>
        </w:trPr>
        <w:tc>
          <w:tcPr>
            <w:tcW w:w="2121"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34"/>
              <w:jc w:val="right"/>
              <w:rPr>
                <w:rFonts w:ascii="宋体" w:hAnsi="宋体" w:cs="宋体" w:eastAsia="宋体" w:hint="default"/>
                <w:sz w:val="18"/>
                <w:szCs w:val="18"/>
              </w:rPr>
            </w:pPr>
            <w:r>
              <w:rPr>
                <w:rFonts w:ascii="宋体"/>
                <w:sz w:val="18"/>
              </w:rPr>
              <w:t>RMB</w:t>
            </w:r>
            <w:r>
              <w:rPr>
                <w:rFonts w:ascii="宋体"/>
                <w:spacing w:val="-7"/>
                <w:sz w:val="18"/>
              </w:rPr>
              <w:t> </w:t>
            </w:r>
            <w:r>
              <w:rPr>
                <w:rFonts w:ascii="宋体"/>
                <w:spacing w:val="-3"/>
                <w:sz w:val="18"/>
              </w:rPr>
              <w:t>52,466,912.72</w:t>
            </w:r>
            <w:r>
              <w:rPr>
                <w:rFonts w:ascii="宋体"/>
                <w:sz w:val="18"/>
              </w:rPr>
            </w:r>
          </w:p>
        </w:tc>
        <w:tc>
          <w:tcPr>
            <w:tcW w:w="277"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3"/>
                <w:sz w:val="18"/>
              </w:rPr>
              <w:t>100.00%</w:t>
            </w:r>
          </w:p>
        </w:tc>
        <w:tc>
          <w:tcPr>
            <w:tcW w:w="257" w:type="dxa"/>
            <w:tcBorders>
              <w:top w:val="nil" w:sz="6" w:space="0" w:color="auto"/>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34"/>
              <w:jc w:val="right"/>
              <w:rPr>
                <w:rFonts w:ascii="宋体" w:hAnsi="宋体" w:cs="宋体" w:eastAsia="宋体" w:hint="default"/>
                <w:sz w:val="18"/>
                <w:szCs w:val="18"/>
              </w:rPr>
            </w:pPr>
            <w:r>
              <w:rPr>
                <w:rFonts w:ascii="宋体"/>
                <w:sz w:val="18"/>
              </w:rPr>
              <w:t>RMB</w:t>
            </w:r>
            <w:r>
              <w:rPr>
                <w:rFonts w:ascii="宋体"/>
                <w:spacing w:val="-7"/>
                <w:sz w:val="18"/>
              </w:rPr>
              <w:t> </w:t>
            </w:r>
            <w:r>
              <w:rPr>
                <w:rFonts w:ascii="宋体"/>
                <w:spacing w:val="-3"/>
                <w:sz w:val="18"/>
              </w:rPr>
              <w:t>43,245,693.12</w:t>
            </w:r>
            <w:r>
              <w:rPr>
                <w:rFonts w:ascii="宋体"/>
                <w:sz w:val="18"/>
              </w:rPr>
            </w:r>
          </w:p>
        </w:tc>
        <w:tc>
          <w:tcPr>
            <w:tcW w:w="258"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3"/>
                <w:sz w:val="18"/>
              </w:rPr>
              <w:t>100.00%</w:t>
            </w:r>
          </w:p>
        </w:tc>
      </w:tr>
    </w:tbl>
    <w:p>
      <w:pPr>
        <w:spacing w:line="240" w:lineRule="auto" w:before="7"/>
        <w:rPr>
          <w:rFonts w:ascii="宋体" w:hAnsi="宋体" w:cs="宋体" w:eastAsia="宋体" w:hint="default"/>
          <w:sz w:val="8"/>
          <w:szCs w:val="8"/>
        </w:rPr>
      </w:pPr>
    </w:p>
    <w:p>
      <w:pPr>
        <w:pStyle w:val="BodyText"/>
        <w:spacing w:line="240" w:lineRule="auto" w:before="26"/>
        <w:ind w:left="824" w:right="1410"/>
        <w:jc w:val="left"/>
      </w:pPr>
      <w:r>
        <w:rPr>
          <w:rFonts w:ascii="Times New Roman" w:hAnsi="Times New Roman" w:cs="Times New Roman" w:eastAsia="Times New Roman" w:hint="default"/>
        </w:rPr>
        <w:t>(2)  </w:t>
      </w:r>
      <w:r>
        <w:rPr>
          <w:spacing w:val="6"/>
        </w:rPr>
        <w:t>预收款项中无持有本公司 </w:t>
      </w:r>
      <w:r>
        <w:rPr>
          <w:rFonts w:ascii="Times New Roman" w:hAnsi="Times New Roman" w:cs="Times New Roman" w:eastAsia="Times New Roman" w:hint="default"/>
          <w:spacing w:val="3"/>
        </w:rPr>
        <w:t>5%(</w:t>
      </w:r>
      <w:r>
        <w:rPr>
          <w:spacing w:val="3"/>
        </w:rPr>
        <w:t>含</w:t>
      </w:r>
      <w:r>
        <w:rPr>
          <w:spacing w:val="-84"/>
        </w:rPr>
        <w:t> </w:t>
      </w:r>
      <w:r>
        <w:rPr>
          <w:rFonts w:ascii="Times New Roman" w:hAnsi="Times New Roman" w:cs="Times New Roman" w:eastAsia="Times New Roman" w:hint="default"/>
          <w:spacing w:val="7"/>
        </w:rPr>
        <w:t>5%)</w:t>
      </w:r>
      <w:r>
        <w:rPr>
          <w:spacing w:val="7"/>
        </w:rPr>
        <w:t>以上股份的股东单位的款项。</w:t>
      </w:r>
      <w:r>
        <w:rPr/>
      </w:r>
    </w:p>
    <w:p>
      <w:pPr>
        <w:spacing w:line="374" w:lineRule="auto" w:before="209"/>
        <w:ind w:left="793" w:right="5691"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18.</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8"/>
          <w:sz w:val="24"/>
          <w:szCs w:val="24"/>
        </w:rPr>
        <w:t>应付职工薪酬</w:t>
      </w:r>
      <w:r>
        <w:rPr>
          <w:rFonts w:ascii="宋体" w:hAnsi="宋体" w:cs="宋体" w:eastAsia="宋体" w:hint="default"/>
          <w:b/>
          <w:bCs/>
          <w:spacing w:val="8"/>
          <w:w w:val="99"/>
          <w:sz w:val="24"/>
          <w:szCs w:val="24"/>
        </w:rPr>
        <w:t> </w:t>
      </w:r>
      <w:r>
        <w:rPr>
          <w:rFonts w:ascii="宋体" w:hAnsi="宋体" w:cs="宋体" w:eastAsia="宋体" w:hint="default"/>
          <w:sz w:val="24"/>
          <w:szCs w:val="24"/>
        </w:rPr>
        <w:t>应付职工薪酬明细项目列示如下：</w:t>
      </w:r>
    </w:p>
    <w:p>
      <w:pPr>
        <w:spacing w:line="240" w:lineRule="auto" w:before="2"/>
        <w:rPr>
          <w:rFonts w:ascii="宋体" w:hAnsi="宋体" w:cs="宋体" w:eastAsia="宋体" w:hint="default"/>
          <w:sz w:val="4"/>
          <w:szCs w:val="4"/>
        </w:rPr>
      </w:pPr>
    </w:p>
    <w:tbl>
      <w:tblPr>
        <w:tblW w:w="0" w:type="auto"/>
        <w:jc w:val="left"/>
        <w:tblInd w:w="313" w:type="dxa"/>
        <w:tblLayout w:type="fixed"/>
        <w:tblCellMar>
          <w:top w:w="0" w:type="dxa"/>
          <w:left w:w="0" w:type="dxa"/>
          <w:bottom w:w="0" w:type="dxa"/>
          <w:right w:w="0" w:type="dxa"/>
        </w:tblCellMar>
        <w:tblLook w:val="01E0"/>
      </w:tblPr>
      <w:tblGrid>
        <w:gridCol w:w="2031"/>
        <w:gridCol w:w="167"/>
        <w:gridCol w:w="1813"/>
        <w:gridCol w:w="1831"/>
        <w:gridCol w:w="125"/>
        <w:gridCol w:w="1752"/>
        <w:gridCol w:w="282"/>
        <w:gridCol w:w="1642"/>
      </w:tblGrid>
      <w:tr>
        <w:trPr>
          <w:trHeight w:val="252" w:hRule="exact"/>
        </w:trPr>
        <w:tc>
          <w:tcPr>
            <w:tcW w:w="2031" w:type="dxa"/>
            <w:tcBorders>
              <w:top w:val="nil" w:sz="6" w:space="0" w:color="auto"/>
              <w:left w:val="nil" w:sz="6" w:space="0" w:color="auto"/>
              <w:bottom w:val="single" w:sz="4" w:space="0" w:color="000000"/>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single" w:sz="4" w:space="0" w:color="000000"/>
              <w:right w:val="nil" w:sz="6" w:space="0" w:color="auto"/>
            </w:tcBorders>
          </w:tcPr>
          <w:p>
            <w:pPr>
              <w:pStyle w:val="TableParagraph"/>
              <w:spacing w:line="203" w:lineRule="exact"/>
              <w:ind w:left="490" w:right="0"/>
              <w:jc w:val="left"/>
              <w:rPr>
                <w:rFonts w:ascii="Times New Roman" w:hAnsi="Times New Roman" w:cs="Times New Roman" w:eastAsia="Times New Roman" w:hint="default"/>
                <w:sz w:val="18"/>
                <w:szCs w:val="18"/>
              </w:rPr>
            </w:pPr>
            <w:r>
              <w:rPr>
                <w:rFonts w:ascii="Times New Roman"/>
                <w:spacing w:val="-5"/>
                <w:sz w:val="18"/>
              </w:rPr>
              <w:t>2007.01.01</w:t>
            </w:r>
            <w:r>
              <w:rPr>
                <w:rFonts w:ascii="Times New Roman"/>
                <w:sz w:val="18"/>
              </w:rPr>
            </w:r>
          </w:p>
        </w:tc>
        <w:tc>
          <w:tcPr>
            <w:tcW w:w="1831" w:type="dxa"/>
            <w:tcBorders>
              <w:top w:val="nil" w:sz="6" w:space="0" w:color="auto"/>
              <w:left w:val="nil" w:sz="6" w:space="0" w:color="auto"/>
              <w:bottom w:val="single" w:sz="4" w:space="0" w:color="000000"/>
              <w:right w:val="nil" w:sz="6" w:space="0" w:color="auto"/>
            </w:tcBorders>
          </w:tcPr>
          <w:p>
            <w:pPr>
              <w:pStyle w:val="TableParagraph"/>
              <w:spacing w:line="180" w:lineRule="exact"/>
              <w:ind w:left="572" w:right="0"/>
              <w:jc w:val="left"/>
              <w:rPr>
                <w:rFonts w:ascii="宋体" w:hAnsi="宋体" w:cs="宋体" w:eastAsia="宋体" w:hint="default"/>
                <w:sz w:val="18"/>
                <w:szCs w:val="18"/>
              </w:rPr>
            </w:pPr>
            <w:r>
              <w:rPr>
                <w:rFonts w:ascii="宋体" w:hAnsi="宋体" w:cs="宋体" w:eastAsia="宋体" w:hint="default"/>
                <w:spacing w:val="-9"/>
                <w:sz w:val="18"/>
                <w:szCs w:val="18"/>
              </w:rPr>
              <w:t>本年增加</w:t>
            </w:r>
            <w:r>
              <w:rPr>
                <w:rFonts w:ascii="宋体" w:hAnsi="宋体" w:cs="宋体" w:eastAsia="宋体" w:hint="default"/>
                <w:sz w:val="18"/>
                <w:szCs w:val="18"/>
              </w:rPr>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single" w:sz="4"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spacing w:val="-9"/>
                <w:sz w:val="18"/>
                <w:szCs w:val="18"/>
              </w:rPr>
              <w:t>本年减少</w:t>
            </w:r>
            <w:r>
              <w:rPr>
                <w:rFonts w:ascii="宋体" w:hAnsi="宋体" w:cs="宋体" w:eastAsia="宋体" w:hint="default"/>
                <w:sz w:val="18"/>
                <w:szCs w:val="18"/>
              </w:rPr>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03" w:lineRule="exact"/>
              <w:ind w:left="436" w:right="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tc>
      </w:tr>
      <w:tr>
        <w:trPr>
          <w:trHeight w:val="367" w:hRule="exact"/>
        </w:trPr>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18"/>
                <w:szCs w:val="18"/>
              </w:rPr>
            </w:pPr>
            <w:r>
              <w:rPr>
                <w:rFonts w:ascii="宋体" w:hAnsi="宋体" w:cs="宋体" w:eastAsia="宋体" w:hint="default"/>
                <w:spacing w:val="-8"/>
                <w:sz w:val="18"/>
                <w:szCs w:val="18"/>
              </w:rPr>
              <w:t>工资</w:t>
            </w:r>
            <w:r>
              <w:rPr>
                <w:rFonts w:ascii="宋体" w:hAnsi="宋体" w:cs="宋体" w:eastAsia="宋体" w:hint="default"/>
                <w:sz w:val="18"/>
                <w:szCs w:val="18"/>
              </w:rPr>
            </w: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nil" w:sz="6" w:space="0" w:color="auto"/>
              <w:right w:val="nil" w:sz="6" w:space="0" w:color="auto"/>
            </w:tcBorders>
          </w:tcPr>
          <w:p>
            <w:pPr>
              <w:pStyle w:val="TableParagraph"/>
              <w:tabs>
                <w:tab w:pos="1537" w:val="left" w:leader="none"/>
              </w:tabs>
              <w:spacing w:line="240" w:lineRule="auto" w:before="88"/>
              <w:ind w:right="64"/>
              <w:jc w:val="right"/>
              <w:rPr>
                <w:rFonts w:ascii="Times New Roman" w:hAnsi="Times New Roman" w:cs="Times New Roman" w:eastAsia="Times New Roman" w:hint="default"/>
                <w:sz w:val="18"/>
                <w:szCs w:val="18"/>
              </w:rPr>
            </w:pPr>
            <w:r>
              <w:rPr>
                <w:rFonts w:ascii="Times New Roman"/>
                <w:spacing w:val="-3"/>
                <w:sz w:val="18"/>
              </w:rPr>
              <w:t>RMB</w:t>
              <w:tab/>
            </w:r>
            <w:r>
              <w:rPr>
                <w:rFonts w:ascii="Times New Roman"/>
                <w:sz w:val="18"/>
              </w:rPr>
              <w:t>-</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1"/>
              <w:jc w:val="right"/>
              <w:rPr>
                <w:rFonts w:ascii="宋体" w:hAnsi="宋体" w:cs="宋体" w:eastAsia="宋体" w:hint="default"/>
                <w:sz w:val="18"/>
                <w:szCs w:val="18"/>
              </w:rPr>
            </w:pPr>
            <w:r>
              <w:rPr>
                <w:rFonts w:ascii="宋体"/>
                <w:spacing w:val="-3"/>
                <w:sz w:val="18"/>
              </w:rPr>
              <w:t>RMB</w:t>
            </w:r>
            <w:r>
              <w:rPr>
                <w:rFonts w:ascii="宋体"/>
                <w:spacing w:val="80"/>
                <w:sz w:val="18"/>
              </w:rPr>
              <w:t> </w:t>
            </w:r>
            <w:r>
              <w:rPr>
                <w:rFonts w:ascii="宋体"/>
                <w:spacing w:val="-5"/>
                <w:sz w:val="18"/>
              </w:rPr>
              <w:t>10,719,536.19</w:t>
            </w:r>
            <w:r>
              <w:rPr>
                <w:rFonts w:ascii="宋体"/>
                <w:sz w:val="18"/>
              </w:rPr>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2"/>
              <w:jc w:val="right"/>
              <w:rPr>
                <w:rFonts w:ascii="宋体" w:hAnsi="宋体" w:cs="宋体" w:eastAsia="宋体" w:hint="default"/>
                <w:sz w:val="18"/>
                <w:szCs w:val="18"/>
              </w:rPr>
            </w:pPr>
            <w:r>
              <w:rPr>
                <w:rFonts w:ascii="宋体"/>
                <w:spacing w:val="-3"/>
                <w:sz w:val="18"/>
              </w:rPr>
              <w:t>RMB</w:t>
            </w:r>
            <w:r>
              <w:rPr>
                <w:rFonts w:ascii="宋体"/>
                <w:spacing w:val="1"/>
                <w:sz w:val="18"/>
              </w:rPr>
              <w:t> </w:t>
            </w:r>
            <w:r>
              <w:rPr>
                <w:rFonts w:ascii="宋体"/>
                <w:spacing w:val="-5"/>
                <w:sz w:val="18"/>
              </w:rPr>
              <w:t>10,719,536.19</w:t>
            </w:r>
            <w:r>
              <w:rPr>
                <w:rFonts w:ascii="宋体"/>
                <w:sz w:val="18"/>
              </w:rPr>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tabs>
                <w:tab w:pos="1455" w:val="left" w:leader="none"/>
              </w:tabs>
              <w:spacing w:line="240" w:lineRule="auto" w:before="88"/>
              <w:ind w:right="0"/>
              <w:jc w:val="right"/>
              <w:rPr>
                <w:rFonts w:ascii="Times New Roman" w:hAnsi="Times New Roman" w:cs="Times New Roman" w:eastAsia="Times New Roman" w:hint="default"/>
                <w:sz w:val="18"/>
                <w:szCs w:val="18"/>
              </w:rPr>
            </w:pPr>
            <w:r>
              <w:rPr>
                <w:rFonts w:ascii="Times New Roman"/>
                <w:spacing w:val="-3"/>
                <w:sz w:val="18"/>
              </w:rPr>
              <w:t>RMB</w:t>
              <w:tab/>
            </w:r>
            <w:r>
              <w:rPr>
                <w:rFonts w:ascii="Times New Roman"/>
                <w:sz w:val="18"/>
              </w:rPr>
              <w:t>-</w:t>
            </w:r>
          </w:p>
        </w:tc>
      </w:tr>
      <w:tr>
        <w:trPr>
          <w:trHeight w:val="34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pacing w:val="-6"/>
                <w:sz w:val="18"/>
                <w:szCs w:val="18"/>
              </w:rPr>
              <w:t>福利费</w:t>
            </w: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7"/>
              <w:jc w:val="right"/>
              <w:rPr>
                <w:rFonts w:ascii="Times New Roman" w:hAnsi="Times New Roman" w:cs="Times New Roman" w:eastAsia="Times New Roman" w:hint="default"/>
                <w:sz w:val="18"/>
                <w:szCs w:val="18"/>
              </w:rPr>
            </w:pPr>
            <w:r>
              <w:rPr>
                <w:rFonts w:ascii="Times New Roman"/>
                <w:spacing w:val="-5"/>
                <w:sz w:val="18"/>
              </w:rPr>
              <w:t>1,119,016.35</w:t>
            </w:r>
            <w:r>
              <w:rPr>
                <w:rFonts w:ascii="Times New Roman"/>
                <w:sz w:val="18"/>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5"/>
                <w:sz w:val="18"/>
              </w:rPr>
              <w:t>1,119,016.35</w:t>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pacing w:val="-9"/>
                <w:sz w:val="18"/>
                <w:szCs w:val="18"/>
              </w:rPr>
              <w:t>社会保险</w:t>
            </w:r>
            <w:r>
              <w:rPr>
                <w:rFonts w:ascii="宋体" w:hAnsi="宋体" w:cs="宋体" w:eastAsia="宋体" w:hint="default"/>
                <w:sz w:val="18"/>
                <w:szCs w:val="18"/>
              </w:rPr>
            </w: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7"/>
              <w:jc w:val="right"/>
              <w:rPr>
                <w:rFonts w:ascii="Times New Roman" w:hAnsi="Times New Roman" w:cs="Times New Roman" w:eastAsia="Times New Roman" w:hint="default"/>
                <w:sz w:val="18"/>
                <w:szCs w:val="18"/>
              </w:rPr>
            </w:pPr>
            <w:r>
              <w:rPr>
                <w:rFonts w:ascii="Times New Roman"/>
                <w:spacing w:val="-5"/>
                <w:sz w:val="18"/>
              </w:rPr>
              <w:t>223,616.05</w:t>
            </w:r>
            <w:r>
              <w:rPr>
                <w:rFonts w:ascii="Times New Roman"/>
                <w:sz w:val="18"/>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宋体" w:hAnsi="宋体" w:cs="宋体" w:eastAsia="宋体" w:hint="default"/>
                <w:sz w:val="18"/>
                <w:szCs w:val="18"/>
              </w:rPr>
            </w:pPr>
            <w:r>
              <w:rPr>
                <w:rFonts w:ascii="宋体"/>
                <w:spacing w:val="-5"/>
                <w:sz w:val="18"/>
              </w:rPr>
              <w:t>3,440,727.48</w:t>
            </w:r>
            <w:r>
              <w:rPr>
                <w:rFonts w:ascii="宋体"/>
                <w:sz w:val="18"/>
              </w:rPr>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4"/>
                <w:sz w:val="18"/>
              </w:rPr>
              <w:t>3,253,990.00</w:t>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5"/>
                <w:sz w:val="18"/>
              </w:rPr>
              <w:t>410,353.53</w:t>
            </w:r>
            <w:r>
              <w:rPr>
                <w:rFonts w:ascii="Times New Roman"/>
                <w:sz w:val="18"/>
              </w:rPr>
            </w:r>
          </w:p>
        </w:tc>
      </w:tr>
      <w:tr>
        <w:trPr>
          <w:trHeight w:val="343"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pacing w:val="-9"/>
                <w:sz w:val="18"/>
                <w:szCs w:val="18"/>
              </w:rPr>
              <w:t>工会经费</w:t>
            </w:r>
            <w:r>
              <w:rPr>
                <w:rFonts w:ascii="宋体" w:hAnsi="宋体" w:cs="宋体" w:eastAsia="宋体" w:hint="default"/>
                <w:sz w:val="18"/>
                <w:szCs w:val="18"/>
              </w:rPr>
            </w: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7"/>
              <w:jc w:val="right"/>
              <w:rPr>
                <w:rFonts w:ascii="Times New Roman" w:hAnsi="Times New Roman" w:cs="Times New Roman" w:eastAsia="Times New Roman" w:hint="default"/>
                <w:sz w:val="18"/>
                <w:szCs w:val="18"/>
              </w:rPr>
            </w:pPr>
            <w:r>
              <w:rPr>
                <w:rFonts w:ascii="Times New Roman"/>
                <w:spacing w:val="-5"/>
                <w:sz w:val="18"/>
              </w:rPr>
              <w:t>35,383.03</w:t>
            </w:r>
            <w:r>
              <w:rPr>
                <w:rFonts w:ascii="Times New Roman"/>
                <w:sz w:val="18"/>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宋体" w:hAnsi="宋体" w:cs="宋体" w:eastAsia="宋体" w:hint="default"/>
                <w:sz w:val="18"/>
                <w:szCs w:val="18"/>
              </w:rPr>
            </w:pPr>
            <w:r>
              <w:rPr>
                <w:rFonts w:ascii="宋体"/>
                <w:spacing w:val="-5"/>
                <w:sz w:val="18"/>
              </w:rPr>
              <w:t>133,631.24</w:t>
            </w:r>
            <w:r>
              <w:rPr>
                <w:rFonts w:ascii="宋体"/>
                <w:sz w:val="18"/>
              </w:rPr>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5"/>
                <w:sz w:val="18"/>
              </w:rPr>
              <w:t>198,295.78</w:t>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4"/>
                <w:sz w:val="18"/>
              </w:rPr>
              <w:t>(29,281.51)</w:t>
            </w:r>
          </w:p>
        </w:tc>
      </w:tr>
      <w:tr>
        <w:trPr>
          <w:trHeight w:val="373"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r>
              <w:rPr>
                <w:rFonts w:ascii="宋体" w:hAnsi="宋体" w:cs="宋体" w:eastAsia="宋体" w:hint="default"/>
                <w:spacing w:val="-9"/>
                <w:sz w:val="20"/>
                <w:szCs w:val="20"/>
              </w:rPr>
              <w:t>职工教育经费</w:t>
            </w:r>
            <w:r>
              <w:rPr>
                <w:rFonts w:ascii="宋体" w:hAnsi="宋体" w:cs="宋体" w:eastAsia="宋体" w:hint="default"/>
                <w:sz w:val="20"/>
                <w:szCs w:val="20"/>
              </w:rPr>
            </w: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67"/>
              <w:jc w:val="right"/>
              <w:rPr>
                <w:rFonts w:ascii="Times New Roman" w:hAnsi="Times New Roman" w:cs="Times New Roman" w:eastAsia="Times New Roman" w:hint="default"/>
                <w:sz w:val="18"/>
                <w:szCs w:val="18"/>
              </w:rPr>
            </w:pPr>
            <w:r>
              <w:rPr>
                <w:rFonts w:ascii="Times New Roman"/>
                <w:spacing w:val="-5"/>
                <w:sz w:val="18"/>
              </w:rPr>
              <w:t>118,343.05</w:t>
            </w:r>
            <w:r>
              <w:rPr>
                <w:rFonts w:ascii="Times New Roman"/>
                <w:sz w:val="18"/>
              </w:rPr>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right"/>
              <w:rPr>
                <w:rFonts w:ascii="宋体" w:hAnsi="宋体" w:cs="宋体" w:eastAsia="宋体" w:hint="default"/>
                <w:sz w:val="18"/>
                <w:szCs w:val="18"/>
              </w:rPr>
            </w:pPr>
            <w:r>
              <w:rPr>
                <w:rFonts w:ascii="宋体"/>
                <w:spacing w:val="-5"/>
                <w:sz w:val="18"/>
              </w:rPr>
              <w:t>223,797.53</w:t>
            </w:r>
            <w:r>
              <w:rPr>
                <w:rFonts w:ascii="宋体"/>
                <w:sz w:val="18"/>
              </w:rPr>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right"/>
              <w:rPr>
                <w:rFonts w:ascii="宋体" w:hAnsi="宋体" w:cs="宋体" w:eastAsia="宋体" w:hint="default"/>
                <w:sz w:val="18"/>
                <w:szCs w:val="18"/>
              </w:rPr>
            </w:pPr>
            <w:r>
              <w:rPr>
                <w:rFonts w:ascii="宋体"/>
                <w:spacing w:val="-5"/>
                <w:sz w:val="18"/>
              </w:rPr>
              <w:t>24,770.00</w:t>
            </w:r>
            <w:r>
              <w:rPr>
                <w:rFonts w:ascii="宋体"/>
                <w:sz w:val="18"/>
              </w:rPr>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5"/>
                <w:sz w:val="18"/>
              </w:rPr>
              <w:t>317,370.58</w:t>
            </w:r>
            <w:r>
              <w:rPr>
                <w:rFonts w:ascii="Times New Roman"/>
                <w:sz w:val="18"/>
              </w:rPr>
            </w:r>
          </w:p>
        </w:tc>
      </w:tr>
      <w:tr>
        <w:trPr>
          <w:trHeight w:val="368" w:hRule="exact"/>
        </w:trPr>
        <w:tc>
          <w:tcPr>
            <w:tcW w:w="2031" w:type="dxa"/>
            <w:tcBorders>
              <w:top w:val="nil" w:sz="6" w:space="0" w:color="auto"/>
              <w:left w:val="nil" w:sz="6" w:space="0" w:color="auto"/>
              <w:bottom w:val="nil" w:sz="6" w:space="0" w:color="auto"/>
              <w:right w:val="nil" w:sz="6" w:space="0" w:color="auto"/>
            </w:tcBorders>
          </w:tcPr>
          <w:p>
            <w:pPr>
              <w:pStyle w:val="TableParagraph"/>
              <w:tabs>
                <w:tab w:pos="432" w:val="left" w:leader="none"/>
              </w:tabs>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7" w:type="dxa"/>
            <w:tcBorders>
              <w:top w:val="nil" w:sz="6" w:space="0" w:color="auto"/>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66"/>
              <w:jc w:val="right"/>
              <w:rPr>
                <w:rFonts w:ascii="Times New Roman" w:hAnsi="Times New Roman" w:cs="Times New Roman" w:eastAsia="Times New Roman" w:hint="default"/>
                <w:sz w:val="18"/>
                <w:szCs w:val="18"/>
              </w:rPr>
            </w:pPr>
            <w:r>
              <w:rPr>
                <w:rFonts w:ascii="Times New Roman"/>
                <w:spacing w:val="-3"/>
                <w:sz w:val="18"/>
              </w:rPr>
              <w:t>RMB   </w:t>
            </w:r>
            <w:r>
              <w:rPr>
                <w:rFonts w:ascii="Times New Roman"/>
                <w:spacing w:val="-1"/>
                <w:sz w:val="18"/>
              </w:rPr>
              <w:t> </w:t>
            </w:r>
            <w:r>
              <w:rPr>
                <w:rFonts w:ascii="Times New Roman"/>
                <w:spacing w:val="-5"/>
                <w:sz w:val="18"/>
              </w:rPr>
              <w:t>1,496,358.48</w:t>
            </w:r>
            <w:r>
              <w:rPr>
                <w:rFonts w:ascii="Times New Roman"/>
                <w:sz w:val="18"/>
              </w:rPr>
            </w:r>
          </w:p>
        </w:tc>
        <w:tc>
          <w:tcPr>
            <w:tcW w:w="1831"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spacing w:val="-3"/>
                <w:sz w:val="18"/>
              </w:rPr>
              <w:t>RMB   </w:t>
            </w:r>
            <w:r>
              <w:rPr>
                <w:rFonts w:ascii="Times New Roman"/>
                <w:spacing w:val="-1"/>
                <w:sz w:val="18"/>
              </w:rPr>
              <w:t> </w:t>
            </w:r>
            <w:r>
              <w:rPr>
                <w:rFonts w:ascii="Times New Roman"/>
                <w:spacing w:val="-5"/>
                <w:sz w:val="18"/>
              </w:rPr>
              <w:t>14,517,692.44</w:t>
            </w:r>
            <w:r>
              <w:rPr>
                <w:rFonts w:ascii="Times New Roman"/>
                <w:sz w:val="18"/>
              </w:rPr>
            </w:r>
          </w:p>
        </w:tc>
        <w:tc>
          <w:tcPr>
            <w:tcW w:w="125" w:type="dxa"/>
            <w:tcBorders>
              <w:top w:val="nil" w:sz="6" w:space="0" w:color="auto"/>
              <w:left w:val="nil" w:sz="6" w:space="0" w:color="auto"/>
              <w:bottom w:val="nil" w:sz="6" w:space="0" w:color="auto"/>
              <w:right w:val="nil" w:sz="6" w:space="0" w:color="auto"/>
            </w:tcBorders>
          </w:tcPr>
          <w:p>
            <w:pPr/>
          </w:p>
        </w:tc>
        <w:tc>
          <w:tcPr>
            <w:tcW w:w="1752"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3"/>
                <w:sz w:val="18"/>
              </w:rPr>
              <w:t>RMB </w:t>
            </w:r>
            <w:r>
              <w:rPr>
                <w:rFonts w:ascii="Times New Roman"/>
                <w:spacing w:val="1"/>
                <w:sz w:val="18"/>
              </w:rPr>
              <w:t> </w:t>
            </w:r>
            <w:r>
              <w:rPr>
                <w:rFonts w:ascii="Times New Roman"/>
                <w:spacing w:val="-5"/>
                <w:sz w:val="18"/>
              </w:rPr>
              <w:t>15,315,608.32</w:t>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single" w:sz="17" w:space="0" w:color="000000"/>
              <w:right w:val="nil" w:sz="6" w:space="0" w:color="auto"/>
            </w:tcBorders>
          </w:tcPr>
          <w:p>
            <w:pPr>
              <w:pStyle w:val="TableParagraph"/>
              <w:tabs>
                <w:tab w:pos="635" w:val="left" w:leader="none"/>
              </w:tabs>
              <w:spacing w:line="240" w:lineRule="auto" w:before="88"/>
              <w:ind w:right="0"/>
              <w:jc w:val="righ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4"/>
                <w:sz w:val="18"/>
              </w:rPr>
              <w:t>698,442.60</w:t>
            </w:r>
          </w:p>
        </w:tc>
      </w:tr>
    </w:tbl>
    <w:p>
      <w:pPr>
        <w:spacing w:line="240" w:lineRule="auto" w:before="7"/>
        <w:rPr>
          <w:rFonts w:ascii="宋体" w:hAnsi="宋体" w:cs="宋体" w:eastAsia="宋体" w:hint="default"/>
          <w:sz w:val="12"/>
          <w:szCs w:val="12"/>
        </w:rPr>
      </w:pPr>
    </w:p>
    <w:p>
      <w:pPr>
        <w:spacing w:line="374" w:lineRule="auto" w:before="26"/>
        <w:ind w:left="824" w:right="603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应交税费</w:t>
      </w:r>
      <w:r>
        <w:rPr>
          <w:rFonts w:ascii="宋体" w:hAnsi="宋体" w:cs="宋体" w:eastAsia="宋体" w:hint="default"/>
          <w:b/>
          <w:bCs/>
          <w:spacing w:val="-119"/>
          <w:sz w:val="24"/>
          <w:szCs w:val="24"/>
        </w:rPr>
        <w:t> </w:t>
      </w:r>
      <w:r>
        <w:rPr>
          <w:rFonts w:ascii="宋体" w:hAnsi="宋体" w:cs="宋体" w:eastAsia="宋体" w:hint="default"/>
          <w:spacing w:val="8"/>
          <w:sz w:val="24"/>
          <w:szCs w:val="24"/>
        </w:rPr>
        <w:t>应交税费明细项目列示如下：</w:t>
      </w:r>
      <w:r>
        <w:rPr>
          <w:rFonts w:ascii="宋体" w:hAnsi="宋体" w:cs="宋体" w:eastAsia="宋体" w:hint="default"/>
          <w:sz w:val="24"/>
          <w:szCs w:val="24"/>
        </w:rPr>
      </w:r>
    </w:p>
    <w:p>
      <w:pPr>
        <w:spacing w:line="240" w:lineRule="auto" w:before="6"/>
        <w:rPr>
          <w:rFonts w:ascii="宋体" w:hAnsi="宋体" w:cs="宋体" w:eastAsia="宋体" w:hint="default"/>
          <w:sz w:val="20"/>
          <w:szCs w:val="20"/>
        </w:rPr>
      </w:pPr>
    </w:p>
    <w:tbl>
      <w:tblPr>
        <w:tblW w:w="0" w:type="auto"/>
        <w:jc w:val="left"/>
        <w:tblInd w:w="313" w:type="dxa"/>
        <w:tblLayout w:type="fixed"/>
        <w:tblCellMar>
          <w:top w:w="0" w:type="dxa"/>
          <w:left w:w="0" w:type="dxa"/>
          <w:bottom w:w="0" w:type="dxa"/>
          <w:right w:w="0" w:type="dxa"/>
        </w:tblCellMar>
        <w:tblLook w:val="01E0"/>
      </w:tblPr>
      <w:tblGrid>
        <w:gridCol w:w="2156"/>
        <w:gridCol w:w="1319"/>
        <w:gridCol w:w="1927"/>
        <w:gridCol w:w="1078"/>
        <w:gridCol w:w="1934"/>
      </w:tblGrid>
      <w:tr>
        <w:trPr>
          <w:trHeight w:val="261" w:hRule="exact"/>
        </w:trPr>
        <w:tc>
          <w:tcPr>
            <w:tcW w:w="2156" w:type="dxa"/>
            <w:tcBorders>
              <w:top w:val="nil" w:sz="6" w:space="0" w:color="auto"/>
              <w:left w:val="nil" w:sz="6" w:space="0" w:color="auto"/>
              <w:bottom w:val="single" w:sz="4" w:space="0" w:color="000000"/>
              <w:right w:val="nil" w:sz="6" w:space="0" w:color="auto"/>
            </w:tcBorders>
          </w:tcPr>
          <w:p>
            <w:pPr>
              <w:pStyle w:val="TableParagraph"/>
              <w:tabs>
                <w:tab w:pos="457" w:val="left" w:leader="none"/>
              </w:tabs>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税</w:t>
              <w:tab/>
              <w:t>项</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191" w:lineRule="exact"/>
              <w:ind w:left="566" w:right="0"/>
              <w:jc w:val="left"/>
              <w:rPr>
                <w:rFonts w:ascii="Times New Roman" w:hAnsi="Times New Roman" w:cs="Times New Roman" w:eastAsia="Times New Roman" w:hint="default"/>
                <w:sz w:val="18"/>
                <w:szCs w:val="18"/>
              </w:rPr>
            </w:pPr>
            <w:r>
              <w:rPr>
                <w:rFonts w:ascii="Times New Roman"/>
                <w:sz w:val="18"/>
              </w:rPr>
              <w:t>2007.12.31</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6" w:space="0" w:color="000000"/>
              <w:right w:val="nil" w:sz="6" w:space="0" w:color="auto"/>
            </w:tcBorders>
          </w:tcPr>
          <w:p>
            <w:pPr>
              <w:pStyle w:val="TableParagraph"/>
              <w:spacing w:line="191" w:lineRule="exact"/>
              <w:ind w:left="566" w:right="0"/>
              <w:jc w:val="left"/>
              <w:rPr>
                <w:rFonts w:ascii="Times New Roman" w:hAnsi="Times New Roman" w:cs="Times New Roman" w:eastAsia="Times New Roman" w:hint="default"/>
                <w:sz w:val="18"/>
                <w:szCs w:val="18"/>
              </w:rPr>
            </w:pPr>
            <w:r>
              <w:rPr>
                <w:rFonts w:ascii="Times New Roman"/>
                <w:sz w:val="18"/>
              </w:rPr>
              <w:t>2006.12.31</w:t>
            </w:r>
          </w:p>
        </w:tc>
      </w:tr>
      <w:tr>
        <w:trPr>
          <w:trHeight w:val="430" w:hRule="exact"/>
        </w:trPr>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2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single" w:sz="4" w:space="0" w:color="000000"/>
              <w:left w:val="nil" w:sz="6" w:space="0" w:color="auto"/>
              <w:bottom w:val="nil" w:sz="6" w:space="0" w:color="auto"/>
              <w:right w:val="nil" w:sz="6" w:space="0" w:color="auto"/>
            </w:tcBorders>
          </w:tcPr>
          <w:p>
            <w:pPr>
              <w:pStyle w:val="TableParagraph"/>
              <w:tabs>
                <w:tab w:pos="670" w:val="left" w:leader="none"/>
              </w:tabs>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RMB</w:t>
              <w:tab/>
              <w:t>(4,867,803.61)</w:t>
            </w:r>
            <w:r>
              <w:rPr>
                <w:rFonts w:ascii="Times New Roman"/>
                <w:sz w:val="18"/>
              </w:rPr>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single" w:sz="6" w:space="0" w:color="000000"/>
              <w:left w:val="nil" w:sz="6" w:space="0" w:color="auto"/>
              <w:bottom w:val="nil" w:sz="6" w:space="0" w:color="auto"/>
              <w:right w:val="nil" w:sz="6" w:space="0" w:color="auto"/>
            </w:tcBorders>
          </w:tcPr>
          <w:p>
            <w:pPr>
              <w:pStyle w:val="TableParagraph"/>
              <w:tabs>
                <w:tab w:pos="670" w:val="left" w:leader="none"/>
              </w:tabs>
              <w:spacing w:line="240" w:lineRule="auto" w:before="129"/>
              <w:ind w:right="26"/>
              <w:jc w:val="right"/>
              <w:rPr>
                <w:rFonts w:ascii="Times New Roman" w:hAnsi="Times New Roman" w:cs="Times New Roman" w:eastAsia="Times New Roman" w:hint="default"/>
                <w:sz w:val="18"/>
                <w:szCs w:val="18"/>
              </w:rPr>
            </w:pPr>
            <w:r>
              <w:rPr>
                <w:rFonts w:ascii="Times New Roman"/>
                <w:w w:val="95"/>
                <w:sz w:val="18"/>
              </w:rPr>
              <w:t>RMB</w:t>
              <w:tab/>
              <w:t>(5,224,020.32)</w:t>
            </w:r>
            <w:r>
              <w:rPr>
                <w:rFonts w:ascii="Times New Roman"/>
                <w:sz w:val="18"/>
              </w:rPr>
            </w:r>
          </w:p>
        </w:tc>
      </w:tr>
      <w:tr>
        <w:trPr>
          <w:trHeight w:val="380"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(3,457,867.04)</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(1,912,651.79)</w:t>
            </w:r>
          </w:p>
        </w:tc>
      </w:tr>
      <w:tr>
        <w:trPr>
          <w:trHeight w:val="380"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85,026.97</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20,359.12</w:t>
            </w:r>
          </w:p>
        </w:tc>
      </w:tr>
      <w:tr>
        <w:trPr>
          <w:trHeight w:val="380"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129,090.92</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34,802.14</w:t>
            </w:r>
          </w:p>
        </w:tc>
      </w:tr>
      <w:tr>
        <w:trPr>
          <w:trHeight w:val="380"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73,766.24</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19,121.94</w:t>
            </w:r>
          </w:p>
        </w:tc>
      </w:tr>
      <w:tr>
        <w:trPr>
          <w:trHeight w:val="380"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w w:val="95"/>
                <w:sz w:val="18"/>
              </w:rPr>
              <w:t>(555,820.00)</w:t>
            </w:r>
            <w:r>
              <w:rPr>
                <w:rFonts w:ascii="Times New Roman"/>
                <w:sz w:val="18"/>
              </w:rPr>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w w:val="95"/>
                <w:sz w:val="18"/>
              </w:rPr>
              <w:t>(5,900.00)</w:t>
            </w:r>
            <w:r>
              <w:rPr>
                <w:rFonts w:ascii="Times New Roman"/>
                <w:sz w:val="18"/>
              </w:rPr>
            </w:r>
          </w:p>
        </w:tc>
      </w:tr>
      <w:tr>
        <w:trPr>
          <w:trHeight w:val="346" w:hRule="exact"/>
        </w:trPr>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397,240.90</w:t>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207,804.49</w:t>
            </w:r>
          </w:p>
        </w:tc>
      </w:tr>
      <w:tr>
        <w:trPr>
          <w:trHeight w:val="412" w:hRule="exact"/>
        </w:trPr>
        <w:tc>
          <w:tcPr>
            <w:tcW w:w="2156"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c>
          <w:tcPr>
            <w:tcW w:w="1927" w:type="dxa"/>
            <w:tcBorders>
              <w:top w:val="single" w:sz="4" w:space="0" w:color="000000"/>
              <w:left w:val="nil" w:sz="6" w:space="0" w:color="auto"/>
              <w:bottom w:val="single" w:sz="12" w:space="0" w:color="000000"/>
              <w:right w:val="nil" w:sz="6" w:space="0" w:color="auto"/>
            </w:tcBorders>
          </w:tcPr>
          <w:p>
            <w:pPr>
              <w:pStyle w:val="TableParagraph"/>
              <w:tabs>
                <w:tab w:pos="670" w:val="left" w:leader="none"/>
              </w:tabs>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RMB</w:t>
              <w:tab/>
              <w:t>(8,196,365.62)</w:t>
            </w:r>
            <w:r>
              <w:rPr>
                <w:rFonts w:ascii="Times New Roman"/>
                <w:sz w:val="18"/>
              </w:rPr>
            </w:r>
          </w:p>
        </w:tc>
        <w:tc>
          <w:tcPr>
            <w:tcW w:w="1078" w:type="dxa"/>
            <w:tcBorders>
              <w:top w:val="nil" w:sz="6" w:space="0" w:color="auto"/>
              <w:left w:val="nil" w:sz="6" w:space="0" w:color="auto"/>
              <w:bottom w:val="nil" w:sz="6" w:space="0" w:color="auto"/>
              <w:right w:val="nil" w:sz="6" w:space="0" w:color="auto"/>
            </w:tcBorders>
          </w:tcPr>
          <w:p>
            <w:pPr/>
          </w:p>
        </w:tc>
        <w:tc>
          <w:tcPr>
            <w:tcW w:w="1934" w:type="dxa"/>
            <w:tcBorders>
              <w:top w:val="single" w:sz="6" w:space="0" w:color="000000"/>
              <w:left w:val="nil" w:sz="6" w:space="0" w:color="auto"/>
              <w:bottom w:val="single" w:sz="17" w:space="0" w:color="000000"/>
              <w:right w:val="nil" w:sz="6" w:space="0" w:color="auto"/>
            </w:tcBorders>
          </w:tcPr>
          <w:p>
            <w:pPr>
              <w:pStyle w:val="TableParagraph"/>
              <w:tabs>
                <w:tab w:pos="670" w:val="left" w:leader="none"/>
              </w:tabs>
              <w:spacing w:line="240" w:lineRule="auto" w:before="129"/>
              <w:ind w:right="25"/>
              <w:jc w:val="right"/>
              <w:rPr>
                <w:rFonts w:ascii="Times New Roman" w:hAnsi="Times New Roman" w:cs="Times New Roman" w:eastAsia="Times New Roman" w:hint="default"/>
                <w:sz w:val="18"/>
                <w:szCs w:val="18"/>
              </w:rPr>
            </w:pPr>
            <w:r>
              <w:rPr>
                <w:rFonts w:ascii="Times New Roman"/>
                <w:w w:val="95"/>
                <w:sz w:val="18"/>
              </w:rPr>
              <w:t>RMB</w:t>
              <w:tab/>
              <w:t>(6,860,484.42)</w:t>
            </w:r>
            <w:r>
              <w:rPr>
                <w:rFonts w:ascii="Times New Roman"/>
                <w:sz w:val="18"/>
              </w:rPr>
            </w:r>
          </w:p>
        </w:tc>
      </w:tr>
    </w:tbl>
    <w:p>
      <w:pPr>
        <w:spacing w:line="240" w:lineRule="auto" w:before="7"/>
        <w:rPr>
          <w:rFonts w:ascii="宋体" w:hAnsi="宋体" w:cs="宋体" w:eastAsia="宋体" w:hint="default"/>
          <w:sz w:val="12"/>
          <w:szCs w:val="12"/>
        </w:rPr>
      </w:pPr>
    </w:p>
    <w:p>
      <w:pPr>
        <w:spacing w:line="362" w:lineRule="auto" w:before="26"/>
        <w:ind w:left="824" w:right="414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Times New Roman" w:hAnsi="Times New Roman" w:cs="Times New Roman" w:eastAsia="Times New Roman" w:hint="default"/>
          <w:b/>
          <w:bCs/>
          <w:spacing w:val="11"/>
          <w:sz w:val="24"/>
          <w:szCs w:val="24"/>
        </w:rPr>
        <w:t> </w:t>
      </w:r>
      <w:r>
        <w:rPr>
          <w:rFonts w:ascii="宋体" w:hAnsi="宋体" w:cs="宋体" w:eastAsia="宋体" w:hint="default"/>
          <w:b/>
          <w:bCs/>
          <w:spacing w:val="9"/>
          <w:sz w:val="24"/>
          <w:szCs w:val="24"/>
        </w:rPr>
        <w:t>其他非流动负债</w:t>
      </w:r>
      <w:r>
        <w:rPr>
          <w:rFonts w:ascii="宋体" w:hAnsi="宋体" w:cs="宋体" w:eastAsia="宋体" w:hint="default"/>
          <w:b/>
          <w:bCs/>
          <w:spacing w:val="9"/>
          <w:w w:val="99"/>
          <w:sz w:val="24"/>
          <w:szCs w:val="24"/>
        </w:rPr>
        <w:t> </w:t>
      </w:r>
      <w:r>
        <w:rPr>
          <w:rFonts w:ascii="宋体" w:hAnsi="宋体" w:cs="宋体" w:eastAsia="宋体" w:hint="default"/>
          <w:spacing w:val="7"/>
          <w:sz w:val="24"/>
          <w:szCs w:val="24"/>
        </w:rPr>
        <w:t>其他非流动负债</w:t>
      </w:r>
      <w:r>
        <w:rPr>
          <w:rFonts w:ascii="Times New Roman" w:hAnsi="Times New Roman" w:cs="Times New Roman" w:eastAsia="Times New Roman" w:hint="default"/>
          <w:spacing w:val="7"/>
          <w:sz w:val="24"/>
          <w:szCs w:val="24"/>
        </w:rPr>
        <w:t>(</w:t>
      </w:r>
      <w:r>
        <w:rPr>
          <w:rFonts w:ascii="宋体" w:hAnsi="宋体" w:cs="宋体" w:eastAsia="宋体" w:hint="default"/>
          <w:spacing w:val="7"/>
          <w:sz w:val="24"/>
          <w:szCs w:val="24"/>
        </w:rPr>
        <w:t>递延收益</w:t>
      </w:r>
      <w:r>
        <w:rPr>
          <w:rFonts w:ascii="Times New Roman" w:hAnsi="Times New Roman" w:cs="Times New Roman" w:eastAsia="Times New Roman" w:hint="default"/>
          <w:spacing w:val="7"/>
          <w:sz w:val="24"/>
          <w:szCs w:val="24"/>
        </w:rPr>
        <w:t>)</w:t>
      </w:r>
      <w:r>
        <w:rPr>
          <w:rFonts w:ascii="宋体" w:hAnsi="宋体" w:cs="宋体" w:eastAsia="宋体" w:hint="default"/>
          <w:spacing w:val="7"/>
          <w:sz w:val="24"/>
          <w:szCs w:val="24"/>
        </w:rPr>
        <w:t>明细项目列示如下：</w:t>
      </w:r>
      <w:r>
        <w:rPr>
          <w:rFonts w:ascii="宋体" w:hAnsi="宋体" w:cs="宋体" w:eastAsia="宋体" w:hint="default"/>
          <w:sz w:val="24"/>
          <w:szCs w:val="24"/>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109"/>
        <w:ind w:left="1647" w:right="239" w:firstLine="0"/>
        <w:jc w:val="center"/>
        <w:rPr>
          <w:rFonts w:ascii="Times New Roman" w:hAnsi="Times New Roman" w:cs="Times New Roman" w:eastAsia="Times New Roman" w:hint="default"/>
          <w:sz w:val="18"/>
          <w:szCs w:val="18"/>
        </w:rPr>
      </w:pPr>
      <w:r>
        <w:rPr/>
        <w:pict>
          <v:shape style="position:absolute;margin-left:46.709pt;margin-top:-18.36203pt;width:491.95pt;height:34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7"/>
                    <w:gridCol w:w="584"/>
                    <w:gridCol w:w="1252"/>
                    <w:gridCol w:w="248"/>
                    <w:gridCol w:w="553"/>
                    <w:gridCol w:w="1222"/>
                    <w:gridCol w:w="91"/>
                    <w:gridCol w:w="173"/>
                    <w:gridCol w:w="541"/>
                    <w:gridCol w:w="1209"/>
                    <w:gridCol w:w="360"/>
                    <w:gridCol w:w="529"/>
                    <w:gridCol w:w="1339"/>
                  </w:tblGrid>
                  <w:tr>
                    <w:trPr>
                      <w:trHeight w:val="314" w:hRule="exact"/>
                    </w:trPr>
                    <w:tc>
                      <w:tcPr>
                        <w:tcW w:w="3821" w:type="dxa"/>
                        <w:gridSpan w:val="4"/>
                        <w:tcBorders>
                          <w:top w:val="nil" w:sz="6" w:space="0" w:color="auto"/>
                          <w:left w:val="nil" w:sz="6" w:space="0" w:color="auto"/>
                          <w:bottom w:val="nil" w:sz="6" w:space="0" w:color="auto"/>
                          <w:right w:val="nil" w:sz="6" w:space="0" w:color="auto"/>
                        </w:tcBorders>
                      </w:tcPr>
                      <w:p>
                        <w:pPr>
                          <w:pStyle w:val="TableParagraph"/>
                          <w:spacing w:line="203" w:lineRule="exact"/>
                          <w:ind w:left="2253" w:right="0"/>
                          <w:jc w:val="left"/>
                          <w:rPr>
                            <w:rFonts w:ascii="Times New Roman" w:hAnsi="Times New Roman" w:cs="Times New Roman" w:eastAsia="Times New Roman" w:hint="default"/>
                            <w:sz w:val="18"/>
                            <w:szCs w:val="18"/>
                          </w:rPr>
                        </w:pPr>
                        <w:r>
                          <w:rPr>
                            <w:rFonts w:ascii="Times New Roman"/>
                            <w:sz w:val="18"/>
                          </w:rPr>
                          <w:t>2007.01.01</w:t>
                        </w:r>
                      </w:p>
                    </w:tc>
                    <w:tc>
                      <w:tcPr>
                        <w:tcW w:w="553" w:type="dxa"/>
                        <w:tcBorders>
                          <w:top w:val="nil" w:sz="6" w:space="0" w:color="auto"/>
                          <w:left w:val="nil" w:sz="6" w:space="0" w:color="auto"/>
                          <w:bottom w:val="single" w:sz="4" w:space="0" w:color="000000"/>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180" w:lineRule="exact"/>
                          <w:ind w:left="-2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91"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single" w:sz="6" w:space="0" w:color="000000"/>
                          <w:right w:val="nil" w:sz="6" w:space="0" w:color="auto"/>
                        </w:tcBorders>
                      </w:tcPr>
                      <w:p>
                        <w:pPr/>
                      </w:p>
                    </w:tc>
                    <w:tc>
                      <w:tcPr>
                        <w:tcW w:w="1209" w:type="dxa"/>
                        <w:tcBorders>
                          <w:top w:val="nil" w:sz="6" w:space="0" w:color="auto"/>
                          <w:left w:val="nil" w:sz="6" w:space="0" w:color="auto"/>
                          <w:bottom w:val="single" w:sz="6" w:space="0" w:color="000000"/>
                          <w:right w:val="nil" w:sz="6" w:space="0" w:color="auto"/>
                        </w:tcBorders>
                      </w:tcPr>
                      <w:p>
                        <w:pPr>
                          <w:pStyle w:val="TableParagraph"/>
                          <w:spacing w:line="180" w:lineRule="exact"/>
                          <w:ind w:left="-2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360"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single" w:sz="4" w:space="0" w:color="000000"/>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03" w:lineRule="exact"/>
                          <w:ind w:left="-1" w:right="0"/>
                          <w:jc w:val="left"/>
                          <w:rPr>
                            <w:rFonts w:ascii="Times New Roman" w:hAnsi="Times New Roman" w:cs="Times New Roman" w:eastAsia="Times New Roman" w:hint="default"/>
                            <w:sz w:val="18"/>
                            <w:szCs w:val="18"/>
                          </w:rPr>
                        </w:pPr>
                        <w:r>
                          <w:rPr>
                            <w:rFonts w:ascii="Times New Roman"/>
                            <w:sz w:val="18"/>
                          </w:rPr>
                          <w:t>2007.12.31</w:t>
                        </w:r>
                      </w:p>
                    </w:tc>
                  </w:tr>
                  <w:tr>
                    <w:trPr>
                      <w:trHeight w:val="365"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18"/>
                            <w:szCs w:val="18"/>
                          </w:rPr>
                        </w:pPr>
                        <w:r>
                          <w:rPr>
                            <w:rFonts w:ascii="宋体" w:hAnsi="宋体" w:cs="宋体" w:eastAsia="宋体" w:hint="default"/>
                            <w:sz w:val="18"/>
                            <w:szCs w:val="18"/>
                          </w:rPr>
                          <w:t>科技三项费用</w:t>
                        </w:r>
                      </w:p>
                    </w:tc>
                    <w:tc>
                      <w:tcPr>
                        <w:tcW w:w="58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7" w:right="0"/>
                          <w:jc w:val="left"/>
                          <w:rPr>
                            <w:rFonts w:ascii="宋体" w:hAnsi="宋体" w:cs="宋体" w:eastAsia="宋体" w:hint="default"/>
                            <w:sz w:val="18"/>
                            <w:szCs w:val="18"/>
                          </w:rPr>
                        </w:pPr>
                        <w:r>
                          <w:rPr>
                            <w:rFonts w:ascii="宋体"/>
                            <w:sz w:val="18"/>
                          </w:rPr>
                          <w:t>RMB</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left="306" w:right="0"/>
                          <w:jc w:val="left"/>
                          <w:rPr>
                            <w:rFonts w:ascii="Times New Roman" w:hAnsi="Times New Roman" w:cs="Times New Roman" w:eastAsia="Times New Roman" w:hint="default"/>
                            <w:sz w:val="18"/>
                            <w:szCs w:val="18"/>
                          </w:rPr>
                        </w:pPr>
                        <w:r>
                          <w:rPr>
                            <w:rFonts w:ascii="Times New Roman"/>
                            <w:sz w:val="18"/>
                          </w:rPr>
                          <w:t>9,130,000.00</w:t>
                        </w:r>
                      </w:p>
                    </w:tc>
                    <w:tc>
                      <w:tcPr>
                        <w:tcW w:w="248" w:type="dxa"/>
                        <w:tcBorders>
                          <w:top w:val="nil" w:sz="6" w:space="0" w:color="auto"/>
                          <w:left w:val="nil" w:sz="6" w:space="0" w:color="auto"/>
                          <w:bottom w:val="nil" w:sz="6" w:space="0" w:color="auto"/>
                          <w:right w:val="nil" w:sz="6" w:space="0" w:color="auto"/>
                        </w:tcBorders>
                      </w:tcPr>
                      <w:p>
                        <w:pPr/>
                      </w:p>
                    </w:tc>
                    <w:tc>
                      <w:tcPr>
                        <w:tcW w:w="553"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7" w:right="0"/>
                          <w:jc w:val="left"/>
                          <w:rPr>
                            <w:rFonts w:ascii="宋体" w:hAnsi="宋体" w:cs="宋体" w:eastAsia="宋体" w:hint="default"/>
                            <w:sz w:val="18"/>
                            <w:szCs w:val="18"/>
                          </w:rPr>
                        </w:pPr>
                        <w:r>
                          <w:rPr>
                            <w:rFonts w:ascii="宋体"/>
                            <w:sz w:val="18"/>
                          </w:rPr>
                          <w:t>RMB</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276" w:right="0"/>
                          <w:jc w:val="left"/>
                          <w:rPr>
                            <w:rFonts w:ascii="Times New Roman" w:hAnsi="Times New Roman" w:cs="Times New Roman" w:eastAsia="Times New Roman" w:hint="default"/>
                            <w:sz w:val="18"/>
                            <w:szCs w:val="18"/>
                          </w:rPr>
                        </w:pPr>
                        <w:r>
                          <w:rPr>
                            <w:rFonts w:ascii="Times New Roman"/>
                            <w:sz w:val="18"/>
                          </w:rPr>
                          <w:t>2,250,000.00</w:t>
                        </w:r>
                      </w:p>
                    </w:tc>
                    <w:tc>
                      <w:tcPr>
                        <w:tcW w:w="91"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541"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left="7" w:right="0"/>
                          <w:jc w:val="left"/>
                          <w:rPr>
                            <w:rFonts w:ascii="宋体" w:hAnsi="宋体" w:cs="宋体" w:eastAsia="宋体" w:hint="default"/>
                            <w:sz w:val="18"/>
                            <w:szCs w:val="18"/>
                          </w:rPr>
                        </w:pPr>
                        <w:r>
                          <w:rPr>
                            <w:rFonts w:ascii="宋体"/>
                            <w:sz w:val="18"/>
                          </w:rPr>
                          <w:t>RMB</w:t>
                        </w:r>
                      </w:p>
                    </w:tc>
                    <w:tc>
                      <w:tcPr>
                        <w:tcW w:w="1209" w:type="dxa"/>
                        <w:tcBorders>
                          <w:top w:val="single" w:sz="6" w:space="0" w:color="000000"/>
                          <w:left w:val="nil" w:sz="6" w:space="0" w:color="auto"/>
                          <w:bottom w:val="nil" w:sz="6" w:space="0" w:color="auto"/>
                          <w:right w:val="nil" w:sz="6" w:space="0" w:color="auto"/>
                        </w:tcBorders>
                      </w:tcPr>
                      <w:p>
                        <w:pPr>
                          <w:pStyle w:val="TableParagraph"/>
                          <w:spacing w:line="240" w:lineRule="auto" w:before="152"/>
                          <w:ind w:left="263" w:right="0"/>
                          <w:jc w:val="left"/>
                          <w:rPr>
                            <w:rFonts w:ascii="Times New Roman" w:hAnsi="Times New Roman" w:cs="Times New Roman" w:eastAsia="Times New Roman" w:hint="default"/>
                            <w:sz w:val="18"/>
                            <w:szCs w:val="18"/>
                          </w:rPr>
                        </w:pPr>
                        <w:r>
                          <w:rPr>
                            <w:rFonts w:ascii="Times New Roman"/>
                            <w:sz w:val="18"/>
                          </w:rPr>
                          <w:t>8,480,000.00</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
                          <w:jc w:val="left"/>
                          <w:rPr>
                            <w:rFonts w:ascii="宋体" w:hAnsi="宋体" w:cs="宋体" w:eastAsia="宋体" w:hint="default"/>
                            <w:sz w:val="18"/>
                            <w:szCs w:val="18"/>
                          </w:rPr>
                        </w:pPr>
                        <w:r>
                          <w:rPr>
                            <w:rFonts w:ascii="宋体"/>
                            <w:sz w:val="18"/>
                          </w:rPr>
                          <w:t>****</w:t>
                        </w:r>
                      </w:p>
                    </w:tc>
                    <w:tc>
                      <w:tcPr>
                        <w:tcW w:w="529"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1" w:right="0"/>
                          <w:jc w:val="left"/>
                          <w:rPr>
                            <w:rFonts w:ascii="宋体" w:hAnsi="宋体" w:cs="宋体" w:eastAsia="宋体" w:hint="default"/>
                            <w:sz w:val="18"/>
                            <w:szCs w:val="18"/>
                          </w:rPr>
                        </w:pPr>
                        <w:r>
                          <w:rPr>
                            <w:rFonts w:ascii="宋体"/>
                            <w:sz w:val="18"/>
                          </w:rPr>
                          <w:t>RMB</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258" w:right="0"/>
                          <w:jc w:val="left"/>
                          <w:rPr>
                            <w:rFonts w:ascii="宋体" w:hAnsi="宋体" w:cs="宋体" w:eastAsia="宋体" w:hint="default"/>
                            <w:sz w:val="18"/>
                            <w:szCs w:val="18"/>
                          </w:rPr>
                        </w:pPr>
                        <w:r>
                          <w:rPr>
                            <w:rFonts w:ascii="宋体"/>
                            <w:sz w:val="18"/>
                          </w:rPr>
                          <w:t>2,900,000.00</w:t>
                        </w:r>
                      </w:p>
                    </w:tc>
                  </w:tr>
                </w:tbl>
                <w:p>
                  <w:pPr/>
                </w:p>
              </w:txbxContent>
            </v:textbox>
            <w10:wrap type="none"/>
          </v:shape>
        </w:pict>
      </w:r>
      <w:r>
        <w:rPr>
          <w:rFonts w:ascii="Times New Roman"/>
          <w:sz w:val="18"/>
        </w:rPr>
        <w:t>*</w:t>
      </w:r>
    </w:p>
    <w:p>
      <w:pPr>
        <w:spacing w:after="0"/>
        <w:jc w:val="center"/>
        <w:rPr>
          <w:rFonts w:ascii="Times New Roman" w:hAnsi="Times New Roman" w:cs="Times New Roman" w:eastAsia="Times New Roman" w:hint="default"/>
          <w:sz w:val="18"/>
          <w:szCs w:val="18"/>
        </w:rPr>
        <w:sectPr>
          <w:pgSz w:w="11910" w:h="16840"/>
          <w:pgMar w:header="877" w:footer="1022" w:top="1060" w:bottom="1220" w:left="82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2341"/>
        <w:gridCol w:w="1233"/>
        <w:gridCol w:w="248"/>
        <w:gridCol w:w="574"/>
        <w:gridCol w:w="1201"/>
        <w:gridCol w:w="825"/>
        <w:gridCol w:w="1189"/>
        <w:gridCol w:w="976"/>
        <w:gridCol w:w="1252"/>
      </w:tblGrid>
      <w:tr>
        <w:trPr>
          <w:trHeight w:val="598"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pacing w:val="17"/>
                <w:sz w:val="18"/>
                <w:szCs w:val="18"/>
              </w:rPr>
              <w:t>高技术产业化项</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目国家拨款</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0"/>
              <w:jc w:val="right"/>
              <w:rPr>
                <w:rFonts w:ascii="Times New Roman" w:hAnsi="Times New Roman" w:cs="Times New Roman" w:eastAsia="Times New Roman" w:hint="default"/>
                <w:sz w:val="18"/>
                <w:szCs w:val="18"/>
              </w:rPr>
            </w:pPr>
            <w:r>
              <w:rPr>
                <w:rFonts w:ascii="Times New Roman"/>
                <w:spacing w:val="-1"/>
                <w:sz w:val="18"/>
              </w:rPr>
              <w:t>13,000,000.00</w:t>
            </w:r>
          </w:p>
        </w:tc>
        <w:tc>
          <w:tcPr>
            <w:tcW w:w="248"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left"/>
              <w:rPr>
                <w:rFonts w:ascii="宋体" w:hAnsi="宋体" w:cs="宋体" w:eastAsia="宋体" w:hint="default"/>
                <w:sz w:val="18"/>
                <w:szCs w:val="18"/>
              </w:rPr>
            </w:pPr>
            <w:r>
              <w:rPr>
                <w:rFonts w:ascii="宋体"/>
                <w:sz w:val="18"/>
              </w:rPr>
              <w:t>**</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0"/>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722"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316" w:lineRule="auto" w:before="50"/>
              <w:ind w:left="200" w:right="755"/>
              <w:jc w:val="left"/>
              <w:rPr>
                <w:rFonts w:ascii="宋体" w:hAnsi="宋体" w:cs="宋体" w:eastAsia="宋体" w:hint="default"/>
                <w:sz w:val="18"/>
                <w:szCs w:val="18"/>
              </w:rPr>
            </w:pPr>
            <w:r>
              <w:rPr>
                <w:rFonts w:ascii="宋体" w:hAnsi="宋体" w:cs="宋体" w:eastAsia="宋体" w:hint="default"/>
                <w:spacing w:val="17"/>
                <w:sz w:val="18"/>
                <w:szCs w:val="18"/>
              </w:rPr>
              <w:t>国际市场开拓基</w:t>
            </w:r>
            <w:r>
              <w:rPr>
                <w:rFonts w:ascii="宋体" w:hAnsi="宋体" w:cs="宋体" w:eastAsia="宋体" w:hint="default"/>
                <w:sz w:val="18"/>
                <w:szCs w:val="18"/>
              </w:rPr>
              <w:t> 金</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85,000.00</w:t>
            </w:r>
          </w:p>
        </w:tc>
        <w:tc>
          <w:tcPr>
            <w:tcW w:w="248"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5"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85,000.00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2"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外贸发展基金</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960,000.00</w:t>
            </w:r>
          </w:p>
        </w:tc>
        <w:tc>
          <w:tcPr>
            <w:tcW w:w="248"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z w:val="18"/>
              </w:rPr>
              <w:t>20,000.00</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sz w:val="18"/>
              </w:rPr>
              <w:t>***</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980,000.00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34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技术创新基金</w:t>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0"/>
              <w:jc w:val="right"/>
              <w:rPr>
                <w:rFonts w:ascii="Times New Roman" w:hAnsi="Times New Roman" w:cs="Times New Roman" w:eastAsia="Times New Roman" w:hint="default"/>
                <w:sz w:val="18"/>
                <w:szCs w:val="18"/>
              </w:rPr>
            </w:pPr>
            <w:r>
              <w:rPr>
                <w:rFonts w:ascii="Times New Roman"/>
                <w:sz w:val="18"/>
              </w:rPr>
              <w:t>640,000.00</w:t>
            </w:r>
          </w:p>
        </w:tc>
        <w:tc>
          <w:tcPr>
            <w:tcW w:w="248"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single" w:sz="4" w:space="0" w:color="000000"/>
              <w:right w:val="nil" w:sz="6" w:space="0" w:color="auto"/>
            </w:tcBorders>
          </w:tcPr>
          <w:p>
            <w:pP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5" w:type="dxa"/>
            <w:tcBorders>
              <w:top w:val="nil" w:sz="6" w:space="0" w:color="auto"/>
              <w:left w:val="nil" w:sz="6" w:space="0" w:color="auto"/>
              <w:bottom w:val="single" w:sz="4" w:space="0" w:color="000000"/>
              <w:right w:val="nil" w:sz="6" w:space="0" w:color="auto"/>
            </w:tcBorders>
          </w:tcPr>
          <w:p>
            <w:pPr/>
          </w:p>
        </w:tc>
        <w:tc>
          <w:tcPr>
            <w:tcW w:w="1189"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1"/>
              <w:jc w:val="right"/>
              <w:rPr>
                <w:rFonts w:ascii="Times New Roman" w:hAnsi="Times New Roman" w:cs="Times New Roman" w:eastAsia="Times New Roman" w:hint="default"/>
                <w:sz w:val="18"/>
                <w:szCs w:val="18"/>
              </w:rPr>
            </w:pPr>
            <w:r>
              <w:rPr>
                <w:rFonts w:ascii="Times New Roman"/>
                <w:sz w:val="18"/>
              </w:rPr>
              <w:t>640,000.00</w:t>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6" w:hRule="exact"/>
        </w:trPr>
        <w:tc>
          <w:tcPr>
            <w:tcW w:w="23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194"/>
              <w:jc w:val="right"/>
              <w:rPr>
                <w:rFonts w:ascii="Times New Roman" w:hAnsi="Times New Roman" w:cs="Times New Roman" w:eastAsia="Times New Roman" w:hint="default"/>
                <w:sz w:val="18"/>
                <w:szCs w:val="18"/>
              </w:rPr>
            </w:pPr>
            <w:r>
              <w:rPr>
                <w:rFonts w:ascii="Times New Roman"/>
                <w:spacing w:val="-1"/>
                <w:w w:val="95"/>
                <w:sz w:val="18"/>
              </w:rPr>
              <w:t>RMB</w:t>
            </w:r>
            <w:r>
              <w:rPr>
                <w:rFonts w:ascii="Times New Roman"/>
                <w:sz w:val="18"/>
              </w:rPr>
            </w:r>
          </w:p>
        </w:tc>
        <w:tc>
          <w:tcPr>
            <w:tcW w:w="1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23,815,000.00</w:t>
            </w:r>
          </w:p>
        </w:tc>
        <w:tc>
          <w:tcPr>
            <w:tcW w:w="248" w:type="dxa"/>
            <w:tcBorders>
              <w:top w:val="nil" w:sz="6" w:space="0" w:color="auto"/>
              <w:left w:val="nil" w:sz="6" w:space="0" w:color="auto"/>
              <w:bottom w:val="nil" w:sz="6" w:space="0" w:color="auto"/>
              <w:right w:val="nil" w:sz="6" w:space="0" w:color="auto"/>
            </w:tcBorders>
          </w:tcPr>
          <w:p>
            <w:pPr/>
          </w:p>
        </w:tc>
        <w:tc>
          <w:tcPr>
            <w:tcW w:w="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7" w:right="0"/>
              <w:jc w:val="left"/>
              <w:rPr>
                <w:rFonts w:ascii="Times New Roman" w:hAnsi="Times New Roman" w:cs="Times New Roman" w:eastAsia="Times New Roman" w:hint="default"/>
                <w:sz w:val="18"/>
                <w:szCs w:val="18"/>
              </w:rPr>
            </w:pPr>
            <w:r>
              <w:rPr>
                <w:rFonts w:ascii="Times New Roman"/>
                <w:sz w:val="18"/>
              </w:rPr>
              <w:t>RMB</w:t>
            </w:r>
          </w:p>
        </w:tc>
        <w:tc>
          <w:tcPr>
            <w:tcW w:w="120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0"/>
              <w:jc w:val="right"/>
              <w:rPr>
                <w:rFonts w:ascii="Times New Roman" w:hAnsi="Times New Roman" w:cs="Times New Roman" w:eastAsia="Times New Roman" w:hint="default"/>
                <w:sz w:val="18"/>
                <w:szCs w:val="18"/>
              </w:rPr>
            </w:pPr>
            <w:r>
              <w:rPr>
                <w:rFonts w:ascii="Times New Roman"/>
                <w:spacing w:val="-1"/>
                <w:sz w:val="18"/>
              </w:rPr>
              <w:t>12,270,000.00</w:t>
            </w:r>
          </w:p>
        </w:tc>
        <w:tc>
          <w:tcPr>
            <w:tcW w:w="8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270" w:right="0"/>
              <w:jc w:val="left"/>
              <w:rPr>
                <w:rFonts w:ascii="Times New Roman" w:hAnsi="Times New Roman" w:cs="Times New Roman" w:eastAsia="Times New Roman" w:hint="default"/>
                <w:sz w:val="18"/>
                <w:szCs w:val="18"/>
              </w:rPr>
            </w:pPr>
            <w:r>
              <w:rPr>
                <w:rFonts w:ascii="Times New Roman"/>
                <w:sz w:val="18"/>
              </w:rPr>
              <w:t>RMB</w:t>
            </w:r>
          </w:p>
        </w:tc>
        <w:tc>
          <w:tcPr>
            <w:tcW w:w="11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0"/>
              <w:jc w:val="right"/>
              <w:rPr>
                <w:rFonts w:ascii="Times New Roman" w:hAnsi="Times New Roman" w:cs="Times New Roman" w:eastAsia="Times New Roman" w:hint="default"/>
                <w:sz w:val="18"/>
                <w:szCs w:val="18"/>
              </w:rPr>
            </w:pPr>
            <w:r>
              <w:rPr>
                <w:rFonts w:ascii="Times New Roman"/>
                <w:spacing w:val="-1"/>
                <w:sz w:val="18"/>
              </w:rPr>
              <w:t>10,185,000.00</w:t>
            </w:r>
          </w:p>
        </w:tc>
        <w:tc>
          <w:tcPr>
            <w:tcW w:w="9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359" w:right="0"/>
              <w:jc w:val="left"/>
              <w:rPr>
                <w:rFonts w:ascii="Times New Roman" w:hAnsi="Times New Roman" w:cs="Times New Roman" w:eastAsia="Times New Roman" w:hint="default"/>
                <w:sz w:val="18"/>
                <w:szCs w:val="18"/>
              </w:rPr>
            </w:pPr>
            <w:r>
              <w:rPr>
                <w:rFonts w:ascii="Times New Roman"/>
                <w:sz w:val="18"/>
              </w:rPr>
              <w:t>RMB</w:t>
            </w:r>
          </w:p>
        </w:tc>
        <w:tc>
          <w:tcPr>
            <w:tcW w:w="12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25,900,000.00</w:t>
            </w:r>
          </w:p>
        </w:tc>
      </w:tr>
    </w:tbl>
    <w:p>
      <w:pPr>
        <w:spacing w:line="240" w:lineRule="auto" w:before="8"/>
        <w:rPr>
          <w:rFonts w:ascii="Times New Roman" w:hAnsi="Times New Roman" w:cs="Times New Roman" w:eastAsia="Times New Roman" w:hint="default"/>
          <w:sz w:val="10"/>
          <w:szCs w:val="10"/>
        </w:rPr>
      </w:pPr>
    </w:p>
    <w:p>
      <w:pPr>
        <w:pStyle w:val="BodyText"/>
        <w:spacing w:line="240" w:lineRule="auto" w:before="26"/>
        <w:ind w:left="824" w:right="142"/>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43"/>
        </w:rPr>
        <w:t> </w:t>
      </w:r>
      <w:r>
        <w:rPr>
          <w:spacing w:val="28"/>
        </w:rPr>
        <w:t>根据鞍财指企</w:t>
      </w:r>
      <w:r>
        <w:rPr>
          <w:spacing w:val="-86"/>
        </w:rPr>
        <w:t> </w:t>
      </w:r>
      <w:r>
        <w:rPr>
          <w:rFonts w:ascii="Times New Roman" w:hAnsi="Times New Roman" w:cs="Times New Roman" w:eastAsia="Times New Roman" w:hint="default"/>
          <w:spacing w:val="3"/>
        </w:rPr>
        <w:t>[2007]215 </w:t>
      </w:r>
      <w:r>
        <w:rPr>
          <w:rFonts w:ascii="Times New Roman" w:hAnsi="Times New Roman" w:cs="Times New Roman" w:eastAsia="Times New Roman" w:hint="default"/>
          <w:spacing w:val="37"/>
        </w:rPr>
        <w:t> </w:t>
      </w:r>
      <w:r>
        <w:rPr>
          <w:spacing w:val="31"/>
        </w:rPr>
        <w:t>号文，下达本公司工业攻关</w:t>
      </w:r>
      <w:r>
        <w:rPr>
          <w:spacing w:val="-86"/>
        </w:rPr>
        <w:t> </w:t>
      </w:r>
      <w:r>
        <w:rPr>
          <w:spacing w:val="30"/>
        </w:rPr>
        <w:t>及产业化科技资金指标</w:t>
      </w:r>
      <w:r>
        <w:rPr>
          <w:spacing w:val="-86"/>
        </w:rPr>
        <w:t> </w:t>
      </w:r>
      <w:r>
        <w:rPr/>
      </w:r>
    </w:p>
    <w:p>
      <w:pPr>
        <w:pStyle w:val="BodyText"/>
        <w:spacing w:line="360" w:lineRule="auto" w:before="68"/>
        <w:ind w:left="823" w:right="142" w:hanging="510"/>
        <w:jc w:val="left"/>
      </w:pPr>
      <w:r>
        <w:rPr>
          <w:rFonts w:ascii="Times New Roman" w:hAnsi="Times New Roman" w:cs="Times New Roman" w:eastAsia="Times New Roman" w:hint="default"/>
          <w:spacing w:val="2"/>
        </w:rPr>
        <w:t>150,000.00 </w:t>
      </w:r>
      <w:r>
        <w:rPr>
          <w:spacing w:val="7"/>
        </w:rPr>
        <w:t>人民币元，用于高速和冲载铁路机车交流主传机项目支出。</w:t>
      </w:r>
      <w:r>
        <w:rPr>
          <w:spacing w:val="-84"/>
        </w:rPr>
        <w:t> </w:t>
      </w:r>
      <w:r>
        <w:rPr>
          <w:spacing w:val="-84"/>
        </w:rPr>
      </w:r>
      <w:r>
        <w:rPr>
          <w:spacing w:val="6"/>
        </w:rPr>
        <w:t>根据鞍山高新技术产业开发区财政局以鞍高财预字</w:t>
      </w:r>
      <w:r>
        <w:rPr>
          <w:rFonts w:ascii="Times New Roman" w:hAnsi="Times New Roman" w:cs="Times New Roman" w:eastAsia="Times New Roman" w:hint="default"/>
          <w:spacing w:val="6"/>
        </w:rPr>
        <w:t>(2007)3</w:t>
      </w:r>
      <w:r>
        <w:rPr>
          <w:rFonts w:ascii="Times New Roman" w:hAnsi="Times New Roman" w:cs="Times New Roman" w:eastAsia="Times New Roman" w:hint="default"/>
          <w:spacing w:val="61"/>
        </w:rPr>
        <w:t> </w:t>
      </w:r>
      <w:r>
        <w:rPr>
          <w:spacing w:val="7"/>
        </w:rPr>
        <w:t>号文批准</w:t>
      </w:r>
      <w:r>
        <w:rPr>
          <w:rFonts w:ascii="Times New Roman" w:hAnsi="Times New Roman" w:cs="Times New Roman" w:eastAsia="Times New Roman" w:hint="default"/>
          <w:spacing w:val="7"/>
        </w:rPr>
        <w:t>,</w:t>
      </w:r>
      <w:r>
        <w:rPr>
          <w:spacing w:val="7"/>
        </w:rPr>
        <w:t>由鞍山高新技术</w:t>
      </w:r>
      <w:r>
        <w:rPr/>
      </w:r>
    </w:p>
    <w:p>
      <w:pPr>
        <w:pStyle w:val="BodyText"/>
        <w:spacing w:line="268" w:lineRule="exact"/>
        <w:ind w:left="313" w:right="0"/>
        <w:jc w:val="left"/>
      </w:pPr>
      <w:r>
        <w:rPr>
          <w:spacing w:val="7"/>
        </w:rPr>
        <w:t>产业开发区财政局将“跳波式有极调压装轩项目”的科学技术指标 </w:t>
      </w:r>
      <w:r>
        <w:rPr>
          <w:rFonts w:ascii="Times New Roman" w:hAnsi="Times New Roman" w:cs="Times New Roman" w:eastAsia="Times New Roman" w:hint="default"/>
          <w:spacing w:val="2"/>
        </w:rPr>
        <w:t>1,500,000.00</w:t>
      </w:r>
      <w:r>
        <w:rPr>
          <w:rFonts w:ascii="Times New Roman" w:hAnsi="Times New Roman" w:cs="Times New Roman" w:eastAsia="Times New Roman" w:hint="default"/>
          <w:spacing w:val="-1"/>
        </w:rPr>
        <w:t> </w:t>
      </w:r>
      <w:r>
        <w:rPr>
          <w:spacing w:val="7"/>
        </w:rPr>
        <w:t>人民币元</w:t>
      </w:r>
      <w:r>
        <w:rPr/>
      </w:r>
    </w:p>
    <w:p>
      <w:pPr>
        <w:pStyle w:val="BodyText"/>
        <w:spacing w:line="240" w:lineRule="auto" w:before="67"/>
        <w:ind w:left="313" w:right="1410"/>
        <w:jc w:val="left"/>
      </w:pPr>
      <w:r>
        <w:rPr>
          <w:spacing w:val="8"/>
        </w:rPr>
        <w:t>拨付给本公司。</w:t>
      </w:r>
      <w:r>
        <w:rPr/>
      </w:r>
    </w:p>
    <w:p>
      <w:pPr>
        <w:pStyle w:val="BodyText"/>
        <w:spacing w:line="297" w:lineRule="auto" w:before="186"/>
        <w:ind w:left="313" w:right="151" w:firstLine="510"/>
        <w:jc w:val="both"/>
      </w:pPr>
      <w:r>
        <w:rPr>
          <w:spacing w:val="6"/>
        </w:rPr>
        <w:t>根据辽宁省科学技术厅和辽宁省财政厅联合以辽科发</w:t>
      </w:r>
      <w:r>
        <w:rPr>
          <w:rFonts w:ascii="Times New Roman" w:hAnsi="Times New Roman" w:cs="Times New Roman" w:eastAsia="Times New Roman" w:hint="default"/>
          <w:spacing w:val="6"/>
        </w:rPr>
        <w:t>(2007)40 </w:t>
      </w:r>
      <w:r>
        <w:rPr>
          <w:spacing w:val="5"/>
        </w:rPr>
        <w:t>号文《下达二 </w:t>
      </w:r>
      <w:r>
        <w:rPr>
          <w:rFonts w:ascii="Times New Roman" w:hAnsi="Times New Roman" w:cs="Times New Roman" w:eastAsia="Times New Roman" w:hint="default"/>
        </w:rPr>
        <w:t>00</w:t>
      </w:r>
      <w:r>
        <w:rPr>
          <w:rFonts w:ascii="Times New Roman" w:hAnsi="Times New Roman" w:cs="Times New Roman" w:eastAsia="Times New Roman" w:hint="default"/>
          <w:spacing w:val="8"/>
        </w:rPr>
        <w:t> </w:t>
      </w:r>
      <w:r>
        <w:rPr>
          <w:spacing w:val="7"/>
        </w:rPr>
        <w:t>七年 </w:t>
      </w:r>
      <w:r>
        <w:rPr>
          <w:spacing w:val="6"/>
        </w:rPr>
        <w:t>辽宁省第二批科学技术计划的通知》，由鞍山市科技局和财政局将“高速铁路机车交流主</w:t>
      </w:r>
      <w:r>
        <w:rPr>
          <w:spacing w:val="-100"/>
        </w:rPr>
        <w:t> </w:t>
      </w:r>
      <w:r>
        <w:rPr>
          <w:spacing w:val="-100"/>
        </w:rPr>
      </w:r>
      <w:r>
        <w:rPr>
          <w:spacing w:val="6"/>
        </w:rPr>
        <w:t>传动装置”经费</w:t>
      </w:r>
      <w:r>
        <w:rPr>
          <w:spacing w:val="-45"/>
        </w:rPr>
        <w:t> </w:t>
      </w:r>
      <w:r>
        <w:rPr>
          <w:rFonts w:ascii="Times New Roman" w:hAnsi="Times New Roman" w:cs="Times New Roman" w:eastAsia="Times New Roman" w:hint="default"/>
          <w:spacing w:val="2"/>
        </w:rPr>
        <w:t>600,000.00</w:t>
      </w:r>
      <w:r>
        <w:rPr>
          <w:rFonts w:ascii="Times New Roman" w:hAnsi="Times New Roman" w:cs="Times New Roman" w:eastAsia="Times New Roman" w:hint="default"/>
          <w:spacing w:val="13"/>
        </w:rPr>
        <w:t> </w:t>
      </w:r>
      <w:r>
        <w:rPr>
          <w:spacing w:val="8"/>
        </w:rPr>
        <w:t>人民币元拨付给本公司，专款专用。</w:t>
      </w:r>
      <w:r>
        <w:rPr/>
      </w:r>
    </w:p>
    <w:p>
      <w:pPr>
        <w:pStyle w:val="BodyText"/>
        <w:spacing w:line="288" w:lineRule="auto" w:before="104"/>
        <w:ind w:left="313" w:right="150" w:firstLine="510"/>
        <w:jc w:val="both"/>
      </w:pPr>
      <w:r>
        <w:rPr>
          <w:rFonts w:ascii="Times New Roman" w:hAnsi="Times New Roman" w:cs="Times New Roman" w:eastAsia="Times New Roman" w:hint="default"/>
        </w:rPr>
        <w:t>** </w:t>
      </w:r>
      <w:r>
        <w:rPr>
          <w:spacing w:val="6"/>
        </w:rPr>
        <w:t>根据鞍山市财政局鞍财指经</w:t>
      </w:r>
      <w:r>
        <w:rPr>
          <w:rFonts w:ascii="Times New Roman" w:hAnsi="Times New Roman" w:cs="Times New Roman" w:eastAsia="Times New Roman" w:hint="default"/>
          <w:spacing w:val="6"/>
        </w:rPr>
        <w:t>(2007)597 </w:t>
      </w:r>
      <w:r>
        <w:rPr>
          <w:spacing w:val="7"/>
        </w:rPr>
        <w:t>号文《转发关于下达 </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54"/>
        </w:rPr>
        <w:t> </w:t>
      </w:r>
      <w:r>
        <w:rPr>
          <w:spacing w:val="8"/>
        </w:rPr>
        <w:t>年国债专项资金 </w:t>
      </w:r>
      <w:r>
        <w:rPr>
          <w:spacing w:val="20"/>
        </w:rPr>
        <w:t>基建支出预算</w:t>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40"/>
        </w:rPr>
        <w:t> </w:t>
      </w:r>
      <w:r>
        <w:rPr>
          <w:spacing w:val="18"/>
        </w:rPr>
        <w:t>拨款的</w:t>
      </w:r>
      <w:r>
        <w:rPr>
          <w:rFonts w:ascii="Times New Roman" w:hAnsi="Times New Roman" w:cs="Times New Roman" w:eastAsia="Times New Roman" w:hint="default"/>
          <w:spacing w:val="18"/>
        </w:rPr>
        <w:t>)</w:t>
      </w:r>
      <w:r>
        <w:rPr>
          <w:rFonts w:ascii="Times New Roman" w:hAnsi="Times New Roman" w:cs="Times New Roman" w:eastAsia="Times New Roman" w:hint="default"/>
          <w:spacing w:val="-40"/>
        </w:rPr>
        <w:t> </w:t>
      </w:r>
      <w:r>
        <w:rPr>
          <w:spacing w:val="16"/>
        </w:rPr>
        <w:t>的通知</w:t>
      </w:r>
      <w:r>
        <w:rPr>
          <w:spacing w:val="-96"/>
        </w:rPr>
        <w:t> </w:t>
      </w:r>
      <w:r>
        <w:rPr>
          <w:spacing w:val="2"/>
        </w:rPr>
        <w:t>》，下达本公司</w:t>
      </w:r>
      <w:r>
        <w:rPr>
          <w:spacing w:val="31"/>
        </w:rPr>
        <w:t> </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26"/>
        </w:rPr>
        <w:t> </w:t>
      </w:r>
      <w:r>
        <w:rPr>
          <w:spacing w:val="22"/>
        </w:rPr>
        <w:t>年国债专项资金基建支出预算</w:t>
      </w:r>
      <w:r>
        <w:rPr>
          <w:rFonts w:ascii="Times New Roman" w:hAnsi="Times New Roman" w:cs="Times New Roman" w:eastAsia="Times New Roman" w:hint="default"/>
          <w:spacing w:val="22"/>
        </w:rPr>
        <w:t>(</w:t>
      </w:r>
      <w:r>
        <w:rPr>
          <w:spacing w:val="22"/>
        </w:rPr>
        <w:t>拨</w:t>
      </w:r>
      <w:r>
        <w:rPr/>
        <w:t> </w:t>
      </w:r>
      <w:r>
        <w:rPr>
          <w:spacing w:val="3"/>
        </w:rPr>
        <w:t>款</w:t>
      </w:r>
      <w:r>
        <w:rPr>
          <w:rFonts w:ascii="Times New Roman" w:hAnsi="Times New Roman" w:cs="Times New Roman" w:eastAsia="Times New Roman" w:hint="default"/>
          <w:spacing w:val="3"/>
        </w:rPr>
        <w:t>)5,000,000.00</w:t>
      </w:r>
      <w:r>
        <w:rPr>
          <w:rFonts w:ascii="Times New Roman" w:hAnsi="Times New Roman" w:cs="Times New Roman" w:eastAsia="Times New Roman" w:hint="default"/>
          <w:spacing w:val="35"/>
        </w:rPr>
        <w:t> </w:t>
      </w:r>
      <w:r>
        <w:rPr>
          <w:spacing w:val="7"/>
        </w:rPr>
        <w:t>人民币元，专项用于提高自主创新能力及高技术产业发展项目建设。</w:t>
      </w:r>
      <w:r>
        <w:rPr/>
      </w:r>
    </w:p>
    <w:p>
      <w:pPr>
        <w:pStyle w:val="BodyText"/>
        <w:spacing w:line="290" w:lineRule="auto" w:before="114"/>
        <w:ind w:left="313" w:right="150" w:firstLine="510"/>
        <w:jc w:val="both"/>
      </w:pPr>
      <w:r>
        <w:rPr>
          <w:spacing w:val="6"/>
        </w:rPr>
        <w:t>根据鞍山市财政局以鞍财指经</w:t>
      </w:r>
      <w:r>
        <w:rPr>
          <w:rFonts w:ascii="Times New Roman" w:hAnsi="Times New Roman" w:cs="Times New Roman" w:eastAsia="Times New Roman" w:hint="default"/>
          <w:spacing w:val="6"/>
        </w:rPr>
        <w:t>[2007]401</w:t>
      </w:r>
      <w:r>
        <w:rPr>
          <w:rFonts w:ascii="Times New Roman" w:hAnsi="Times New Roman" w:cs="Times New Roman" w:eastAsia="Times New Roman" w:hint="default"/>
          <w:spacing w:val="15"/>
        </w:rPr>
        <w:t> </w:t>
      </w:r>
      <w:r>
        <w:rPr>
          <w:spacing w:val="9"/>
        </w:rPr>
        <w:t>号文，由鞍山市高新区转发关于下达资助创 </w:t>
      </w:r>
      <w:r>
        <w:rPr>
          <w:spacing w:val="4"/>
        </w:rPr>
        <w:t>新基金 </w:t>
      </w:r>
      <w:r>
        <w:rPr>
          <w:rFonts w:ascii="Times New Roman" w:hAnsi="Times New Roman" w:cs="Times New Roman" w:eastAsia="Times New Roman" w:hint="default"/>
          <w:spacing w:val="3"/>
        </w:rPr>
        <w:t>5,000,000.00</w:t>
      </w:r>
      <w:r>
        <w:rPr>
          <w:rFonts w:ascii="Times New Roman" w:hAnsi="Times New Roman" w:cs="Times New Roman" w:eastAsia="Times New Roman" w:hint="default"/>
          <w:spacing w:val="-11"/>
        </w:rPr>
        <w:t> </w:t>
      </w:r>
      <w:r>
        <w:rPr>
          <w:spacing w:val="7"/>
        </w:rPr>
        <w:t>人民币元，专项用于提高自主创新能力及高技术产业发展项目建设。</w:t>
      </w:r>
      <w:r>
        <w:rPr/>
      </w:r>
    </w:p>
    <w:p>
      <w:pPr>
        <w:pStyle w:val="BodyText"/>
        <w:spacing w:line="290" w:lineRule="auto" w:before="111"/>
        <w:ind w:left="313" w:right="148" w:firstLine="510"/>
        <w:jc w:val="both"/>
      </w:pPr>
      <w:r>
        <w:rPr>
          <w:rFonts w:ascii="Times New Roman" w:hAnsi="Times New Roman" w:cs="Times New Roman" w:eastAsia="Times New Roman" w:hint="default"/>
          <w:spacing w:val="2"/>
        </w:rPr>
        <w:t>*** </w:t>
      </w:r>
      <w:r>
        <w:rPr>
          <w:spacing w:val="4"/>
        </w:rPr>
        <w:t>根据鞍财指流</w:t>
      </w:r>
      <w:r>
        <w:rPr>
          <w:rFonts w:ascii="Times New Roman" w:hAnsi="Times New Roman" w:cs="Times New Roman" w:eastAsia="Times New Roman" w:hint="default"/>
          <w:spacing w:val="4"/>
        </w:rPr>
        <w:t>[2007]266 </w:t>
      </w:r>
      <w:r>
        <w:rPr>
          <w:spacing w:val="6"/>
        </w:rPr>
        <w:t>号文，由财政部为本公司下拨“</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66"/>
        </w:rPr>
        <w:t> </w:t>
      </w:r>
      <w:r>
        <w:rPr>
          <w:spacing w:val="8"/>
        </w:rPr>
        <w:t>年度第二批中小企 </w:t>
      </w:r>
      <w:r>
        <w:rPr>
          <w:spacing w:val="6"/>
        </w:rPr>
        <w:t>业国际市场开拓资金涉外发展基金”</w:t>
      </w:r>
      <w:r>
        <w:rPr>
          <w:rFonts w:ascii="Times New Roman" w:hAnsi="Times New Roman" w:cs="Times New Roman" w:eastAsia="Times New Roman" w:hint="default"/>
          <w:spacing w:val="6"/>
        </w:rPr>
        <w:t>20,000.00 </w:t>
      </w:r>
      <w:r>
        <w:rPr>
          <w:spacing w:val="8"/>
        </w:rPr>
        <w:t>人民币元。</w:t>
      </w:r>
      <w:r>
        <w:rPr/>
      </w:r>
    </w:p>
    <w:p>
      <w:pPr>
        <w:pStyle w:val="BodyText"/>
        <w:spacing w:line="240" w:lineRule="auto" w:before="111"/>
        <w:ind w:left="823" w:right="1410"/>
        <w:jc w:val="left"/>
      </w:pPr>
      <w:r>
        <w:rPr>
          <w:rFonts w:ascii="Times New Roman" w:hAnsi="Times New Roman" w:cs="Times New Roman" w:eastAsia="Times New Roman" w:hint="default"/>
          <w:spacing w:val="2"/>
        </w:rPr>
        <w:t>**** </w:t>
      </w:r>
      <w:r>
        <w:rPr>
          <w:rFonts w:ascii="Times New Roman" w:hAnsi="Times New Roman" w:cs="Times New Roman" w:eastAsia="Times New Roman" w:hint="default"/>
          <w:spacing w:val="10"/>
        </w:rPr>
        <w:t> </w:t>
      </w:r>
      <w:r>
        <w:rPr>
          <w:spacing w:val="8"/>
        </w:rPr>
        <w:t>本年减少系转销的已完成的科研拨款项目。</w:t>
      </w:r>
      <w:r>
        <w:rPr/>
      </w:r>
    </w:p>
    <w:p>
      <w:pPr>
        <w:pStyle w:val="Heading4"/>
        <w:spacing w:line="240" w:lineRule="auto" w:before="207"/>
        <w:ind w:left="823" w:right="1410"/>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16"/>
        </w:rPr>
        <w:t> </w:t>
      </w:r>
      <w:r>
        <w:rPr>
          <w:spacing w:val="9"/>
        </w:rPr>
        <w:t>股本</w:t>
      </w:r>
      <w:r>
        <w:rPr>
          <w:b w:val="0"/>
          <w:bCs w:val="0"/>
        </w:rPr>
      </w:r>
    </w:p>
    <w:p>
      <w:pPr>
        <w:spacing w:line="240" w:lineRule="auto" w:before="2"/>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1022" w:top="1060" w:bottom="1220" w:left="820" w:right="980"/>
        </w:sectPr>
      </w:pPr>
    </w:p>
    <w:p>
      <w:pPr>
        <w:tabs>
          <w:tab w:pos="4564" w:val="right" w:leader="none"/>
        </w:tabs>
        <w:spacing w:before="188"/>
        <w:ind w:left="141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股份类别</w:t>
      </w:r>
      <w:r>
        <w:rPr>
          <w:rFonts w:ascii="Times New Roman" w:hAnsi="Times New Roman" w:cs="Times New Roman" w:eastAsia="Times New Roman" w:hint="default"/>
          <w:sz w:val="18"/>
          <w:szCs w:val="18"/>
        </w:rPr>
        <w:tab/>
        <w:t>2007.01.01</w:t>
      </w:r>
    </w:p>
    <w:p>
      <w:pPr>
        <w:spacing w:line="240" w:lineRule="auto" w:before="5"/>
        <w:rPr>
          <w:rFonts w:ascii="Times New Roman" w:hAnsi="Times New Roman" w:cs="Times New Roman" w:eastAsia="Times New Roman" w:hint="default"/>
          <w:sz w:val="20"/>
          <w:szCs w:val="20"/>
        </w:rPr>
      </w:pPr>
    </w:p>
    <w:p>
      <w:pPr>
        <w:spacing w:line="20" w:lineRule="exact"/>
        <w:ind w:left="30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46.7pt;height:.5pt;mso-position-horizontal-relative:char;mso-position-vertical-relative:line" coordorigin="0,0" coordsize="2934,10">
            <v:group style="position:absolute;left:5;top:5;width:2925;height:2" coordorigin="5,5" coordsize="2925,2">
              <v:shape style="position:absolute;left:5;top:5;width:2925;height:2" coordorigin="5,5" coordsize="2925,0" path="m5,5l2929,5e" filled="false" stroked="true" strokeweight=".48pt" strokecolor="#000000">
                <v:path arrowok="t"/>
              </v:shape>
            </v:group>
          </v:group>
        </w:pict>
      </w:r>
      <w:r>
        <w:rPr>
          <w:rFonts w:ascii="Times New Roman" w:hAnsi="Times New Roman" w:cs="Times New Roman" w:eastAsia="Times New Roman" w:hint="default"/>
          <w:sz w:val="2"/>
          <w:szCs w:val="2"/>
        </w:rPr>
      </w:r>
    </w:p>
    <w:p>
      <w:pPr>
        <w:spacing w:before="41"/>
        <w:ind w:left="295" w:right="2609" w:firstLine="0"/>
        <w:jc w:val="center"/>
        <w:rPr>
          <w:rFonts w:ascii="宋体" w:hAnsi="宋体" w:cs="宋体" w:eastAsia="宋体" w:hint="default"/>
          <w:sz w:val="18"/>
          <w:szCs w:val="18"/>
        </w:rPr>
      </w:pPr>
      <w:r>
        <w:rPr/>
        <w:pict>
          <v:group style="position:absolute;margin-left:213.119995pt;margin-top:-.757984pt;width:70.95pt;height:.1pt;mso-position-horizontal-relative:page;mso-position-vertical-relative:paragraph;z-index:2416" coordorigin="4262,-15" coordsize="1419,2">
            <v:shape style="position:absolute;left:4262;top:-15;width:1419;height:2" coordorigin="4262,-15" coordsize="1419,0" path="m4262,-15l5681,-15e" filled="false" stroked="true" strokeweight=".48pt" strokecolor="#000000">
              <v:path arrowok="t"/>
            </v:shape>
            <w10:wrap type="none"/>
          </v:group>
        </w:pict>
      </w:r>
      <w:r>
        <w:rPr>
          <w:rFonts w:ascii="宋体" w:hAnsi="宋体" w:cs="宋体" w:eastAsia="宋体" w:hint="default"/>
          <w:sz w:val="18"/>
          <w:szCs w:val="18"/>
        </w:rPr>
        <w:t>一、有限售条件股份</w:t>
      </w:r>
    </w:p>
    <w:p>
      <w:pPr>
        <w:spacing w:before="95"/>
        <w:ind w:left="494" w:right="0" w:firstLine="0"/>
        <w:jc w:val="left"/>
        <w:rPr>
          <w:rFonts w:ascii="宋体" w:hAnsi="宋体" w:cs="宋体" w:eastAsia="宋体" w:hint="default"/>
          <w:sz w:val="18"/>
          <w:szCs w:val="18"/>
        </w:rPr>
      </w:pPr>
      <w:r>
        <w:rPr/>
        <w:pict>
          <v:shape style="position:absolute;margin-left:212.759995pt;margin-top:8.865655pt;width:327.650pt;height:96.0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3"/>
                    <w:gridCol w:w="113"/>
                    <w:gridCol w:w="837"/>
                    <w:gridCol w:w="1162"/>
                    <w:gridCol w:w="1453"/>
                    <w:gridCol w:w="664"/>
                    <w:gridCol w:w="891"/>
                  </w:tblGrid>
                  <w:tr>
                    <w:trPr>
                      <w:trHeight w:val="77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84" w:lineRule="exact"/>
                          <w:ind w:left="43" w:right="0"/>
                          <w:jc w:val="left"/>
                          <w:rPr>
                            <w:rFonts w:ascii="Times New Roman" w:hAnsi="Times New Roman" w:cs="Times New Roman" w:eastAsia="Times New Roman" w:hint="default"/>
                            <w:sz w:val="18"/>
                            <w:szCs w:val="18"/>
                          </w:rPr>
                        </w:pPr>
                        <w:r>
                          <w:rPr>
                            <w:rFonts w:ascii="Times New Roman"/>
                            <w:sz w:val="18"/>
                          </w:rPr>
                          <w:t>RMB</w:t>
                        </w:r>
                      </w:p>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Style w:val="TableParagraph"/>
                          <w:spacing w:line="184" w:lineRule="exact"/>
                          <w:ind w:left="47" w:right="0"/>
                          <w:jc w:val="left"/>
                          <w:rPr>
                            <w:rFonts w:ascii="Times New Roman" w:hAnsi="Times New Roman" w:cs="Times New Roman" w:eastAsia="Times New Roman" w:hint="default"/>
                            <w:sz w:val="18"/>
                            <w:szCs w:val="18"/>
                          </w:rPr>
                        </w:pPr>
                        <w:r>
                          <w:rPr>
                            <w:rFonts w:ascii="Times New Roman"/>
                            <w:sz w:val="18"/>
                          </w:rPr>
                          <w:t>RMB</w:t>
                        </w:r>
                      </w:p>
                    </w:tc>
                    <w:tc>
                      <w:tcPr>
                        <w:tcW w:w="1162" w:type="dxa"/>
                        <w:tcBorders>
                          <w:top w:val="nil" w:sz="6" w:space="0" w:color="auto"/>
                          <w:left w:val="nil" w:sz="6" w:space="0" w:color="auto"/>
                          <w:bottom w:val="nil" w:sz="6" w:space="0" w:color="auto"/>
                          <w:right w:val="nil" w:sz="6" w:space="0" w:color="auto"/>
                        </w:tcBorders>
                      </w:tcPr>
                      <w:p>
                        <w:pPr>
                          <w:pStyle w:val="TableParagraph"/>
                          <w:spacing w:line="184" w:lineRule="exact"/>
                          <w:ind w:left="192" w:right="0"/>
                          <w:jc w:val="left"/>
                          <w:rPr>
                            <w:rFonts w:ascii="Times New Roman" w:hAnsi="Times New Roman" w:cs="Times New Roman" w:eastAsia="Times New Roman" w:hint="default"/>
                            <w:sz w:val="18"/>
                            <w:szCs w:val="18"/>
                          </w:rPr>
                        </w:pPr>
                        <w:r>
                          <w:rPr>
                            <w:rFonts w:ascii="Times New Roman"/>
                            <w:sz w:val="18"/>
                          </w:rPr>
                          <w:t>RMB</w:t>
                        </w:r>
                      </w:p>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184" w:lineRule="exact"/>
                          <w:ind w:left="213" w:right="0"/>
                          <w:jc w:val="left"/>
                          <w:rPr>
                            <w:rFonts w:ascii="Times New Roman" w:hAnsi="Times New Roman" w:cs="Times New Roman" w:eastAsia="Times New Roman" w:hint="default"/>
                            <w:sz w:val="18"/>
                            <w:szCs w:val="18"/>
                          </w:rPr>
                        </w:pPr>
                        <w:r>
                          <w:rPr>
                            <w:rFonts w:ascii="Times New Roman"/>
                            <w:sz w:val="18"/>
                          </w:rPr>
                          <w:t>RMB</w:t>
                        </w:r>
                      </w:p>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4" w:type="dxa"/>
                        <w:tcBorders>
                          <w:top w:val="nil" w:sz="6" w:space="0" w:color="auto"/>
                          <w:left w:val="nil" w:sz="6" w:space="0" w:color="auto"/>
                          <w:bottom w:val="nil" w:sz="6" w:space="0" w:color="auto"/>
                          <w:right w:val="nil" w:sz="6" w:space="0" w:color="auto"/>
                        </w:tcBorders>
                      </w:tcPr>
                      <w:p>
                        <w:pPr>
                          <w:pStyle w:val="TableParagraph"/>
                          <w:spacing w:line="184" w:lineRule="exact"/>
                          <w:ind w:left="219" w:right="0"/>
                          <w:jc w:val="left"/>
                          <w:rPr>
                            <w:rFonts w:ascii="Times New Roman" w:hAnsi="Times New Roman" w:cs="Times New Roman" w:eastAsia="Times New Roman" w:hint="default"/>
                            <w:sz w:val="18"/>
                            <w:szCs w:val="18"/>
                          </w:rPr>
                        </w:pPr>
                        <w:r>
                          <w:rPr>
                            <w:rFonts w:ascii="Times New Roman"/>
                            <w:sz w:val="18"/>
                          </w:rPr>
                          <w:t>RMB</w:t>
                        </w:r>
                      </w:p>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27,105,071</w:t>
                        </w:r>
                      </w:p>
                    </w:tc>
                    <w:tc>
                      <w:tcPr>
                        <w:tcW w:w="113"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27,105,071</w:t>
                        </w:r>
                      </w:p>
                    </w:tc>
                  </w:tr>
                  <w:tr>
                    <w:trPr>
                      <w:trHeight w:val="631" w:hRule="exact"/>
                    </w:trPr>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20,894,929</w:t>
                        </w:r>
                      </w:p>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single" w:sz="4" w:space="0" w:color="000000"/>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3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20,894,929</w:t>
                        </w:r>
                      </w:p>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spacing w:before="90"/>
        <w:ind w:left="4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p>
      <w:pPr>
        <w:spacing w:before="90"/>
        <w:ind w:left="4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p>
      <w:pPr>
        <w:spacing w:before="91"/>
        <w:ind w:left="1239" w:right="0" w:firstLine="0"/>
        <w:jc w:val="left"/>
        <w:rPr>
          <w:rFonts w:ascii="宋体" w:hAnsi="宋体" w:cs="宋体" w:eastAsia="宋体" w:hint="default"/>
          <w:sz w:val="18"/>
          <w:szCs w:val="18"/>
        </w:rPr>
      </w:pPr>
      <w:r>
        <w:rPr>
          <w:rFonts w:ascii="宋体" w:hAnsi="宋体" w:cs="宋体" w:eastAsia="宋体" w:hint="default"/>
          <w:sz w:val="18"/>
          <w:szCs w:val="18"/>
        </w:rPr>
        <w:t>其中：境内法人持股</w:t>
      </w:r>
    </w:p>
    <w:p>
      <w:pPr>
        <w:spacing w:before="104"/>
        <w:ind w:left="295" w:right="130" w:firstLine="0"/>
        <w:jc w:val="center"/>
        <w:rPr>
          <w:rFonts w:ascii="宋体" w:hAnsi="宋体" w:cs="宋体" w:eastAsia="宋体" w:hint="default"/>
          <w:sz w:val="18"/>
          <w:szCs w:val="18"/>
        </w:rPr>
      </w:pPr>
      <w:r>
        <w:rPr>
          <w:rFonts w:ascii="宋体" w:hAnsi="宋体" w:cs="宋体" w:eastAsia="宋体" w:hint="default"/>
          <w:sz w:val="18"/>
          <w:szCs w:val="18"/>
        </w:rPr>
        <w:t>境内自然人持股</w:t>
      </w:r>
    </w:p>
    <w:p>
      <w:pPr>
        <w:spacing w:before="44"/>
        <w:ind w:left="399" w:right="0" w:firstLine="0"/>
        <w:jc w:val="center"/>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本年变动增减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tabs>
          <w:tab w:pos="1121" w:val="left" w:leader="none"/>
          <w:tab w:pos="2482" w:val="left" w:leader="none"/>
        </w:tabs>
        <w:spacing w:before="100"/>
        <w:ind w:left="313" w:right="0" w:firstLine="0"/>
        <w:jc w:val="center"/>
        <w:rPr>
          <w:rFonts w:ascii="宋体" w:hAnsi="宋体" w:cs="宋体" w:eastAsia="宋体" w:hint="default"/>
          <w:sz w:val="18"/>
          <w:szCs w:val="18"/>
        </w:rPr>
      </w:pPr>
      <w:r>
        <w:rPr/>
        <w:pict>
          <v:group style="position:absolute;margin-left:290.399994pt;margin-top:2.192012pt;width:174.9pt;height:.1pt;mso-position-horizontal-relative:page;mso-position-vertical-relative:paragraph;z-index:2392" coordorigin="5808,44" coordsize="3498,2">
            <v:shape style="position:absolute;left:5808;top:44;width:3498;height:2" coordorigin="5808,44" coordsize="3498,0" path="m5808,44l9306,44e" filled="false" stroked="true" strokeweight=".48pt" strokecolor="#000000">
              <v:path arrowok="t"/>
            </v:shape>
            <w10:wrap type="none"/>
          </v:group>
        </w:pict>
      </w:r>
      <w:r>
        <w:rPr/>
        <w:pict>
          <v:group style="position:absolute;margin-left:290.399994pt;margin-top:19.172012pt;width:44.2pt;height:.1pt;mso-position-horizontal-relative:page;mso-position-vertical-relative:paragraph;z-index:2440" coordorigin="5808,383" coordsize="884,2">
            <v:shape style="position:absolute;left:5808;top:383;width:884;height:2" coordorigin="5808,383" coordsize="884,0" path="m5808,383l6691,383e" filled="false" stroked="true" strokeweight=".48pt" strokecolor="#000000">
              <v:path arrowok="t"/>
            </v:shape>
            <w10:wrap type="none"/>
          </v:group>
        </w:pict>
      </w:r>
      <w:r>
        <w:rPr/>
        <w:pict>
          <v:group style="position:absolute;margin-left:340.019989pt;margin-top:19.172012pt;width:52.65pt;height:.1pt;mso-position-horizontal-relative:page;mso-position-vertical-relative:paragraph;z-index:2464" coordorigin="6800,383" coordsize="1053,2">
            <v:shape style="position:absolute;left:6800;top:383;width:1053;height:2" coordorigin="6800,383" coordsize="1053,0" path="m6800,383l7853,383e" filled="false" stroked="true" strokeweight=".48pt" strokecolor="#000000">
              <v:path arrowok="t"/>
            </v:shape>
            <w10:wrap type="none"/>
          </v:group>
        </w:pict>
      </w:r>
      <w:r>
        <w:rPr/>
        <w:pict>
          <v:group style="position:absolute;margin-left:399pt;margin-top:19.172007pt;width:66.3pt;height:.1pt;mso-position-horizontal-relative:page;mso-position-vertical-relative:paragraph;z-index:2488" coordorigin="7980,383" coordsize="1326,2">
            <v:shape style="position:absolute;left:7980;top:383;width:1326;height:2" coordorigin="7980,383" coordsize="1326,0" path="m7980,383l9306,383e" filled="false" stroked="true" strokeweight=".48pt" strokecolor="#000000">
              <v:path arrowok="t"/>
            </v:shape>
            <w10:wrap type="none"/>
          </v:group>
        </w:pict>
      </w:r>
      <w:r>
        <w:rPr/>
        <w:pict>
          <v:group style="position:absolute;margin-left:471.660004pt;margin-top:19.172012pt;width:66.6pt;height:.1pt;mso-position-horizontal-relative:page;mso-position-vertical-relative:paragraph;z-index:2512" coordorigin="9433,383" coordsize="1332,2">
            <v:shape style="position:absolute;left:9433;top:383;width:1332;height:2" coordorigin="9433,383" coordsize="1332,0" path="m9433,383l10765,383e" filled="false" stroked="true" strokeweight=".48pt" strokecolor="#000000">
              <v:path arrowok="t"/>
            </v:shape>
            <w10:wrap type="none"/>
          </v:group>
        </w:pict>
      </w:r>
      <w:r>
        <w:rPr>
          <w:rFonts w:ascii="宋体" w:hAnsi="宋体" w:cs="宋体" w:eastAsia="宋体" w:hint="default"/>
          <w:sz w:val="18"/>
          <w:szCs w:val="18"/>
        </w:rPr>
        <w:t>回购</w:t>
        <w:tab/>
        <w:t>公积金转股</w:t>
        <w:tab/>
        <w:t>发行新股</w:t>
      </w:r>
    </w:p>
    <w:p>
      <w:pPr>
        <w:spacing w:line="240" w:lineRule="auto" w:before="6"/>
        <w:rPr>
          <w:rFonts w:ascii="宋体" w:hAnsi="宋体" w:cs="宋体" w:eastAsia="宋体" w:hint="default"/>
          <w:sz w:val="17"/>
          <w:szCs w:val="17"/>
        </w:rPr>
      </w:pPr>
      <w:r>
        <w:rPr/>
        <w:br w:type="column"/>
      </w:r>
      <w:r>
        <w:rPr>
          <w:rFonts w:ascii="宋体"/>
          <w:sz w:val="17"/>
        </w:rPr>
      </w:r>
    </w:p>
    <w:p>
      <w:pPr>
        <w:spacing w:before="0"/>
        <w:ind w:left="313" w:right="0" w:firstLine="0"/>
        <w:jc w:val="left"/>
        <w:rPr>
          <w:rFonts w:ascii="Times New Roman" w:hAnsi="Times New Roman" w:cs="Times New Roman" w:eastAsia="Times New Roman" w:hint="default"/>
          <w:sz w:val="18"/>
          <w:szCs w:val="18"/>
        </w:rPr>
      </w:pPr>
      <w:r>
        <w:rPr>
          <w:rFonts w:ascii="Times New Roman"/>
          <w:sz w:val="18"/>
        </w:rPr>
        <w:t>2007.12.31</w:t>
      </w:r>
    </w:p>
    <w:p>
      <w:pPr>
        <w:spacing w:after="0"/>
        <w:jc w:val="left"/>
        <w:rPr>
          <w:rFonts w:ascii="Times New Roman" w:hAnsi="Times New Roman" w:cs="Times New Roman" w:eastAsia="Times New Roman" w:hint="default"/>
          <w:sz w:val="18"/>
          <w:szCs w:val="18"/>
        </w:rPr>
        <w:sectPr>
          <w:type w:val="continuous"/>
          <w:pgSz w:w="11910" w:h="16840"/>
          <w:pgMar w:top="1600" w:bottom="280" w:left="820" w:right="980"/>
          <w:cols w:num="3" w:equalWidth="0">
            <w:col w:w="4565" w:space="377"/>
            <w:col w:w="3203" w:space="422"/>
            <w:col w:w="1543"/>
          </w:cols>
        </w:sectPr>
      </w:pPr>
    </w:p>
    <w:p>
      <w:pPr>
        <w:spacing w:before="104"/>
        <w:ind w:left="493" w:right="1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、外资股</w:t>
      </w:r>
    </w:p>
    <w:p>
      <w:pPr>
        <w:spacing w:after="0"/>
        <w:jc w:val="left"/>
        <w:rPr>
          <w:rFonts w:ascii="宋体" w:hAnsi="宋体" w:cs="宋体" w:eastAsia="宋体" w:hint="default"/>
          <w:sz w:val="18"/>
          <w:szCs w:val="18"/>
        </w:rPr>
        <w:sectPr>
          <w:type w:val="continuous"/>
          <w:pgSz w:w="11910" w:h="16840"/>
          <w:pgMar w:top="1600" w:bottom="280" w:left="820" w:right="98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3328"/>
        <w:gridCol w:w="1426"/>
        <w:gridCol w:w="120"/>
        <w:gridCol w:w="890"/>
        <w:gridCol w:w="102"/>
        <w:gridCol w:w="1060"/>
        <w:gridCol w:w="120"/>
        <w:gridCol w:w="1333"/>
        <w:gridCol w:w="120"/>
        <w:gridCol w:w="1339"/>
      </w:tblGrid>
      <w:tr>
        <w:trPr>
          <w:trHeight w:val="34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51"/>
              <w:jc w:val="righ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z w:val="18"/>
              </w:rPr>
              <w:t>48,000,000</w:t>
            </w:r>
          </w:p>
        </w:tc>
        <w:tc>
          <w:tcPr>
            <w:tcW w:w="120" w:type="dxa"/>
            <w:tcBorders>
              <w:top w:val="nil" w:sz="6" w:space="0" w:color="auto"/>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z w:val="18"/>
              </w:rPr>
              <w:t>48,000,000</w:t>
            </w:r>
          </w:p>
        </w:tc>
      </w:tr>
      <w:tr>
        <w:trPr>
          <w:trHeight w:val="367"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26"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
        </w:tc>
      </w:tr>
      <w:tr>
        <w:trPr>
          <w:trHeight w:val="313"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z w:val="18"/>
              </w:rPr>
              <w:t>16,000,000</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z w:val="18"/>
              </w:rPr>
              <w:t>16,000,000</w:t>
            </w:r>
          </w:p>
        </w:tc>
      </w:tr>
      <w:tr>
        <w:trPr>
          <w:trHeight w:val="34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51"/>
              <w:jc w:val="righ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z w:val="18"/>
              </w:rPr>
              <w:t>16,000,000</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z w:val="18"/>
              </w:rPr>
              <w:t>16,000,000</w:t>
            </w:r>
          </w:p>
        </w:tc>
      </w:tr>
      <w:tr>
        <w:trPr>
          <w:trHeight w:val="341"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48,000,000</w:t>
            </w:r>
          </w:p>
        </w:tc>
        <w:tc>
          <w:tcPr>
            <w:tcW w:w="120" w:type="dxa"/>
            <w:tcBorders>
              <w:top w:val="nil" w:sz="6" w:space="0" w:color="auto"/>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RMB</w:t>
            </w:r>
          </w:p>
        </w:tc>
        <w:tc>
          <w:tcPr>
            <w:tcW w:w="102"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29" w:right="0"/>
              <w:jc w:val="left"/>
              <w:rPr>
                <w:rFonts w:ascii="Times New Roman" w:hAnsi="Times New Roman" w:cs="Times New Roman" w:eastAsia="Times New Roman" w:hint="default"/>
                <w:sz w:val="18"/>
                <w:szCs w:val="18"/>
              </w:rPr>
            </w:pPr>
            <w:r>
              <w:rPr>
                <w:rFonts w:ascii="Times New Roman"/>
                <w:sz w:val="18"/>
              </w:rPr>
              <w:t>RMB</w:t>
            </w:r>
          </w:p>
        </w:tc>
        <w:tc>
          <w:tcPr>
            <w:tcW w:w="12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z w:val="18"/>
              </w:rPr>
              <w:t>RMB</w:t>
            </w:r>
            <w:r>
              <w:rPr>
                <w:rFonts w:ascii="Times New Roman"/>
                <w:spacing w:val="42"/>
                <w:sz w:val="18"/>
              </w:rPr>
              <w:t> </w:t>
            </w:r>
            <w:r>
              <w:rPr>
                <w:rFonts w:ascii="Times New Roman"/>
                <w:sz w:val="18"/>
              </w:rPr>
              <w:t>16,000,000</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RMB64,000,000</w:t>
            </w:r>
          </w:p>
        </w:tc>
      </w:tr>
    </w:tbl>
    <w:p>
      <w:pPr>
        <w:spacing w:line="240" w:lineRule="auto" w:before="7"/>
        <w:rPr>
          <w:rFonts w:ascii="宋体" w:hAnsi="宋体" w:cs="宋体" w:eastAsia="宋体" w:hint="default"/>
          <w:sz w:val="12"/>
          <w:szCs w:val="12"/>
        </w:rPr>
      </w:pPr>
    </w:p>
    <w:p>
      <w:pPr>
        <w:pStyle w:val="BodyText"/>
        <w:spacing w:line="302" w:lineRule="auto" w:before="26"/>
        <w:ind w:left="314" w:right="115" w:firstLine="510"/>
        <w:jc w:val="both"/>
      </w:pPr>
      <w:r>
        <w:rPr>
          <w:rFonts w:ascii="Times New Roman" w:hAnsi="Times New Roman" w:cs="Times New Roman" w:eastAsia="Times New Roman" w:hint="default"/>
        </w:rPr>
        <w:t>* </w:t>
      </w:r>
      <w:r>
        <w:rPr>
          <w:spacing w:val="6"/>
        </w:rPr>
        <w:t>二零零七年三月七日，经中国证券监督管理委员会证监发行字</w:t>
      </w:r>
      <w:r>
        <w:rPr>
          <w:rFonts w:ascii="Times New Roman" w:hAnsi="Times New Roman" w:cs="Times New Roman" w:eastAsia="Times New Roman" w:hint="default"/>
          <w:spacing w:val="6"/>
        </w:rPr>
        <w:t>[2007]47</w:t>
      </w:r>
      <w:r>
        <w:rPr>
          <w:rFonts w:ascii="Times New Roman" w:hAnsi="Times New Roman" w:cs="Times New Roman" w:eastAsia="Times New Roman" w:hint="default"/>
          <w:spacing w:val="43"/>
        </w:rPr>
        <w:t> </w:t>
      </w:r>
      <w:r>
        <w:rPr>
          <w:spacing w:val="7"/>
        </w:rPr>
        <w:t>号文核准， 本公司于二零零七年三月十六日向社会公开发行人民币普通股</w:t>
      </w:r>
      <w:r>
        <w:rPr>
          <w:rFonts w:ascii="Times New Roman" w:hAnsi="Times New Roman" w:cs="Times New Roman" w:eastAsia="Times New Roman" w:hint="default"/>
          <w:spacing w:val="7"/>
        </w:rPr>
        <w:t>(A</w:t>
      </w:r>
      <w:r>
        <w:rPr>
          <w:rFonts w:ascii="Times New Roman" w:hAnsi="Times New Roman" w:cs="Times New Roman" w:eastAsia="Times New Roman" w:hint="default"/>
          <w:spacing w:val="29"/>
        </w:rPr>
        <w:t> </w:t>
      </w:r>
      <w:r>
        <w:rPr>
          <w:spacing w:val="4"/>
        </w:rPr>
        <w:t>股</w:t>
      </w:r>
      <w:r>
        <w:rPr>
          <w:rFonts w:ascii="Times New Roman" w:hAnsi="Times New Roman" w:cs="Times New Roman" w:eastAsia="Times New Roman" w:hint="default"/>
          <w:spacing w:val="4"/>
        </w:rPr>
        <w:t>)</w:t>
      </w:r>
      <w:r>
        <w:rPr>
          <w:spacing w:val="4"/>
        </w:rPr>
        <w:t>股票</w:t>
      </w:r>
      <w:r>
        <w:rPr>
          <w:spacing w:val="-28"/>
        </w:rPr>
        <w:t> </w:t>
      </w:r>
      <w:r>
        <w:rPr>
          <w:rFonts w:ascii="Times New Roman" w:hAnsi="Times New Roman" w:cs="Times New Roman" w:eastAsia="Times New Roman" w:hint="default"/>
          <w:spacing w:val="2"/>
        </w:rPr>
        <w:t>16,000,000</w:t>
      </w:r>
      <w:r>
        <w:rPr>
          <w:rFonts w:ascii="Times New Roman" w:hAnsi="Times New Roman" w:cs="Times New Roman" w:eastAsia="Times New Roman" w:hint="default"/>
          <w:spacing w:val="30"/>
        </w:rPr>
        <w:t> </w:t>
      </w:r>
      <w:r>
        <w:rPr>
          <w:spacing w:val="7"/>
        </w:rPr>
        <w:t>股，</w:t>
      </w:r>
      <w:r>
        <w:rPr>
          <w:spacing w:val="-116"/>
        </w:rPr>
        <w:t> </w:t>
      </w:r>
      <w:r>
        <w:rPr>
          <w:spacing w:val="5"/>
        </w:rPr>
        <w:t>每股面值 </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16"/>
        </w:rPr>
        <w:t> </w:t>
      </w:r>
      <w:r>
        <w:rPr>
          <w:spacing w:val="4"/>
        </w:rPr>
        <w:t>人民币元，并于二零零七年三月二十八日在深圳证券交易所上市交易。本公</w:t>
      </w:r>
      <w:r>
        <w:rPr/>
      </w:r>
    </w:p>
    <w:p>
      <w:pPr>
        <w:pStyle w:val="BodyText"/>
        <w:spacing w:line="240" w:lineRule="auto" w:before="18"/>
        <w:ind w:left="314" w:right="0"/>
        <w:jc w:val="left"/>
      </w:pPr>
      <w:r>
        <w:rPr>
          <w:spacing w:val="7"/>
        </w:rPr>
        <w:t>司发行后总股本</w:t>
      </w:r>
      <w:r>
        <w:rPr/>
        <w:t>为</w:t>
      </w:r>
      <w:r>
        <w:rPr>
          <w:spacing w:val="-50"/>
        </w:rPr>
        <w:t> </w:t>
      </w:r>
      <w:r>
        <w:rPr>
          <w:rFonts w:ascii="Times New Roman" w:hAnsi="Times New Roman" w:cs="Times New Roman" w:eastAsia="Times New Roman" w:hint="default"/>
          <w:spacing w:val="4"/>
        </w:rPr>
        <w:t>64,000,000.0</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8"/>
        </w:rPr>
        <w:t>人民币元</w:t>
      </w:r>
      <w:r>
        <w:rPr>
          <w:spacing w:val="-96"/>
        </w:rPr>
        <w:t>。</w:t>
      </w:r>
      <w:r>
        <w:rPr>
          <w:spacing w:val="8"/>
        </w:rPr>
        <w:t>上述出资业经深圳天健信德</w:t>
      </w:r>
      <w:r>
        <w:rPr>
          <w:spacing w:val="7"/>
        </w:rPr>
        <w:t>会</w:t>
      </w:r>
      <w:r>
        <w:rPr>
          <w:spacing w:val="8"/>
        </w:rPr>
        <w:t>计师事务所验资</w:t>
      </w:r>
      <w:r>
        <w:rPr/>
      </w:r>
    </w:p>
    <w:p>
      <w:pPr>
        <w:pStyle w:val="BodyText"/>
        <w:spacing w:line="240" w:lineRule="auto" w:before="87"/>
        <w:ind w:left="314" w:right="1410"/>
        <w:jc w:val="left"/>
      </w:pPr>
      <w:r>
        <w:rPr>
          <w:spacing w:val="3"/>
        </w:rPr>
        <w:t>报字</w:t>
      </w:r>
      <w:r>
        <w:rPr>
          <w:rFonts w:ascii="Times New Roman" w:hAnsi="Times New Roman" w:cs="Times New Roman" w:eastAsia="Times New Roman" w:hint="default"/>
          <w:spacing w:val="3"/>
        </w:rPr>
        <w:t>[2007]</w:t>
      </w:r>
      <w:r>
        <w:rPr>
          <w:spacing w:val="3"/>
        </w:rPr>
        <w:t>第 </w:t>
      </w:r>
      <w:r>
        <w:rPr>
          <w:rFonts w:ascii="Times New Roman" w:hAnsi="Times New Roman" w:cs="Times New Roman" w:eastAsia="Times New Roman" w:hint="default"/>
        </w:rPr>
        <w:t>009</w:t>
      </w:r>
      <w:r>
        <w:rPr>
          <w:rFonts w:ascii="Times New Roman" w:hAnsi="Times New Roman" w:cs="Times New Roman" w:eastAsia="Times New Roman" w:hint="default"/>
          <w:spacing w:val="-35"/>
        </w:rPr>
        <w:t> </w:t>
      </w:r>
      <w:r>
        <w:rPr>
          <w:spacing w:val="8"/>
        </w:rPr>
        <w:t>号《验资报告》审验在案。</w:t>
      </w:r>
      <w:r>
        <w:rPr/>
      </w:r>
    </w:p>
    <w:p>
      <w:pPr>
        <w:spacing w:line="374" w:lineRule="auto" w:before="207"/>
        <w:ind w:left="824" w:right="504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资本公积</w:t>
      </w:r>
      <w:r>
        <w:rPr>
          <w:rFonts w:ascii="宋体" w:hAnsi="宋体" w:cs="宋体" w:eastAsia="宋体" w:hint="default"/>
          <w:b/>
          <w:bCs/>
          <w:spacing w:val="-119"/>
          <w:sz w:val="24"/>
          <w:szCs w:val="24"/>
        </w:rPr>
        <w:t> </w:t>
      </w:r>
      <w:r>
        <w:rPr>
          <w:rFonts w:ascii="宋体" w:hAnsi="宋体" w:cs="宋体" w:eastAsia="宋体" w:hint="default"/>
          <w:spacing w:val="8"/>
          <w:sz w:val="24"/>
          <w:szCs w:val="24"/>
        </w:rPr>
        <w:t>资本公积增减变动明细项目列示如下：</w:t>
      </w:r>
      <w:r>
        <w:rPr>
          <w:rFonts w:ascii="宋体" w:hAnsi="宋体" w:cs="宋体" w:eastAsia="宋体" w:hint="default"/>
          <w:sz w:val="24"/>
          <w:szCs w:val="24"/>
        </w:rPr>
      </w:r>
    </w:p>
    <w:p>
      <w:pPr>
        <w:spacing w:line="240" w:lineRule="auto" w:before="10"/>
        <w:rPr>
          <w:rFonts w:ascii="宋体" w:hAnsi="宋体" w:cs="宋体" w:eastAsia="宋体" w:hint="default"/>
          <w:sz w:val="29"/>
          <w:szCs w:val="29"/>
        </w:rPr>
      </w:pPr>
    </w:p>
    <w:p>
      <w:pPr>
        <w:tabs>
          <w:tab w:pos="1909" w:val="left" w:leader="none"/>
        </w:tabs>
        <w:spacing w:before="76"/>
        <w:ind w:left="0" w:right="2240" w:firstLine="0"/>
        <w:jc w:val="right"/>
        <w:rPr>
          <w:rFonts w:ascii="Times New Roman" w:hAnsi="Times New Roman" w:cs="Times New Roman" w:eastAsia="Times New Roman" w:hint="default"/>
          <w:sz w:val="18"/>
          <w:szCs w:val="18"/>
        </w:rPr>
      </w:pPr>
      <w:r>
        <w:rPr/>
        <w:pict>
          <v:shape style="position:absolute;margin-left:51.799999pt;margin-top:-13.829041pt;width:486.85pt;height:66.2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0"/>
                    <w:gridCol w:w="643"/>
                    <w:gridCol w:w="1180"/>
                    <w:gridCol w:w="263"/>
                    <w:gridCol w:w="546"/>
                    <w:gridCol w:w="1265"/>
                    <w:gridCol w:w="89"/>
                    <w:gridCol w:w="107"/>
                    <w:gridCol w:w="1711"/>
                    <w:gridCol w:w="62"/>
                    <w:gridCol w:w="193"/>
                    <w:gridCol w:w="521"/>
                    <w:gridCol w:w="1376"/>
                  </w:tblGrid>
                  <w:tr>
                    <w:trPr>
                      <w:trHeight w:val="253" w:hRule="exact"/>
                    </w:trPr>
                    <w:tc>
                      <w:tcPr>
                        <w:tcW w:w="3866" w:type="dxa"/>
                        <w:gridSpan w:val="4"/>
                        <w:tcBorders>
                          <w:top w:val="nil" w:sz="6" w:space="0" w:color="auto"/>
                          <w:left w:val="nil" w:sz="6" w:space="0" w:color="auto"/>
                          <w:bottom w:val="nil" w:sz="6" w:space="0" w:color="auto"/>
                          <w:right w:val="nil" w:sz="6" w:space="0" w:color="auto"/>
                        </w:tcBorders>
                      </w:tcPr>
                      <w:p>
                        <w:pPr>
                          <w:pStyle w:val="TableParagraph"/>
                          <w:spacing w:line="203" w:lineRule="exact"/>
                          <w:ind w:left="2289" w:right="0"/>
                          <w:jc w:val="left"/>
                          <w:rPr>
                            <w:rFonts w:ascii="Times New Roman" w:hAnsi="Times New Roman" w:cs="Times New Roman" w:eastAsia="Times New Roman" w:hint="default"/>
                            <w:sz w:val="18"/>
                            <w:szCs w:val="18"/>
                          </w:rPr>
                        </w:pPr>
                        <w:r>
                          <w:rPr>
                            <w:rFonts w:ascii="Times New Roman"/>
                            <w:sz w:val="18"/>
                          </w:rPr>
                          <w:t>2007.01.01</w:t>
                        </w:r>
                      </w:p>
                    </w:tc>
                    <w:tc>
                      <w:tcPr>
                        <w:tcW w:w="54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8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6"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62" w:type="dxa"/>
                        <w:tcBorders>
                          <w:top w:val="nil" w:sz="6" w:space="0" w:color="auto"/>
                          <w:left w:val="nil" w:sz="6" w:space="0" w:color="auto"/>
                          <w:bottom w:val="single" w:sz="6" w:space="0" w:color="000000"/>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single" w:sz="4" w:space="0" w:color="000000"/>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03" w:lineRule="exact"/>
                          <w:ind w:left="24" w:right="0"/>
                          <w:jc w:val="left"/>
                          <w:rPr>
                            <w:rFonts w:ascii="Times New Roman" w:hAnsi="Times New Roman" w:cs="Times New Roman" w:eastAsia="Times New Roman" w:hint="default"/>
                            <w:sz w:val="18"/>
                            <w:szCs w:val="18"/>
                          </w:rPr>
                        </w:pPr>
                        <w:r>
                          <w:rPr>
                            <w:rFonts w:ascii="Times New Roman"/>
                            <w:sz w:val="18"/>
                          </w:rPr>
                          <w:t>2007.12.31</w:t>
                        </w:r>
                      </w:p>
                    </w:tc>
                  </w:tr>
                  <w:tr>
                    <w:trPr>
                      <w:trHeight w:val="373" w:hRule="exact"/>
                    </w:trPr>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64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32"/>
                          <w:jc w:val="right"/>
                          <w:rPr>
                            <w:rFonts w:ascii="宋体" w:hAnsi="宋体" w:cs="宋体" w:eastAsia="宋体" w:hint="default"/>
                            <w:sz w:val="18"/>
                            <w:szCs w:val="18"/>
                          </w:rPr>
                        </w:pPr>
                        <w:r>
                          <w:rPr>
                            <w:rFonts w:ascii="宋体"/>
                            <w:sz w:val="18"/>
                          </w:rPr>
                          <w:t>RMB</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2,123,408.14</w:t>
                        </w:r>
                      </w:p>
                    </w:tc>
                    <w:tc>
                      <w:tcPr>
                        <w:tcW w:w="263" w:type="dxa"/>
                        <w:tcBorders>
                          <w:top w:val="nil" w:sz="6" w:space="0" w:color="auto"/>
                          <w:left w:val="nil" w:sz="6" w:space="0" w:color="auto"/>
                          <w:bottom w:val="nil" w:sz="6" w:space="0" w:color="auto"/>
                          <w:right w:val="nil" w:sz="6" w:space="0" w:color="auto"/>
                        </w:tcBorders>
                      </w:tcPr>
                      <w:p>
                        <w:pPr/>
                      </w:p>
                    </w:tc>
                    <w:tc>
                      <w:tcPr>
                        <w:tcW w:w="546"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7" w:right="0"/>
                          <w:jc w:val="left"/>
                          <w:rPr>
                            <w:rFonts w:ascii="宋体" w:hAnsi="宋体" w:cs="宋体" w:eastAsia="宋体" w:hint="default"/>
                            <w:sz w:val="18"/>
                            <w:szCs w:val="18"/>
                          </w:rPr>
                        </w:pPr>
                        <w:r>
                          <w:rPr>
                            <w:rFonts w:ascii="宋体"/>
                            <w:sz w:val="18"/>
                          </w:rPr>
                          <w:t>RMB</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269,885,083.00</w:t>
                        </w:r>
                      </w:p>
                    </w:tc>
                    <w:tc>
                      <w:tcPr>
                        <w:tcW w:w="8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711"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7" w:right="0"/>
                          <w:jc w:val="left"/>
                          <w:rPr>
                            <w:rFonts w:ascii="宋体" w:hAnsi="宋体" w:cs="宋体" w:eastAsia="宋体" w:hint="default"/>
                            <w:sz w:val="18"/>
                            <w:szCs w:val="18"/>
                          </w:rPr>
                        </w:pPr>
                        <w:r>
                          <w:rPr>
                            <w:rFonts w:ascii="宋体"/>
                            <w:sz w:val="18"/>
                          </w:rPr>
                          <w:t>RMB</w:t>
                        </w:r>
                      </w:p>
                    </w:tc>
                    <w:tc>
                      <w:tcPr>
                        <w:tcW w:w="62" w:type="dxa"/>
                        <w:tcBorders>
                          <w:top w:val="single" w:sz="6" w:space="0" w:color="000000"/>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6" w:right="0"/>
                          <w:jc w:val="left"/>
                          <w:rPr>
                            <w:rFonts w:ascii="宋体" w:hAnsi="宋体" w:cs="宋体" w:eastAsia="宋体" w:hint="default"/>
                            <w:sz w:val="18"/>
                            <w:szCs w:val="18"/>
                          </w:rPr>
                        </w:pPr>
                        <w:r>
                          <w:rPr>
                            <w:rFonts w:ascii="宋体"/>
                            <w:sz w:val="18"/>
                          </w:rPr>
                          <w:t>RMB</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0"/>
                          <w:jc w:val="right"/>
                          <w:rPr>
                            <w:rFonts w:ascii="宋体" w:hAnsi="宋体" w:cs="宋体" w:eastAsia="宋体" w:hint="default"/>
                            <w:sz w:val="18"/>
                            <w:szCs w:val="18"/>
                          </w:rPr>
                        </w:pPr>
                        <w:r>
                          <w:rPr>
                            <w:rFonts w:ascii="宋体"/>
                            <w:sz w:val="18"/>
                          </w:rPr>
                          <w:t>272,008,491.14</w:t>
                        </w:r>
                      </w:p>
                    </w:tc>
                  </w:tr>
                  <w:tr>
                    <w:trPr>
                      <w:trHeight w:val="322" w:hRule="exact"/>
                    </w:trPr>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3" w:type="dxa"/>
                        <w:tcBorders>
                          <w:top w:val="nil" w:sz="6" w:space="0" w:color="auto"/>
                          <w:left w:val="nil" w:sz="6" w:space="0" w:color="auto"/>
                          <w:bottom w:val="single" w:sz="4" w:space="0" w:color="000000"/>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z w:val="18"/>
                          </w:rPr>
                          <w:t>617,899.00</w:t>
                        </w:r>
                      </w:p>
                    </w:tc>
                    <w:tc>
                      <w:tcPr>
                        <w:tcW w:w="263"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
                    </w:tc>
                    <w:tc>
                      <w:tcPr>
                        <w:tcW w:w="62" w:type="dxa"/>
                        <w:tcBorders>
                          <w:top w:val="nil" w:sz="6" w:space="0" w:color="auto"/>
                          <w:left w:val="nil" w:sz="6" w:space="0" w:color="auto"/>
                          <w:bottom w:val="single" w:sz="4" w:space="0" w:color="000000"/>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single" w:sz="4" w:space="0" w:color="000000"/>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z w:val="18"/>
                          </w:rPr>
                          <w:t>617,899.00</w:t>
                        </w:r>
                      </w:p>
                    </w:tc>
                  </w:tr>
                  <w:tr>
                    <w:trPr>
                      <w:trHeight w:val="361" w:hRule="exact"/>
                    </w:trPr>
                    <w:tc>
                      <w:tcPr>
                        <w:tcW w:w="1780" w:type="dxa"/>
                        <w:tcBorders>
                          <w:top w:val="nil" w:sz="6" w:space="0" w:color="auto"/>
                          <w:left w:val="nil" w:sz="6" w:space="0" w:color="auto"/>
                          <w:bottom w:val="nil" w:sz="6" w:space="0" w:color="auto"/>
                          <w:right w:val="nil" w:sz="6" w:space="0" w:color="auto"/>
                        </w:tcBorders>
                      </w:tcPr>
                      <w:p>
                        <w:pPr/>
                      </w:p>
                    </w:tc>
                    <w:tc>
                      <w:tcPr>
                        <w:tcW w:w="643"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232"/>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180"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1"/>
                            <w:sz w:val="18"/>
                          </w:rPr>
                          <w:t>2,741,307.14</w:t>
                        </w:r>
                      </w:p>
                    </w:tc>
                    <w:tc>
                      <w:tcPr>
                        <w:tcW w:w="263" w:type="dxa"/>
                        <w:tcBorders>
                          <w:top w:val="nil" w:sz="6" w:space="0" w:color="auto"/>
                          <w:left w:val="nil" w:sz="6" w:space="0" w:color="auto"/>
                          <w:bottom w:val="nil" w:sz="6" w:space="0" w:color="auto"/>
                          <w:right w:val="nil" w:sz="6" w:space="0" w:color="auto"/>
                        </w:tcBorders>
                      </w:tcPr>
                      <w:p>
                        <w:pPr/>
                      </w:p>
                    </w:tc>
                    <w:tc>
                      <w:tcPr>
                        <w:tcW w:w="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left="6" w:right="0"/>
                          <w:jc w:val="left"/>
                          <w:rPr>
                            <w:rFonts w:ascii="Times New Roman" w:hAnsi="Times New Roman" w:cs="Times New Roman" w:eastAsia="Times New Roman" w:hint="default"/>
                            <w:sz w:val="18"/>
                            <w:szCs w:val="18"/>
                          </w:rPr>
                        </w:pPr>
                        <w:r>
                          <w:rPr>
                            <w:rFonts w:ascii="Times New Roman"/>
                            <w:sz w:val="18"/>
                          </w:rPr>
                          <w:t>RMB</w:t>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1"/>
                            <w:sz w:val="18"/>
                          </w:rPr>
                          <w:t>269,885,083.00</w:t>
                        </w:r>
                      </w:p>
                    </w:tc>
                    <w:tc>
                      <w:tcPr>
                        <w:tcW w:w="8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left="4" w:right="0"/>
                          <w:jc w:val="left"/>
                          <w:rPr>
                            <w:rFonts w:ascii="Times New Roman" w:hAnsi="Times New Roman" w:cs="Times New Roman" w:eastAsia="Times New Roman" w:hint="default"/>
                            <w:sz w:val="18"/>
                            <w:szCs w:val="18"/>
                          </w:rPr>
                        </w:pPr>
                        <w:r>
                          <w:rPr>
                            <w:rFonts w:ascii="Times New Roman"/>
                            <w:sz w:val="18"/>
                          </w:rPr>
                          <w:t>RMB</w:t>
                        </w:r>
                      </w:p>
                    </w:tc>
                    <w:tc>
                      <w:tcPr>
                        <w:tcW w:w="62" w:type="dxa"/>
                        <w:tcBorders>
                          <w:top w:val="single" w:sz="4" w:space="0" w:color="000000"/>
                          <w:left w:val="nil" w:sz="6" w:space="0" w:color="auto"/>
                          <w:bottom w:val="single" w:sz="12" w:space="0" w:color="000000"/>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left="5" w:right="0"/>
                          <w:jc w:val="left"/>
                          <w:rPr>
                            <w:rFonts w:ascii="Times New Roman" w:hAnsi="Times New Roman" w:cs="Times New Roman" w:eastAsia="Times New Roman" w:hint="default"/>
                            <w:sz w:val="18"/>
                            <w:szCs w:val="18"/>
                          </w:rPr>
                        </w:pPr>
                        <w:r>
                          <w:rPr>
                            <w:rFonts w:ascii="Times New Roman"/>
                            <w:sz w:val="18"/>
                          </w:rPr>
                          <w:t>RMB</w:t>
                        </w: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z w:val="18"/>
                          </w:rPr>
                          <w:t>272,626,390.14</w:t>
                        </w:r>
                      </w:p>
                    </w:tc>
                  </w:tr>
                </w:tbl>
                <w:p>
                  <w:pPr/>
                </w:p>
              </w:txbxContent>
            </v:textbox>
            <w10:wrap type="none"/>
          </v:shape>
        </w:pict>
      </w:r>
      <w:r>
        <w:rPr>
          <w:rFonts w:ascii="Times New Roman"/>
          <w:sz w:val="18"/>
        </w:rPr>
        <w:t>*</w:t>
        <w:tab/>
        <w:t>-</w:t>
      </w:r>
    </w:p>
    <w:p>
      <w:pPr>
        <w:spacing w:before="132"/>
        <w:ind w:left="0" w:right="2240" w:firstLine="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spacing w:before="142"/>
        <w:ind w:left="0" w:right="2242" w:firstLine="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spacing w:line="240" w:lineRule="auto" w:before="7"/>
        <w:rPr>
          <w:rFonts w:ascii="Times New Roman" w:hAnsi="Times New Roman" w:cs="Times New Roman" w:eastAsia="Times New Roman" w:hint="default"/>
          <w:sz w:val="22"/>
          <w:szCs w:val="22"/>
        </w:rPr>
      </w:pPr>
    </w:p>
    <w:p>
      <w:pPr>
        <w:pStyle w:val="BodyText"/>
        <w:spacing w:line="240" w:lineRule="auto" w:before="26"/>
        <w:ind w:left="824" w:right="1410"/>
        <w:jc w:val="left"/>
      </w:pPr>
      <w:r>
        <w:rPr>
          <w:rFonts w:ascii="Times New Roman" w:hAnsi="Times New Roman" w:cs="Times New Roman" w:eastAsia="Times New Roman" w:hint="default"/>
          <w:spacing w:val="7"/>
        </w:rPr>
        <w:t>*</w:t>
      </w:r>
      <w:r>
        <w:rPr>
          <w:spacing w:val="7"/>
        </w:rPr>
        <w:t>本年度资本公积增加系年度内发行</w:t>
      </w:r>
      <w:r>
        <w:rPr>
          <w:spacing w:val="-47"/>
        </w:rPr>
        <w:t> </w:t>
      </w:r>
      <w:r>
        <w:rPr>
          <w:rFonts w:ascii="Times New Roman" w:hAnsi="Times New Roman" w:cs="Times New Roman" w:eastAsia="Times New Roman" w:hint="default"/>
          <w:spacing w:val="2"/>
        </w:rPr>
        <w:t>16,000,000</w:t>
      </w:r>
      <w:r>
        <w:rPr>
          <w:rFonts w:ascii="Times New Roman" w:hAnsi="Times New Roman" w:cs="Times New Roman" w:eastAsia="Times New Roman" w:hint="default"/>
          <w:spacing w:val="11"/>
        </w:rPr>
        <w:t> </w:t>
      </w:r>
      <w:r>
        <w:rPr>
          <w:spacing w:val="8"/>
        </w:rPr>
        <w:t>股新股溢价所致。</w:t>
      </w:r>
      <w:r>
        <w:rPr/>
      </w:r>
    </w:p>
    <w:p>
      <w:pPr>
        <w:spacing w:line="240" w:lineRule="auto" w:before="12"/>
        <w:rPr>
          <w:rFonts w:ascii="宋体" w:hAnsi="宋体" w:cs="宋体" w:eastAsia="宋体" w:hint="default"/>
          <w:sz w:val="18"/>
          <w:szCs w:val="18"/>
        </w:rPr>
      </w:pPr>
    </w:p>
    <w:p>
      <w:pPr>
        <w:spacing w:line="417" w:lineRule="auto" w:before="0"/>
        <w:ind w:left="824" w:right="504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盈余公积</w:t>
      </w:r>
      <w:r>
        <w:rPr>
          <w:rFonts w:ascii="宋体" w:hAnsi="宋体" w:cs="宋体" w:eastAsia="宋体" w:hint="default"/>
          <w:b/>
          <w:bCs/>
          <w:spacing w:val="-119"/>
          <w:sz w:val="24"/>
          <w:szCs w:val="24"/>
        </w:rPr>
        <w:t> </w:t>
      </w:r>
      <w:r>
        <w:rPr>
          <w:rFonts w:ascii="宋体" w:hAnsi="宋体" w:cs="宋体" w:eastAsia="宋体" w:hint="default"/>
          <w:spacing w:val="8"/>
          <w:sz w:val="24"/>
          <w:szCs w:val="24"/>
        </w:rPr>
        <w:t>盈余公积增减变动明细项目列示如下：</w:t>
      </w:r>
      <w:r>
        <w:rPr>
          <w:rFonts w:ascii="宋体" w:hAnsi="宋体" w:cs="宋体" w:eastAsia="宋体" w:hint="default"/>
          <w:sz w:val="24"/>
          <w:szCs w:val="24"/>
        </w:rPr>
      </w:r>
    </w:p>
    <w:p>
      <w:pPr>
        <w:spacing w:line="240" w:lineRule="auto" w:before="4"/>
        <w:rPr>
          <w:rFonts w:ascii="宋体" w:hAnsi="宋体" w:cs="宋体" w:eastAsia="宋体" w:hint="default"/>
          <w:sz w:val="26"/>
          <w:szCs w:val="26"/>
        </w:rPr>
      </w:pPr>
    </w:p>
    <w:p>
      <w:pPr>
        <w:spacing w:before="76"/>
        <w:ind w:left="0" w:right="2318" w:firstLine="0"/>
        <w:jc w:val="right"/>
        <w:rPr>
          <w:rFonts w:ascii="Times New Roman" w:hAnsi="Times New Roman" w:cs="Times New Roman" w:eastAsia="Times New Roman" w:hint="default"/>
          <w:sz w:val="18"/>
          <w:szCs w:val="18"/>
        </w:rPr>
      </w:pPr>
      <w:r>
        <w:rPr/>
        <w:pict>
          <v:shape style="position:absolute;margin-left:46.702999pt;margin-top:-14.729044pt;width:486.85pt;height:28.8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6"/>
                    <w:gridCol w:w="466"/>
                    <w:gridCol w:w="1305"/>
                    <w:gridCol w:w="289"/>
                    <w:gridCol w:w="515"/>
                    <w:gridCol w:w="1318"/>
                    <w:gridCol w:w="222"/>
                    <w:gridCol w:w="1660"/>
                    <w:gridCol w:w="60"/>
                    <w:gridCol w:w="217"/>
                    <w:gridCol w:w="478"/>
                    <w:gridCol w:w="1371"/>
                  </w:tblGrid>
                  <w:tr>
                    <w:trPr>
                      <w:trHeight w:val="253" w:hRule="exact"/>
                    </w:trPr>
                    <w:tc>
                      <w:tcPr>
                        <w:tcW w:w="1836"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single" w:sz="4" w:space="0" w:color="000000"/>
                          <w:right w:val="nil" w:sz="6" w:space="0" w:color="auto"/>
                        </w:tcBorders>
                      </w:tcPr>
                      <w:p>
                        <w:pPr/>
                      </w:p>
                    </w:tc>
                    <w:tc>
                      <w:tcPr>
                        <w:tcW w:w="1305" w:type="dxa"/>
                        <w:tcBorders>
                          <w:top w:val="nil" w:sz="6" w:space="0" w:color="auto"/>
                          <w:left w:val="nil" w:sz="6" w:space="0" w:color="auto"/>
                          <w:bottom w:val="single" w:sz="4" w:space="0" w:color="000000"/>
                          <w:right w:val="nil" w:sz="6" w:space="0" w:color="auto"/>
                        </w:tcBorders>
                      </w:tcPr>
                      <w:p>
                        <w:pPr>
                          <w:pStyle w:val="TableParagraph"/>
                          <w:spacing w:line="203" w:lineRule="exact"/>
                          <w:ind w:left="17" w:right="0"/>
                          <w:jc w:val="left"/>
                          <w:rPr>
                            <w:rFonts w:ascii="Times New Roman" w:hAnsi="Times New Roman" w:cs="Times New Roman" w:eastAsia="Times New Roman" w:hint="default"/>
                            <w:sz w:val="18"/>
                            <w:szCs w:val="18"/>
                          </w:rPr>
                        </w:pPr>
                        <w:r>
                          <w:rPr>
                            <w:rFonts w:ascii="Times New Roman"/>
                            <w:sz w:val="18"/>
                          </w:rPr>
                          <w:t>2007.01.01</w:t>
                        </w:r>
                      </w:p>
                    </w:tc>
                    <w:tc>
                      <w:tcPr>
                        <w:tcW w:w="28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single" w:sz="4" w:space="0" w:color="000000"/>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180" w:lineRule="exact"/>
                          <w:ind w:left="4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2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6" w:space="0" w:color="000000"/>
                          <w:right w:val="nil" w:sz="6" w:space="0" w:color="auto"/>
                        </w:tcBorders>
                      </w:tcPr>
                      <w:p>
                        <w:pPr>
                          <w:pStyle w:val="TableParagraph"/>
                          <w:spacing w:line="180" w:lineRule="exact"/>
                          <w:ind w:left="50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60" w:type="dxa"/>
                        <w:tcBorders>
                          <w:top w:val="nil" w:sz="6" w:space="0" w:color="auto"/>
                          <w:left w:val="nil" w:sz="6" w:space="0" w:color="auto"/>
                          <w:bottom w:val="single" w:sz="6" w:space="0" w:color="000000"/>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single" w:sz="4" w:space="0" w:color="000000"/>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Style w:val="TableParagraph"/>
                          <w:spacing w:line="203" w:lineRule="exact"/>
                          <w:ind w:left="43" w:right="0"/>
                          <w:jc w:val="left"/>
                          <w:rPr>
                            <w:rFonts w:ascii="Times New Roman" w:hAnsi="Times New Roman" w:cs="Times New Roman" w:eastAsia="Times New Roman" w:hint="default"/>
                            <w:sz w:val="18"/>
                            <w:szCs w:val="18"/>
                          </w:rPr>
                        </w:pPr>
                        <w:r>
                          <w:rPr>
                            <w:rFonts w:ascii="Times New Roman"/>
                            <w:sz w:val="18"/>
                          </w:rPr>
                          <w:t>2007.12.31</w:t>
                        </w:r>
                      </w:p>
                    </w:tc>
                  </w:tr>
                  <w:tr>
                    <w:trPr>
                      <w:trHeight w:val="323"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46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61" w:right="0"/>
                          <w:jc w:val="left"/>
                          <w:rPr>
                            <w:rFonts w:ascii="宋体" w:hAnsi="宋体" w:cs="宋体" w:eastAsia="宋体" w:hint="default"/>
                            <w:sz w:val="18"/>
                            <w:szCs w:val="18"/>
                          </w:rPr>
                        </w:pPr>
                        <w:r>
                          <w:rPr>
                            <w:rFonts w:ascii="宋体"/>
                            <w:sz w:val="18"/>
                          </w:rPr>
                          <w:t>RMB</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sz w:val="18"/>
                          </w:rPr>
                          <w:t>15,026,270.18</w:t>
                        </w:r>
                      </w:p>
                    </w:tc>
                    <w:tc>
                      <w:tcPr>
                        <w:tcW w:w="289" w:type="dxa"/>
                        <w:tcBorders>
                          <w:top w:val="nil" w:sz="6" w:space="0" w:color="auto"/>
                          <w:left w:val="nil" w:sz="6" w:space="0" w:color="auto"/>
                          <w:bottom w:val="nil" w:sz="6" w:space="0" w:color="auto"/>
                          <w:right w:val="nil" w:sz="6" w:space="0" w:color="auto"/>
                        </w:tcBorders>
                      </w:tcPr>
                      <w:p>
                        <w:pPr/>
                      </w:p>
                    </w:tc>
                    <w:tc>
                      <w:tcPr>
                        <w:tcW w:w="51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sz w:val="18"/>
                          </w:rPr>
                          <w:t>RMB</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37" w:right="0"/>
                          <w:jc w:val="left"/>
                          <w:rPr>
                            <w:rFonts w:ascii="宋体" w:hAnsi="宋体" w:cs="宋体" w:eastAsia="宋体" w:hint="default"/>
                            <w:sz w:val="18"/>
                            <w:szCs w:val="18"/>
                          </w:rPr>
                        </w:pPr>
                        <w:r>
                          <w:rPr>
                            <w:rFonts w:ascii="宋体"/>
                            <w:sz w:val="18"/>
                          </w:rPr>
                          <w:t>8,268,343.84</w:t>
                        </w:r>
                      </w:p>
                    </w:tc>
                    <w:tc>
                      <w:tcPr>
                        <w:tcW w:w="222" w:type="dxa"/>
                        <w:tcBorders>
                          <w:top w:val="nil" w:sz="6" w:space="0" w:color="auto"/>
                          <w:left w:val="nil" w:sz="6" w:space="0" w:color="auto"/>
                          <w:bottom w:val="nil" w:sz="6" w:space="0" w:color="auto"/>
                          <w:right w:val="nil" w:sz="6" w:space="0" w:color="auto"/>
                        </w:tcBorders>
                      </w:tcPr>
                      <w:p>
                        <w:pPr/>
                      </w:p>
                    </w:tc>
                    <w:tc>
                      <w:tcPr>
                        <w:tcW w:w="1660"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7" w:right="0"/>
                          <w:jc w:val="left"/>
                          <w:rPr>
                            <w:rFonts w:ascii="宋体" w:hAnsi="宋体" w:cs="宋体" w:eastAsia="宋体" w:hint="default"/>
                            <w:sz w:val="18"/>
                            <w:szCs w:val="18"/>
                          </w:rPr>
                        </w:pPr>
                        <w:r>
                          <w:rPr>
                            <w:rFonts w:ascii="宋体"/>
                            <w:sz w:val="18"/>
                          </w:rPr>
                          <w:t>RMB</w:t>
                        </w:r>
                      </w:p>
                    </w:tc>
                    <w:tc>
                      <w:tcPr>
                        <w:tcW w:w="60" w:type="dxa"/>
                        <w:tcBorders>
                          <w:top w:val="single" w:sz="6" w:space="0" w:color="000000"/>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47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sz w:val="18"/>
                          </w:rPr>
                          <w:t>RMB</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18"/>
                            <w:szCs w:val="18"/>
                          </w:rPr>
                        </w:pPr>
                        <w:r>
                          <w:rPr>
                            <w:rFonts w:ascii="宋体"/>
                            <w:sz w:val="18"/>
                          </w:rPr>
                          <w:t>23,294,614.02</w:t>
                        </w:r>
                      </w:p>
                    </w:tc>
                  </w:tr>
                </w:tbl>
                <w:p>
                  <w:pPr/>
                </w:p>
              </w:txbxContent>
            </v:textbox>
            <w10:wrap type="none"/>
          </v:shape>
        </w:pict>
      </w:r>
      <w:r>
        <w:rPr>
          <w:rFonts w:ascii="Times New Roman"/>
          <w:w w:val="99"/>
          <w:sz w:val="18"/>
        </w:rPr>
        <w:t>-</w:t>
      </w:r>
      <w:r>
        <w:rPr>
          <w:rFonts w:ascii="Times New Roman"/>
          <w:sz w:val="18"/>
        </w:rPr>
      </w:r>
    </w:p>
    <w:p>
      <w:pPr>
        <w:spacing w:line="240" w:lineRule="auto" w:before="2"/>
        <w:rPr>
          <w:rFonts w:ascii="Times New Roman" w:hAnsi="Times New Roman" w:cs="Times New Roman" w:eastAsia="Times New Roman" w:hint="default"/>
          <w:sz w:val="18"/>
          <w:szCs w:val="18"/>
        </w:rPr>
      </w:pPr>
    </w:p>
    <w:p>
      <w:pPr>
        <w:pStyle w:val="BodyText"/>
        <w:spacing w:line="240" w:lineRule="auto" w:before="26"/>
        <w:ind w:left="824" w:right="303"/>
        <w:jc w:val="left"/>
      </w:pPr>
      <w:r>
        <w:rPr>
          <w:rFonts w:ascii="Times New Roman" w:hAnsi="Times New Roman" w:cs="Times New Roman" w:eastAsia="Times New Roman" w:hint="default"/>
        </w:rPr>
        <w:t>*  </w:t>
      </w:r>
      <w:r>
        <w:rPr>
          <w:spacing w:val="7"/>
        </w:rPr>
        <w:t>本年度盈余公积增加系根据本年度实现净利润的</w:t>
      </w:r>
      <w:r>
        <w:rPr>
          <w:spacing w:val="-27"/>
        </w:rPr>
        <w:t> </w:t>
      </w:r>
      <w:r>
        <w:rPr>
          <w:rFonts w:ascii="Times New Roman" w:hAnsi="Times New Roman" w:cs="Times New Roman" w:eastAsia="Times New Roman" w:hint="default"/>
          <w:spacing w:val="7"/>
        </w:rPr>
        <w:t>10%</w:t>
      </w:r>
      <w:r>
        <w:rPr>
          <w:spacing w:val="7"/>
        </w:rPr>
        <w:t>计提的法定盈余公积。</w:t>
      </w:r>
      <w:r>
        <w:rPr/>
      </w:r>
    </w:p>
    <w:p>
      <w:pPr>
        <w:spacing w:line="374" w:lineRule="auto" w:before="207"/>
        <w:ind w:left="824" w:right="479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未分配利润</w:t>
      </w:r>
      <w:r>
        <w:rPr>
          <w:rFonts w:ascii="宋体" w:hAnsi="宋体" w:cs="宋体" w:eastAsia="宋体" w:hint="default"/>
          <w:b/>
          <w:bCs/>
          <w:spacing w:val="9"/>
          <w:w w:val="99"/>
          <w:sz w:val="24"/>
          <w:szCs w:val="24"/>
        </w:rPr>
        <w:t> </w:t>
      </w:r>
      <w:r>
        <w:rPr>
          <w:rFonts w:ascii="宋体" w:hAnsi="宋体" w:cs="宋体" w:eastAsia="宋体" w:hint="default"/>
          <w:spacing w:val="8"/>
          <w:sz w:val="24"/>
          <w:szCs w:val="24"/>
        </w:rPr>
        <w:t>未分配利润增减变动明细项目列示如下：</w:t>
      </w:r>
      <w:r>
        <w:rPr>
          <w:rFonts w:ascii="宋体" w:hAnsi="宋体" w:cs="宋体" w:eastAsia="宋体" w:hint="default"/>
          <w:sz w:val="24"/>
          <w:szCs w:val="24"/>
        </w:rPr>
      </w:r>
    </w:p>
    <w:p>
      <w:pPr>
        <w:spacing w:line="240" w:lineRule="auto" w:before="10"/>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486"/>
        <w:gridCol w:w="1928"/>
        <w:gridCol w:w="1502"/>
        <w:gridCol w:w="1927"/>
      </w:tblGrid>
      <w:tr>
        <w:trPr>
          <w:trHeight w:val="235" w:hRule="exact"/>
        </w:trPr>
        <w:tc>
          <w:tcPr>
            <w:tcW w:w="4486"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184" w:lineRule="exact"/>
              <w:ind w:left="1" w:right="0"/>
              <w:jc w:val="center"/>
              <w:rPr>
                <w:rFonts w:ascii="Times New Roman" w:hAnsi="Times New Roman" w:cs="Times New Roman" w:eastAsia="Times New Roman" w:hint="default"/>
                <w:sz w:val="18"/>
                <w:szCs w:val="18"/>
              </w:rPr>
            </w:pPr>
            <w:r>
              <w:rPr>
                <w:rFonts w:ascii="Times New Roman"/>
                <w:spacing w:val="-4"/>
                <w:sz w:val="18"/>
              </w:rPr>
              <w:t>2007</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6" w:space="0" w:color="000000"/>
              <w:right w:val="nil" w:sz="6" w:space="0" w:color="auto"/>
            </w:tcBorders>
          </w:tcPr>
          <w:p>
            <w:pPr>
              <w:pStyle w:val="TableParagraph"/>
              <w:spacing w:line="184" w:lineRule="exact"/>
              <w:ind w:right="0"/>
              <w:jc w:val="center"/>
              <w:rPr>
                <w:rFonts w:ascii="Times New Roman" w:hAnsi="Times New Roman" w:cs="Times New Roman" w:eastAsia="Times New Roman" w:hint="default"/>
                <w:sz w:val="18"/>
                <w:szCs w:val="18"/>
              </w:rPr>
            </w:pPr>
            <w:r>
              <w:rPr>
                <w:rFonts w:ascii="Times New Roman"/>
                <w:spacing w:val="-4"/>
                <w:sz w:val="18"/>
              </w:rPr>
              <w:t>2006</w:t>
            </w:r>
            <w:r>
              <w:rPr>
                <w:rFonts w:ascii="Times New Roman"/>
                <w:sz w:val="18"/>
              </w:rPr>
            </w:r>
          </w:p>
        </w:tc>
      </w:tr>
      <w:tr>
        <w:trPr>
          <w:trHeight w:val="43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18"/>
                <w:szCs w:val="18"/>
              </w:rPr>
            </w:pPr>
            <w:r>
              <w:rPr>
                <w:rFonts w:ascii="宋体" w:hAnsi="宋体" w:cs="宋体" w:eastAsia="宋体" w:hint="default"/>
                <w:spacing w:val="-6"/>
                <w:sz w:val="18"/>
                <w:szCs w:val="18"/>
              </w:rPr>
              <w:t>净利润</w:t>
            </w:r>
          </w:p>
        </w:tc>
        <w:tc>
          <w:tcPr>
            <w:tcW w:w="1928" w:type="dxa"/>
            <w:tcBorders>
              <w:top w:val="single" w:sz="4" w:space="0" w:color="000000"/>
              <w:left w:val="nil" w:sz="6" w:space="0" w:color="auto"/>
              <w:bottom w:val="nil" w:sz="6" w:space="0" w:color="auto"/>
              <w:right w:val="nil" w:sz="6" w:space="0" w:color="auto"/>
            </w:tcBorders>
          </w:tcPr>
          <w:p>
            <w:pPr>
              <w:pStyle w:val="TableParagraph"/>
              <w:tabs>
                <w:tab w:pos="635" w:val="left" w:leader="none"/>
              </w:tabs>
              <w:spacing w:line="240" w:lineRule="auto" w:before="134"/>
              <w:ind w:right="0"/>
              <w:jc w:val="righ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5"/>
                <w:sz w:val="18"/>
              </w:rPr>
              <w:t>83,321,753.39</w:t>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single" w:sz="6" w:space="0" w:color="000000"/>
              <w:left w:val="nil" w:sz="6" w:space="0" w:color="auto"/>
              <w:bottom w:val="nil" w:sz="6" w:space="0" w:color="auto"/>
              <w:right w:val="nil" w:sz="6" w:space="0" w:color="auto"/>
            </w:tcBorders>
          </w:tcPr>
          <w:p>
            <w:pPr>
              <w:pStyle w:val="TableParagraph"/>
              <w:tabs>
                <w:tab w:pos="635" w:val="left" w:leader="none"/>
              </w:tabs>
              <w:spacing w:line="240" w:lineRule="auto" w:before="129"/>
              <w:ind w:right="0"/>
              <w:jc w:val="righ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5"/>
                <w:sz w:val="18"/>
              </w:rPr>
              <w:t>50,790,876.65</w:t>
            </w:r>
          </w:p>
        </w:tc>
      </w:tr>
      <w:tr>
        <w:trPr>
          <w:trHeight w:val="38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0" w:right="0"/>
              <w:jc w:val="left"/>
              <w:rPr>
                <w:rFonts w:ascii="宋体" w:hAnsi="宋体" w:cs="宋体" w:eastAsia="宋体" w:hint="default"/>
                <w:sz w:val="18"/>
                <w:szCs w:val="18"/>
              </w:rPr>
            </w:pPr>
            <w:r>
              <w:rPr>
                <w:rFonts w:ascii="宋体" w:hAnsi="宋体" w:cs="宋体" w:eastAsia="宋体" w:hint="default"/>
                <w:spacing w:val="-9"/>
                <w:sz w:val="18"/>
                <w:szCs w:val="18"/>
              </w:rPr>
              <w:t>减</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少数股东损益</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5"/>
                <w:sz w:val="18"/>
              </w:rPr>
              <w:t>47,198.59</w:t>
            </w:r>
            <w:r>
              <w:rPr>
                <w:rFonts w:ascii="Times New Roman"/>
                <w:sz w:val="18"/>
              </w:rPr>
            </w:r>
          </w:p>
        </w:tc>
      </w:tr>
      <w:tr>
        <w:trPr>
          <w:trHeight w:val="38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pacing w:val="-9"/>
                <w:sz w:val="18"/>
                <w:szCs w:val="18"/>
              </w:rPr>
              <w:t>归属母公司股东的净利润</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5"/>
                <w:sz w:val="18"/>
              </w:rPr>
              <w:t>83,321,753.39</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5"/>
                <w:sz w:val="18"/>
              </w:rPr>
              <w:t>50,743,678.06</w:t>
            </w:r>
            <w:r>
              <w:rPr>
                <w:rFonts w:ascii="Times New Roman"/>
                <w:sz w:val="18"/>
              </w:rPr>
            </w:r>
          </w:p>
        </w:tc>
      </w:tr>
      <w:tr>
        <w:trPr>
          <w:trHeight w:val="38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0" w:right="0"/>
              <w:jc w:val="left"/>
              <w:rPr>
                <w:rFonts w:ascii="宋体" w:hAnsi="宋体" w:cs="宋体" w:eastAsia="宋体" w:hint="default"/>
                <w:sz w:val="18"/>
                <w:szCs w:val="18"/>
              </w:rPr>
            </w:pPr>
            <w:r>
              <w:rPr>
                <w:rFonts w:ascii="宋体" w:hAnsi="宋体" w:cs="宋体" w:eastAsia="宋体" w:hint="default"/>
                <w:spacing w:val="-8"/>
                <w:sz w:val="18"/>
                <w:szCs w:val="18"/>
              </w:rPr>
              <w:t>加</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年初未分配利润</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5"/>
                <w:sz w:val="18"/>
              </w:rPr>
              <w:t>83,110,213.24</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
              <w:jc w:val="right"/>
              <w:rPr>
                <w:rFonts w:ascii="Times New Roman" w:hAnsi="Times New Roman" w:cs="Times New Roman" w:eastAsia="Times New Roman" w:hint="default"/>
                <w:sz w:val="18"/>
                <w:szCs w:val="18"/>
              </w:rPr>
            </w:pPr>
            <w:r>
              <w:rPr>
                <w:rFonts w:ascii="Times New Roman"/>
                <w:spacing w:val="-5"/>
                <w:sz w:val="18"/>
              </w:rPr>
              <w:t>51,825,450.68</w:t>
            </w:r>
            <w:r>
              <w:rPr>
                <w:rFonts w:ascii="Times New Roman"/>
                <w:sz w:val="18"/>
              </w:rPr>
            </w:r>
          </w:p>
        </w:tc>
      </w:tr>
      <w:tr>
        <w:trPr>
          <w:trHeight w:val="38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0"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4"/>
                <w:sz w:val="18"/>
              </w:rPr>
              <w:t>3,548.97</w:t>
            </w:r>
          </w:p>
        </w:tc>
      </w:tr>
      <w:tr>
        <w:trPr>
          <w:trHeight w:val="38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pacing w:val="-9"/>
                <w:sz w:val="18"/>
                <w:szCs w:val="18"/>
              </w:rPr>
              <w:t>减</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提取法定盈余公积</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pacing w:val="-4"/>
                <w:sz w:val="18"/>
              </w:rPr>
              <w:t>8,268,343.84</w:t>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4"/>
                <w:sz w:val="18"/>
              </w:rPr>
              <w:t>5,062,464.47</w:t>
            </w:r>
          </w:p>
        </w:tc>
      </w:tr>
      <w:tr>
        <w:trPr>
          <w:trHeight w:val="290"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5" w:right="0"/>
              <w:jc w:val="left"/>
              <w:rPr>
                <w:rFonts w:ascii="宋体" w:hAnsi="宋体" w:cs="宋体" w:eastAsia="宋体" w:hint="default"/>
                <w:sz w:val="18"/>
                <w:szCs w:val="18"/>
              </w:rPr>
            </w:pPr>
            <w:r>
              <w:rPr>
                <w:rFonts w:ascii="宋体" w:hAnsi="宋体" w:cs="宋体" w:eastAsia="宋体" w:hint="default"/>
                <w:spacing w:val="-8"/>
                <w:sz w:val="18"/>
                <w:szCs w:val="18"/>
              </w:rPr>
              <w:t>分配普通股股利</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5"/>
                <w:sz w:val="18"/>
              </w:rPr>
              <w:t>14,400,000.00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22" w:top="1060" w:bottom="1220" w:left="820" w:right="98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4486"/>
        <w:gridCol w:w="1927"/>
        <w:gridCol w:w="1503"/>
        <w:gridCol w:w="1924"/>
      </w:tblGrid>
      <w:tr>
        <w:trPr>
          <w:trHeight w:val="401" w:hRule="exact"/>
        </w:trPr>
        <w:tc>
          <w:tcPr>
            <w:tcW w:w="448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18"/>
                <w:szCs w:val="18"/>
              </w:rPr>
            </w:pPr>
            <w:r>
              <w:rPr>
                <w:rFonts w:ascii="宋体" w:hAnsi="宋体" w:cs="宋体" w:eastAsia="宋体" w:hint="default"/>
                <w:spacing w:val="-9"/>
                <w:sz w:val="18"/>
                <w:szCs w:val="18"/>
              </w:rPr>
              <w:t>年末未分配利润</w:t>
            </w:r>
            <w:r>
              <w:rPr>
                <w:rFonts w:ascii="宋体" w:hAnsi="宋体" w:cs="宋体" w:eastAsia="宋体" w:hint="default"/>
                <w:sz w:val="18"/>
                <w:szCs w:val="18"/>
              </w:rPr>
            </w:r>
          </w:p>
        </w:tc>
        <w:tc>
          <w:tcPr>
            <w:tcW w:w="1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left="302" w:right="0"/>
              <w:jc w:val="left"/>
              <w:rPr>
                <w:rFonts w:ascii="Times New Roman" w:hAnsi="Times New Roman" w:cs="Times New Roman" w:eastAsia="Times New Roman" w:hint="default"/>
                <w:sz w:val="18"/>
                <w:szCs w:val="18"/>
              </w:rPr>
            </w:pPr>
            <w:r>
              <w:rPr>
                <w:rFonts w:ascii="Times New Roman"/>
                <w:spacing w:val="-3"/>
                <w:sz w:val="18"/>
              </w:rPr>
              <w:t>RMB   </w:t>
            </w:r>
            <w:r>
              <w:rPr>
                <w:rFonts w:ascii="Times New Roman"/>
                <w:spacing w:val="2"/>
                <w:sz w:val="18"/>
              </w:rPr>
              <w:t> </w:t>
            </w:r>
            <w:r>
              <w:rPr>
                <w:rFonts w:ascii="Times New Roman"/>
                <w:spacing w:val="-5"/>
                <w:sz w:val="18"/>
              </w:rPr>
              <w:t>158,163,622.79</w:t>
            </w:r>
          </w:p>
        </w:tc>
        <w:tc>
          <w:tcPr>
            <w:tcW w:w="1503"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single" w:sz="12" w:space="0" w:color="000000"/>
              <w:right w:val="nil" w:sz="6" w:space="0" w:color="auto"/>
            </w:tcBorders>
          </w:tcPr>
          <w:p>
            <w:pPr>
              <w:pStyle w:val="TableParagraph"/>
              <w:tabs>
                <w:tab w:pos="944" w:val="left" w:leader="none"/>
              </w:tabs>
              <w:spacing w:line="240" w:lineRule="auto" w:before="128"/>
              <w:ind w:left="309" w:right="0"/>
              <w:jc w:val="lef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5"/>
                <w:sz w:val="18"/>
              </w:rPr>
              <w:t>83,110,213.24</w:t>
            </w:r>
          </w:p>
        </w:tc>
      </w:tr>
    </w:tbl>
    <w:p>
      <w:pPr>
        <w:spacing w:line="240" w:lineRule="auto" w:before="7"/>
        <w:rPr>
          <w:rFonts w:ascii="宋体" w:hAnsi="宋体" w:cs="宋体" w:eastAsia="宋体" w:hint="default"/>
          <w:sz w:val="12"/>
          <w:szCs w:val="12"/>
        </w:rPr>
      </w:pPr>
    </w:p>
    <w:p>
      <w:pPr>
        <w:pStyle w:val="Heading4"/>
        <w:spacing w:line="240" w:lineRule="auto"/>
        <w:ind w:left="824" w:right="0"/>
        <w:jc w:val="left"/>
        <w:rPr>
          <w:b w:val="0"/>
          <w:bCs w:val="0"/>
        </w:rPr>
      </w:pPr>
      <w:r>
        <w:rPr>
          <w:rFonts w:ascii="Times New Roman" w:hAnsi="Times New Roman" w:cs="Times New Roman" w:eastAsia="Times New Roman" w:hint="default"/>
        </w:rPr>
        <w:t>25. </w:t>
      </w:r>
      <w:r>
        <w:rPr>
          <w:rFonts w:ascii="Times New Roman" w:hAnsi="Times New Roman" w:cs="Times New Roman" w:eastAsia="Times New Roman" w:hint="default"/>
          <w:spacing w:val="11"/>
        </w:rPr>
        <w:t> </w:t>
      </w:r>
      <w:r>
        <w:rPr>
          <w:spacing w:val="9"/>
        </w:rPr>
        <w:t>营业收入及成本</w:t>
      </w:r>
      <w:r>
        <w:rPr>
          <w:b w:val="0"/>
          <w:bCs w:val="0"/>
        </w:rPr>
      </w:r>
    </w:p>
    <w:p>
      <w:pPr>
        <w:pStyle w:val="BodyText"/>
        <w:spacing w:line="240" w:lineRule="auto" w:before="187"/>
        <w:ind w:left="82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营业收入及成本明细项目列示如下：</w:t>
      </w:r>
      <w:r>
        <w:rPr/>
      </w:r>
    </w:p>
    <w:p>
      <w:pPr>
        <w:spacing w:line="240" w:lineRule="auto" w:before="6"/>
        <w:rPr>
          <w:rFonts w:ascii="宋体" w:hAnsi="宋体" w:cs="宋体" w:eastAsia="宋体" w:hint="default"/>
          <w:sz w:val="29"/>
          <w:szCs w:val="29"/>
        </w:rPr>
      </w:pPr>
    </w:p>
    <w:tbl>
      <w:tblPr>
        <w:tblW w:w="0" w:type="auto"/>
        <w:jc w:val="left"/>
        <w:tblInd w:w="313" w:type="dxa"/>
        <w:tblLayout w:type="fixed"/>
        <w:tblCellMar>
          <w:top w:w="0" w:type="dxa"/>
          <w:left w:w="0" w:type="dxa"/>
          <w:bottom w:w="0" w:type="dxa"/>
          <w:right w:w="0" w:type="dxa"/>
        </w:tblCellMar>
        <w:tblLook w:val="01E0"/>
      </w:tblPr>
      <w:tblGrid>
        <w:gridCol w:w="2353"/>
        <w:gridCol w:w="493"/>
        <w:gridCol w:w="544"/>
        <w:gridCol w:w="1471"/>
        <w:gridCol w:w="1207"/>
        <w:gridCol w:w="253"/>
        <w:gridCol w:w="593"/>
        <w:gridCol w:w="1248"/>
        <w:gridCol w:w="253"/>
        <w:gridCol w:w="1229"/>
      </w:tblGrid>
      <w:tr>
        <w:trPr>
          <w:trHeight w:val="242" w:hRule="exact"/>
        </w:trPr>
        <w:tc>
          <w:tcPr>
            <w:tcW w:w="9644" w:type="dxa"/>
            <w:gridSpan w:val="10"/>
            <w:tcBorders>
              <w:top w:val="nil" w:sz="6" w:space="0" w:color="auto"/>
              <w:left w:val="nil" w:sz="6" w:space="0" w:color="auto"/>
              <w:bottom w:val="nil" w:sz="6" w:space="0" w:color="auto"/>
              <w:right w:val="nil" w:sz="6" w:space="0" w:color="auto"/>
            </w:tcBorders>
          </w:tcPr>
          <w:p>
            <w:pPr>
              <w:pStyle w:val="TableParagraph"/>
              <w:spacing w:line="184" w:lineRule="exact"/>
              <w:ind w:left="2846" w:right="0"/>
              <w:jc w:val="center"/>
              <w:rPr>
                <w:rFonts w:ascii="Times New Roman" w:hAnsi="Times New Roman" w:cs="Times New Roman" w:eastAsia="Times New Roman" w:hint="default"/>
                <w:sz w:val="18"/>
                <w:szCs w:val="18"/>
              </w:rPr>
            </w:pPr>
            <w:r>
              <w:rPr>
                <w:rFonts w:ascii="Times New Roman"/>
                <w:spacing w:val="-6"/>
                <w:sz w:val="18"/>
              </w:rPr>
              <w:t>2007</w:t>
            </w:r>
            <w:r>
              <w:rPr>
                <w:rFonts w:ascii="Times New Roman"/>
                <w:sz w:val="18"/>
              </w:rPr>
            </w:r>
          </w:p>
        </w:tc>
      </w:tr>
      <w:tr>
        <w:trPr>
          <w:trHeight w:val="336"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5"/>
                <w:sz w:val="18"/>
                <w:szCs w:val="18"/>
              </w:rPr>
              <w:t> </w:t>
            </w:r>
            <w:r>
              <w:rPr>
                <w:rFonts w:ascii="宋体" w:hAnsi="宋体" w:cs="宋体" w:eastAsia="宋体" w:hint="default"/>
                <w:sz w:val="18"/>
                <w:szCs w:val="18"/>
              </w:rPr>
              <w:t>目</w:t>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8" w:space="0" w:color="000000"/>
              <w:left w:val="nil" w:sz="6" w:space="0" w:color="auto"/>
              <w:bottom w:val="single" w:sz="4" w:space="0" w:color="000000"/>
              <w:right w:val="nil" w:sz="6" w:space="0" w:color="auto"/>
            </w:tcBorders>
          </w:tcPr>
          <w:p>
            <w:pPr/>
          </w:p>
        </w:tc>
        <w:tc>
          <w:tcPr>
            <w:tcW w:w="1471"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66"/>
              <w:jc w:val="right"/>
              <w:rPr>
                <w:rFonts w:ascii="宋体" w:hAnsi="宋体" w:cs="宋体" w:eastAsia="宋体" w:hint="default"/>
                <w:sz w:val="18"/>
                <w:szCs w:val="18"/>
              </w:rPr>
            </w:pPr>
            <w:r>
              <w:rPr>
                <w:rFonts w:ascii="宋体" w:hAnsi="宋体" w:cs="宋体" w:eastAsia="宋体" w:hint="default"/>
                <w:spacing w:val="-12"/>
                <w:sz w:val="18"/>
                <w:szCs w:val="18"/>
              </w:rPr>
              <w:t>营业收入</w:t>
            </w:r>
            <w:r>
              <w:rPr>
                <w:rFonts w:ascii="宋体" w:hAnsi="宋体" w:cs="宋体" w:eastAsia="宋体" w:hint="default"/>
                <w:sz w:val="18"/>
                <w:szCs w:val="18"/>
              </w:rPr>
            </w:r>
          </w:p>
        </w:tc>
        <w:tc>
          <w:tcPr>
            <w:tcW w:w="1207" w:type="dxa"/>
            <w:tcBorders>
              <w:top w:val="single" w:sz="8" w:space="0" w:color="000000"/>
              <w:left w:val="nil" w:sz="6" w:space="0" w:color="auto"/>
              <w:bottom w:val="single" w:sz="4" w:space="0" w:color="000000"/>
              <w:right w:val="nil" w:sz="6" w:space="0" w:color="auto"/>
            </w:tcBorders>
          </w:tcPr>
          <w:p>
            <w:pPr/>
          </w:p>
        </w:tc>
        <w:tc>
          <w:tcPr>
            <w:tcW w:w="253" w:type="dxa"/>
            <w:tcBorders>
              <w:top w:val="single" w:sz="8" w:space="0" w:color="000000"/>
              <w:left w:val="nil" w:sz="6" w:space="0" w:color="auto"/>
              <w:bottom w:val="nil" w:sz="6" w:space="0" w:color="auto"/>
              <w:right w:val="nil" w:sz="6" w:space="0" w:color="auto"/>
            </w:tcBorders>
          </w:tcPr>
          <w:p>
            <w:pPr/>
          </w:p>
        </w:tc>
        <w:tc>
          <w:tcPr>
            <w:tcW w:w="593" w:type="dxa"/>
            <w:tcBorders>
              <w:top w:val="single" w:sz="8" w:space="0" w:color="000000"/>
              <w:left w:val="nil" w:sz="6" w:space="0" w:color="auto"/>
              <w:bottom w:val="single" w:sz="4" w:space="0" w:color="000000"/>
              <w:right w:val="nil" w:sz="6" w:space="0" w:color="auto"/>
            </w:tcBorders>
          </w:tcPr>
          <w:p>
            <w:pPr/>
          </w:p>
        </w:tc>
        <w:tc>
          <w:tcPr>
            <w:tcW w:w="1248"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10"/>
              <w:jc w:val="right"/>
              <w:rPr>
                <w:rFonts w:ascii="宋体" w:hAnsi="宋体" w:cs="宋体" w:eastAsia="宋体" w:hint="default"/>
                <w:sz w:val="18"/>
                <w:szCs w:val="18"/>
              </w:rPr>
            </w:pPr>
            <w:r>
              <w:rPr>
                <w:rFonts w:ascii="宋体" w:hAnsi="宋体" w:cs="宋体" w:eastAsia="宋体" w:hint="default"/>
                <w:spacing w:val="-12"/>
                <w:sz w:val="18"/>
                <w:szCs w:val="18"/>
              </w:rPr>
              <w:t>营业成</w:t>
            </w:r>
            <w:r>
              <w:rPr>
                <w:rFonts w:ascii="宋体" w:hAnsi="宋体" w:cs="宋体" w:eastAsia="宋体" w:hint="default"/>
                <w:sz w:val="18"/>
                <w:szCs w:val="18"/>
              </w:rPr>
            </w:r>
          </w:p>
        </w:tc>
        <w:tc>
          <w:tcPr>
            <w:tcW w:w="253"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pacing w:val="-12"/>
                <w:sz w:val="18"/>
                <w:szCs w:val="18"/>
              </w:rPr>
              <w:t>本</w:t>
            </w:r>
            <w:r>
              <w:rPr>
                <w:rFonts w:ascii="宋体" w:hAnsi="宋体" w:cs="宋体" w:eastAsia="宋体" w:hint="default"/>
                <w:sz w:val="18"/>
                <w:szCs w:val="18"/>
              </w:rPr>
            </w:r>
          </w:p>
        </w:tc>
        <w:tc>
          <w:tcPr>
            <w:tcW w:w="1229" w:type="dxa"/>
            <w:tcBorders>
              <w:top w:val="single" w:sz="8" w:space="0" w:color="000000"/>
              <w:left w:val="nil" w:sz="6" w:space="0" w:color="auto"/>
              <w:bottom w:val="single" w:sz="4" w:space="0" w:color="000000"/>
              <w:right w:val="nil" w:sz="6" w:space="0" w:color="auto"/>
            </w:tcBorders>
          </w:tcPr>
          <w:p>
            <w:pPr/>
          </w:p>
        </w:tc>
      </w:tr>
      <w:tr>
        <w:trPr>
          <w:trHeight w:val="344" w:hRule="exact"/>
        </w:trPr>
        <w:tc>
          <w:tcPr>
            <w:tcW w:w="2353" w:type="dxa"/>
            <w:tcBorders>
              <w:top w:val="nil" w:sz="6" w:space="0" w:color="auto"/>
              <w:left w:val="nil" w:sz="6" w:space="0" w:color="auto"/>
              <w:bottom w:val="single" w:sz="8" w:space="0" w:color="000000"/>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4" w:space="0" w:color="000000"/>
              <w:left w:val="nil" w:sz="6" w:space="0" w:color="auto"/>
              <w:bottom w:val="single" w:sz="8" w:space="0" w:color="000000"/>
              <w:right w:val="nil" w:sz="6" w:space="0" w:color="auto"/>
            </w:tcBorders>
          </w:tcPr>
          <w:p>
            <w:pPr/>
          </w:p>
        </w:tc>
        <w:tc>
          <w:tcPr>
            <w:tcW w:w="1471"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left="160" w:right="0"/>
              <w:jc w:val="left"/>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1207"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left="435"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single" w:sz="4" w:space="0" w:color="000000"/>
              <w:left w:val="nil" w:sz="6" w:space="0" w:color="auto"/>
              <w:bottom w:val="single" w:sz="8" w:space="0" w:color="000000"/>
              <w:right w:val="nil" w:sz="6" w:space="0" w:color="auto"/>
            </w:tcBorders>
          </w:tcPr>
          <w:p>
            <w:pPr/>
          </w:p>
        </w:tc>
        <w:tc>
          <w:tcPr>
            <w:tcW w:w="1248"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left="160" w:right="0"/>
              <w:jc w:val="left"/>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253" w:type="dxa"/>
            <w:tcBorders>
              <w:top w:val="single" w:sz="4" w:space="0" w:color="000000"/>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left="447"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r>
      <w:tr>
        <w:trPr>
          <w:trHeight w:val="414" w:hRule="exact"/>
        </w:trPr>
        <w:tc>
          <w:tcPr>
            <w:tcW w:w="2353"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高压动态无功补偿装置</w:t>
            </w:r>
            <w:r>
              <w:rPr>
                <w:rFonts w:ascii="宋体" w:hAnsi="宋体" w:cs="宋体" w:eastAsia="宋体" w:hint="default"/>
                <w:spacing w:val="-58"/>
                <w:sz w:val="18"/>
                <w:szCs w:val="18"/>
              </w:rPr>
              <w:t> </w:t>
            </w:r>
            <w:r>
              <w:rPr>
                <w:rFonts w:ascii="Times New Roman" w:hAnsi="Times New Roman" w:cs="Times New Roman" w:eastAsia="Times New Roman" w:hint="default"/>
                <w:spacing w:val="-7"/>
                <w:sz w:val="18"/>
                <w:szCs w:val="18"/>
              </w:rPr>
              <w:t>SVC</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8"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471"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154" w:right="0"/>
              <w:jc w:val="left"/>
              <w:rPr>
                <w:rFonts w:ascii="Times New Roman" w:hAnsi="Times New Roman" w:cs="Times New Roman" w:eastAsia="Times New Roman" w:hint="default"/>
                <w:sz w:val="18"/>
                <w:szCs w:val="18"/>
              </w:rPr>
            </w:pPr>
            <w:r>
              <w:rPr>
                <w:rFonts w:ascii="Times New Roman"/>
                <w:spacing w:val="-7"/>
                <w:sz w:val="18"/>
              </w:rPr>
              <w:t>294,988,090.10</w:t>
            </w:r>
            <w:r>
              <w:rPr>
                <w:rFonts w:ascii="Times New Roman"/>
                <w:sz w:val="18"/>
              </w:rPr>
            </w:r>
          </w:p>
        </w:tc>
        <w:tc>
          <w:tcPr>
            <w:tcW w:w="1207"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6"/>
                <w:w w:val="95"/>
                <w:sz w:val="18"/>
              </w:rPr>
              <w:t>80.34%</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8"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248"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1"/>
              <w:jc w:val="right"/>
              <w:rPr>
                <w:rFonts w:ascii="Times New Roman" w:hAnsi="Times New Roman" w:cs="Times New Roman" w:eastAsia="Times New Roman" w:hint="default"/>
                <w:sz w:val="18"/>
                <w:szCs w:val="18"/>
              </w:rPr>
            </w:pPr>
            <w:r>
              <w:rPr>
                <w:rFonts w:ascii="Times New Roman"/>
                <w:spacing w:val="-7"/>
                <w:sz w:val="18"/>
              </w:rPr>
              <w:t>132,120,125.20</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3"/>
              <w:jc w:val="right"/>
              <w:rPr>
                <w:rFonts w:ascii="Times New Roman" w:hAnsi="Times New Roman" w:cs="Times New Roman" w:eastAsia="Times New Roman" w:hint="default"/>
                <w:sz w:val="18"/>
                <w:szCs w:val="18"/>
              </w:rPr>
            </w:pPr>
            <w:r>
              <w:rPr>
                <w:rFonts w:ascii="Times New Roman"/>
                <w:spacing w:val="-6"/>
                <w:w w:val="95"/>
                <w:sz w:val="18"/>
              </w:rPr>
              <w:t>74.38%</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智能瓦斯排放装置</w:t>
            </w:r>
            <w:r>
              <w:rPr>
                <w:rFonts w:ascii="宋体" w:hAnsi="宋体" w:cs="宋体" w:eastAsia="宋体" w:hint="default"/>
                <w:spacing w:val="-56"/>
                <w:sz w:val="18"/>
                <w:szCs w:val="18"/>
              </w:rPr>
              <w:t> </w:t>
            </w:r>
            <w:r>
              <w:rPr>
                <w:rFonts w:ascii="Times New Roman" w:hAnsi="Times New Roman" w:cs="Times New Roman" w:eastAsia="Times New Roman" w:hint="default"/>
                <w:spacing w:val="-7"/>
                <w:sz w:val="18"/>
                <w:szCs w:val="18"/>
              </w:rPr>
              <w:t>MABZ</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7" w:right="0"/>
              <w:jc w:val="left"/>
              <w:rPr>
                <w:rFonts w:ascii="Times New Roman" w:hAnsi="Times New Roman" w:cs="Times New Roman" w:eastAsia="Times New Roman" w:hint="default"/>
                <w:sz w:val="18"/>
                <w:szCs w:val="18"/>
              </w:rPr>
            </w:pPr>
            <w:r>
              <w:rPr>
                <w:rFonts w:ascii="Times New Roman"/>
                <w:spacing w:val="-7"/>
                <w:sz w:val="18"/>
              </w:rPr>
              <w:t>12,739,743.59</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6"/>
                <w:w w:val="95"/>
                <w:sz w:val="18"/>
              </w:rPr>
              <w:t>3.47%</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7"/>
                <w:sz w:val="18"/>
              </w:rPr>
              <w:t>4,978,179.04</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6"/>
                <w:w w:val="95"/>
                <w:sz w:val="18"/>
              </w:rPr>
              <w:t>2.80%</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电力滤波装置</w:t>
            </w:r>
            <w:r>
              <w:rPr>
                <w:rFonts w:ascii="宋体" w:hAnsi="宋体" w:cs="宋体" w:eastAsia="宋体" w:hint="default"/>
                <w:spacing w:val="-61"/>
                <w:sz w:val="18"/>
                <w:szCs w:val="18"/>
              </w:rPr>
              <w:t> </w:t>
            </w:r>
            <w:r>
              <w:rPr>
                <w:rFonts w:ascii="Times New Roman" w:hAnsi="Times New Roman" w:cs="Times New Roman" w:eastAsia="Times New Roman" w:hint="default"/>
                <w:spacing w:val="-7"/>
                <w:sz w:val="18"/>
                <w:szCs w:val="18"/>
              </w:rPr>
              <w:t>FC</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7" w:right="0"/>
              <w:jc w:val="left"/>
              <w:rPr>
                <w:rFonts w:ascii="Times New Roman" w:hAnsi="Times New Roman" w:cs="Times New Roman" w:eastAsia="Times New Roman" w:hint="default"/>
                <w:sz w:val="18"/>
                <w:szCs w:val="18"/>
              </w:rPr>
            </w:pPr>
            <w:r>
              <w:rPr>
                <w:rFonts w:ascii="Times New Roman"/>
                <w:spacing w:val="-7"/>
                <w:sz w:val="18"/>
              </w:rPr>
              <w:t>34,865,042.71</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Times New Roman" w:hAnsi="Times New Roman" w:cs="Times New Roman" w:eastAsia="Times New Roman" w:hint="default"/>
                <w:sz w:val="18"/>
                <w:szCs w:val="18"/>
              </w:rPr>
            </w:pPr>
            <w:r>
              <w:rPr>
                <w:rFonts w:ascii="Times New Roman"/>
                <w:spacing w:val="-6"/>
                <w:w w:val="95"/>
                <w:sz w:val="18"/>
              </w:rPr>
              <w:t>9.50%</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
              <w:jc w:val="right"/>
              <w:rPr>
                <w:rFonts w:ascii="Times New Roman" w:hAnsi="Times New Roman" w:cs="Times New Roman" w:eastAsia="Times New Roman" w:hint="default"/>
                <w:sz w:val="18"/>
                <w:szCs w:val="18"/>
              </w:rPr>
            </w:pPr>
            <w:r>
              <w:rPr>
                <w:rFonts w:ascii="Times New Roman"/>
                <w:spacing w:val="-7"/>
                <w:sz w:val="18"/>
              </w:rPr>
              <w:t>25,259,858.54</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6"/>
                <w:w w:val="95"/>
                <w:sz w:val="18"/>
              </w:rPr>
              <w:t>14.22%</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高压变频调速装置</w:t>
            </w:r>
            <w:r>
              <w:rPr>
                <w:rFonts w:ascii="宋体" w:hAnsi="宋体" w:cs="宋体" w:eastAsia="宋体" w:hint="default"/>
                <w:spacing w:val="-56"/>
                <w:sz w:val="18"/>
                <w:szCs w:val="18"/>
              </w:rPr>
              <w:t> </w:t>
            </w:r>
            <w:r>
              <w:rPr>
                <w:rFonts w:ascii="Times New Roman" w:hAnsi="Times New Roman" w:cs="Times New Roman" w:eastAsia="Times New Roman" w:hint="default"/>
                <w:spacing w:val="-7"/>
                <w:sz w:val="18"/>
                <w:szCs w:val="18"/>
              </w:rPr>
              <w:t>HVC</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3" w:right="0"/>
              <w:jc w:val="left"/>
              <w:rPr>
                <w:rFonts w:ascii="Times New Roman" w:hAnsi="Times New Roman" w:cs="Times New Roman" w:eastAsia="Times New Roman" w:hint="default"/>
                <w:sz w:val="18"/>
                <w:szCs w:val="18"/>
              </w:rPr>
            </w:pPr>
            <w:r>
              <w:rPr>
                <w:rFonts w:ascii="Times New Roman"/>
                <w:spacing w:val="-7"/>
                <w:sz w:val="18"/>
              </w:rPr>
              <w:t>11,419,145.30</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pacing w:val="-7"/>
                <w:sz w:val="18"/>
              </w:rPr>
              <w:t>3.11%</w:t>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7"/>
                <w:sz w:val="18"/>
              </w:rPr>
              <w:t>5,291,601.13</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6"/>
                <w:w w:val="95"/>
                <w:sz w:val="18"/>
              </w:rPr>
              <w:t>2.98%</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高压软启动装置</w:t>
            </w:r>
            <w:r>
              <w:rPr>
                <w:rFonts w:ascii="宋体" w:hAnsi="宋体" w:cs="宋体" w:eastAsia="宋体" w:hint="default"/>
                <w:spacing w:val="-55"/>
                <w:sz w:val="18"/>
                <w:szCs w:val="18"/>
              </w:rPr>
              <w:t> </w:t>
            </w:r>
            <w:r>
              <w:rPr>
                <w:rFonts w:ascii="Times New Roman" w:hAnsi="Times New Roman" w:cs="Times New Roman" w:eastAsia="Times New Roman" w:hint="default"/>
                <w:spacing w:val="-7"/>
                <w:sz w:val="18"/>
                <w:szCs w:val="18"/>
              </w:rPr>
              <w:t>VFS</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21" w:right="0"/>
              <w:jc w:val="left"/>
              <w:rPr>
                <w:rFonts w:ascii="Times New Roman" w:hAnsi="Times New Roman" w:cs="Times New Roman" w:eastAsia="Times New Roman" w:hint="default"/>
                <w:sz w:val="18"/>
                <w:szCs w:val="18"/>
              </w:rPr>
            </w:pPr>
            <w:r>
              <w:rPr>
                <w:rFonts w:ascii="Times New Roman"/>
                <w:spacing w:val="-7"/>
                <w:sz w:val="18"/>
              </w:rPr>
              <w:t>2,001,066.80</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Times New Roman" w:hAnsi="Times New Roman" w:cs="Times New Roman" w:eastAsia="Times New Roman" w:hint="default"/>
                <w:sz w:val="18"/>
                <w:szCs w:val="18"/>
              </w:rPr>
            </w:pPr>
            <w:r>
              <w:rPr>
                <w:rFonts w:ascii="Times New Roman"/>
                <w:spacing w:val="-6"/>
                <w:w w:val="95"/>
                <w:sz w:val="18"/>
              </w:rPr>
              <w:t>0.55%</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pacing w:val="-6"/>
                <w:sz w:val="18"/>
              </w:rPr>
              <w:t>987,185.74</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pacing w:val="-6"/>
                <w:w w:val="95"/>
                <w:sz w:val="18"/>
              </w:rPr>
              <w:t>0.56%</w:t>
            </w:r>
            <w:r>
              <w:rPr>
                <w:rFonts w:ascii="Times New Roman"/>
                <w:sz w:val="18"/>
              </w:rPr>
            </w:r>
          </w:p>
        </w:tc>
      </w:tr>
      <w:tr>
        <w:trPr>
          <w:trHeight w:val="390"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single" w:sz="8" w:space="0" w:color="000000"/>
              <w:right w:val="nil" w:sz="6" w:space="0" w:color="auto"/>
            </w:tcBorders>
          </w:tcPr>
          <w:p>
            <w:pP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243" w:right="0"/>
              <w:jc w:val="left"/>
              <w:rPr>
                <w:rFonts w:ascii="Times New Roman" w:hAnsi="Times New Roman" w:cs="Times New Roman" w:eastAsia="Times New Roman" w:hint="default"/>
                <w:sz w:val="18"/>
                <w:szCs w:val="18"/>
              </w:rPr>
            </w:pPr>
            <w:r>
              <w:rPr>
                <w:rFonts w:ascii="Times New Roman"/>
                <w:spacing w:val="-7"/>
                <w:sz w:val="18"/>
              </w:rPr>
              <w:t>11,143,888.26</w:t>
            </w:r>
            <w:r>
              <w:rPr>
                <w:rFonts w:ascii="Times New Roman"/>
                <w:sz w:val="18"/>
              </w:rPr>
            </w:r>
          </w:p>
        </w:tc>
        <w:tc>
          <w:tcPr>
            <w:tcW w:w="1207"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right="23"/>
              <w:jc w:val="right"/>
              <w:rPr>
                <w:rFonts w:ascii="Times New Roman" w:hAnsi="Times New Roman" w:cs="Times New Roman" w:eastAsia="Times New Roman" w:hint="default"/>
                <w:sz w:val="18"/>
                <w:szCs w:val="18"/>
              </w:rPr>
            </w:pPr>
            <w:r>
              <w:rPr>
                <w:rFonts w:ascii="Times New Roman"/>
                <w:spacing w:val="-6"/>
                <w:w w:val="95"/>
                <w:sz w:val="18"/>
              </w:rPr>
              <w:t>3.03%</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single" w:sz="8" w:space="0" w:color="000000"/>
              <w:right w:val="nil" w:sz="6" w:space="0" w:color="auto"/>
            </w:tcBorders>
          </w:tcPr>
          <w:p>
            <w:pPr/>
          </w:p>
        </w:tc>
        <w:tc>
          <w:tcPr>
            <w:tcW w:w="1248"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7"/>
                <w:sz w:val="18"/>
              </w:rPr>
              <w:t>8,985,501.62</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6"/>
                <w:w w:val="95"/>
                <w:sz w:val="18"/>
              </w:rPr>
              <w:t>5.06%</w:t>
            </w:r>
            <w:r>
              <w:rPr>
                <w:rFonts w:ascii="Times New Roman"/>
                <w:sz w:val="18"/>
              </w:rPr>
            </w:r>
          </w:p>
        </w:tc>
      </w:tr>
      <w:tr>
        <w:trPr>
          <w:trHeight w:val="424" w:hRule="exact"/>
        </w:trPr>
        <w:tc>
          <w:tcPr>
            <w:tcW w:w="2353"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8" w:space="0" w:color="000000"/>
              <w:left w:val="nil" w:sz="6" w:space="0" w:color="auto"/>
              <w:bottom w:val="single" w:sz="17" w:space="0" w:color="000000"/>
              <w:right w:val="nil" w:sz="6" w:space="0" w:color="auto"/>
            </w:tcBorders>
          </w:tcPr>
          <w:p>
            <w:pPr>
              <w:pStyle w:val="TableParagraph"/>
              <w:spacing w:line="240" w:lineRule="auto" w:before="99"/>
              <w:ind w:left="8"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471" w:type="dxa"/>
            <w:tcBorders>
              <w:top w:val="single" w:sz="8" w:space="0" w:color="000000"/>
              <w:left w:val="nil" w:sz="6" w:space="0" w:color="auto"/>
              <w:bottom w:val="single" w:sz="17" w:space="0" w:color="000000"/>
              <w:right w:val="nil" w:sz="6" w:space="0" w:color="auto"/>
            </w:tcBorders>
          </w:tcPr>
          <w:p>
            <w:pPr>
              <w:pStyle w:val="TableParagraph"/>
              <w:spacing w:line="240" w:lineRule="auto" w:before="99"/>
              <w:ind w:left="153" w:right="0"/>
              <w:jc w:val="left"/>
              <w:rPr>
                <w:rFonts w:ascii="Times New Roman" w:hAnsi="Times New Roman" w:cs="Times New Roman" w:eastAsia="Times New Roman" w:hint="default"/>
                <w:sz w:val="18"/>
                <w:szCs w:val="18"/>
              </w:rPr>
            </w:pPr>
            <w:r>
              <w:rPr>
                <w:rFonts w:ascii="Times New Roman"/>
                <w:spacing w:val="-7"/>
                <w:sz w:val="18"/>
              </w:rPr>
              <w:t>367,156,976.76</w:t>
            </w:r>
            <w:r>
              <w:rPr>
                <w:rFonts w:ascii="Times New Roman"/>
                <w:sz w:val="18"/>
              </w:rPr>
            </w:r>
          </w:p>
        </w:tc>
        <w:tc>
          <w:tcPr>
            <w:tcW w:w="1207" w:type="dxa"/>
            <w:tcBorders>
              <w:top w:val="single" w:sz="8" w:space="0" w:color="000000"/>
              <w:left w:val="nil" w:sz="6" w:space="0" w:color="auto"/>
              <w:bottom w:val="single" w:sz="17" w:space="0" w:color="000000"/>
              <w:right w:val="nil" w:sz="6" w:space="0" w:color="auto"/>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single" w:sz="8" w:space="0" w:color="000000"/>
              <w:left w:val="nil" w:sz="6" w:space="0" w:color="auto"/>
              <w:bottom w:val="single" w:sz="17" w:space="0" w:color="000000"/>
              <w:right w:val="nil" w:sz="6" w:space="0" w:color="auto"/>
            </w:tcBorders>
          </w:tcPr>
          <w:p>
            <w:pPr>
              <w:pStyle w:val="TableParagraph"/>
              <w:spacing w:line="240" w:lineRule="auto" w:before="99"/>
              <w:ind w:left="8"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248" w:type="dxa"/>
            <w:tcBorders>
              <w:top w:val="single" w:sz="8" w:space="0" w:color="000000"/>
              <w:left w:val="nil" w:sz="6" w:space="0" w:color="auto"/>
              <w:bottom w:val="single" w:sz="17" w:space="0" w:color="000000"/>
              <w:right w:val="nil" w:sz="6" w:space="0" w:color="auto"/>
            </w:tcBorders>
          </w:tcPr>
          <w:p>
            <w:pPr>
              <w:pStyle w:val="TableParagraph"/>
              <w:spacing w:line="240" w:lineRule="auto" w:before="99"/>
              <w:ind w:right="1"/>
              <w:jc w:val="right"/>
              <w:rPr>
                <w:rFonts w:ascii="Times New Roman" w:hAnsi="Times New Roman" w:cs="Times New Roman" w:eastAsia="Times New Roman" w:hint="default"/>
                <w:sz w:val="18"/>
                <w:szCs w:val="18"/>
              </w:rPr>
            </w:pPr>
            <w:r>
              <w:rPr>
                <w:rFonts w:ascii="Times New Roman"/>
                <w:spacing w:val="-7"/>
                <w:sz w:val="18"/>
              </w:rPr>
              <w:t>177,622,451.27</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single" w:sz="8" w:space="0" w:color="000000"/>
              <w:left w:val="nil" w:sz="6" w:space="0" w:color="auto"/>
              <w:bottom w:val="single" w:sz="17" w:space="0" w:color="000000"/>
              <w:right w:val="nil" w:sz="6" w:space="0" w:color="auto"/>
            </w:tcBorders>
          </w:tcPr>
          <w:p>
            <w:pPr>
              <w:pStyle w:val="TableParagraph"/>
              <w:spacing w:line="240" w:lineRule="auto" w:before="99"/>
              <w:ind w:right="3"/>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r>
      <w:tr>
        <w:trPr>
          <w:trHeight w:val="353" w:hRule="exact"/>
        </w:trPr>
        <w:tc>
          <w:tcPr>
            <w:tcW w:w="964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87"/>
              <w:ind w:left="2846" w:right="0"/>
              <w:jc w:val="center"/>
              <w:rPr>
                <w:rFonts w:ascii="Times New Roman" w:hAnsi="Times New Roman" w:cs="Times New Roman" w:eastAsia="Times New Roman" w:hint="default"/>
                <w:sz w:val="18"/>
                <w:szCs w:val="18"/>
              </w:rPr>
            </w:pPr>
            <w:r>
              <w:rPr>
                <w:rFonts w:ascii="Times New Roman"/>
                <w:spacing w:val="-6"/>
                <w:sz w:val="18"/>
              </w:rPr>
              <w:t>2006</w:t>
            </w:r>
            <w:r>
              <w:rPr>
                <w:rFonts w:ascii="Times New Roman"/>
                <w:sz w:val="18"/>
              </w:rPr>
            </w:r>
          </w:p>
        </w:tc>
      </w:tr>
      <w:tr>
        <w:trPr>
          <w:trHeight w:val="340"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5"/>
                <w:sz w:val="18"/>
                <w:szCs w:val="18"/>
              </w:rPr>
              <w:t> </w:t>
            </w:r>
            <w:r>
              <w:rPr>
                <w:rFonts w:ascii="宋体" w:hAnsi="宋体" w:cs="宋体" w:eastAsia="宋体" w:hint="default"/>
                <w:sz w:val="18"/>
                <w:szCs w:val="18"/>
              </w:rPr>
              <w:t>目</w:t>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8" w:space="0" w:color="000000"/>
              <w:left w:val="nil" w:sz="6" w:space="0" w:color="auto"/>
              <w:bottom w:val="single" w:sz="8" w:space="0" w:color="000000"/>
              <w:right w:val="nil" w:sz="6" w:space="0" w:color="auto"/>
            </w:tcBorders>
          </w:tcPr>
          <w:p>
            <w:pPr/>
          </w:p>
        </w:tc>
        <w:tc>
          <w:tcPr>
            <w:tcW w:w="147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59"/>
              <w:jc w:val="right"/>
              <w:rPr>
                <w:rFonts w:ascii="宋体" w:hAnsi="宋体" w:cs="宋体" w:eastAsia="宋体" w:hint="default"/>
                <w:sz w:val="18"/>
                <w:szCs w:val="18"/>
              </w:rPr>
            </w:pPr>
            <w:r>
              <w:rPr>
                <w:rFonts w:ascii="宋体" w:hAnsi="宋体" w:cs="宋体" w:eastAsia="宋体" w:hint="default"/>
                <w:spacing w:val="-12"/>
                <w:sz w:val="18"/>
                <w:szCs w:val="18"/>
              </w:rPr>
              <w:t>营业收入</w:t>
            </w:r>
            <w:r>
              <w:rPr>
                <w:rFonts w:ascii="宋体" w:hAnsi="宋体" w:cs="宋体" w:eastAsia="宋体" w:hint="default"/>
                <w:sz w:val="18"/>
                <w:szCs w:val="18"/>
              </w:rPr>
            </w:r>
          </w:p>
        </w:tc>
        <w:tc>
          <w:tcPr>
            <w:tcW w:w="1207" w:type="dxa"/>
            <w:tcBorders>
              <w:top w:val="single" w:sz="8" w:space="0" w:color="000000"/>
              <w:left w:val="nil" w:sz="6" w:space="0" w:color="auto"/>
              <w:bottom w:val="single" w:sz="8" w:space="0" w:color="000000"/>
              <w:right w:val="nil" w:sz="6" w:space="0" w:color="auto"/>
            </w:tcBorders>
          </w:tcPr>
          <w:p>
            <w:pPr/>
          </w:p>
        </w:tc>
        <w:tc>
          <w:tcPr>
            <w:tcW w:w="253" w:type="dxa"/>
            <w:tcBorders>
              <w:top w:val="single" w:sz="8" w:space="0" w:color="000000"/>
              <w:left w:val="nil" w:sz="6" w:space="0" w:color="auto"/>
              <w:bottom w:val="nil" w:sz="6" w:space="0" w:color="auto"/>
              <w:right w:val="nil" w:sz="6" w:space="0" w:color="auto"/>
            </w:tcBorders>
          </w:tcPr>
          <w:p>
            <w:pPr/>
          </w:p>
        </w:tc>
        <w:tc>
          <w:tcPr>
            <w:tcW w:w="593" w:type="dxa"/>
            <w:tcBorders>
              <w:top w:val="single" w:sz="8" w:space="0" w:color="000000"/>
              <w:left w:val="nil" w:sz="6" w:space="0" w:color="auto"/>
              <w:bottom w:val="single" w:sz="8" w:space="0" w:color="000000"/>
              <w:right w:val="nil" w:sz="6" w:space="0" w:color="auto"/>
            </w:tcBorders>
          </w:tcPr>
          <w:p>
            <w:pPr/>
          </w:p>
        </w:tc>
        <w:tc>
          <w:tcPr>
            <w:tcW w:w="1248"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9"/>
              <w:jc w:val="right"/>
              <w:rPr>
                <w:rFonts w:ascii="宋体" w:hAnsi="宋体" w:cs="宋体" w:eastAsia="宋体" w:hint="default"/>
                <w:sz w:val="18"/>
                <w:szCs w:val="18"/>
              </w:rPr>
            </w:pPr>
            <w:r>
              <w:rPr>
                <w:rFonts w:ascii="宋体" w:hAnsi="宋体" w:cs="宋体" w:eastAsia="宋体" w:hint="default"/>
                <w:spacing w:val="-12"/>
                <w:sz w:val="18"/>
                <w:szCs w:val="18"/>
              </w:rPr>
              <w:t>营业成</w:t>
            </w:r>
            <w:r>
              <w:rPr>
                <w:rFonts w:ascii="宋体" w:hAnsi="宋体" w:cs="宋体" w:eastAsia="宋体" w:hint="default"/>
                <w:sz w:val="18"/>
                <w:szCs w:val="18"/>
              </w:rPr>
            </w:r>
          </w:p>
        </w:tc>
        <w:tc>
          <w:tcPr>
            <w:tcW w:w="25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pacing w:val="-12"/>
                <w:sz w:val="18"/>
                <w:szCs w:val="18"/>
              </w:rPr>
              <w:t>本</w:t>
            </w:r>
            <w:r>
              <w:rPr>
                <w:rFonts w:ascii="宋体" w:hAnsi="宋体" w:cs="宋体" w:eastAsia="宋体" w:hint="default"/>
                <w:sz w:val="18"/>
                <w:szCs w:val="18"/>
              </w:rPr>
            </w:r>
          </w:p>
        </w:tc>
        <w:tc>
          <w:tcPr>
            <w:tcW w:w="1229"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2353" w:type="dxa"/>
            <w:tcBorders>
              <w:top w:val="nil" w:sz="6" w:space="0" w:color="auto"/>
              <w:left w:val="nil" w:sz="6" w:space="0" w:color="auto"/>
              <w:bottom w:val="single" w:sz="8" w:space="0" w:color="000000"/>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8" w:space="0" w:color="000000"/>
              <w:left w:val="nil" w:sz="6" w:space="0" w:color="auto"/>
              <w:bottom w:val="single" w:sz="8" w:space="0" w:color="000000"/>
              <w:right w:val="nil" w:sz="6" w:space="0" w:color="auto"/>
            </w:tcBorders>
          </w:tcPr>
          <w:p>
            <w:pPr/>
          </w:p>
        </w:tc>
        <w:tc>
          <w:tcPr>
            <w:tcW w:w="147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60" w:right="0"/>
              <w:jc w:val="left"/>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120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52"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single" w:sz="8" w:space="0" w:color="000000"/>
              <w:left w:val="nil" w:sz="6" w:space="0" w:color="auto"/>
              <w:bottom w:val="single" w:sz="8" w:space="0" w:color="000000"/>
              <w:right w:val="nil" w:sz="6" w:space="0" w:color="auto"/>
            </w:tcBorders>
          </w:tcPr>
          <w:p>
            <w:pPr/>
          </w:p>
        </w:tc>
        <w:tc>
          <w:tcPr>
            <w:tcW w:w="1248"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64" w:right="0"/>
              <w:jc w:val="left"/>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253" w:type="dxa"/>
            <w:tcBorders>
              <w:top w:val="single" w:sz="8" w:space="0" w:color="000000"/>
              <w:left w:val="nil" w:sz="6" w:space="0" w:color="auto"/>
              <w:bottom w:val="nil" w:sz="6" w:space="0" w:color="auto"/>
              <w:right w:val="nil" w:sz="6" w:space="0" w:color="auto"/>
            </w:tcBorders>
          </w:tcPr>
          <w:p>
            <w:pPr/>
          </w:p>
        </w:tc>
        <w:tc>
          <w:tcPr>
            <w:tcW w:w="1229"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50"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r>
      <w:tr>
        <w:trPr>
          <w:trHeight w:val="414" w:hRule="exact"/>
        </w:trPr>
        <w:tc>
          <w:tcPr>
            <w:tcW w:w="2353"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高压动态无功补偿装置</w:t>
            </w:r>
            <w:r>
              <w:rPr>
                <w:rFonts w:ascii="宋体" w:hAnsi="宋体" w:cs="宋体" w:eastAsia="宋体" w:hint="default"/>
                <w:spacing w:val="-58"/>
                <w:sz w:val="18"/>
                <w:szCs w:val="18"/>
              </w:rPr>
              <w:t> </w:t>
            </w:r>
            <w:r>
              <w:rPr>
                <w:rFonts w:ascii="Times New Roman" w:hAnsi="Times New Roman" w:cs="Times New Roman" w:eastAsia="Times New Roman" w:hint="default"/>
                <w:spacing w:val="-7"/>
                <w:sz w:val="18"/>
                <w:szCs w:val="18"/>
              </w:rPr>
              <w:t>SVC</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7"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471"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154" w:right="0"/>
              <w:jc w:val="left"/>
              <w:rPr>
                <w:rFonts w:ascii="Times New Roman" w:hAnsi="Times New Roman" w:cs="Times New Roman" w:eastAsia="Times New Roman" w:hint="default"/>
                <w:sz w:val="18"/>
                <w:szCs w:val="18"/>
              </w:rPr>
            </w:pPr>
            <w:r>
              <w:rPr>
                <w:rFonts w:ascii="Times New Roman"/>
                <w:spacing w:val="-7"/>
                <w:sz w:val="18"/>
              </w:rPr>
              <w:t>203,277,652.35</w:t>
            </w:r>
            <w:r>
              <w:rPr>
                <w:rFonts w:ascii="Times New Roman"/>
                <w:sz w:val="18"/>
              </w:rPr>
            </w:r>
          </w:p>
        </w:tc>
        <w:tc>
          <w:tcPr>
            <w:tcW w:w="1207"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6"/>
                <w:w w:val="95"/>
                <w:sz w:val="18"/>
              </w:rPr>
              <w:t>84.22%</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8"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248"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2"/>
              <w:jc w:val="right"/>
              <w:rPr>
                <w:rFonts w:ascii="Times New Roman" w:hAnsi="Times New Roman" w:cs="Times New Roman" w:eastAsia="Times New Roman" w:hint="default"/>
                <w:sz w:val="18"/>
                <w:szCs w:val="18"/>
              </w:rPr>
            </w:pPr>
            <w:r>
              <w:rPr>
                <w:rFonts w:ascii="Times New Roman"/>
                <w:spacing w:val="-7"/>
                <w:sz w:val="18"/>
              </w:rPr>
              <w:t>82,395,422.45</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3"/>
              <w:jc w:val="right"/>
              <w:rPr>
                <w:rFonts w:ascii="Times New Roman" w:hAnsi="Times New Roman" w:cs="Times New Roman" w:eastAsia="Times New Roman" w:hint="default"/>
                <w:sz w:val="18"/>
                <w:szCs w:val="18"/>
              </w:rPr>
            </w:pPr>
            <w:r>
              <w:rPr>
                <w:rFonts w:ascii="Times New Roman"/>
                <w:spacing w:val="-6"/>
                <w:w w:val="95"/>
                <w:sz w:val="18"/>
              </w:rPr>
              <w:t>80.00%</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智能瓦斯排放装置</w:t>
            </w:r>
            <w:r>
              <w:rPr>
                <w:rFonts w:ascii="宋体" w:hAnsi="宋体" w:cs="宋体" w:eastAsia="宋体" w:hint="default"/>
                <w:spacing w:val="-56"/>
                <w:sz w:val="18"/>
                <w:szCs w:val="18"/>
              </w:rPr>
              <w:t> </w:t>
            </w:r>
            <w:r>
              <w:rPr>
                <w:rFonts w:ascii="Times New Roman" w:hAnsi="Times New Roman" w:cs="Times New Roman" w:eastAsia="Times New Roman" w:hint="default"/>
                <w:spacing w:val="-7"/>
                <w:sz w:val="18"/>
                <w:szCs w:val="18"/>
              </w:rPr>
              <w:t>MABZ</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27" w:right="0"/>
              <w:jc w:val="left"/>
              <w:rPr>
                <w:rFonts w:ascii="Times New Roman" w:hAnsi="Times New Roman" w:cs="Times New Roman" w:eastAsia="Times New Roman" w:hint="default"/>
                <w:sz w:val="18"/>
                <w:szCs w:val="18"/>
              </w:rPr>
            </w:pPr>
            <w:r>
              <w:rPr>
                <w:rFonts w:ascii="Times New Roman"/>
                <w:spacing w:val="-7"/>
                <w:sz w:val="18"/>
              </w:rPr>
              <w:t>7,117,777.78</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
              <w:jc w:val="right"/>
              <w:rPr>
                <w:rFonts w:ascii="Times New Roman" w:hAnsi="Times New Roman" w:cs="Times New Roman" w:eastAsia="Times New Roman" w:hint="default"/>
                <w:sz w:val="18"/>
                <w:szCs w:val="18"/>
              </w:rPr>
            </w:pPr>
            <w:r>
              <w:rPr>
                <w:rFonts w:ascii="Times New Roman"/>
                <w:spacing w:val="-6"/>
                <w:w w:val="95"/>
                <w:sz w:val="18"/>
              </w:rPr>
              <w:t>2.95%</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7"/>
                <w:sz w:val="18"/>
              </w:rPr>
              <w:t>1,867,448.39</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6"/>
                <w:w w:val="95"/>
                <w:sz w:val="18"/>
              </w:rPr>
              <w:t>1.81%</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电力滤波装置</w:t>
            </w:r>
            <w:r>
              <w:rPr>
                <w:rFonts w:ascii="宋体" w:hAnsi="宋体" w:cs="宋体" w:eastAsia="宋体" w:hint="default"/>
                <w:spacing w:val="-61"/>
                <w:sz w:val="18"/>
                <w:szCs w:val="18"/>
              </w:rPr>
              <w:t> </w:t>
            </w:r>
            <w:r>
              <w:rPr>
                <w:rFonts w:ascii="Times New Roman" w:hAnsi="Times New Roman" w:cs="Times New Roman" w:eastAsia="Times New Roman" w:hint="default"/>
                <w:spacing w:val="-7"/>
                <w:sz w:val="18"/>
                <w:szCs w:val="18"/>
              </w:rPr>
              <w:t>FC</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6" w:right="0"/>
              <w:jc w:val="left"/>
              <w:rPr>
                <w:rFonts w:ascii="Times New Roman" w:hAnsi="Times New Roman" w:cs="Times New Roman" w:eastAsia="Times New Roman" w:hint="default"/>
                <w:sz w:val="18"/>
                <w:szCs w:val="18"/>
              </w:rPr>
            </w:pPr>
            <w:r>
              <w:rPr>
                <w:rFonts w:ascii="Times New Roman"/>
                <w:spacing w:val="-7"/>
                <w:sz w:val="18"/>
              </w:rPr>
              <w:t>19,182,874.76</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
              <w:jc w:val="right"/>
              <w:rPr>
                <w:rFonts w:ascii="Times New Roman" w:hAnsi="Times New Roman" w:cs="Times New Roman" w:eastAsia="Times New Roman" w:hint="default"/>
                <w:sz w:val="18"/>
                <w:szCs w:val="18"/>
              </w:rPr>
            </w:pPr>
            <w:r>
              <w:rPr>
                <w:rFonts w:ascii="Times New Roman"/>
                <w:spacing w:val="-6"/>
                <w:w w:val="95"/>
                <w:sz w:val="18"/>
              </w:rPr>
              <w:t>7.95%</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7"/>
                <w:sz w:val="18"/>
              </w:rPr>
              <w:t>12,524,326.32</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spacing w:val="-6"/>
                <w:w w:val="95"/>
                <w:sz w:val="18"/>
              </w:rPr>
              <w:t>12.16%</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高压变频调速装置</w:t>
            </w:r>
            <w:r>
              <w:rPr>
                <w:rFonts w:ascii="宋体" w:hAnsi="宋体" w:cs="宋体" w:eastAsia="宋体" w:hint="default"/>
                <w:spacing w:val="-56"/>
                <w:sz w:val="18"/>
                <w:szCs w:val="18"/>
              </w:rPr>
              <w:t> </w:t>
            </w:r>
            <w:r>
              <w:rPr>
                <w:rFonts w:ascii="Times New Roman" w:hAnsi="Times New Roman" w:cs="Times New Roman" w:eastAsia="Times New Roman" w:hint="default"/>
                <w:spacing w:val="-7"/>
                <w:sz w:val="18"/>
                <w:szCs w:val="18"/>
              </w:rPr>
              <w:t>HVC</w:t>
            </w:r>
            <w:r>
              <w:rPr>
                <w:rFonts w:ascii="Times New Roman" w:hAnsi="Times New Roman" w:cs="Times New Roman" w:eastAsia="Times New Roman"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20" w:right="0"/>
              <w:jc w:val="left"/>
              <w:rPr>
                <w:rFonts w:ascii="Times New Roman" w:hAnsi="Times New Roman" w:cs="Times New Roman" w:eastAsia="Times New Roman" w:hint="default"/>
                <w:sz w:val="18"/>
                <w:szCs w:val="18"/>
              </w:rPr>
            </w:pPr>
            <w:r>
              <w:rPr>
                <w:rFonts w:ascii="Times New Roman"/>
                <w:spacing w:val="-7"/>
                <w:sz w:val="18"/>
              </w:rPr>
              <w:t>4,615,384.62</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
              <w:jc w:val="right"/>
              <w:rPr>
                <w:rFonts w:ascii="Times New Roman" w:hAnsi="Times New Roman" w:cs="Times New Roman" w:eastAsia="Times New Roman" w:hint="default"/>
                <w:sz w:val="18"/>
                <w:szCs w:val="18"/>
              </w:rPr>
            </w:pPr>
            <w:r>
              <w:rPr>
                <w:rFonts w:ascii="Times New Roman"/>
                <w:spacing w:val="-6"/>
                <w:w w:val="95"/>
                <w:sz w:val="18"/>
              </w:rPr>
              <w:t>1.91%</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pacing w:val="-7"/>
                <w:sz w:val="18"/>
              </w:rPr>
              <w:t>2,831,708.21</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pacing w:val="-6"/>
                <w:w w:val="95"/>
                <w:sz w:val="18"/>
              </w:rPr>
              <w:t>2.75%</w:t>
            </w:r>
            <w:r>
              <w:rPr>
                <w:rFonts w:ascii="Times New Roman"/>
                <w:sz w:val="18"/>
              </w:rPr>
            </w:r>
          </w:p>
        </w:tc>
      </w:tr>
      <w:tr>
        <w:trPr>
          <w:trHeight w:val="39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12"/>
                <w:sz w:val="18"/>
                <w:szCs w:val="18"/>
              </w:rPr>
              <w:t>软件</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42" w:right="0"/>
              <w:jc w:val="left"/>
              <w:rPr>
                <w:rFonts w:ascii="Times New Roman" w:hAnsi="Times New Roman" w:cs="Times New Roman" w:eastAsia="Times New Roman" w:hint="default"/>
                <w:sz w:val="18"/>
                <w:szCs w:val="18"/>
              </w:rPr>
            </w:pPr>
            <w:r>
              <w:rPr>
                <w:rFonts w:ascii="Times New Roman"/>
                <w:spacing w:val="-6"/>
                <w:sz w:val="18"/>
              </w:rPr>
              <w:t>300,000.00</w:t>
            </w:r>
            <w:r>
              <w:rPr>
                <w:rFonts w:ascii="Times New Roman"/>
                <w:sz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
              <w:jc w:val="right"/>
              <w:rPr>
                <w:rFonts w:ascii="Times New Roman" w:hAnsi="Times New Roman" w:cs="Times New Roman" w:eastAsia="Times New Roman" w:hint="default"/>
                <w:sz w:val="18"/>
                <w:szCs w:val="18"/>
              </w:rPr>
            </w:pPr>
            <w:r>
              <w:rPr>
                <w:rFonts w:ascii="Times New Roman"/>
                <w:spacing w:val="-6"/>
                <w:w w:val="95"/>
                <w:sz w:val="18"/>
              </w:rPr>
              <w:t>0.12%</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single" w:sz="4" w:space="0" w:color="000000"/>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320" w:right="0"/>
              <w:jc w:val="left"/>
              <w:rPr>
                <w:rFonts w:ascii="Times New Roman" w:hAnsi="Times New Roman" w:cs="Times New Roman" w:eastAsia="Times New Roman" w:hint="default"/>
                <w:sz w:val="18"/>
                <w:szCs w:val="18"/>
              </w:rPr>
            </w:pPr>
            <w:r>
              <w:rPr>
                <w:rFonts w:ascii="Times New Roman"/>
                <w:spacing w:val="-7"/>
                <w:sz w:val="18"/>
              </w:rPr>
              <w:t>6,881,749.72</w:t>
            </w:r>
            <w:r>
              <w:rPr>
                <w:rFonts w:ascii="Times New Roman"/>
                <w:sz w:val="18"/>
              </w:rPr>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0"/>
              <w:jc w:val="right"/>
              <w:rPr>
                <w:rFonts w:ascii="Times New Roman" w:hAnsi="Times New Roman" w:cs="Times New Roman" w:eastAsia="Times New Roman" w:hint="default"/>
                <w:sz w:val="18"/>
                <w:szCs w:val="18"/>
              </w:rPr>
            </w:pPr>
            <w:r>
              <w:rPr>
                <w:rFonts w:ascii="Times New Roman"/>
                <w:spacing w:val="-6"/>
                <w:w w:val="95"/>
                <w:sz w:val="18"/>
              </w:rPr>
              <w:t>2.85%</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tcPr>
          <w:p>
            <w:pP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
              <w:jc w:val="right"/>
              <w:rPr>
                <w:rFonts w:ascii="Times New Roman" w:hAnsi="Times New Roman" w:cs="Times New Roman" w:eastAsia="Times New Roman" w:hint="default"/>
                <w:sz w:val="18"/>
                <w:szCs w:val="18"/>
              </w:rPr>
            </w:pPr>
            <w:r>
              <w:rPr>
                <w:rFonts w:ascii="Times New Roman"/>
                <w:spacing w:val="-7"/>
                <w:sz w:val="18"/>
              </w:rPr>
              <w:t>3,379,094.04</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
              <w:jc w:val="right"/>
              <w:rPr>
                <w:rFonts w:ascii="Times New Roman" w:hAnsi="Times New Roman" w:cs="Times New Roman" w:eastAsia="Times New Roman" w:hint="default"/>
                <w:sz w:val="18"/>
                <w:szCs w:val="18"/>
              </w:rPr>
            </w:pPr>
            <w:r>
              <w:rPr>
                <w:rFonts w:ascii="Times New Roman"/>
                <w:spacing w:val="-6"/>
                <w:w w:val="95"/>
                <w:sz w:val="18"/>
              </w:rPr>
              <w:t>3.28%</w:t>
            </w:r>
            <w:r>
              <w:rPr>
                <w:rFonts w:ascii="Times New Roman"/>
                <w:sz w:val="18"/>
              </w:rPr>
            </w:r>
          </w:p>
        </w:tc>
      </w:tr>
      <w:tr>
        <w:trPr>
          <w:trHeight w:val="421" w:hRule="exact"/>
        </w:trPr>
        <w:tc>
          <w:tcPr>
            <w:tcW w:w="2353"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left="6"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471"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left="153" w:right="0"/>
              <w:jc w:val="left"/>
              <w:rPr>
                <w:rFonts w:ascii="Times New Roman" w:hAnsi="Times New Roman" w:cs="Times New Roman" w:eastAsia="Times New Roman" w:hint="default"/>
                <w:sz w:val="18"/>
                <w:szCs w:val="18"/>
              </w:rPr>
            </w:pPr>
            <w:r>
              <w:rPr>
                <w:rFonts w:ascii="Times New Roman"/>
                <w:spacing w:val="-7"/>
                <w:sz w:val="18"/>
              </w:rPr>
              <w:t>241,375,439.23</w:t>
            </w:r>
            <w:r>
              <w:rPr>
                <w:rFonts w:ascii="Times New Roman"/>
                <w:sz w:val="18"/>
              </w:rPr>
            </w:r>
          </w:p>
        </w:tc>
        <w:tc>
          <w:tcPr>
            <w:tcW w:w="1207"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593"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left="7" w:right="0"/>
              <w:jc w:val="left"/>
              <w:rPr>
                <w:rFonts w:ascii="Times New Roman" w:hAnsi="Times New Roman" w:cs="Times New Roman" w:eastAsia="Times New Roman" w:hint="default"/>
                <w:sz w:val="18"/>
                <w:szCs w:val="18"/>
              </w:rPr>
            </w:pPr>
            <w:r>
              <w:rPr>
                <w:rFonts w:ascii="Times New Roman"/>
                <w:spacing w:val="-6"/>
                <w:sz w:val="18"/>
              </w:rPr>
              <w:t>RMB</w:t>
            </w:r>
            <w:r>
              <w:rPr>
                <w:rFonts w:ascii="Times New Roman"/>
                <w:sz w:val="18"/>
              </w:rPr>
            </w:r>
          </w:p>
        </w:tc>
        <w:tc>
          <w:tcPr>
            <w:tcW w:w="1248"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right="4"/>
              <w:jc w:val="right"/>
              <w:rPr>
                <w:rFonts w:ascii="Times New Roman" w:hAnsi="Times New Roman" w:cs="Times New Roman" w:eastAsia="Times New Roman" w:hint="default"/>
                <w:sz w:val="18"/>
                <w:szCs w:val="18"/>
              </w:rPr>
            </w:pPr>
            <w:r>
              <w:rPr>
                <w:rFonts w:ascii="Times New Roman"/>
                <w:spacing w:val="-7"/>
                <w:sz w:val="18"/>
              </w:rPr>
              <w:t>102,997,999.41</w:t>
            </w:r>
            <w:r>
              <w:rPr>
                <w:rFonts w:ascii="Times New Roman"/>
                <w:sz w:val="18"/>
              </w:rPr>
            </w:r>
          </w:p>
        </w:tc>
        <w:tc>
          <w:tcPr>
            <w:tcW w:w="253"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right="4"/>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r>
    </w:tbl>
    <w:p>
      <w:pPr>
        <w:spacing w:line="240" w:lineRule="auto" w:before="2"/>
        <w:rPr>
          <w:rFonts w:ascii="宋体" w:hAnsi="宋体" w:cs="宋体" w:eastAsia="宋体" w:hint="default"/>
          <w:sz w:val="17"/>
          <w:szCs w:val="17"/>
        </w:rPr>
      </w:pPr>
    </w:p>
    <w:p>
      <w:pPr>
        <w:pStyle w:val="BodyText"/>
        <w:spacing w:line="240" w:lineRule="auto" w:before="26"/>
        <w:ind w:left="824"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spacing w:val="7"/>
        </w:rPr>
        <w:t>本年度营业收入同比大幅增长是由于本公司主导产品市场需求增长所致。</w:t>
      </w:r>
      <w:r>
        <w:rPr/>
      </w:r>
    </w:p>
    <w:p>
      <w:pPr>
        <w:spacing w:line="240" w:lineRule="auto" w:before="6"/>
        <w:rPr>
          <w:rFonts w:ascii="宋体" w:hAnsi="宋体" w:cs="宋体" w:eastAsia="宋体" w:hint="default"/>
          <w:sz w:val="17"/>
          <w:szCs w:val="17"/>
        </w:rPr>
      </w:pPr>
    </w:p>
    <w:p>
      <w:pPr>
        <w:pStyle w:val="BodyText"/>
        <w:spacing w:line="240" w:lineRule="auto"/>
        <w:ind w:left="85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本公司及其子公司向前五名客户销售情况列示如下：</w:t>
      </w:r>
    </w:p>
    <w:p>
      <w:pPr>
        <w:spacing w:line="240" w:lineRule="auto" w:before="2"/>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3847"/>
        <w:gridCol w:w="1378"/>
        <w:gridCol w:w="1031"/>
        <w:gridCol w:w="1315"/>
        <w:gridCol w:w="2405"/>
      </w:tblGrid>
      <w:tr>
        <w:trPr>
          <w:trHeight w:val="259" w:hRule="exact"/>
        </w:trPr>
        <w:tc>
          <w:tcPr>
            <w:tcW w:w="38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180" w:lineRule="exact"/>
              <w:ind w:right="-14"/>
              <w:jc w:val="right"/>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占当年收入的比例</w:t>
            </w:r>
          </w:p>
        </w:tc>
      </w:tr>
      <w:tr>
        <w:trPr>
          <w:trHeight w:val="419"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Times New Roman" w:hAnsi="Times New Roman" w:cs="Times New Roman" w:eastAsia="Times New Roman" w:hint="default"/>
                <w:sz w:val="18"/>
                <w:szCs w:val="18"/>
              </w:rPr>
            </w:pPr>
            <w:r>
              <w:rPr>
                <w:rFonts w:ascii="Times New Roman"/>
                <w:sz w:val="18"/>
              </w:rPr>
              <w:t>2007</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7" w:right="0"/>
              <w:jc w:val="left"/>
              <w:rPr>
                <w:rFonts w:ascii="Times New Roman" w:hAnsi="Times New Roman" w:cs="Times New Roman" w:eastAsia="Times New Roman" w:hint="default"/>
                <w:sz w:val="18"/>
                <w:szCs w:val="18"/>
              </w:rPr>
            </w:pPr>
            <w:r>
              <w:rPr>
                <w:rFonts w:ascii="Times New Roman"/>
                <w:sz w:val="18"/>
              </w:rPr>
              <w:t>RMB</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4" w:right="8"/>
              <w:jc w:val="center"/>
              <w:rPr>
                <w:rFonts w:ascii="Times New Roman" w:hAnsi="Times New Roman" w:cs="Times New Roman" w:eastAsia="Times New Roman" w:hint="default"/>
                <w:sz w:val="18"/>
                <w:szCs w:val="18"/>
              </w:rPr>
            </w:pPr>
            <w:r>
              <w:rPr>
                <w:rFonts w:ascii="Times New Roman"/>
                <w:spacing w:val="-1"/>
                <w:sz w:val="18"/>
              </w:rPr>
              <w:t>50,552,478.63</w:t>
            </w:r>
          </w:p>
        </w:tc>
        <w:tc>
          <w:tcPr>
            <w:tcW w:w="1315"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3" w:right="0"/>
              <w:jc w:val="center"/>
              <w:rPr>
                <w:rFonts w:ascii="Times New Roman" w:hAnsi="Times New Roman" w:cs="Times New Roman" w:eastAsia="Times New Roman" w:hint="default"/>
                <w:sz w:val="18"/>
                <w:szCs w:val="18"/>
              </w:rPr>
            </w:pPr>
            <w:r>
              <w:rPr>
                <w:rFonts w:ascii="Times New Roman"/>
                <w:sz w:val="18"/>
              </w:rPr>
              <w:t>13.77%</w:t>
            </w:r>
          </w:p>
        </w:tc>
      </w:tr>
      <w:tr>
        <w:trPr>
          <w:trHeight w:val="280"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Times New Roman" w:hAnsi="Times New Roman" w:cs="Times New Roman" w:eastAsia="Times New Roman" w:hint="default"/>
                <w:sz w:val="18"/>
                <w:szCs w:val="18"/>
              </w:rPr>
            </w:pPr>
            <w:r>
              <w:rPr>
                <w:rFonts w:ascii="Times New Roman"/>
                <w:sz w:val="18"/>
              </w:rPr>
              <w:t>2006</w:t>
            </w:r>
          </w:p>
        </w:tc>
        <w:tc>
          <w:tcPr>
            <w:tcW w:w="1378"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8"/>
              <w:jc w:val="center"/>
              <w:rPr>
                <w:rFonts w:ascii="Times New Roman" w:hAnsi="Times New Roman" w:cs="Times New Roman" w:eastAsia="Times New Roman" w:hint="default"/>
                <w:sz w:val="18"/>
                <w:szCs w:val="18"/>
              </w:rPr>
            </w:pPr>
            <w:r>
              <w:rPr>
                <w:rFonts w:ascii="Times New Roman"/>
                <w:spacing w:val="-1"/>
                <w:sz w:val="18"/>
              </w:rPr>
              <w:t>36,055,999.96</w:t>
            </w:r>
          </w:p>
        </w:tc>
        <w:tc>
          <w:tcPr>
            <w:tcW w:w="131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2" w:right="0"/>
              <w:jc w:val="center"/>
              <w:rPr>
                <w:rFonts w:ascii="Times New Roman" w:hAnsi="Times New Roman" w:cs="Times New Roman" w:eastAsia="Times New Roman" w:hint="default"/>
                <w:sz w:val="18"/>
                <w:szCs w:val="18"/>
              </w:rPr>
            </w:pPr>
            <w:r>
              <w:rPr>
                <w:rFonts w:ascii="Times New Roman"/>
                <w:sz w:val="18"/>
              </w:rPr>
              <w:t>14.94%</w:t>
            </w:r>
          </w:p>
        </w:tc>
      </w:tr>
    </w:tbl>
    <w:p>
      <w:pPr>
        <w:spacing w:line="240" w:lineRule="auto" w:before="7"/>
        <w:rPr>
          <w:rFonts w:ascii="宋体" w:hAnsi="宋体" w:cs="宋体" w:eastAsia="宋体" w:hint="default"/>
          <w:sz w:val="17"/>
          <w:szCs w:val="17"/>
        </w:rPr>
      </w:pPr>
    </w:p>
    <w:p>
      <w:pPr>
        <w:spacing w:line="374" w:lineRule="auto" w:before="26"/>
        <w:ind w:left="824" w:right="5392" w:firstLine="0"/>
        <w:jc w:val="left"/>
        <w:rPr>
          <w:rFonts w:ascii="宋体" w:hAnsi="宋体" w:cs="宋体" w:eastAsia="宋体" w:hint="default"/>
          <w:sz w:val="24"/>
          <w:szCs w:val="24"/>
        </w:rPr>
      </w:pPr>
      <w:r>
        <w:rPr>
          <w:rFonts w:ascii="Times New Roman" w:hAnsi="Times New Roman" w:cs="Times New Roman" w:eastAsia="Times New Roman" w:hint="default"/>
          <w:b/>
          <w:bCs/>
          <w:spacing w:val="7"/>
          <w:sz w:val="24"/>
          <w:szCs w:val="24"/>
        </w:rPr>
        <w:t>26.</w:t>
      </w:r>
      <w:r>
        <w:rPr>
          <w:rFonts w:ascii="宋体" w:hAnsi="宋体" w:cs="宋体" w:eastAsia="宋体" w:hint="default"/>
          <w:b/>
          <w:bCs/>
          <w:spacing w:val="7"/>
          <w:sz w:val="24"/>
          <w:szCs w:val="24"/>
        </w:rPr>
        <w:t>营业税金及附加</w:t>
      </w:r>
      <w:r>
        <w:rPr>
          <w:rFonts w:ascii="宋体" w:hAnsi="宋体" w:cs="宋体" w:eastAsia="宋体" w:hint="default"/>
          <w:b/>
          <w:bCs/>
          <w:spacing w:val="9"/>
          <w:w w:val="99"/>
          <w:sz w:val="24"/>
          <w:szCs w:val="24"/>
        </w:rPr>
        <w:t> </w:t>
      </w:r>
      <w:r>
        <w:rPr>
          <w:rFonts w:ascii="宋体" w:hAnsi="宋体" w:cs="宋体" w:eastAsia="宋体" w:hint="default"/>
          <w:spacing w:val="8"/>
          <w:sz w:val="24"/>
          <w:szCs w:val="24"/>
        </w:rPr>
        <w:t>营业税金及附加明细项目列示如下：</w:t>
      </w:r>
      <w:r>
        <w:rPr>
          <w:rFonts w:ascii="宋体" w:hAnsi="宋体" w:cs="宋体" w:eastAsia="宋体" w:hint="default"/>
          <w:sz w:val="24"/>
          <w:szCs w:val="24"/>
        </w:rPr>
      </w:r>
    </w:p>
    <w:p>
      <w:pPr>
        <w:spacing w:line="240" w:lineRule="auto" w:before="6"/>
        <w:rPr>
          <w:rFonts w:ascii="宋体" w:hAnsi="宋体" w:cs="宋体" w:eastAsia="宋体" w:hint="default"/>
          <w:sz w:val="9"/>
          <w:szCs w:val="9"/>
        </w:rPr>
      </w:pPr>
    </w:p>
    <w:tbl>
      <w:tblPr>
        <w:tblW w:w="0" w:type="auto"/>
        <w:jc w:val="left"/>
        <w:tblInd w:w="313" w:type="dxa"/>
        <w:tblLayout w:type="fixed"/>
        <w:tblCellMar>
          <w:top w:w="0" w:type="dxa"/>
          <w:left w:w="0" w:type="dxa"/>
          <w:bottom w:w="0" w:type="dxa"/>
          <w:right w:w="0" w:type="dxa"/>
        </w:tblCellMar>
        <w:tblLook w:val="01E0"/>
      </w:tblPr>
      <w:tblGrid>
        <w:gridCol w:w="1769"/>
        <w:gridCol w:w="1908"/>
        <w:gridCol w:w="1463"/>
        <w:gridCol w:w="996"/>
        <w:gridCol w:w="1114"/>
        <w:gridCol w:w="926"/>
        <w:gridCol w:w="1463"/>
      </w:tblGrid>
      <w:tr>
        <w:trPr>
          <w:trHeight w:val="277" w:hRule="exact"/>
        </w:trPr>
        <w:tc>
          <w:tcPr>
            <w:tcW w:w="1769"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908"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8" w:space="0" w:color="000000"/>
              <w:right w:val="nil" w:sz="6" w:space="0" w:color="auto"/>
            </w:tcBorders>
          </w:tcPr>
          <w:p>
            <w:pPr>
              <w:pStyle w:val="TableParagraph"/>
              <w:spacing w:line="194" w:lineRule="exact"/>
              <w:ind w:right="48"/>
              <w:jc w:val="right"/>
              <w:rPr>
                <w:rFonts w:ascii="Times New Roman" w:hAnsi="Times New Roman" w:cs="Times New Roman" w:eastAsia="Times New Roman" w:hint="default"/>
                <w:sz w:val="18"/>
                <w:szCs w:val="18"/>
              </w:rPr>
            </w:pPr>
            <w:r>
              <w:rPr>
                <w:rFonts w:ascii="Times New Roman"/>
                <w:sz w:val="18"/>
              </w:rPr>
              <w:t>2007</w:t>
            </w:r>
          </w:p>
        </w:tc>
        <w:tc>
          <w:tcPr>
            <w:tcW w:w="996" w:type="dxa"/>
            <w:tcBorders>
              <w:top w:val="nil" w:sz="6" w:space="0" w:color="auto"/>
              <w:left w:val="nil" w:sz="6" w:space="0" w:color="auto"/>
              <w:bottom w:val="single" w:sz="8" w:space="0" w:color="000000"/>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single" w:sz="8" w:space="0" w:color="000000"/>
              <w:right w:val="nil" w:sz="6" w:space="0" w:color="auto"/>
            </w:tcBorders>
          </w:tcPr>
          <w:p>
            <w:pPr/>
          </w:p>
        </w:tc>
        <w:tc>
          <w:tcPr>
            <w:tcW w:w="1463" w:type="dxa"/>
            <w:tcBorders>
              <w:top w:val="nil" w:sz="6" w:space="0" w:color="auto"/>
              <w:left w:val="nil" w:sz="6" w:space="0" w:color="auto"/>
              <w:bottom w:val="single" w:sz="8" w:space="0" w:color="000000"/>
              <w:right w:val="nil" w:sz="6" w:space="0" w:color="auto"/>
            </w:tcBorders>
          </w:tcPr>
          <w:p>
            <w:pPr>
              <w:pStyle w:val="TableParagraph"/>
              <w:spacing w:line="194" w:lineRule="exact"/>
              <w:ind w:left="91" w:right="0"/>
              <w:jc w:val="left"/>
              <w:rPr>
                <w:rFonts w:ascii="Times New Roman" w:hAnsi="Times New Roman" w:cs="Times New Roman" w:eastAsia="Times New Roman" w:hint="default"/>
                <w:sz w:val="18"/>
                <w:szCs w:val="18"/>
              </w:rPr>
            </w:pPr>
            <w:r>
              <w:rPr>
                <w:rFonts w:ascii="Times New Roman"/>
                <w:sz w:val="18"/>
              </w:rPr>
              <w:t>2006</w:t>
            </w:r>
          </w:p>
        </w:tc>
      </w:tr>
      <w:tr>
        <w:trPr>
          <w:trHeight w:val="302" w:hRule="exact"/>
        </w:trPr>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08" w:type="dxa"/>
            <w:tcBorders>
              <w:top w:val="nil" w:sz="6" w:space="0" w:color="auto"/>
              <w:left w:val="nil" w:sz="6" w:space="0" w:color="auto"/>
              <w:bottom w:val="nil" w:sz="6" w:space="0" w:color="auto"/>
              <w:right w:val="nil" w:sz="6" w:space="0" w:color="auto"/>
            </w:tcBorders>
          </w:tcPr>
          <w:p>
            <w:pPr/>
          </w:p>
        </w:tc>
        <w:tc>
          <w:tcPr>
            <w:tcW w:w="1463"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7" w:right="0"/>
              <w:jc w:val="left"/>
              <w:rPr>
                <w:rFonts w:ascii="Times New Roman" w:hAnsi="Times New Roman" w:cs="Times New Roman" w:eastAsia="Times New Roman" w:hint="default"/>
                <w:sz w:val="18"/>
                <w:szCs w:val="18"/>
              </w:rPr>
            </w:pPr>
            <w:r>
              <w:rPr>
                <w:rFonts w:ascii="Times New Roman"/>
                <w:sz w:val="18"/>
              </w:rPr>
              <w:t>RMB</w:t>
            </w:r>
          </w:p>
        </w:tc>
        <w:tc>
          <w:tcPr>
            <w:tcW w:w="996"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50" w:right="0"/>
              <w:jc w:val="left"/>
              <w:rPr>
                <w:rFonts w:ascii="Times New Roman" w:hAnsi="Times New Roman" w:cs="Times New Roman" w:eastAsia="Times New Roman" w:hint="default"/>
                <w:sz w:val="18"/>
                <w:szCs w:val="18"/>
              </w:rPr>
            </w:pPr>
            <w:r>
              <w:rPr>
                <w:rFonts w:ascii="Times New Roman"/>
                <w:spacing w:val="-1"/>
                <w:sz w:val="18"/>
              </w:rPr>
              <w:t>2,073,082.13</w:t>
            </w:r>
          </w:p>
        </w:tc>
        <w:tc>
          <w:tcPr>
            <w:tcW w:w="1114" w:type="dxa"/>
            <w:tcBorders>
              <w:top w:val="nil" w:sz="6" w:space="0" w:color="auto"/>
              <w:left w:val="nil" w:sz="6" w:space="0" w:color="auto"/>
              <w:bottom w:val="nil" w:sz="6" w:space="0" w:color="auto"/>
              <w:right w:val="nil" w:sz="6" w:space="0" w:color="auto"/>
            </w:tcBorders>
          </w:tcPr>
          <w:p>
            <w:pPr/>
          </w:p>
        </w:tc>
        <w:tc>
          <w:tcPr>
            <w:tcW w:w="926"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7" w:right="0"/>
              <w:jc w:val="left"/>
              <w:rPr>
                <w:rFonts w:ascii="Times New Roman" w:hAnsi="Times New Roman" w:cs="Times New Roman" w:eastAsia="Times New Roman" w:hint="default"/>
                <w:sz w:val="18"/>
                <w:szCs w:val="18"/>
              </w:rPr>
            </w:pPr>
            <w:r>
              <w:rPr>
                <w:rFonts w:ascii="Times New Roman"/>
                <w:sz w:val="18"/>
              </w:rPr>
              <w:t>RMB</w:t>
            </w:r>
          </w:p>
        </w:tc>
        <w:tc>
          <w:tcPr>
            <w:tcW w:w="1463"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518" w:right="0"/>
              <w:jc w:val="left"/>
              <w:rPr>
                <w:rFonts w:ascii="Times New Roman" w:hAnsi="Times New Roman" w:cs="Times New Roman" w:eastAsia="Times New Roman" w:hint="default"/>
                <w:sz w:val="18"/>
                <w:szCs w:val="18"/>
              </w:rPr>
            </w:pPr>
            <w:r>
              <w:rPr>
                <w:rFonts w:ascii="Times New Roman"/>
                <w:spacing w:val="-1"/>
                <w:sz w:val="18"/>
              </w:rPr>
              <w:t>1,659,044.43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022" w:top="1060" w:bottom="1220" w:left="820" w:right="88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23"/>
        <w:gridCol w:w="1543"/>
        <w:gridCol w:w="1114"/>
        <w:gridCol w:w="926"/>
        <w:gridCol w:w="1493"/>
      </w:tblGrid>
      <w:tr>
        <w:trPr>
          <w:trHeight w:val="706" w:hRule="exact"/>
        </w:trPr>
        <w:tc>
          <w:tcPr>
            <w:tcW w:w="4623"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43"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1,142,169.36</w:t>
            </w:r>
          </w:p>
        </w:tc>
        <w:tc>
          <w:tcPr>
            <w:tcW w:w="1114" w:type="dxa"/>
            <w:tcBorders>
              <w:top w:val="single" w:sz="6" w:space="0" w:color="000000"/>
              <w:left w:val="nil" w:sz="6" w:space="0" w:color="auto"/>
              <w:bottom w:val="nil" w:sz="6" w:space="0" w:color="auto"/>
              <w:right w:val="nil" w:sz="6" w:space="0" w:color="auto"/>
            </w:tcBorders>
          </w:tcPr>
          <w:p>
            <w:pPr/>
          </w:p>
        </w:tc>
        <w:tc>
          <w:tcPr>
            <w:tcW w:w="926" w:type="dxa"/>
            <w:tcBorders>
              <w:top w:val="single" w:sz="6" w:space="0" w:color="000000"/>
              <w:left w:val="nil" w:sz="6" w:space="0" w:color="auto"/>
              <w:bottom w:val="single" w:sz="8" w:space="0" w:color="000000"/>
              <w:right w:val="nil" w:sz="6" w:space="0" w:color="auto"/>
            </w:tcBorders>
          </w:tcPr>
          <w:p>
            <w:pPr/>
          </w:p>
        </w:tc>
        <w:tc>
          <w:tcPr>
            <w:tcW w:w="1493"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910,791.50</w:t>
            </w:r>
          </w:p>
        </w:tc>
      </w:tr>
      <w:tr>
        <w:trPr>
          <w:trHeight w:val="403" w:hRule="exact"/>
        </w:trPr>
        <w:tc>
          <w:tcPr>
            <w:tcW w:w="4623" w:type="dxa"/>
            <w:tcBorders>
              <w:top w:val="single" w:sz="8" w:space="0" w:color="000000"/>
              <w:left w:val="nil" w:sz="6" w:space="0" w:color="auto"/>
              <w:bottom w:val="single" w:sz="17" w:space="0" w:color="000000"/>
              <w:right w:val="nil" w:sz="6" w:space="0" w:color="auto"/>
            </w:tcBorders>
          </w:tcPr>
          <w:p>
            <w:pPr>
              <w:pStyle w:val="TableParagraph"/>
              <w:spacing w:line="240" w:lineRule="auto" w:before="88"/>
              <w:ind w:right="506"/>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543" w:type="dxa"/>
            <w:tcBorders>
              <w:top w:val="single" w:sz="8" w:space="0" w:color="000000"/>
              <w:left w:val="nil" w:sz="6" w:space="0" w:color="auto"/>
              <w:bottom w:val="single" w:sz="17" w:space="0" w:color="000000"/>
              <w:right w:val="nil" w:sz="6" w:space="0" w:color="auto"/>
            </w:tcBorders>
          </w:tcPr>
          <w:p>
            <w:pPr>
              <w:pStyle w:val="TableParagraph"/>
              <w:spacing w:line="240" w:lineRule="auto" w:before="88"/>
              <w:ind w:right="88"/>
              <w:jc w:val="right"/>
              <w:rPr>
                <w:rFonts w:ascii="Times New Roman" w:hAnsi="Times New Roman" w:cs="Times New Roman" w:eastAsia="Times New Roman" w:hint="default"/>
                <w:sz w:val="18"/>
                <w:szCs w:val="18"/>
              </w:rPr>
            </w:pPr>
            <w:r>
              <w:rPr>
                <w:rFonts w:ascii="Times New Roman"/>
                <w:spacing w:val="-1"/>
                <w:sz w:val="18"/>
              </w:rPr>
              <w:t>3,215,251.49</w:t>
            </w:r>
          </w:p>
        </w:tc>
        <w:tc>
          <w:tcPr>
            <w:tcW w:w="1114" w:type="dxa"/>
            <w:tcBorders>
              <w:top w:val="nil" w:sz="6" w:space="0" w:color="auto"/>
              <w:left w:val="nil" w:sz="6" w:space="0" w:color="auto"/>
              <w:bottom w:val="nil" w:sz="6" w:space="0" w:color="auto"/>
              <w:right w:val="nil" w:sz="6" w:space="0" w:color="auto"/>
            </w:tcBorders>
          </w:tcPr>
          <w:p>
            <w:pPr/>
          </w:p>
        </w:tc>
        <w:tc>
          <w:tcPr>
            <w:tcW w:w="926" w:type="dxa"/>
            <w:tcBorders>
              <w:top w:val="single" w:sz="8" w:space="0" w:color="000000"/>
              <w:left w:val="nil" w:sz="6" w:space="0" w:color="auto"/>
              <w:bottom w:val="single" w:sz="17" w:space="0" w:color="000000"/>
              <w:right w:val="nil" w:sz="6" w:space="0" w:color="auto"/>
            </w:tcBorders>
          </w:tcPr>
          <w:p>
            <w:pPr>
              <w:pStyle w:val="TableParagraph"/>
              <w:spacing w:line="240" w:lineRule="auto" w:before="88"/>
              <w:ind w:left="6" w:right="0"/>
              <w:jc w:val="left"/>
              <w:rPr>
                <w:rFonts w:ascii="Times New Roman" w:hAnsi="Times New Roman" w:cs="Times New Roman" w:eastAsia="Times New Roman" w:hint="default"/>
                <w:sz w:val="18"/>
                <w:szCs w:val="18"/>
              </w:rPr>
            </w:pPr>
            <w:r>
              <w:rPr>
                <w:rFonts w:ascii="Times New Roman"/>
                <w:sz w:val="18"/>
              </w:rPr>
              <w:t>RMB</w:t>
            </w:r>
          </w:p>
        </w:tc>
        <w:tc>
          <w:tcPr>
            <w:tcW w:w="1493" w:type="dxa"/>
            <w:tcBorders>
              <w:top w:val="single" w:sz="8" w:space="0" w:color="000000"/>
              <w:left w:val="nil" w:sz="6" w:space="0" w:color="auto"/>
              <w:bottom w:val="single" w:sz="17" w:space="0" w:color="000000"/>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2,569,835.93</w:t>
            </w:r>
          </w:p>
        </w:tc>
      </w:tr>
    </w:tbl>
    <w:p>
      <w:pPr>
        <w:spacing w:line="240" w:lineRule="auto" w:before="7"/>
        <w:rPr>
          <w:rFonts w:ascii="宋体" w:hAnsi="宋体" w:cs="宋体" w:eastAsia="宋体" w:hint="default"/>
          <w:sz w:val="12"/>
          <w:szCs w:val="12"/>
        </w:rPr>
      </w:pPr>
    </w:p>
    <w:p>
      <w:pPr>
        <w:spacing w:line="374" w:lineRule="auto" w:before="26"/>
        <w:ind w:left="644" w:right="601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财务费用</w:t>
      </w:r>
      <w:r>
        <w:rPr>
          <w:rFonts w:ascii="宋体" w:hAnsi="宋体" w:cs="宋体" w:eastAsia="宋体" w:hint="default"/>
          <w:b/>
          <w:bCs/>
          <w:spacing w:val="-119"/>
          <w:sz w:val="24"/>
          <w:szCs w:val="24"/>
        </w:rPr>
        <w:t> </w:t>
      </w:r>
      <w:r>
        <w:rPr>
          <w:rFonts w:ascii="宋体" w:hAnsi="宋体" w:cs="宋体" w:eastAsia="宋体" w:hint="default"/>
          <w:spacing w:val="8"/>
          <w:sz w:val="24"/>
          <w:szCs w:val="24"/>
        </w:rPr>
        <w:t>财务费用明细项目列示如下：</w:t>
      </w:r>
      <w:r>
        <w:rPr>
          <w:rFonts w:ascii="宋体" w:hAnsi="宋体" w:cs="宋体" w:eastAsia="宋体" w:hint="default"/>
          <w:sz w:val="24"/>
          <w:szCs w:val="24"/>
        </w:rPr>
      </w:r>
    </w:p>
    <w:p>
      <w:pPr>
        <w:spacing w:line="240" w:lineRule="auto" w:before="7"/>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759"/>
        <w:gridCol w:w="1759"/>
        <w:gridCol w:w="1572"/>
        <w:gridCol w:w="1031"/>
        <w:gridCol w:w="1088"/>
        <w:gridCol w:w="1021"/>
        <w:gridCol w:w="1425"/>
      </w:tblGrid>
      <w:tr>
        <w:trPr>
          <w:trHeight w:val="265"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759"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Style w:val="TableParagraph"/>
              <w:spacing w:line="194" w:lineRule="exact"/>
              <w:ind w:right="84"/>
              <w:jc w:val="right"/>
              <w:rPr>
                <w:rFonts w:ascii="Times New Roman" w:hAnsi="Times New Roman" w:cs="Times New Roman" w:eastAsia="Times New Roman" w:hint="default"/>
                <w:sz w:val="18"/>
                <w:szCs w:val="18"/>
              </w:rPr>
            </w:pPr>
            <w:r>
              <w:rPr>
                <w:rFonts w:ascii="Times New Roman"/>
                <w:sz w:val="18"/>
              </w:rPr>
              <w:t>2007</w:t>
            </w:r>
          </w:p>
        </w:tc>
        <w:tc>
          <w:tcPr>
            <w:tcW w:w="1031" w:type="dxa"/>
            <w:tcBorders>
              <w:top w:val="nil" w:sz="6" w:space="0" w:color="auto"/>
              <w:left w:val="nil" w:sz="6" w:space="0" w:color="auto"/>
              <w:bottom w:val="single" w:sz="8" w:space="0" w:color="000000"/>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single" w:sz="8" w:space="0" w:color="000000"/>
              <w:right w:val="nil" w:sz="6" w:space="0" w:color="auto"/>
            </w:tcBorders>
          </w:tcPr>
          <w:p>
            <w:pPr/>
          </w:p>
        </w:tc>
        <w:tc>
          <w:tcPr>
            <w:tcW w:w="1425" w:type="dxa"/>
            <w:tcBorders>
              <w:top w:val="nil" w:sz="6" w:space="0" w:color="auto"/>
              <w:left w:val="nil" w:sz="6" w:space="0" w:color="auto"/>
              <w:bottom w:val="single" w:sz="8" w:space="0" w:color="000000"/>
              <w:right w:val="nil" w:sz="6" w:space="0" w:color="auto"/>
            </w:tcBorders>
          </w:tcPr>
          <w:p>
            <w:pPr>
              <w:pStyle w:val="TableParagraph"/>
              <w:spacing w:line="194" w:lineRule="exact"/>
              <w:ind w:left="25" w:right="0"/>
              <w:jc w:val="left"/>
              <w:rPr>
                <w:rFonts w:ascii="Times New Roman" w:hAnsi="Times New Roman" w:cs="Times New Roman" w:eastAsia="Times New Roman" w:hint="default"/>
                <w:sz w:val="18"/>
                <w:szCs w:val="18"/>
              </w:rPr>
            </w:pPr>
            <w:r>
              <w:rPr>
                <w:rFonts w:ascii="Times New Roman"/>
                <w:sz w:val="18"/>
              </w:rPr>
              <w:t>2006</w:t>
            </w:r>
          </w:p>
        </w:tc>
      </w:tr>
      <w:tr>
        <w:trPr>
          <w:trHeight w:val="367"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759" w:type="dxa"/>
            <w:tcBorders>
              <w:top w:val="nil" w:sz="6" w:space="0" w:color="auto"/>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0" w:right="0"/>
              <w:jc w:val="left"/>
              <w:rPr>
                <w:rFonts w:ascii="Times New Roman" w:hAnsi="Times New Roman" w:cs="Times New Roman" w:eastAsia="Times New Roman" w:hint="default"/>
                <w:sz w:val="18"/>
                <w:szCs w:val="18"/>
              </w:rPr>
            </w:pPr>
            <w:r>
              <w:rPr>
                <w:rFonts w:ascii="Times New Roman"/>
                <w:sz w:val="18"/>
              </w:rPr>
              <w:t>RMB</w:t>
            </w:r>
          </w:p>
        </w:tc>
        <w:tc>
          <w:tcPr>
            <w:tcW w:w="103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1,020,543.62</w:t>
            </w:r>
          </w:p>
        </w:tc>
        <w:tc>
          <w:tcPr>
            <w:tcW w:w="1088" w:type="dxa"/>
            <w:tcBorders>
              <w:top w:val="nil" w:sz="6" w:space="0" w:color="auto"/>
              <w:left w:val="nil" w:sz="6" w:space="0" w:color="auto"/>
              <w:bottom w:val="nil" w:sz="6" w:space="0" w:color="auto"/>
              <w:right w:val="nil" w:sz="6" w:space="0" w:color="auto"/>
            </w:tcBorders>
          </w:tcPr>
          <w:p>
            <w:pPr/>
          </w:p>
        </w:tc>
        <w:tc>
          <w:tcPr>
            <w:tcW w:w="102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6" w:right="0"/>
              <w:jc w:val="left"/>
              <w:rPr>
                <w:rFonts w:ascii="Times New Roman" w:hAnsi="Times New Roman" w:cs="Times New Roman" w:eastAsia="Times New Roman" w:hint="default"/>
                <w:sz w:val="18"/>
                <w:szCs w:val="18"/>
              </w:rPr>
            </w:pPr>
            <w:r>
              <w:rPr>
                <w:rFonts w:ascii="Times New Roman"/>
                <w:sz w:val="18"/>
              </w:rPr>
              <w:t>RMB</w:t>
            </w:r>
          </w:p>
        </w:tc>
        <w:tc>
          <w:tcPr>
            <w:tcW w:w="142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z w:val="18"/>
              </w:rPr>
              <w:t>801,642.38</w:t>
            </w:r>
          </w:p>
        </w:tc>
      </w:tr>
      <w:tr>
        <w:trPr>
          <w:trHeight w:val="345"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1759"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1,964,373.89</w:t>
            </w:r>
          </w:p>
        </w:tc>
        <w:tc>
          <w:tcPr>
            <w:tcW w:w="1088"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338,744.01</w:t>
            </w:r>
          </w:p>
        </w:tc>
      </w:tr>
      <w:tr>
        <w:trPr>
          <w:trHeight w:val="34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9"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
        </w:tc>
        <w:tc>
          <w:tcPr>
            <w:tcW w:w="1031"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229,560.65</w:t>
            </w:r>
          </w:p>
        </w:tc>
        <w:tc>
          <w:tcPr>
            <w:tcW w:w="1088"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single" w:sz="8" w:space="0" w:color="000000"/>
              <w:right w:val="nil" w:sz="6" w:space="0" w:color="auto"/>
            </w:tcBorders>
          </w:tcPr>
          <w:p>
            <w:pPr/>
          </w:p>
        </w:tc>
        <w:tc>
          <w:tcPr>
            <w:tcW w:w="1425"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473,585.73</w:t>
            </w:r>
          </w:p>
        </w:tc>
      </w:tr>
      <w:tr>
        <w:trPr>
          <w:trHeight w:val="379" w:hRule="exact"/>
        </w:trPr>
        <w:tc>
          <w:tcPr>
            <w:tcW w:w="1759"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11" w:right="0"/>
              <w:jc w:val="left"/>
              <w:rPr>
                <w:rFonts w:ascii="Times New Roman" w:hAnsi="Times New Roman" w:cs="Times New Roman" w:eastAsia="Times New Roman" w:hint="default"/>
                <w:sz w:val="18"/>
                <w:szCs w:val="18"/>
              </w:rPr>
            </w:pPr>
            <w:r>
              <w:rPr>
                <w:rFonts w:ascii="Times New Roman"/>
                <w:sz w:val="18"/>
              </w:rPr>
              <w:t>RMB</w:t>
            </w:r>
          </w:p>
        </w:tc>
        <w:tc>
          <w:tcPr>
            <w:tcW w:w="103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w w:val="95"/>
                <w:sz w:val="18"/>
              </w:rPr>
              <w:t>(714,269.62)</w:t>
            </w:r>
            <w:r>
              <w:rPr>
                <w:rFonts w:ascii="Times New Roman"/>
                <w:sz w:val="18"/>
              </w:rPr>
            </w:r>
          </w:p>
        </w:tc>
        <w:tc>
          <w:tcPr>
            <w:tcW w:w="1088" w:type="dxa"/>
            <w:tcBorders>
              <w:top w:val="nil" w:sz="6" w:space="0" w:color="auto"/>
              <w:left w:val="nil" w:sz="6" w:space="0" w:color="auto"/>
              <w:bottom w:val="nil" w:sz="6" w:space="0" w:color="auto"/>
              <w:right w:val="nil" w:sz="6" w:space="0" w:color="auto"/>
            </w:tcBorders>
          </w:tcPr>
          <w:p>
            <w:pPr/>
          </w:p>
        </w:tc>
        <w:tc>
          <w:tcPr>
            <w:tcW w:w="102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7" w:right="0"/>
              <w:jc w:val="left"/>
              <w:rPr>
                <w:rFonts w:ascii="Times New Roman" w:hAnsi="Times New Roman" w:cs="Times New Roman" w:eastAsia="Times New Roman" w:hint="default"/>
                <w:sz w:val="18"/>
                <w:szCs w:val="18"/>
              </w:rPr>
            </w:pPr>
            <w:r>
              <w:rPr>
                <w:rFonts w:ascii="Times New Roman"/>
                <w:sz w:val="18"/>
              </w:rPr>
              <w:t>RMB</w:t>
            </w:r>
          </w:p>
        </w:tc>
        <w:tc>
          <w:tcPr>
            <w:tcW w:w="1425"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z w:val="18"/>
              </w:rPr>
              <w:t>936,484.10</w:t>
            </w:r>
          </w:p>
        </w:tc>
      </w:tr>
    </w:tbl>
    <w:p>
      <w:pPr>
        <w:spacing w:line="240" w:lineRule="auto" w:before="7"/>
        <w:rPr>
          <w:rFonts w:ascii="宋体" w:hAnsi="宋体" w:cs="宋体" w:eastAsia="宋体" w:hint="default"/>
          <w:sz w:val="12"/>
          <w:szCs w:val="12"/>
        </w:rPr>
      </w:pPr>
    </w:p>
    <w:p>
      <w:pPr>
        <w:spacing w:line="374" w:lineRule="auto" w:before="26"/>
        <w:ind w:left="614" w:right="5670" w:firstLine="30"/>
        <w:jc w:val="left"/>
        <w:rPr>
          <w:rFonts w:ascii="宋体" w:hAnsi="宋体" w:cs="宋体" w:eastAsia="宋体" w:hint="default"/>
          <w:sz w:val="24"/>
          <w:szCs w:val="24"/>
        </w:rPr>
      </w:pPr>
      <w:r>
        <w:rPr>
          <w:rFonts w:ascii="Times New Roman" w:hAnsi="Times New Roman" w:cs="Times New Roman" w:eastAsia="Times New Roman" w:hint="default"/>
          <w:b/>
          <w:bCs/>
          <w:spacing w:val="6"/>
          <w:sz w:val="24"/>
          <w:szCs w:val="24"/>
        </w:rPr>
        <w:t>28.</w:t>
      </w:r>
      <w:r>
        <w:rPr>
          <w:rFonts w:ascii="宋体" w:hAnsi="宋体" w:cs="宋体" w:eastAsia="宋体" w:hint="default"/>
          <w:b/>
          <w:bCs/>
          <w:spacing w:val="6"/>
          <w:sz w:val="24"/>
          <w:szCs w:val="24"/>
        </w:rPr>
        <w:t>资产减值损失</w:t>
      </w:r>
      <w:r>
        <w:rPr>
          <w:rFonts w:ascii="宋体" w:hAnsi="宋体" w:cs="宋体" w:eastAsia="宋体" w:hint="default"/>
          <w:b/>
          <w:bCs/>
          <w:spacing w:val="8"/>
          <w:w w:val="99"/>
          <w:sz w:val="24"/>
          <w:szCs w:val="24"/>
        </w:rPr>
        <w:t> </w:t>
      </w:r>
      <w:r>
        <w:rPr>
          <w:rFonts w:ascii="宋体" w:hAnsi="宋体" w:cs="宋体" w:eastAsia="宋体" w:hint="default"/>
          <w:sz w:val="24"/>
          <w:szCs w:val="24"/>
        </w:rPr>
        <w:t>资产减值损失明细项目列示如下：</w:t>
      </w:r>
    </w:p>
    <w:p>
      <w:pPr>
        <w:spacing w:line="240" w:lineRule="auto" w:before="10"/>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624"/>
        <w:gridCol w:w="1763"/>
        <w:gridCol w:w="2446"/>
        <w:gridCol w:w="1369"/>
        <w:gridCol w:w="2454"/>
      </w:tblGrid>
      <w:tr>
        <w:trPr>
          <w:trHeight w:val="307" w:hRule="exact"/>
        </w:trPr>
        <w:tc>
          <w:tcPr>
            <w:tcW w:w="1624"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763"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single" w:sz="4" w:space="0" w:color="000000"/>
              <w:right w:val="nil" w:sz="6" w:space="0" w:color="auto"/>
            </w:tcBorders>
          </w:tcPr>
          <w:p>
            <w:pPr>
              <w:pStyle w:val="TableParagraph"/>
              <w:spacing w:line="191" w:lineRule="exact"/>
              <w:ind w:left="14" w:right="0"/>
              <w:jc w:val="center"/>
              <w:rPr>
                <w:rFonts w:ascii="Times New Roman" w:hAnsi="Times New Roman" w:cs="Times New Roman" w:eastAsia="Times New Roman" w:hint="default"/>
                <w:sz w:val="18"/>
                <w:szCs w:val="18"/>
              </w:rPr>
            </w:pPr>
            <w:r>
              <w:rPr>
                <w:rFonts w:ascii="Times New Roman"/>
                <w:sz w:val="18"/>
              </w:rPr>
              <w:t>2007</w:t>
            </w:r>
          </w:p>
        </w:tc>
        <w:tc>
          <w:tcPr>
            <w:tcW w:w="1369" w:type="dxa"/>
            <w:tcBorders>
              <w:top w:val="nil" w:sz="6" w:space="0" w:color="auto"/>
              <w:left w:val="nil" w:sz="6" w:space="0" w:color="auto"/>
              <w:bottom w:val="nil" w:sz="6" w:space="0" w:color="auto"/>
              <w:right w:val="nil" w:sz="6" w:space="0" w:color="auto"/>
            </w:tcBorders>
          </w:tcPr>
          <w:p>
            <w:pPr/>
          </w:p>
        </w:tc>
        <w:tc>
          <w:tcPr>
            <w:tcW w:w="2454" w:type="dxa"/>
            <w:tcBorders>
              <w:top w:val="nil" w:sz="6" w:space="0" w:color="auto"/>
              <w:left w:val="nil" w:sz="6" w:space="0" w:color="auto"/>
              <w:bottom w:val="single" w:sz="4" w:space="0" w:color="000000"/>
              <w:right w:val="nil" w:sz="6" w:space="0" w:color="auto"/>
            </w:tcBorders>
          </w:tcPr>
          <w:p>
            <w:pPr>
              <w:pStyle w:val="TableParagraph"/>
              <w:spacing w:line="191" w:lineRule="exact"/>
              <w:ind w:left="6" w:right="0"/>
              <w:jc w:val="center"/>
              <w:rPr>
                <w:rFonts w:ascii="Times New Roman" w:hAnsi="Times New Roman" w:cs="Times New Roman" w:eastAsia="Times New Roman" w:hint="default"/>
                <w:sz w:val="18"/>
                <w:szCs w:val="18"/>
              </w:rPr>
            </w:pPr>
            <w:r>
              <w:rPr>
                <w:rFonts w:ascii="Times New Roman"/>
                <w:sz w:val="18"/>
              </w:rPr>
              <w:t>2006</w:t>
            </w:r>
          </w:p>
        </w:tc>
      </w:tr>
      <w:tr>
        <w:trPr>
          <w:trHeight w:val="316" w:hRule="exact"/>
        </w:trPr>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3" w:type="dxa"/>
            <w:tcBorders>
              <w:top w:val="nil" w:sz="6" w:space="0" w:color="auto"/>
              <w:left w:val="nil" w:sz="6" w:space="0" w:color="auto"/>
              <w:bottom w:val="nil" w:sz="6" w:space="0" w:color="auto"/>
              <w:right w:val="nil" w:sz="6" w:space="0" w:color="auto"/>
            </w:tcBorders>
          </w:tcPr>
          <w:p>
            <w:pPr/>
          </w:p>
        </w:tc>
        <w:tc>
          <w:tcPr>
            <w:tcW w:w="2446" w:type="dxa"/>
            <w:tcBorders>
              <w:top w:val="single" w:sz="4" w:space="0" w:color="000000"/>
              <w:left w:val="nil" w:sz="6" w:space="0" w:color="auto"/>
              <w:bottom w:val="nil" w:sz="6" w:space="0" w:color="auto"/>
              <w:right w:val="nil" w:sz="6" w:space="0" w:color="auto"/>
            </w:tcBorders>
          </w:tcPr>
          <w:p>
            <w:pPr>
              <w:pStyle w:val="TableParagraph"/>
              <w:tabs>
                <w:tab w:pos="1498" w:val="left" w:leader="none"/>
              </w:tabs>
              <w:spacing w:line="240" w:lineRule="auto" w:before="108"/>
              <w:ind w:left="377"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6,623,740.04</w:t>
            </w:r>
          </w:p>
        </w:tc>
        <w:tc>
          <w:tcPr>
            <w:tcW w:w="1369" w:type="dxa"/>
            <w:tcBorders>
              <w:top w:val="nil" w:sz="6" w:space="0" w:color="auto"/>
              <w:left w:val="nil" w:sz="6" w:space="0" w:color="auto"/>
              <w:bottom w:val="nil" w:sz="6" w:space="0" w:color="auto"/>
              <w:right w:val="nil" w:sz="6" w:space="0" w:color="auto"/>
            </w:tcBorders>
          </w:tcPr>
          <w:p>
            <w:pPr/>
          </w:p>
        </w:tc>
        <w:tc>
          <w:tcPr>
            <w:tcW w:w="2454" w:type="dxa"/>
            <w:tcBorders>
              <w:top w:val="single" w:sz="4" w:space="0" w:color="000000"/>
              <w:left w:val="nil" w:sz="6" w:space="0" w:color="auto"/>
              <w:bottom w:val="nil" w:sz="6" w:space="0" w:color="auto"/>
              <w:right w:val="nil" w:sz="6" w:space="0" w:color="auto"/>
            </w:tcBorders>
          </w:tcPr>
          <w:p>
            <w:pPr>
              <w:pStyle w:val="TableParagraph"/>
              <w:tabs>
                <w:tab w:pos="1516" w:val="left" w:leader="none"/>
              </w:tabs>
              <w:spacing w:line="240" w:lineRule="auto" w:before="108"/>
              <w:ind w:left="395" w:right="0"/>
              <w:jc w:val="left"/>
              <w:rPr>
                <w:rFonts w:ascii="Times New Roman" w:hAnsi="Times New Roman" w:cs="Times New Roman" w:eastAsia="Times New Roman" w:hint="default"/>
                <w:sz w:val="18"/>
                <w:szCs w:val="18"/>
              </w:rPr>
            </w:pPr>
            <w:r>
              <w:rPr>
                <w:rFonts w:ascii="Times New Roman"/>
                <w:spacing w:val="-1"/>
                <w:sz w:val="18"/>
              </w:rPr>
              <w:t>RMB</w:t>
              <w:tab/>
              <w:t>2,486,235.11</w:t>
            </w:r>
          </w:p>
        </w:tc>
      </w:tr>
    </w:tbl>
    <w:p>
      <w:pPr>
        <w:spacing w:line="240" w:lineRule="auto" w:before="4"/>
        <w:rPr>
          <w:rFonts w:ascii="宋体" w:hAnsi="宋体" w:cs="宋体" w:eastAsia="宋体" w:hint="default"/>
          <w:sz w:val="21"/>
          <w:szCs w:val="21"/>
        </w:rPr>
      </w:pPr>
    </w:p>
    <w:p>
      <w:pPr>
        <w:spacing w:line="362" w:lineRule="auto" w:before="26"/>
        <w:ind w:left="644" w:right="576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营业外收入</w:t>
      </w:r>
      <w:r>
        <w:rPr>
          <w:rFonts w:ascii="宋体" w:hAnsi="宋体" w:cs="宋体" w:eastAsia="宋体" w:hint="default"/>
          <w:b/>
          <w:bCs/>
          <w:spacing w:val="9"/>
          <w:w w:val="99"/>
          <w:sz w:val="24"/>
          <w:szCs w:val="24"/>
        </w:rPr>
        <w:t> </w:t>
      </w:r>
      <w:r>
        <w:rPr>
          <w:rFonts w:ascii="宋体" w:hAnsi="宋体" w:cs="宋体" w:eastAsia="宋体" w:hint="default"/>
          <w:spacing w:val="8"/>
          <w:sz w:val="24"/>
          <w:szCs w:val="24"/>
        </w:rPr>
        <w:t>营业外收入明细项目列示如下：</w:t>
      </w:r>
      <w:r>
        <w:rPr>
          <w:rFonts w:ascii="宋体" w:hAnsi="宋体" w:cs="宋体" w:eastAsia="宋体" w:hint="default"/>
          <w:sz w:val="24"/>
          <w:szCs w:val="24"/>
        </w:rPr>
      </w:r>
    </w:p>
    <w:p>
      <w:pPr>
        <w:spacing w:line="240" w:lineRule="auto" w:before="11"/>
        <w:rPr>
          <w:rFonts w:ascii="宋体" w:hAnsi="宋体" w:cs="宋体" w:eastAsia="宋体" w:hint="default"/>
          <w:sz w:val="10"/>
          <w:szCs w:val="10"/>
        </w:rPr>
      </w:pPr>
    </w:p>
    <w:tbl>
      <w:tblPr>
        <w:tblW w:w="0" w:type="auto"/>
        <w:jc w:val="left"/>
        <w:tblInd w:w="241" w:type="dxa"/>
        <w:tblLayout w:type="fixed"/>
        <w:tblCellMar>
          <w:top w:w="0" w:type="dxa"/>
          <w:left w:w="0" w:type="dxa"/>
          <w:bottom w:w="0" w:type="dxa"/>
          <w:right w:w="0" w:type="dxa"/>
        </w:tblCellMar>
        <w:tblLook w:val="01E0"/>
      </w:tblPr>
      <w:tblGrid>
        <w:gridCol w:w="1558"/>
        <w:gridCol w:w="1651"/>
        <w:gridCol w:w="1389"/>
        <w:gridCol w:w="1030"/>
        <w:gridCol w:w="2304"/>
        <w:gridCol w:w="1602"/>
      </w:tblGrid>
      <w:tr>
        <w:trPr>
          <w:trHeight w:val="306" w:hRule="exact"/>
        </w:trPr>
        <w:tc>
          <w:tcPr>
            <w:tcW w:w="1558" w:type="dxa"/>
            <w:tcBorders>
              <w:top w:val="nil" w:sz="6" w:space="0" w:color="auto"/>
              <w:left w:val="nil" w:sz="6" w:space="0" w:color="auto"/>
              <w:bottom w:val="single" w:sz="4" w:space="0" w:color="000000"/>
              <w:right w:val="nil" w:sz="6" w:space="0" w:color="auto"/>
            </w:tcBorders>
          </w:tcPr>
          <w:p>
            <w:pPr>
              <w:pStyle w:val="TableParagraph"/>
              <w:spacing w:line="180" w:lineRule="exact"/>
              <w:ind w:left="18" w:right="0"/>
              <w:jc w:val="center"/>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5"/>
                <w:sz w:val="18"/>
                <w:szCs w:val="18"/>
              </w:rPr>
              <w:t> </w:t>
            </w:r>
            <w:r>
              <w:rPr>
                <w:rFonts w:ascii="宋体" w:hAnsi="宋体" w:cs="宋体" w:eastAsia="宋体" w:hint="default"/>
                <w:sz w:val="18"/>
                <w:szCs w:val="18"/>
              </w:rPr>
              <w:t>别</w:t>
            </w: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single" w:sz="8" w:space="0" w:color="000000"/>
              <w:right w:val="nil" w:sz="6" w:space="0" w:color="auto"/>
            </w:tcBorders>
          </w:tcPr>
          <w:p>
            <w:pPr>
              <w:pStyle w:val="TableParagraph"/>
              <w:spacing w:line="194" w:lineRule="exact"/>
              <w:ind w:right="-5"/>
              <w:jc w:val="right"/>
              <w:rPr>
                <w:rFonts w:ascii="Times New Roman" w:hAnsi="Times New Roman" w:cs="Times New Roman" w:eastAsia="Times New Roman" w:hint="default"/>
                <w:sz w:val="18"/>
                <w:szCs w:val="18"/>
              </w:rPr>
            </w:pPr>
            <w:r>
              <w:rPr>
                <w:rFonts w:ascii="Times New Roman"/>
                <w:sz w:val="18"/>
              </w:rPr>
              <w:t>2007</w:t>
            </w:r>
          </w:p>
        </w:tc>
        <w:tc>
          <w:tcPr>
            <w:tcW w:w="1030" w:type="dxa"/>
            <w:tcBorders>
              <w:top w:val="nil" w:sz="6" w:space="0" w:color="auto"/>
              <w:left w:val="nil" w:sz="6" w:space="0" w:color="auto"/>
              <w:bottom w:val="single" w:sz="8" w:space="0" w:color="000000"/>
              <w:right w:val="nil" w:sz="6" w:space="0" w:color="auto"/>
            </w:tcBorders>
          </w:tcPr>
          <w:p>
            <w:pPr/>
          </w:p>
        </w:tc>
        <w:tc>
          <w:tcPr>
            <w:tcW w:w="2304" w:type="dxa"/>
            <w:tcBorders>
              <w:top w:val="nil" w:sz="6" w:space="0" w:color="auto"/>
              <w:left w:val="nil" w:sz="6" w:space="0" w:color="auto"/>
              <w:bottom w:val="single" w:sz="8" w:space="0" w:color="000000"/>
              <w:right w:val="nil" w:sz="6" w:space="0" w:color="auto"/>
            </w:tcBorders>
          </w:tcPr>
          <w:p>
            <w:pPr/>
          </w:p>
        </w:tc>
        <w:tc>
          <w:tcPr>
            <w:tcW w:w="1602" w:type="dxa"/>
            <w:tcBorders>
              <w:top w:val="nil" w:sz="6" w:space="0" w:color="auto"/>
              <w:left w:val="nil" w:sz="6" w:space="0" w:color="auto"/>
              <w:bottom w:val="single" w:sz="8" w:space="0" w:color="000000"/>
              <w:right w:val="nil" w:sz="6" w:space="0" w:color="auto"/>
            </w:tcBorders>
          </w:tcPr>
          <w:p>
            <w:pPr>
              <w:pStyle w:val="TableParagraph"/>
              <w:spacing w:line="194" w:lineRule="exact"/>
              <w:ind w:left="136" w:right="0"/>
              <w:jc w:val="left"/>
              <w:rPr>
                <w:rFonts w:ascii="Times New Roman" w:hAnsi="Times New Roman" w:cs="Times New Roman" w:eastAsia="Times New Roman" w:hint="default"/>
                <w:sz w:val="18"/>
                <w:szCs w:val="18"/>
              </w:rPr>
            </w:pPr>
            <w:r>
              <w:rPr>
                <w:rFonts w:ascii="Times New Roman"/>
                <w:sz w:val="18"/>
              </w:rPr>
              <w:t>2006</w:t>
            </w:r>
          </w:p>
        </w:tc>
      </w:tr>
      <w:tr>
        <w:trPr>
          <w:trHeight w:val="447" w:hRule="exact"/>
        </w:trPr>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pacing w:val="-12"/>
                <w:sz w:val="18"/>
                <w:szCs w:val="18"/>
              </w:rPr>
              <w:t>固定资产清理收入</w:t>
            </w:r>
            <w:r>
              <w:rPr>
                <w:rFonts w:ascii="宋体" w:hAnsi="宋体" w:cs="宋体" w:eastAsia="宋体" w:hint="default"/>
                <w:sz w:val="18"/>
                <w:szCs w:val="18"/>
              </w:rPr>
            </w: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single" w:sz="8" w:space="0" w:color="000000"/>
              <w:left w:val="nil" w:sz="6" w:space="0" w:color="auto"/>
              <w:bottom w:val="nil" w:sz="6" w:space="0" w:color="auto"/>
              <w:right w:val="nil" w:sz="6" w:space="0" w:color="auto"/>
            </w:tcBorders>
          </w:tcPr>
          <w:p>
            <w:pPr>
              <w:pStyle w:val="TableParagraph"/>
              <w:spacing w:line="240" w:lineRule="auto" w:before="108"/>
              <w:ind w:left="10" w:right="0"/>
              <w:jc w:val="left"/>
              <w:rPr>
                <w:rFonts w:ascii="Times New Roman" w:hAnsi="Times New Roman" w:cs="Times New Roman" w:eastAsia="Times New Roman" w:hint="default"/>
                <w:sz w:val="18"/>
                <w:szCs w:val="18"/>
              </w:rPr>
            </w:pPr>
            <w:r>
              <w:rPr>
                <w:rFonts w:ascii="Times New Roman"/>
                <w:sz w:val="18"/>
              </w:rPr>
              <w:t>RMB</w:t>
            </w:r>
          </w:p>
        </w:tc>
        <w:tc>
          <w:tcPr>
            <w:tcW w:w="1030" w:type="dxa"/>
            <w:tcBorders>
              <w:top w:val="single" w:sz="8" w:space="0" w:color="000000"/>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749,135.97</w:t>
            </w:r>
          </w:p>
        </w:tc>
        <w:tc>
          <w:tcPr>
            <w:tcW w:w="2304"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564"/>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602"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Times New Roman" w:hAnsi="Times New Roman" w:cs="Times New Roman" w:eastAsia="Times New Roman" w:hint="default"/>
                <w:sz w:val="18"/>
                <w:szCs w:val="18"/>
              </w:rPr>
            </w:pPr>
            <w:r>
              <w:rPr>
                <w:rFonts w:ascii="Times New Roman"/>
                <w:sz w:val="18"/>
              </w:rPr>
              <w:t>3,197.24</w:t>
            </w:r>
          </w:p>
        </w:tc>
      </w:tr>
      <w:tr>
        <w:trPr>
          <w:trHeight w:val="425"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pacing w:val="-12"/>
                <w:sz w:val="18"/>
                <w:szCs w:val="18"/>
              </w:rPr>
              <w:t>增值税返还</w:t>
            </w:r>
            <w:r>
              <w:rPr>
                <w:rFonts w:ascii="宋体" w:hAnsi="宋体" w:cs="宋体" w:eastAsia="宋体" w:hint="default"/>
                <w:sz w:val="18"/>
                <w:szCs w:val="18"/>
              </w:rPr>
            </w: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 w:right="0"/>
              <w:jc w:val="right"/>
              <w:rPr>
                <w:rFonts w:ascii="Times New Roman" w:hAnsi="Times New Roman" w:cs="Times New Roman" w:eastAsia="Times New Roman" w:hint="default"/>
                <w:sz w:val="18"/>
                <w:szCs w:val="18"/>
              </w:rPr>
            </w:pPr>
            <w:r>
              <w:rPr>
                <w:rFonts w:ascii="Times New Roman"/>
                <w:spacing w:val="-1"/>
                <w:sz w:val="18"/>
              </w:rPr>
              <w:t>24,246,396.65</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 w:right="0"/>
              <w:jc w:val="left"/>
              <w:rPr>
                <w:rFonts w:ascii="Times New Roman" w:hAnsi="Times New Roman" w:cs="Times New Roman" w:eastAsia="Times New Roman" w:hint="default"/>
                <w:sz w:val="18"/>
                <w:szCs w:val="18"/>
              </w:rPr>
            </w:pPr>
            <w:r>
              <w:rPr>
                <w:rFonts w:ascii="Times New Roman"/>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16,343,165.60</w:t>
            </w:r>
          </w:p>
        </w:tc>
      </w:tr>
      <w:tr>
        <w:trPr>
          <w:trHeight w:val="425"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pacing w:val="-12"/>
                <w:sz w:val="18"/>
                <w:szCs w:val="18"/>
              </w:rPr>
              <w:t>政府补助</w:t>
            </w:r>
            <w:r>
              <w:rPr>
                <w:rFonts w:ascii="宋体" w:hAnsi="宋体" w:cs="宋体" w:eastAsia="宋体" w:hint="default"/>
                <w:sz w:val="18"/>
                <w:szCs w:val="18"/>
              </w:rPr>
            </w: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 w:right="0"/>
              <w:jc w:val="right"/>
              <w:rPr>
                <w:rFonts w:ascii="Times New Roman" w:hAnsi="Times New Roman" w:cs="Times New Roman" w:eastAsia="Times New Roman" w:hint="default"/>
                <w:sz w:val="18"/>
                <w:szCs w:val="18"/>
              </w:rPr>
            </w:pPr>
            <w:r>
              <w:rPr>
                <w:rFonts w:ascii="Times New Roman"/>
                <w:spacing w:val="-1"/>
                <w:sz w:val="18"/>
              </w:rPr>
              <w:t>10,235,000.00</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 w:right="0"/>
              <w:jc w:val="left"/>
              <w:rPr>
                <w:rFonts w:ascii="Times New Roman" w:hAnsi="Times New Roman" w:cs="Times New Roman" w:eastAsia="Times New Roman" w:hint="default"/>
                <w:sz w:val="18"/>
                <w:szCs w:val="18"/>
              </w:rPr>
            </w:pPr>
            <w:r>
              <w:rPr>
                <w:rFonts w:ascii="Times New Roman"/>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pacing w:val="-12"/>
                <w:sz w:val="18"/>
                <w:szCs w:val="18"/>
              </w:rPr>
              <w:t>罚款收入</w:t>
            </w:r>
            <w:r>
              <w:rPr>
                <w:rFonts w:ascii="宋体" w:hAnsi="宋体" w:cs="宋体" w:eastAsia="宋体" w:hint="default"/>
                <w:sz w:val="18"/>
                <w:szCs w:val="18"/>
              </w:rPr>
            </w: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4"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500.00</w:t>
            </w:r>
          </w:p>
        </w:tc>
      </w:tr>
      <w:tr>
        <w:trPr>
          <w:trHeight w:val="423"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single" w:sz="8" w:space="0" w:color="000000"/>
              <w:right w:val="nil" w:sz="6" w:space="0" w:color="auto"/>
            </w:tcBorders>
          </w:tcPr>
          <w:p>
            <w:pPr/>
          </w:p>
        </w:tc>
        <w:tc>
          <w:tcPr>
            <w:tcW w:w="1030" w:type="dxa"/>
            <w:tcBorders>
              <w:top w:val="nil" w:sz="6" w:space="0" w:color="auto"/>
              <w:left w:val="nil" w:sz="6" w:space="0" w:color="auto"/>
              <w:bottom w:val="single" w:sz="8" w:space="0" w:color="000000"/>
              <w:right w:val="nil" w:sz="6" w:space="0" w:color="auto"/>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30,236.00</w:t>
            </w:r>
          </w:p>
        </w:tc>
        <w:tc>
          <w:tcPr>
            <w:tcW w:w="2304" w:type="dxa"/>
            <w:tcBorders>
              <w:top w:val="nil" w:sz="6" w:space="0" w:color="auto"/>
              <w:left w:val="nil" w:sz="6" w:space="0" w:color="auto"/>
              <w:bottom w:val="single" w:sz="8" w:space="0" w:color="000000"/>
              <w:right w:val="nil" w:sz="6" w:space="0" w:color="auto"/>
            </w:tcBorders>
          </w:tcPr>
          <w:p>
            <w:pPr/>
          </w:p>
        </w:tc>
        <w:tc>
          <w:tcPr>
            <w:tcW w:w="1602" w:type="dxa"/>
            <w:tcBorders>
              <w:top w:val="nil" w:sz="6" w:space="0" w:color="auto"/>
              <w:left w:val="nil" w:sz="6" w:space="0" w:color="auto"/>
              <w:bottom w:val="single" w:sz="8" w:space="0" w:color="000000"/>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0" w:hRule="exact"/>
        </w:trPr>
        <w:tc>
          <w:tcPr>
            <w:tcW w:w="1558"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389" w:type="dxa"/>
            <w:tcBorders>
              <w:top w:val="single" w:sz="8" w:space="0" w:color="000000"/>
              <w:left w:val="nil" w:sz="6" w:space="0" w:color="auto"/>
              <w:bottom w:val="single" w:sz="17" w:space="0" w:color="000000"/>
              <w:right w:val="nil" w:sz="6" w:space="0" w:color="auto"/>
            </w:tcBorders>
          </w:tcPr>
          <w:p>
            <w:pPr>
              <w:pStyle w:val="TableParagraph"/>
              <w:spacing w:line="240" w:lineRule="auto" w:before="109"/>
              <w:ind w:left="11" w:right="0"/>
              <w:jc w:val="left"/>
              <w:rPr>
                <w:rFonts w:ascii="Times New Roman" w:hAnsi="Times New Roman" w:cs="Times New Roman" w:eastAsia="Times New Roman" w:hint="default"/>
                <w:sz w:val="18"/>
                <w:szCs w:val="18"/>
              </w:rPr>
            </w:pPr>
            <w:r>
              <w:rPr>
                <w:rFonts w:ascii="Times New Roman"/>
                <w:sz w:val="18"/>
              </w:rPr>
              <w:t>RMB</w:t>
            </w:r>
          </w:p>
        </w:tc>
        <w:tc>
          <w:tcPr>
            <w:tcW w:w="1030" w:type="dxa"/>
            <w:tcBorders>
              <w:top w:val="single" w:sz="8" w:space="0" w:color="000000"/>
              <w:left w:val="nil" w:sz="6" w:space="0" w:color="auto"/>
              <w:bottom w:val="single" w:sz="17" w:space="0" w:color="000000"/>
              <w:right w:val="nil" w:sz="6" w:space="0" w:color="auto"/>
            </w:tcBorders>
          </w:tcPr>
          <w:p>
            <w:pPr>
              <w:pStyle w:val="TableParagraph"/>
              <w:spacing w:line="240" w:lineRule="auto" w:before="109"/>
              <w:ind w:left="-5" w:right="0"/>
              <w:jc w:val="right"/>
              <w:rPr>
                <w:rFonts w:ascii="Times New Roman" w:hAnsi="Times New Roman" w:cs="Times New Roman" w:eastAsia="Times New Roman" w:hint="default"/>
                <w:sz w:val="18"/>
                <w:szCs w:val="18"/>
              </w:rPr>
            </w:pPr>
            <w:r>
              <w:rPr>
                <w:rFonts w:ascii="Times New Roman"/>
                <w:spacing w:val="-1"/>
                <w:sz w:val="18"/>
              </w:rPr>
              <w:t>35,260,768.62</w:t>
            </w:r>
          </w:p>
        </w:tc>
        <w:tc>
          <w:tcPr>
            <w:tcW w:w="2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117"/>
              <w:ind w:right="564"/>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602" w:type="dxa"/>
            <w:tcBorders>
              <w:top w:val="single" w:sz="8" w:space="0" w:color="000000"/>
              <w:left w:val="nil" w:sz="6" w:space="0" w:color="auto"/>
              <w:bottom w:val="single" w:sz="17" w:space="0" w:color="000000"/>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16,346,862.84</w:t>
            </w:r>
          </w:p>
        </w:tc>
      </w:tr>
    </w:tbl>
    <w:p>
      <w:pPr>
        <w:spacing w:line="240" w:lineRule="auto" w:before="6"/>
        <w:rPr>
          <w:rFonts w:ascii="宋体" w:hAnsi="宋体" w:cs="宋体" w:eastAsia="宋体" w:hint="default"/>
          <w:sz w:val="9"/>
          <w:szCs w:val="9"/>
        </w:rPr>
      </w:pPr>
    </w:p>
    <w:p>
      <w:pPr>
        <w:pStyle w:val="BodyText"/>
        <w:spacing w:line="316" w:lineRule="auto" w:before="26"/>
        <w:ind w:left="134" w:right="129" w:firstLine="510"/>
        <w:jc w:val="both"/>
      </w:pPr>
      <w:r>
        <w:rPr>
          <w:rFonts w:ascii="Times New Roman" w:hAnsi="Times New Roman" w:cs="Times New Roman" w:eastAsia="Times New Roman" w:hint="default"/>
        </w:rPr>
        <w:t>* </w:t>
      </w:r>
      <w:r>
        <w:rPr>
          <w:spacing w:val="6"/>
        </w:rPr>
        <w:t>根据财政部、国家税务总局、海关总署财税</w:t>
      </w:r>
      <w:r>
        <w:rPr>
          <w:rFonts w:ascii="Times New Roman" w:hAnsi="Times New Roman" w:cs="Times New Roman" w:eastAsia="Times New Roman" w:hint="default"/>
          <w:spacing w:val="6"/>
        </w:rPr>
        <w:t>[2002]25</w:t>
      </w:r>
      <w:r>
        <w:rPr>
          <w:rFonts w:ascii="Times New Roman" w:hAnsi="Times New Roman" w:cs="Times New Roman" w:eastAsia="Times New Roman" w:hint="default"/>
          <w:spacing w:val="34"/>
        </w:rPr>
        <w:t> </w:t>
      </w:r>
      <w:r>
        <w:rPr>
          <w:spacing w:val="7"/>
        </w:rPr>
        <w:t>号文《关于</w:t>
      </w:r>
      <w:r>
        <w:rPr>
          <w:rFonts w:ascii="Times New Roman" w:hAnsi="Times New Roman" w:cs="Times New Roman" w:eastAsia="Times New Roman" w:hint="default"/>
          <w:spacing w:val="7"/>
        </w:rPr>
        <w:t>&lt;</w:t>
      </w:r>
      <w:r>
        <w:rPr>
          <w:spacing w:val="7"/>
        </w:rPr>
        <w:t>鼓励软件产业和</w:t>
      </w:r>
      <w:r>
        <w:rPr>
          <w:spacing w:val="8"/>
        </w:rPr>
        <w:t> </w:t>
      </w:r>
      <w:r>
        <w:rPr>
          <w:spacing w:val="7"/>
        </w:rPr>
        <w:t>集成电路产业发展有关税收政策问题</w:t>
      </w:r>
      <w:r>
        <w:rPr>
          <w:rFonts w:ascii="Times New Roman" w:hAnsi="Times New Roman" w:cs="Times New Roman" w:eastAsia="Times New Roman" w:hint="default"/>
          <w:spacing w:val="7"/>
        </w:rPr>
        <w:t>&gt;</w:t>
      </w:r>
      <w:r>
        <w:rPr>
          <w:spacing w:val="7"/>
        </w:rPr>
        <w:t>的通知》</w:t>
      </w:r>
      <w:r>
        <w:rPr>
          <w:rFonts w:ascii="Times New Roman" w:hAnsi="Times New Roman" w:cs="Times New Roman" w:eastAsia="Times New Roman" w:hint="default"/>
          <w:spacing w:val="7"/>
        </w:rPr>
        <w:t>,</w:t>
      </w:r>
      <w:r>
        <w:rPr>
          <w:spacing w:val="7"/>
        </w:rPr>
        <w:t>自二零零零年六月二十四日起至二零一零</w:t>
      </w:r>
      <w:r>
        <w:rPr>
          <w:spacing w:val="-90"/>
        </w:rPr>
        <w:t> </w:t>
      </w:r>
      <w:r>
        <w:rPr>
          <w:spacing w:val="7"/>
        </w:rPr>
        <w:t>年末以前</w:t>
      </w:r>
      <w:r>
        <w:rPr>
          <w:rFonts w:ascii="Times New Roman" w:hAnsi="Times New Roman" w:cs="Times New Roman" w:eastAsia="Times New Roman" w:hint="default"/>
          <w:spacing w:val="7"/>
        </w:rPr>
        <w:t>,</w:t>
      </w:r>
      <w:r>
        <w:rPr>
          <w:spacing w:val="7"/>
        </w:rPr>
        <w:t>对增值税一般纳税人销售其自行开发生产的软件产品</w:t>
      </w:r>
      <w:r>
        <w:rPr>
          <w:rFonts w:ascii="Times New Roman" w:hAnsi="Times New Roman" w:cs="Times New Roman" w:eastAsia="Times New Roman" w:hint="default"/>
          <w:spacing w:val="7"/>
        </w:rPr>
        <w:t>,</w:t>
      </w:r>
      <w:r>
        <w:rPr>
          <w:spacing w:val="7"/>
        </w:rPr>
        <w:t>按</w:t>
      </w:r>
      <w:r>
        <w:rPr>
          <w:spacing w:val="31"/>
        </w:rPr>
        <w:t> </w:t>
      </w:r>
      <w:r>
        <w:rPr>
          <w:rFonts w:ascii="Times New Roman" w:hAnsi="Times New Roman" w:cs="Times New Roman" w:eastAsia="Times New Roman" w:hint="default"/>
          <w:spacing w:val="6"/>
        </w:rPr>
        <w:t>17%</w:t>
      </w:r>
      <w:r>
        <w:rPr>
          <w:spacing w:val="6"/>
        </w:rPr>
        <w:t>的法定税率征收增</w:t>
      </w:r>
      <w:r>
        <w:rPr>
          <w:spacing w:val="-118"/>
        </w:rPr>
        <w:t> </w:t>
      </w:r>
      <w:r>
        <w:rPr>
          <w:spacing w:val="7"/>
        </w:rPr>
        <w:t>值税后</w:t>
      </w:r>
      <w:r>
        <w:rPr>
          <w:rFonts w:ascii="Times New Roman" w:hAnsi="Times New Roman" w:cs="Times New Roman" w:eastAsia="Times New Roman" w:hint="default"/>
          <w:spacing w:val="7"/>
        </w:rPr>
        <w:t>,</w:t>
      </w:r>
      <w:r>
        <w:rPr>
          <w:spacing w:val="7"/>
        </w:rPr>
        <w:t>对其增值税实际税负超过</w:t>
      </w:r>
      <w:r>
        <w:rPr>
          <w:spacing w:val="-40"/>
        </w:rPr>
        <w:t> </w:t>
      </w:r>
      <w:r>
        <w:rPr>
          <w:rFonts w:ascii="Times New Roman" w:hAnsi="Times New Roman" w:cs="Times New Roman" w:eastAsia="Times New Roman" w:hint="default"/>
          <w:spacing w:val="7"/>
        </w:rPr>
        <w:t>3%</w:t>
      </w:r>
      <w:r>
        <w:rPr>
          <w:spacing w:val="7"/>
        </w:rPr>
        <w:t>的部分实行即征即退政策。所退税款由企业用于研究</w:t>
      </w:r>
      <w:r>
        <w:rPr/>
        <w:t> </w:t>
      </w:r>
      <w:r>
        <w:rPr>
          <w:spacing w:val="9"/>
        </w:rPr>
        <w:t>开发软件产品和扩大再生产</w:t>
      </w:r>
      <w:r>
        <w:rPr>
          <w:rFonts w:ascii="Times New Roman" w:hAnsi="Times New Roman" w:cs="Times New Roman" w:eastAsia="Times New Roman" w:hint="default"/>
          <w:spacing w:val="9"/>
        </w:rPr>
        <w:t>,</w:t>
      </w:r>
      <w:r>
        <w:rPr>
          <w:spacing w:val="9"/>
        </w:rPr>
        <w:t>不作为企业所得税应税收入</w:t>
      </w:r>
      <w:r>
        <w:rPr>
          <w:rFonts w:ascii="Times New Roman" w:hAnsi="Times New Roman" w:cs="Times New Roman" w:eastAsia="Times New Roman" w:hint="default"/>
          <w:spacing w:val="9"/>
        </w:rPr>
        <w:t>,</w:t>
      </w:r>
      <w:r>
        <w:rPr>
          <w:spacing w:val="9"/>
        </w:rPr>
        <w:t>不予征收企业所得税。经辽宁省</w:t>
      </w:r>
      <w:r>
        <w:rPr>
          <w:spacing w:val="-89"/>
        </w:rPr>
        <w:t> </w:t>
      </w:r>
      <w:r>
        <w:rPr>
          <w:spacing w:val="7"/>
        </w:rPr>
        <w:t>鞍山市国家税务局批准</w:t>
      </w:r>
      <w:r>
        <w:rPr>
          <w:rFonts w:ascii="Times New Roman" w:hAnsi="Times New Roman" w:cs="Times New Roman" w:eastAsia="Times New Roman" w:hint="default"/>
          <w:spacing w:val="7"/>
        </w:rPr>
        <w:t>,</w:t>
      </w:r>
      <w:r>
        <w:rPr>
          <w:spacing w:val="7"/>
        </w:rPr>
        <w:t>本年度本公司已收到返还增值税款 </w:t>
      </w:r>
      <w:r>
        <w:rPr>
          <w:rFonts w:ascii="Times New Roman" w:hAnsi="Times New Roman" w:cs="Times New Roman" w:eastAsia="Times New Roman" w:hint="default"/>
          <w:spacing w:val="3"/>
        </w:rPr>
        <w:t>17,565,573.17</w:t>
      </w:r>
      <w:r>
        <w:rPr>
          <w:rFonts w:ascii="Times New Roman" w:hAnsi="Times New Roman" w:cs="Times New Roman" w:eastAsia="Times New Roman" w:hint="default"/>
          <w:spacing w:val="50"/>
        </w:rPr>
        <w:t> </w:t>
      </w:r>
      <w:r>
        <w:rPr>
          <w:spacing w:val="8"/>
        </w:rPr>
        <w:t>人民币元，荣信</w:t>
      </w:r>
      <w:r>
        <w:rPr/>
      </w:r>
    </w:p>
    <w:p>
      <w:pPr>
        <w:pStyle w:val="BodyText"/>
        <w:spacing w:line="240" w:lineRule="auto" w:before="24"/>
        <w:ind w:left="134" w:right="0"/>
        <w:jc w:val="left"/>
      </w:pPr>
      <w:r>
        <w:rPr>
          <w:spacing w:val="7"/>
        </w:rPr>
        <w:t>科技已收到返还增值税款</w:t>
      </w:r>
      <w:r>
        <w:rPr>
          <w:spacing w:val="-46"/>
        </w:rPr>
        <w:t> </w:t>
      </w:r>
      <w:r>
        <w:rPr>
          <w:rFonts w:ascii="Times New Roman" w:hAnsi="Times New Roman" w:cs="Times New Roman" w:eastAsia="Times New Roman" w:hint="default"/>
          <w:spacing w:val="3"/>
        </w:rPr>
        <w:t>3,122,023.48</w:t>
      </w:r>
      <w:r>
        <w:rPr>
          <w:rFonts w:ascii="Times New Roman" w:hAnsi="Times New Roman" w:cs="Times New Roman" w:eastAsia="Times New Roman" w:hint="default"/>
          <w:spacing w:val="12"/>
        </w:rPr>
        <w:t> </w:t>
      </w:r>
      <w:r>
        <w:rPr>
          <w:spacing w:val="8"/>
        </w:rPr>
        <w:t>人民币元。</w:t>
      </w:r>
      <w:r>
        <w:rPr/>
      </w:r>
    </w:p>
    <w:p>
      <w:pPr>
        <w:pStyle w:val="BodyText"/>
        <w:spacing w:line="240" w:lineRule="auto" w:before="206"/>
        <w:ind w:left="644" w:right="0"/>
        <w:jc w:val="left"/>
      </w:pPr>
      <w:r>
        <w:rPr>
          <w:spacing w:val="13"/>
        </w:rPr>
        <w:t>根据北京市宣武区国家税务局二零零五年三月十六日印发的关于对诚和伟业公司享</w:t>
      </w:r>
      <w:r>
        <w:rPr/>
      </w:r>
    </w:p>
    <w:p>
      <w:pPr>
        <w:spacing w:after="0" w:line="240" w:lineRule="auto"/>
        <w:jc w:val="left"/>
        <w:sectPr>
          <w:pgSz w:w="11910" w:h="16840"/>
          <w:pgMar w:header="877" w:footer="1022" w:top="1060" w:bottom="1220" w:left="1000" w:right="1000"/>
        </w:sectPr>
      </w:pPr>
    </w:p>
    <w:p>
      <w:pPr>
        <w:spacing w:line="240" w:lineRule="auto" w:before="12"/>
        <w:rPr>
          <w:rFonts w:ascii="宋体" w:hAnsi="宋体" w:cs="宋体" w:eastAsia="宋体" w:hint="default"/>
          <w:sz w:val="2"/>
          <w:szCs w:val="2"/>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8"/>
          <w:szCs w:val="28"/>
        </w:rPr>
      </w:pPr>
    </w:p>
    <w:p>
      <w:pPr>
        <w:pStyle w:val="BodyText"/>
        <w:spacing w:line="319" w:lineRule="auto" w:before="26"/>
        <w:ind w:left="314" w:right="149"/>
        <w:jc w:val="both"/>
      </w:pPr>
      <w:r>
        <w:rPr>
          <w:spacing w:val="7"/>
        </w:rPr>
        <w:t>受“晶闸管控制电抗器控制系统软件 </w:t>
      </w:r>
      <w:r>
        <w:rPr>
          <w:rFonts w:ascii="Times New Roman" w:hAnsi="Times New Roman" w:cs="Times New Roman" w:eastAsia="Times New Roman" w:hint="default"/>
          <w:spacing w:val="6"/>
        </w:rPr>
        <w:t>V1.0</w:t>
      </w:r>
      <w:r>
        <w:rPr>
          <w:spacing w:val="6"/>
        </w:rPr>
        <w:t>”和“高压变频器控制系统软件</w:t>
      </w:r>
      <w:r>
        <w:rPr>
          <w:spacing w:val="17"/>
        </w:rPr>
        <w:t> </w:t>
      </w:r>
      <w:r>
        <w:rPr>
          <w:rFonts w:ascii="Times New Roman" w:hAnsi="Times New Roman" w:cs="Times New Roman" w:eastAsia="Times New Roman" w:hint="default"/>
          <w:spacing w:val="5"/>
        </w:rPr>
        <w:t>V1.0</w:t>
      </w:r>
      <w:r>
        <w:rPr>
          <w:spacing w:val="5"/>
        </w:rPr>
        <w:t>”享受增</w:t>
      </w:r>
      <w:r>
        <w:rPr>
          <w:spacing w:val="8"/>
        </w:rPr>
        <w:t> </w:t>
      </w:r>
      <w:r>
        <w:rPr>
          <w:spacing w:val="7"/>
        </w:rPr>
        <w:t>值税即征即退税收优惠政策的批复，本年度诚和伟业已收到返还的增值税款</w:t>
      </w:r>
      <w:r>
        <w:rPr>
          <w:spacing w:val="31"/>
        </w:rPr>
        <w:t> </w:t>
      </w:r>
      <w:r>
        <w:rPr>
          <w:rFonts w:ascii="Times New Roman" w:hAnsi="Times New Roman" w:cs="Times New Roman" w:eastAsia="Times New Roman" w:hint="default"/>
          <w:spacing w:val="4"/>
        </w:rPr>
        <w:t>3,558,800.00</w:t>
      </w:r>
      <w:r>
        <w:rPr>
          <w:rFonts w:ascii="Times New Roman" w:hAnsi="Times New Roman" w:cs="Times New Roman" w:eastAsia="Times New Roman" w:hint="default"/>
          <w:spacing w:val="-56"/>
        </w:rPr>
        <w:t> </w:t>
      </w:r>
      <w:r>
        <w:rPr>
          <w:spacing w:val="8"/>
        </w:rPr>
        <w:t>人民币元。</w:t>
      </w:r>
      <w:r>
        <w:rPr/>
      </w:r>
    </w:p>
    <w:p>
      <w:pPr>
        <w:pStyle w:val="BodyText"/>
        <w:spacing w:line="319" w:lineRule="auto" w:before="166"/>
        <w:ind w:left="314" w:right="180" w:firstLine="51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spacing w:val="9"/>
        </w:rPr>
        <w:t>政府补助系本年度由递延收益转销的已完成的科研拨款项目；及鞍山市财政局拨</w:t>
      </w:r>
      <w:r>
        <w:rPr/>
        <w:t> </w:t>
      </w:r>
      <w:r>
        <w:rPr>
          <w:spacing w:val="6"/>
        </w:rPr>
        <w:t>付的外贸发展基金</w:t>
      </w:r>
      <w:r>
        <w:rPr>
          <w:spacing w:val="-47"/>
        </w:rPr>
        <w:t> </w:t>
      </w:r>
      <w:r>
        <w:rPr>
          <w:rFonts w:ascii="Times New Roman" w:hAnsi="Times New Roman" w:cs="Times New Roman" w:eastAsia="Times New Roman" w:hint="default"/>
          <w:spacing w:val="2"/>
        </w:rPr>
        <w:t>50,000.00</w:t>
      </w:r>
      <w:r>
        <w:rPr>
          <w:rFonts w:ascii="Times New Roman" w:hAnsi="Times New Roman" w:cs="Times New Roman" w:eastAsia="Times New Roman" w:hint="default"/>
          <w:spacing w:val="10"/>
        </w:rPr>
        <w:t> </w:t>
      </w:r>
      <w:r>
        <w:rPr>
          <w:spacing w:val="8"/>
        </w:rPr>
        <w:t>人民币元。</w:t>
      </w:r>
      <w:r>
        <w:rPr/>
      </w:r>
    </w:p>
    <w:p>
      <w:pPr>
        <w:spacing w:line="434" w:lineRule="auto" w:before="180"/>
        <w:ind w:left="824" w:right="5788" w:firstLine="0"/>
        <w:jc w:val="left"/>
        <w:rPr>
          <w:rFonts w:ascii="宋体" w:hAnsi="宋体" w:cs="宋体" w:eastAsia="宋体" w:hint="default"/>
          <w:sz w:val="24"/>
          <w:szCs w:val="24"/>
        </w:rPr>
      </w:pPr>
      <w:r>
        <w:rPr>
          <w:rFonts w:ascii="Times New Roman" w:hAnsi="Times New Roman" w:cs="Times New Roman" w:eastAsia="Times New Roman" w:hint="default"/>
          <w:b/>
          <w:bCs/>
          <w:spacing w:val="6"/>
          <w:sz w:val="24"/>
          <w:szCs w:val="24"/>
        </w:rPr>
        <w:t>30.</w:t>
      </w:r>
      <w:r>
        <w:rPr>
          <w:rFonts w:ascii="宋体" w:hAnsi="宋体" w:cs="宋体" w:eastAsia="宋体" w:hint="default"/>
          <w:b/>
          <w:bCs/>
          <w:spacing w:val="6"/>
          <w:sz w:val="24"/>
          <w:szCs w:val="24"/>
        </w:rPr>
        <w:t>营业外支出</w:t>
      </w:r>
      <w:r>
        <w:rPr>
          <w:rFonts w:ascii="宋体" w:hAnsi="宋体" w:cs="宋体" w:eastAsia="宋体" w:hint="default"/>
          <w:b/>
          <w:bCs/>
          <w:spacing w:val="9"/>
          <w:w w:val="99"/>
          <w:sz w:val="24"/>
          <w:szCs w:val="24"/>
        </w:rPr>
        <w:t> </w:t>
      </w:r>
      <w:r>
        <w:rPr>
          <w:rFonts w:ascii="宋体" w:hAnsi="宋体" w:cs="宋体" w:eastAsia="宋体" w:hint="default"/>
          <w:spacing w:val="8"/>
          <w:sz w:val="24"/>
          <w:szCs w:val="24"/>
        </w:rPr>
        <w:t>营业外支出明细项目列示如下：</w:t>
      </w:r>
      <w:r>
        <w:rPr>
          <w:rFonts w:ascii="宋体" w:hAnsi="宋体" w:cs="宋体" w:eastAsia="宋体" w:hint="default"/>
          <w:sz w:val="24"/>
          <w:szCs w:val="24"/>
        </w:rPr>
      </w:r>
    </w:p>
    <w:p>
      <w:pPr>
        <w:spacing w:line="240" w:lineRule="auto" w:before="12"/>
        <w:rPr>
          <w:rFonts w:ascii="宋体" w:hAnsi="宋体" w:cs="宋体" w:eastAsia="宋体" w:hint="default"/>
          <w:sz w:val="9"/>
          <w:szCs w:val="9"/>
        </w:rPr>
      </w:pPr>
    </w:p>
    <w:tbl>
      <w:tblPr>
        <w:tblW w:w="0" w:type="auto"/>
        <w:jc w:val="left"/>
        <w:tblInd w:w="422" w:type="dxa"/>
        <w:tblLayout w:type="fixed"/>
        <w:tblCellMar>
          <w:top w:w="0" w:type="dxa"/>
          <w:left w:w="0" w:type="dxa"/>
          <w:bottom w:w="0" w:type="dxa"/>
          <w:right w:w="0" w:type="dxa"/>
        </w:tblCellMar>
        <w:tblLook w:val="01E0"/>
      </w:tblPr>
      <w:tblGrid>
        <w:gridCol w:w="2381"/>
        <w:gridCol w:w="1324"/>
        <w:gridCol w:w="1332"/>
        <w:gridCol w:w="861"/>
        <w:gridCol w:w="948"/>
        <w:gridCol w:w="1090"/>
        <w:gridCol w:w="1503"/>
      </w:tblGrid>
      <w:tr>
        <w:trPr>
          <w:trHeight w:val="306" w:hRule="exact"/>
        </w:trPr>
        <w:tc>
          <w:tcPr>
            <w:tcW w:w="2381"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32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8" w:space="0" w:color="000000"/>
              <w:right w:val="nil" w:sz="6" w:space="0" w:color="auto"/>
            </w:tcBorders>
          </w:tcPr>
          <w:p>
            <w:pPr>
              <w:pStyle w:val="TableParagraph"/>
              <w:spacing w:line="194" w:lineRule="exact"/>
              <w:ind w:right="48"/>
              <w:jc w:val="right"/>
              <w:rPr>
                <w:rFonts w:ascii="Times New Roman" w:hAnsi="Times New Roman" w:cs="Times New Roman" w:eastAsia="Times New Roman" w:hint="default"/>
                <w:sz w:val="18"/>
                <w:szCs w:val="18"/>
              </w:rPr>
            </w:pPr>
            <w:r>
              <w:rPr>
                <w:rFonts w:ascii="Times New Roman"/>
                <w:sz w:val="18"/>
              </w:rPr>
              <w:t>2007</w:t>
            </w:r>
          </w:p>
        </w:tc>
        <w:tc>
          <w:tcPr>
            <w:tcW w:w="861" w:type="dxa"/>
            <w:tcBorders>
              <w:top w:val="nil" w:sz="6" w:space="0" w:color="auto"/>
              <w:left w:val="nil" w:sz="6" w:space="0" w:color="auto"/>
              <w:bottom w:val="single" w:sz="8" w:space="0" w:color="000000"/>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8" w:space="0" w:color="000000"/>
              <w:right w:val="nil" w:sz="6" w:space="0" w:color="auto"/>
            </w:tcBorders>
          </w:tcPr>
          <w:p>
            <w:pPr/>
          </w:p>
        </w:tc>
        <w:tc>
          <w:tcPr>
            <w:tcW w:w="1503" w:type="dxa"/>
            <w:tcBorders>
              <w:top w:val="nil" w:sz="6" w:space="0" w:color="auto"/>
              <w:left w:val="nil" w:sz="6" w:space="0" w:color="auto"/>
              <w:bottom w:val="single" w:sz="8" w:space="0" w:color="000000"/>
              <w:right w:val="nil" w:sz="6" w:space="0" w:color="auto"/>
            </w:tcBorders>
          </w:tcPr>
          <w:p>
            <w:pPr>
              <w:pStyle w:val="TableParagraph"/>
              <w:spacing w:line="194" w:lineRule="exact"/>
              <w:ind w:left="29" w:right="0"/>
              <w:jc w:val="left"/>
              <w:rPr>
                <w:rFonts w:ascii="Times New Roman" w:hAnsi="Times New Roman" w:cs="Times New Roman" w:eastAsia="Times New Roman" w:hint="default"/>
                <w:sz w:val="18"/>
                <w:szCs w:val="18"/>
              </w:rPr>
            </w:pPr>
            <w:r>
              <w:rPr>
                <w:rFonts w:ascii="Times New Roman"/>
                <w:sz w:val="18"/>
              </w:rPr>
              <w:t>2006</w:t>
            </w:r>
          </w:p>
        </w:tc>
      </w:tr>
      <w:tr>
        <w:trPr>
          <w:trHeight w:val="442" w:hRule="exact"/>
        </w:trPr>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固定资产清理损失</w:t>
            </w:r>
          </w:p>
        </w:tc>
        <w:tc>
          <w:tcPr>
            <w:tcW w:w="1324" w:type="dxa"/>
            <w:tcBorders>
              <w:top w:val="nil" w:sz="6" w:space="0" w:color="auto"/>
              <w:left w:val="nil" w:sz="6" w:space="0" w:color="auto"/>
              <w:bottom w:val="nil" w:sz="6" w:space="0" w:color="auto"/>
              <w:right w:val="nil" w:sz="6" w:space="0" w:color="auto"/>
            </w:tcBorders>
          </w:tcPr>
          <w:p>
            <w:pPr/>
          </w:p>
        </w:tc>
        <w:tc>
          <w:tcPr>
            <w:tcW w:w="1332" w:type="dxa"/>
            <w:tcBorders>
              <w:top w:val="single" w:sz="8" w:space="0" w:color="000000"/>
              <w:left w:val="nil" w:sz="6" w:space="0" w:color="auto"/>
              <w:bottom w:val="nil" w:sz="6" w:space="0" w:color="auto"/>
              <w:right w:val="nil" w:sz="6" w:space="0" w:color="auto"/>
            </w:tcBorders>
          </w:tcPr>
          <w:p>
            <w:pPr>
              <w:pStyle w:val="TableParagraph"/>
              <w:spacing w:line="240" w:lineRule="auto" w:before="108"/>
              <w:ind w:left="10" w:right="0"/>
              <w:jc w:val="left"/>
              <w:rPr>
                <w:rFonts w:ascii="Times New Roman" w:hAnsi="Times New Roman" w:cs="Times New Roman" w:eastAsia="Times New Roman" w:hint="default"/>
                <w:sz w:val="18"/>
                <w:szCs w:val="18"/>
              </w:rPr>
            </w:pPr>
            <w:r>
              <w:rPr>
                <w:rFonts w:ascii="Times New Roman"/>
                <w:sz w:val="18"/>
              </w:rPr>
              <w:t>RMB</w:t>
            </w:r>
          </w:p>
        </w:tc>
        <w:tc>
          <w:tcPr>
            <w:tcW w:w="861" w:type="dxa"/>
            <w:tcBorders>
              <w:top w:val="single" w:sz="8" w:space="0" w:color="000000"/>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2"/>
                <w:sz w:val="18"/>
              </w:rPr>
              <w:t>118,194.11</w:t>
            </w:r>
          </w:p>
        </w:tc>
        <w:tc>
          <w:tcPr>
            <w:tcW w:w="948" w:type="dxa"/>
            <w:tcBorders>
              <w:top w:val="nil" w:sz="6" w:space="0" w:color="auto"/>
              <w:left w:val="nil" w:sz="6" w:space="0" w:color="auto"/>
              <w:bottom w:val="nil" w:sz="6" w:space="0" w:color="auto"/>
              <w:right w:val="nil" w:sz="6" w:space="0" w:color="auto"/>
            </w:tcBorders>
          </w:tcPr>
          <w:p>
            <w:pPr/>
          </w:p>
        </w:tc>
        <w:tc>
          <w:tcPr>
            <w:tcW w:w="1090" w:type="dxa"/>
            <w:tcBorders>
              <w:top w:val="single" w:sz="8" w:space="0" w:color="000000"/>
              <w:left w:val="nil" w:sz="6" w:space="0" w:color="auto"/>
              <w:bottom w:val="nil" w:sz="6" w:space="0" w:color="auto"/>
              <w:right w:val="nil" w:sz="6" w:space="0" w:color="auto"/>
            </w:tcBorders>
          </w:tcPr>
          <w:p>
            <w:pPr>
              <w:pStyle w:val="TableParagraph"/>
              <w:spacing w:line="240" w:lineRule="auto" w:before="108"/>
              <w:ind w:left="6" w:right="0"/>
              <w:jc w:val="left"/>
              <w:rPr>
                <w:rFonts w:ascii="Times New Roman" w:hAnsi="Times New Roman" w:cs="Times New Roman" w:eastAsia="Times New Roman" w:hint="default"/>
                <w:sz w:val="18"/>
                <w:szCs w:val="18"/>
              </w:rPr>
            </w:pPr>
            <w:r>
              <w:rPr>
                <w:rFonts w:ascii="Times New Roman"/>
                <w:sz w:val="18"/>
              </w:rPr>
              <w:t>RMB</w:t>
            </w:r>
          </w:p>
        </w:tc>
        <w:tc>
          <w:tcPr>
            <w:tcW w:w="1503" w:type="dxa"/>
            <w:tcBorders>
              <w:top w:val="single" w:sz="8" w:space="0" w:color="000000"/>
              <w:left w:val="nil" w:sz="6" w:space="0" w:color="auto"/>
              <w:bottom w:val="nil" w:sz="6" w:space="0" w:color="auto"/>
              <w:right w:val="nil" w:sz="6" w:space="0" w:color="auto"/>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z w:val="18"/>
              </w:rPr>
              <w:t>143,838.05</w:t>
            </w:r>
          </w:p>
        </w:tc>
      </w:tr>
      <w:tr>
        <w:trPr>
          <w:trHeight w:val="425"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32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z w:val="18"/>
              </w:rPr>
              <w:t>50,000.00</w:t>
            </w:r>
          </w:p>
        </w:tc>
      </w:tr>
      <w:tr>
        <w:trPr>
          <w:trHeight w:val="428"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32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8" w:space="0" w:color="000000"/>
              <w:right w:val="nil" w:sz="6" w:space="0" w:color="auto"/>
            </w:tcBorders>
          </w:tcPr>
          <w:p>
            <w:pPr/>
          </w:p>
        </w:tc>
        <w:tc>
          <w:tcPr>
            <w:tcW w:w="861"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5,177.87</w:t>
            </w:r>
          </w:p>
        </w:tc>
        <w:tc>
          <w:tcPr>
            <w:tcW w:w="94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8" w:space="0" w:color="000000"/>
              <w:right w:val="nil" w:sz="6" w:space="0" w:color="auto"/>
            </w:tcBorders>
          </w:tcPr>
          <w:p>
            <w:pPr/>
          </w:p>
        </w:tc>
        <w:tc>
          <w:tcPr>
            <w:tcW w:w="1503"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z w:val="18"/>
              </w:rPr>
              <w:t>2,222.44</w:t>
            </w:r>
          </w:p>
        </w:tc>
      </w:tr>
      <w:tr>
        <w:trPr>
          <w:trHeight w:val="458" w:hRule="exact"/>
        </w:trPr>
        <w:tc>
          <w:tcPr>
            <w:tcW w:w="2381"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332" w:type="dxa"/>
            <w:tcBorders>
              <w:top w:val="single" w:sz="8" w:space="0" w:color="000000"/>
              <w:left w:val="nil" w:sz="6" w:space="0" w:color="auto"/>
              <w:bottom w:val="single" w:sz="17" w:space="0" w:color="000000"/>
              <w:right w:val="nil" w:sz="6" w:space="0" w:color="auto"/>
            </w:tcBorders>
          </w:tcPr>
          <w:p>
            <w:pPr>
              <w:pStyle w:val="TableParagraph"/>
              <w:spacing w:line="240" w:lineRule="auto" w:before="108"/>
              <w:ind w:left="10" w:right="0"/>
              <w:jc w:val="left"/>
              <w:rPr>
                <w:rFonts w:ascii="Times New Roman" w:hAnsi="Times New Roman" w:cs="Times New Roman" w:eastAsia="Times New Roman" w:hint="default"/>
                <w:sz w:val="18"/>
                <w:szCs w:val="18"/>
              </w:rPr>
            </w:pPr>
            <w:r>
              <w:rPr>
                <w:rFonts w:ascii="Times New Roman"/>
                <w:sz w:val="18"/>
              </w:rPr>
              <w:t>RMB</w:t>
            </w:r>
          </w:p>
        </w:tc>
        <w:tc>
          <w:tcPr>
            <w:tcW w:w="861" w:type="dxa"/>
            <w:tcBorders>
              <w:top w:val="single" w:sz="8" w:space="0" w:color="000000"/>
              <w:left w:val="nil" w:sz="6" w:space="0" w:color="auto"/>
              <w:bottom w:val="single" w:sz="17" w:space="0" w:color="000000"/>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123,371.98</w:t>
            </w:r>
          </w:p>
        </w:tc>
        <w:tc>
          <w:tcPr>
            <w:tcW w:w="948" w:type="dxa"/>
            <w:tcBorders>
              <w:top w:val="nil" w:sz="6" w:space="0" w:color="auto"/>
              <w:left w:val="nil" w:sz="6" w:space="0" w:color="auto"/>
              <w:bottom w:val="nil" w:sz="6" w:space="0" w:color="auto"/>
              <w:right w:val="nil" w:sz="6" w:space="0" w:color="auto"/>
            </w:tcBorders>
          </w:tcPr>
          <w:p>
            <w:pPr/>
          </w:p>
        </w:tc>
        <w:tc>
          <w:tcPr>
            <w:tcW w:w="1090" w:type="dxa"/>
            <w:tcBorders>
              <w:top w:val="single" w:sz="8" w:space="0" w:color="000000"/>
              <w:left w:val="nil" w:sz="6" w:space="0" w:color="auto"/>
              <w:bottom w:val="single" w:sz="17" w:space="0" w:color="000000"/>
              <w:right w:val="nil" w:sz="6" w:space="0" w:color="auto"/>
            </w:tcBorders>
          </w:tcPr>
          <w:p>
            <w:pPr>
              <w:pStyle w:val="TableParagraph"/>
              <w:spacing w:line="240" w:lineRule="auto" w:before="108"/>
              <w:ind w:left="6" w:right="0"/>
              <w:jc w:val="left"/>
              <w:rPr>
                <w:rFonts w:ascii="Times New Roman" w:hAnsi="Times New Roman" w:cs="Times New Roman" w:eastAsia="Times New Roman" w:hint="default"/>
                <w:sz w:val="18"/>
                <w:szCs w:val="18"/>
              </w:rPr>
            </w:pPr>
            <w:r>
              <w:rPr>
                <w:rFonts w:ascii="Times New Roman"/>
                <w:sz w:val="18"/>
              </w:rPr>
              <w:t>RMB</w:t>
            </w:r>
          </w:p>
        </w:tc>
        <w:tc>
          <w:tcPr>
            <w:tcW w:w="1503" w:type="dxa"/>
            <w:tcBorders>
              <w:top w:val="single" w:sz="8" w:space="0" w:color="000000"/>
              <w:left w:val="nil" w:sz="6" w:space="0" w:color="auto"/>
              <w:bottom w:val="single" w:sz="17" w:space="0" w:color="000000"/>
              <w:right w:val="nil" w:sz="6" w:space="0" w:color="auto"/>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z w:val="18"/>
              </w:rPr>
              <w:t>196,060.49</w:t>
            </w:r>
          </w:p>
        </w:tc>
      </w:tr>
    </w:tbl>
    <w:p>
      <w:pPr>
        <w:spacing w:line="240" w:lineRule="auto" w:before="2"/>
        <w:rPr>
          <w:rFonts w:ascii="宋体" w:hAnsi="宋体" w:cs="宋体" w:eastAsia="宋体" w:hint="default"/>
          <w:sz w:val="17"/>
          <w:szCs w:val="17"/>
        </w:rPr>
      </w:pPr>
    </w:p>
    <w:p>
      <w:pPr>
        <w:spacing w:line="434" w:lineRule="auto" w:before="26"/>
        <w:ind w:left="794" w:right="5930"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2"/>
          <w:sz w:val="24"/>
          <w:szCs w:val="24"/>
        </w:rPr>
        <w:t> </w:t>
      </w:r>
      <w:r>
        <w:rPr>
          <w:rFonts w:ascii="宋体" w:hAnsi="宋体" w:cs="宋体" w:eastAsia="宋体" w:hint="default"/>
          <w:b/>
          <w:bCs/>
          <w:spacing w:val="9"/>
          <w:sz w:val="24"/>
          <w:szCs w:val="24"/>
        </w:rPr>
        <w:t>所得税费用</w:t>
      </w:r>
      <w:r>
        <w:rPr>
          <w:rFonts w:ascii="宋体" w:hAnsi="宋体" w:cs="宋体" w:eastAsia="宋体" w:hint="default"/>
          <w:b/>
          <w:bCs/>
          <w:spacing w:val="9"/>
          <w:w w:val="99"/>
          <w:sz w:val="24"/>
          <w:szCs w:val="24"/>
        </w:rPr>
        <w:t> </w:t>
      </w:r>
      <w:r>
        <w:rPr>
          <w:rFonts w:ascii="宋体" w:hAnsi="宋体" w:cs="宋体" w:eastAsia="宋体" w:hint="default"/>
          <w:sz w:val="24"/>
          <w:szCs w:val="24"/>
        </w:rPr>
        <w:t>所得税费用明细项目列示如下：</w:t>
      </w:r>
    </w:p>
    <w:p>
      <w:pPr>
        <w:spacing w:line="240" w:lineRule="auto" w:before="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4048"/>
        <w:gridCol w:w="2208"/>
        <w:gridCol w:w="956"/>
        <w:gridCol w:w="2626"/>
      </w:tblGrid>
      <w:tr>
        <w:trPr>
          <w:trHeight w:val="300" w:hRule="exact"/>
        </w:trPr>
        <w:tc>
          <w:tcPr>
            <w:tcW w:w="4048"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single" w:sz="4" w:space="0" w:color="000000"/>
              <w:right w:val="nil" w:sz="6" w:space="0" w:color="auto"/>
            </w:tcBorders>
          </w:tcPr>
          <w:p>
            <w:pPr>
              <w:pStyle w:val="TableParagraph"/>
              <w:spacing w:line="184" w:lineRule="exact"/>
              <w:ind w:left="7" w:right="0"/>
              <w:jc w:val="center"/>
              <w:rPr>
                <w:rFonts w:ascii="Times New Roman" w:hAnsi="Times New Roman" w:cs="Times New Roman" w:eastAsia="Times New Roman" w:hint="default"/>
                <w:sz w:val="18"/>
                <w:szCs w:val="18"/>
              </w:rPr>
            </w:pPr>
            <w:r>
              <w:rPr>
                <w:rFonts w:ascii="Times New Roman"/>
                <w:sz w:val="18"/>
              </w:rPr>
              <w:t>2007</w:t>
            </w:r>
          </w:p>
        </w:tc>
        <w:tc>
          <w:tcPr>
            <w:tcW w:w="956"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4" w:space="0" w:color="000000"/>
              <w:right w:val="nil" w:sz="6" w:space="0" w:color="auto"/>
            </w:tcBorders>
          </w:tcPr>
          <w:p>
            <w:pPr>
              <w:pStyle w:val="TableParagraph"/>
              <w:spacing w:line="184" w:lineRule="exact"/>
              <w:ind w:left="7" w:right="0"/>
              <w:jc w:val="center"/>
              <w:rPr>
                <w:rFonts w:ascii="Times New Roman" w:hAnsi="Times New Roman" w:cs="Times New Roman" w:eastAsia="Times New Roman" w:hint="default"/>
                <w:sz w:val="18"/>
                <w:szCs w:val="18"/>
              </w:rPr>
            </w:pPr>
            <w:r>
              <w:rPr>
                <w:rFonts w:ascii="Times New Roman"/>
                <w:sz w:val="18"/>
              </w:rPr>
              <w:t>2006</w:t>
            </w:r>
          </w:p>
        </w:tc>
      </w:tr>
      <w:tr>
        <w:trPr>
          <w:trHeight w:val="434" w:hRule="exact"/>
        </w:trPr>
        <w:tc>
          <w:tcPr>
            <w:tcW w:w="404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08" w:type="dxa"/>
            <w:tcBorders>
              <w:top w:val="single" w:sz="4" w:space="0" w:color="000000"/>
              <w:left w:val="nil" w:sz="6" w:space="0" w:color="auto"/>
              <w:bottom w:val="nil" w:sz="6" w:space="0" w:color="auto"/>
              <w:right w:val="nil" w:sz="6" w:space="0" w:color="auto"/>
            </w:tcBorders>
          </w:tcPr>
          <w:p>
            <w:pPr>
              <w:pStyle w:val="TableParagraph"/>
              <w:tabs>
                <w:tab w:pos="940" w:val="left" w:leader="none"/>
              </w:tabs>
              <w:spacing w:line="240" w:lineRule="auto" w:before="108"/>
              <w:ind w:right="0"/>
              <w:jc w:val="right"/>
              <w:rPr>
                <w:rFonts w:ascii="Times New Roman" w:hAnsi="Times New Roman" w:cs="Times New Roman" w:eastAsia="Times New Roman" w:hint="default"/>
                <w:sz w:val="18"/>
                <w:szCs w:val="18"/>
              </w:rPr>
            </w:pPr>
            <w:r>
              <w:rPr>
                <w:rFonts w:ascii="Times New Roman"/>
                <w:w w:val="95"/>
                <w:sz w:val="18"/>
              </w:rPr>
              <w:t>RMB</w:t>
              <w:tab/>
              <w:t>3,539,446.27</w:t>
            </w:r>
            <w:r>
              <w:rPr>
                <w:rFonts w:ascii="Times New Roman"/>
                <w:sz w:val="18"/>
              </w:rPr>
            </w:r>
          </w:p>
        </w:tc>
        <w:tc>
          <w:tcPr>
            <w:tcW w:w="956" w:type="dxa"/>
            <w:tcBorders>
              <w:top w:val="nil" w:sz="6" w:space="0" w:color="auto"/>
              <w:left w:val="nil" w:sz="6" w:space="0" w:color="auto"/>
              <w:bottom w:val="nil" w:sz="6" w:space="0" w:color="auto"/>
              <w:right w:val="nil" w:sz="6" w:space="0" w:color="auto"/>
            </w:tcBorders>
          </w:tcPr>
          <w:p>
            <w:pPr/>
          </w:p>
        </w:tc>
        <w:tc>
          <w:tcPr>
            <w:tcW w:w="2626" w:type="dxa"/>
            <w:tcBorders>
              <w:top w:val="single" w:sz="4" w:space="0" w:color="000000"/>
              <w:left w:val="nil" w:sz="6" w:space="0" w:color="auto"/>
              <w:bottom w:val="nil" w:sz="6" w:space="0" w:color="auto"/>
              <w:right w:val="nil" w:sz="6" w:space="0" w:color="auto"/>
            </w:tcBorders>
          </w:tcPr>
          <w:p>
            <w:pPr>
              <w:pStyle w:val="TableParagraph"/>
              <w:tabs>
                <w:tab w:pos="1300" w:val="left" w:leader="none"/>
              </w:tabs>
              <w:spacing w:line="240" w:lineRule="auto" w:before="108"/>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3,162,809.82</w:t>
            </w:r>
          </w:p>
        </w:tc>
      </w:tr>
      <w:tr>
        <w:trPr>
          <w:trHeight w:val="426" w:hRule="exact"/>
        </w:trPr>
        <w:tc>
          <w:tcPr>
            <w:tcW w:w="404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(611,694.02)</w:t>
            </w:r>
          </w:p>
        </w:tc>
        <w:tc>
          <w:tcPr>
            <w:tcW w:w="956"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(212,881.14)</w:t>
            </w:r>
            <w:r>
              <w:rPr>
                <w:rFonts w:ascii="Times New Roman"/>
                <w:sz w:val="18"/>
              </w:rPr>
            </w:r>
          </w:p>
        </w:tc>
      </w:tr>
      <w:tr>
        <w:trPr>
          <w:trHeight w:val="454" w:hRule="exact"/>
        </w:trPr>
        <w:tc>
          <w:tcPr>
            <w:tcW w:w="4048" w:type="dxa"/>
            <w:tcBorders>
              <w:top w:val="nil" w:sz="6" w:space="0" w:color="auto"/>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single" w:sz="12" w:space="0" w:color="000000"/>
              <w:right w:val="nil" w:sz="6" w:space="0" w:color="auto"/>
            </w:tcBorders>
          </w:tcPr>
          <w:p>
            <w:pPr>
              <w:pStyle w:val="TableParagraph"/>
              <w:tabs>
                <w:tab w:pos="940" w:val="left" w:leader="none"/>
              </w:tabs>
              <w:spacing w:line="240" w:lineRule="auto" w:before="108"/>
              <w:ind w:right="0"/>
              <w:jc w:val="right"/>
              <w:rPr>
                <w:rFonts w:ascii="Times New Roman" w:hAnsi="Times New Roman" w:cs="Times New Roman" w:eastAsia="Times New Roman" w:hint="default"/>
                <w:sz w:val="18"/>
                <w:szCs w:val="18"/>
              </w:rPr>
            </w:pPr>
            <w:r>
              <w:rPr>
                <w:rFonts w:ascii="Times New Roman"/>
                <w:w w:val="95"/>
                <w:sz w:val="18"/>
              </w:rPr>
              <w:t>RMB</w:t>
              <w:tab/>
              <w:t>2,927,752.25</w:t>
            </w:r>
            <w:r>
              <w:rPr>
                <w:rFonts w:ascii="Times New Roman"/>
                <w:sz w:val="18"/>
              </w:rPr>
            </w:r>
          </w:p>
        </w:tc>
        <w:tc>
          <w:tcPr>
            <w:tcW w:w="956" w:type="dxa"/>
            <w:tcBorders>
              <w:top w:val="nil" w:sz="6" w:space="0" w:color="auto"/>
              <w:left w:val="nil" w:sz="6" w:space="0" w:color="auto"/>
              <w:bottom w:val="nil" w:sz="6" w:space="0" w:color="auto"/>
              <w:right w:val="nil" w:sz="6" w:space="0" w:color="auto"/>
            </w:tcBorders>
          </w:tcPr>
          <w:p>
            <w:pPr/>
          </w:p>
        </w:tc>
        <w:tc>
          <w:tcPr>
            <w:tcW w:w="2626" w:type="dxa"/>
            <w:tcBorders>
              <w:top w:val="single" w:sz="4" w:space="0" w:color="000000"/>
              <w:left w:val="nil" w:sz="6" w:space="0" w:color="auto"/>
              <w:bottom w:val="single" w:sz="17" w:space="0" w:color="000000"/>
              <w:right w:val="nil" w:sz="6" w:space="0" w:color="auto"/>
            </w:tcBorders>
          </w:tcPr>
          <w:p>
            <w:pPr>
              <w:pStyle w:val="TableParagraph"/>
              <w:tabs>
                <w:tab w:pos="1300" w:val="left" w:leader="none"/>
              </w:tabs>
              <w:spacing w:line="240" w:lineRule="auto" w:before="108"/>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2,949,928.68</w:t>
            </w:r>
          </w:p>
        </w:tc>
      </w:tr>
    </w:tbl>
    <w:p>
      <w:pPr>
        <w:spacing w:line="240" w:lineRule="auto" w:before="2"/>
        <w:rPr>
          <w:rFonts w:ascii="宋体" w:hAnsi="宋体" w:cs="宋体" w:eastAsia="宋体" w:hint="default"/>
          <w:sz w:val="17"/>
          <w:szCs w:val="17"/>
        </w:rPr>
      </w:pPr>
    </w:p>
    <w:p>
      <w:pPr>
        <w:pStyle w:val="Heading4"/>
        <w:spacing w:line="240" w:lineRule="auto"/>
        <w:ind w:left="824" w:right="1410"/>
        <w:jc w:val="left"/>
        <w:rPr>
          <w:b w:val="0"/>
          <w:bCs w:val="0"/>
        </w:rPr>
      </w:pPr>
      <w:r>
        <w:rPr>
          <w:rFonts w:ascii="Times New Roman" w:hAnsi="Times New Roman" w:cs="Times New Roman" w:eastAsia="Times New Roman" w:hint="default"/>
        </w:rPr>
        <w:t>32. </w:t>
      </w:r>
      <w:r>
        <w:rPr>
          <w:rFonts w:ascii="Times New Roman" w:hAnsi="Times New Roman" w:cs="Times New Roman" w:eastAsia="Times New Roman" w:hint="default"/>
          <w:spacing w:val="13"/>
        </w:rPr>
        <w:t> </w:t>
      </w:r>
      <w:r>
        <w:rPr>
          <w:spacing w:val="9"/>
        </w:rPr>
        <w:t>现金流量表</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left="854" w:right="141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现金流量表补充资料：</w:t>
      </w:r>
    </w:p>
    <w:p>
      <w:pPr>
        <w:spacing w:line="240" w:lineRule="auto" w:before="9"/>
        <w:rPr>
          <w:rFonts w:ascii="宋体" w:hAnsi="宋体" w:cs="宋体" w:eastAsia="宋体" w:hint="default"/>
          <w:sz w:val="21"/>
          <w:szCs w:val="21"/>
        </w:rPr>
      </w:pPr>
    </w:p>
    <w:tbl>
      <w:tblPr>
        <w:tblW w:w="0" w:type="auto"/>
        <w:jc w:val="left"/>
        <w:tblInd w:w="313" w:type="dxa"/>
        <w:tblLayout w:type="fixed"/>
        <w:tblCellMar>
          <w:top w:w="0" w:type="dxa"/>
          <w:left w:w="0" w:type="dxa"/>
          <w:bottom w:w="0" w:type="dxa"/>
          <w:right w:w="0" w:type="dxa"/>
        </w:tblCellMar>
        <w:tblLook w:val="01E0"/>
      </w:tblPr>
      <w:tblGrid>
        <w:gridCol w:w="5376"/>
        <w:gridCol w:w="104"/>
        <w:gridCol w:w="706"/>
        <w:gridCol w:w="1367"/>
        <w:gridCol w:w="741"/>
        <w:gridCol w:w="1344"/>
      </w:tblGrid>
      <w:tr>
        <w:trPr>
          <w:trHeight w:val="289" w:hRule="exact"/>
        </w:trPr>
        <w:tc>
          <w:tcPr>
            <w:tcW w:w="5376" w:type="dxa"/>
            <w:tcBorders>
              <w:top w:val="nil" w:sz="6" w:space="0" w:color="auto"/>
              <w:left w:val="nil" w:sz="6" w:space="0" w:color="auto"/>
              <w:bottom w:val="single" w:sz="4" w:space="0" w:color="000000"/>
              <w:right w:val="nil" w:sz="6" w:space="0" w:color="auto"/>
            </w:tcBorders>
          </w:tcPr>
          <w:p>
            <w:pPr>
              <w:pStyle w:val="TableParagraph"/>
              <w:tabs>
                <w:tab w:pos="818" w:val="left" w:leader="none"/>
              </w:tabs>
              <w:spacing w:line="180" w:lineRule="exact"/>
              <w:ind w:left="5"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single" w:sz="4" w:space="0" w:color="000000"/>
              <w:right w:val="nil" w:sz="6" w:space="0" w:color="auto"/>
            </w:tcBorders>
          </w:tcPr>
          <w:p>
            <w:pPr/>
          </w:p>
        </w:tc>
        <w:tc>
          <w:tcPr>
            <w:tcW w:w="1367" w:type="dxa"/>
            <w:tcBorders>
              <w:top w:val="nil" w:sz="6" w:space="0" w:color="auto"/>
              <w:left w:val="nil" w:sz="6" w:space="0" w:color="auto"/>
              <w:bottom w:val="single" w:sz="4" w:space="0" w:color="000000"/>
              <w:right w:val="nil" w:sz="6" w:space="0" w:color="auto"/>
            </w:tcBorders>
          </w:tcPr>
          <w:p>
            <w:pPr>
              <w:pStyle w:val="TableParagraph"/>
              <w:spacing w:line="195" w:lineRule="exact"/>
              <w:ind w:left="137" w:right="0"/>
              <w:jc w:val="left"/>
              <w:rPr>
                <w:rFonts w:ascii="Times New Roman" w:hAnsi="Times New Roman" w:cs="Times New Roman" w:eastAsia="Times New Roman" w:hint="default"/>
                <w:sz w:val="18"/>
                <w:szCs w:val="18"/>
              </w:rPr>
            </w:pPr>
            <w:r>
              <w:rPr>
                <w:rFonts w:ascii="Times New Roman"/>
                <w:b/>
                <w:sz w:val="18"/>
              </w:rPr>
              <w:t>2007</w:t>
            </w:r>
            <w:r>
              <w:rPr>
                <w:rFonts w:ascii="Times New Roman"/>
                <w:sz w:val="18"/>
              </w:rPr>
            </w:r>
          </w:p>
        </w:tc>
        <w:tc>
          <w:tcPr>
            <w:tcW w:w="741" w:type="dxa"/>
            <w:tcBorders>
              <w:top w:val="nil" w:sz="6" w:space="0" w:color="auto"/>
              <w:left w:val="nil" w:sz="6" w:space="0" w:color="auto"/>
              <w:bottom w:val="single" w:sz="4" w:space="0" w:color="000000"/>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195" w:lineRule="exact"/>
              <w:ind w:left="137" w:right="0"/>
              <w:jc w:val="left"/>
              <w:rPr>
                <w:rFonts w:ascii="Times New Roman" w:hAnsi="Times New Roman" w:cs="Times New Roman" w:eastAsia="Times New Roman" w:hint="default"/>
                <w:sz w:val="18"/>
                <w:szCs w:val="18"/>
              </w:rPr>
            </w:pPr>
            <w:r>
              <w:rPr>
                <w:rFonts w:ascii="Times New Roman"/>
                <w:b/>
                <w:sz w:val="18"/>
              </w:rPr>
              <w:t>2006</w:t>
            </w:r>
            <w:r>
              <w:rPr>
                <w:rFonts w:ascii="Times New Roman"/>
                <w:sz w:val="18"/>
              </w:rPr>
            </w:r>
          </w:p>
        </w:tc>
      </w:tr>
      <w:tr>
        <w:trPr>
          <w:trHeight w:val="403" w:hRule="exact"/>
        </w:trPr>
        <w:tc>
          <w:tcPr>
            <w:tcW w:w="53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将净利润调节为经营活动的现金流量：</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nil" w:sz="6" w:space="0" w:color="auto"/>
              <w:right w:val="nil" w:sz="6" w:space="0" w:color="auto"/>
            </w:tcBorders>
          </w:tcPr>
          <w:p>
            <w:pPr/>
          </w:p>
        </w:tc>
        <w:tc>
          <w:tcPr>
            <w:tcW w:w="741"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
        </w:tc>
      </w:tr>
      <w:tr>
        <w:trPr>
          <w:trHeight w:val="391"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12"/>
                <w:sz w:val="18"/>
                <w:szCs w:val="18"/>
              </w:rPr>
              <w:t>净利润</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 w:right="0"/>
              <w:jc w:val="left"/>
              <w:rPr>
                <w:rFonts w:ascii="Times New Roman" w:hAnsi="Times New Roman" w:cs="Times New Roman" w:eastAsia="Times New Roman" w:hint="default"/>
                <w:sz w:val="18"/>
                <w:szCs w:val="18"/>
              </w:rPr>
            </w:pPr>
            <w:r>
              <w:rPr>
                <w:rFonts w:ascii="Times New Roman"/>
                <w:sz w:val="18"/>
              </w:rPr>
              <w:t>RMB</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right"/>
              <w:rPr>
                <w:rFonts w:ascii="Times New Roman" w:hAnsi="Times New Roman" w:cs="Times New Roman" w:eastAsia="Times New Roman" w:hint="default"/>
                <w:sz w:val="18"/>
                <w:szCs w:val="18"/>
              </w:rPr>
            </w:pPr>
            <w:r>
              <w:rPr>
                <w:rFonts w:ascii="Times New Roman"/>
                <w:spacing w:val="-1"/>
                <w:sz w:val="18"/>
              </w:rPr>
              <w:t>83,321,753.39</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2" w:right="0"/>
              <w:jc w:val="left"/>
              <w:rPr>
                <w:rFonts w:ascii="Times New Roman" w:hAnsi="Times New Roman" w:cs="Times New Roman" w:eastAsia="Times New Roman" w:hint="default"/>
                <w:sz w:val="18"/>
                <w:szCs w:val="18"/>
              </w:rPr>
            </w:pPr>
            <w:r>
              <w:rPr>
                <w:rFonts w:ascii="Times New Roman"/>
                <w:sz w:val="18"/>
              </w:rPr>
              <w:t>RMB</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50,790,876.65</w:t>
            </w:r>
          </w:p>
        </w:tc>
      </w:tr>
      <w:tr>
        <w:trPr>
          <w:trHeight w:val="394"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left"/>
              <w:rPr>
                <w:rFonts w:ascii="宋体" w:hAnsi="宋体" w:cs="宋体" w:eastAsia="宋体" w:hint="default"/>
                <w:sz w:val="18"/>
                <w:szCs w:val="18"/>
              </w:rPr>
            </w:pPr>
            <w:r>
              <w:rPr>
                <w:rFonts w:ascii="宋体" w:hAnsi="宋体" w:cs="宋体" w:eastAsia="宋体" w:hint="default"/>
                <w:spacing w:val="-12"/>
                <w:sz w:val="18"/>
                <w:szCs w:val="18"/>
              </w:rPr>
              <w:t>加</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资产减值准备</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pacing w:val="-1"/>
                <w:sz w:val="18"/>
              </w:rPr>
              <w:t>6,623,740.04</w:t>
            </w:r>
          </w:p>
        </w:tc>
        <w:tc>
          <w:tcPr>
            <w:tcW w:w="74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2,486,235.11</w:t>
            </w:r>
          </w:p>
        </w:tc>
      </w:tr>
      <w:tr>
        <w:trPr>
          <w:trHeight w:val="391"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4" w:right="0"/>
              <w:jc w:val="left"/>
              <w:rPr>
                <w:rFonts w:ascii="宋体" w:hAnsi="宋体" w:cs="宋体" w:eastAsia="宋体" w:hint="default"/>
                <w:sz w:val="18"/>
                <w:szCs w:val="18"/>
              </w:rPr>
            </w:pPr>
            <w:r>
              <w:rPr>
                <w:rFonts w:ascii="宋体" w:hAnsi="宋体" w:cs="宋体" w:eastAsia="宋体" w:hint="default"/>
                <w:spacing w:val="-12"/>
                <w:sz w:val="18"/>
                <w:szCs w:val="18"/>
              </w:rPr>
              <w:t>固定资产折旧、油气资产折耗、生产性生物资产折旧</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right"/>
              <w:rPr>
                <w:rFonts w:ascii="Times New Roman" w:hAnsi="Times New Roman" w:cs="Times New Roman" w:eastAsia="Times New Roman" w:hint="default"/>
                <w:sz w:val="18"/>
                <w:szCs w:val="18"/>
              </w:rPr>
            </w:pPr>
            <w:r>
              <w:rPr>
                <w:rFonts w:ascii="Times New Roman"/>
                <w:spacing w:val="-1"/>
                <w:sz w:val="18"/>
              </w:rPr>
              <w:t>3,943,607.53</w:t>
            </w:r>
          </w:p>
        </w:tc>
        <w:tc>
          <w:tcPr>
            <w:tcW w:w="74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3,557,592.27</w:t>
            </w:r>
          </w:p>
        </w:tc>
      </w:tr>
      <w:tr>
        <w:trPr>
          <w:trHeight w:val="392"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4" w:right="0"/>
              <w:jc w:val="left"/>
              <w:rPr>
                <w:rFonts w:ascii="宋体" w:hAnsi="宋体" w:cs="宋体" w:eastAsia="宋体" w:hint="default"/>
                <w:sz w:val="18"/>
                <w:szCs w:val="18"/>
              </w:rPr>
            </w:pPr>
            <w:r>
              <w:rPr>
                <w:rFonts w:ascii="宋体" w:hAnsi="宋体" w:cs="宋体" w:eastAsia="宋体" w:hint="default"/>
                <w:spacing w:val="-12"/>
                <w:sz w:val="18"/>
                <w:szCs w:val="18"/>
              </w:rPr>
              <w:t>无形资产摊销</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
              <w:jc w:val="right"/>
              <w:rPr>
                <w:rFonts w:ascii="Times New Roman" w:hAnsi="Times New Roman" w:cs="Times New Roman" w:eastAsia="Times New Roman" w:hint="default"/>
                <w:sz w:val="18"/>
                <w:szCs w:val="18"/>
              </w:rPr>
            </w:pPr>
            <w:r>
              <w:rPr>
                <w:rFonts w:ascii="Times New Roman"/>
                <w:sz w:val="18"/>
              </w:rPr>
              <w:t>902,899.79</w:t>
            </w:r>
          </w:p>
        </w:tc>
        <w:tc>
          <w:tcPr>
            <w:tcW w:w="74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715,838.85</w:t>
            </w:r>
          </w:p>
        </w:tc>
      </w:tr>
      <w:tr>
        <w:trPr>
          <w:trHeight w:val="392"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34" w:right="0"/>
              <w:jc w:val="left"/>
              <w:rPr>
                <w:rFonts w:ascii="宋体" w:hAnsi="宋体" w:cs="宋体" w:eastAsia="宋体" w:hint="default"/>
                <w:sz w:val="18"/>
                <w:szCs w:val="18"/>
              </w:rPr>
            </w:pPr>
            <w:r>
              <w:rPr>
                <w:rFonts w:ascii="宋体" w:hAnsi="宋体" w:cs="宋体" w:eastAsia="宋体" w:hint="default"/>
                <w:spacing w:val="-12"/>
                <w:sz w:val="18"/>
                <w:szCs w:val="18"/>
              </w:rPr>
              <w:t>长期待摊费用摊销</w:t>
            </w:r>
            <w:r>
              <w:rPr>
                <w:rFonts w:ascii="宋体" w:hAnsi="宋体" w:cs="宋体" w:eastAsia="宋体" w:hint="default"/>
                <w:sz w:val="18"/>
                <w:szCs w:val="18"/>
              </w:rPr>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6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3"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3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处置固定资产、无形资产和其他长期资产的损失</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减：收益</w:t>
            </w:r>
            <w:r>
              <w:rPr>
                <w:rFonts w:ascii="Times New Roman" w:hAnsi="Times New Roman" w:cs="Times New Roman" w:eastAsia="Times New Roman" w:hint="default"/>
                <w:spacing w:val="-12"/>
                <w:sz w:val="18"/>
                <w:szCs w:val="18"/>
              </w:rPr>
              <w:t>)</w:t>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w w:val="95"/>
                <w:sz w:val="18"/>
              </w:rPr>
              <w:t>(630,941.86)</w:t>
            </w:r>
            <w:r>
              <w:rPr>
                <w:rFonts w:ascii="Times New Roman"/>
                <w:sz w:val="18"/>
              </w:rPr>
            </w:r>
          </w:p>
        </w:tc>
        <w:tc>
          <w:tcPr>
            <w:tcW w:w="74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135,204.78</w:t>
            </w:r>
          </w:p>
        </w:tc>
      </w:tr>
      <w:tr>
        <w:trPr>
          <w:trHeight w:val="291"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4"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固定资产报废损失</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减：收益</w:t>
            </w:r>
            <w:r>
              <w:rPr>
                <w:rFonts w:ascii="Times New Roman" w:hAnsi="Times New Roman" w:cs="Times New Roman" w:eastAsia="Times New Roman" w:hint="default"/>
                <w:spacing w:val="-11"/>
                <w:sz w:val="18"/>
                <w:szCs w:val="18"/>
              </w:rPr>
              <w:t>)</w:t>
            </w:r>
          </w:p>
        </w:tc>
        <w:tc>
          <w:tcPr>
            <w:tcW w:w="104"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z w:val="18"/>
              </w:rPr>
              <w:t>5,435.13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22" w:top="1060" w:bottom="1220" w:left="82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680"/>
        <w:gridCol w:w="664"/>
        <w:gridCol w:w="1411"/>
        <w:gridCol w:w="786"/>
        <w:gridCol w:w="1298"/>
      </w:tblGrid>
      <w:tr>
        <w:trPr>
          <w:trHeight w:val="2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194" w:lineRule="exact"/>
              <w:ind w:left="43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公允价值变动损失</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减：收益</w:t>
            </w:r>
            <w:r>
              <w:rPr>
                <w:rFonts w:ascii="Times New Roman" w:hAnsi="Times New Roman" w:cs="Times New Roman" w:eastAsia="Times New Roman" w:hint="default"/>
                <w:spacing w:val="-11"/>
                <w:sz w:val="18"/>
                <w:szCs w:val="18"/>
              </w:rPr>
              <w:t>)</w:t>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191" w:lineRule="exact"/>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191" w:lineRule="exact"/>
              <w:ind w:left="8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4" w:right="0"/>
              <w:jc w:val="left"/>
              <w:rPr>
                <w:rFonts w:ascii="宋体" w:hAnsi="宋体" w:cs="宋体" w:eastAsia="宋体" w:hint="default"/>
                <w:sz w:val="18"/>
                <w:szCs w:val="18"/>
              </w:rPr>
            </w:pPr>
            <w:r>
              <w:rPr>
                <w:rFonts w:ascii="宋体" w:hAnsi="宋体" w:cs="宋体" w:eastAsia="宋体" w:hint="default"/>
                <w:spacing w:val="-12"/>
                <w:sz w:val="18"/>
                <w:szCs w:val="18"/>
              </w:rPr>
              <w:t>财务费用</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pacing w:val="-1"/>
                <w:sz w:val="18"/>
              </w:rPr>
              <w:t>1,020,543.62</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
              <w:jc w:val="right"/>
              <w:rPr>
                <w:rFonts w:ascii="Times New Roman" w:hAnsi="Times New Roman" w:cs="Times New Roman" w:eastAsia="Times New Roman" w:hint="default"/>
                <w:sz w:val="18"/>
                <w:szCs w:val="18"/>
              </w:rPr>
            </w:pPr>
            <w:r>
              <w:rPr>
                <w:rFonts w:ascii="Times New Roman"/>
                <w:sz w:val="18"/>
              </w:rPr>
              <w:t>801,642.38</w:t>
            </w:r>
          </w:p>
        </w:tc>
      </w:tr>
      <w:tr>
        <w:trPr>
          <w:trHeight w:val="393"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34"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投资损失</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减：收益</w:t>
            </w:r>
            <w:r>
              <w:rPr>
                <w:rFonts w:ascii="Times New Roman" w:hAnsi="Times New Roman" w:cs="Times New Roman" w:eastAsia="Times New Roman" w:hint="default"/>
                <w:spacing w:val="-11"/>
                <w:sz w:val="18"/>
                <w:szCs w:val="18"/>
              </w:rPr>
              <w:t>)</w:t>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z w:val="18"/>
              </w:rPr>
              <w:t>5,012.03</w:t>
            </w:r>
          </w:p>
        </w:tc>
      </w:tr>
      <w:tr>
        <w:trPr>
          <w:trHeight w:val="3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4" w:right="0"/>
              <w:jc w:val="left"/>
              <w:rPr>
                <w:rFonts w:ascii="宋体" w:hAnsi="宋体" w:cs="宋体" w:eastAsia="宋体" w:hint="default"/>
                <w:sz w:val="18"/>
                <w:szCs w:val="18"/>
              </w:rPr>
            </w:pPr>
            <w:r>
              <w:rPr>
                <w:rFonts w:ascii="宋体" w:hAnsi="宋体" w:cs="宋体" w:eastAsia="宋体" w:hint="default"/>
                <w:spacing w:val="-12"/>
                <w:sz w:val="18"/>
                <w:szCs w:val="18"/>
              </w:rPr>
              <w:t>递延所得税资产减少（减：增加）</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pacing w:val="-1"/>
                <w:sz w:val="18"/>
              </w:rPr>
              <w:t>(611,694.02)</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
              <w:jc w:val="right"/>
              <w:rPr>
                <w:rFonts w:ascii="Times New Roman" w:hAnsi="Times New Roman" w:cs="Times New Roman" w:eastAsia="Times New Roman" w:hint="default"/>
                <w:sz w:val="18"/>
                <w:szCs w:val="18"/>
              </w:rPr>
            </w:pPr>
            <w:r>
              <w:rPr>
                <w:rFonts w:ascii="Times New Roman"/>
                <w:w w:val="95"/>
                <w:sz w:val="18"/>
              </w:rPr>
              <w:t>(212,881.14)</w:t>
            </w:r>
            <w:r>
              <w:rPr>
                <w:rFonts w:ascii="Times New Roman"/>
                <w:sz w:val="18"/>
              </w:rPr>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宋体" w:hAnsi="宋体" w:cs="宋体" w:eastAsia="宋体" w:hint="default"/>
                <w:sz w:val="18"/>
                <w:szCs w:val="18"/>
              </w:rPr>
            </w:pPr>
            <w:r>
              <w:rPr>
                <w:rFonts w:ascii="宋体" w:hAnsi="宋体" w:cs="宋体" w:eastAsia="宋体" w:hint="default"/>
                <w:spacing w:val="-12"/>
                <w:sz w:val="18"/>
                <w:szCs w:val="18"/>
              </w:rPr>
              <w:t>递延所得税负债增加（减：减少）</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3"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34"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存货的减少</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减：增加</w:t>
            </w:r>
            <w:r>
              <w:rPr>
                <w:rFonts w:ascii="Times New Roman" w:hAnsi="Times New Roman" w:cs="Times New Roman" w:eastAsia="Times New Roman" w:hint="default"/>
                <w:spacing w:val="-11"/>
                <w:sz w:val="18"/>
                <w:szCs w:val="18"/>
              </w:rPr>
              <w:t>)</w:t>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
              <w:jc w:val="right"/>
              <w:rPr>
                <w:rFonts w:ascii="Times New Roman" w:hAnsi="Times New Roman" w:cs="Times New Roman" w:eastAsia="Times New Roman" w:hint="default"/>
                <w:sz w:val="18"/>
                <w:szCs w:val="18"/>
              </w:rPr>
            </w:pPr>
            <w:r>
              <w:rPr>
                <w:rFonts w:ascii="Times New Roman"/>
                <w:spacing w:val="-1"/>
                <w:sz w:val="18"/>
              </w:rPr>
              <w:t>(48,751,894.65)</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(5,603,493.31)</w:t>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5"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经营性应收项目的减少</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减：增加</w:t>
            </w:r>
            <w:r>
              <w:rPr>
                <w:rFonts w:ascii="Times New Roman" w:hAnsi="Times New Roman" w:cs="Times New Roman" w:eastAsia="Times New Roman" w:hint="default"/>
                <w:spacing w:val="-11"/>
                <w:sz w:val="18"/>
                <w:szCs w:val="18"/>
              </w:rPr>
              <w:t>)</w:t>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pacing w:val="-1"/>
                <w:sz w:val="18"/>
              </w:rPr>
              <w:t>(144,149,466.00)</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(14,618,043.85)</w:t>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5"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经营性应付项目的增加</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减：减少</w:t>
            </w:r>
            <w:r>
              <w:rPr>
                <w:rFonts w:ascii="Times New Roman" w:hAnsi="Times New Roman" w:cs="Times New Roman" w:eastAsia="Times New Roman" w:hint="default"/>
                <w:spacing w:val="-11"/>
                <w:sz w:val="18"/>
                <w:szCs w:val="18"/>
              </w:rPr>
              <w:t>)</w:t>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right"/>
              <w:rPr>
                <w:rFonts w:ascii="Times New Roman" w:hAnsi="Times New Roman" w:cs="Times New Roman" w:eastAsia="Times New Roman" w:hint="default"/>
                <w:sz w:val="18"/>
                <w:szCs w:val="18"/>
              </w:rPr>
            </w:pPr>
            <w:r>
              <w:rPr>
                <w:rFonts w:ascii="Times New Roman"/>
                <w:spacing w:val="-2"/>
                <w:sz w:val="18"/>
              </w:rPr>
              <w:t>111,053,101.10</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
              <w:jc w:val="right"/>
              <w:rPr>
                <w:rFonts w:ascii="Times New Roman" w:hAnsi="Times New Roman" w:cs="Times New Roman" w:eastAsia="Times New Roman" w:hint="default"/>
                <w:sz w:val="18"/>
                <w:szCs w:val="18"/>
              </w:rPr>
            </w:pPr>
            <w:r>
              <w:rPr>
                <w:rFonts w:ascii="Times New Roman"/>
                <w:spacing w:val="-1"/>
                <w:sz w:val="18"/>
              </w:rPr>
              <w:t>4,239,306.41</w:t>
            </w:r>
          </w:p>
        </w:tc>
      </w:tr>
      <w:tr>
        <w:trPr>
          <w:trHeight w:val="3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664"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3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single" w:sz="4" w:space="0" w:color="000000"/>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8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5" w:right="0"/>
              <w:jc w:val="left"/>
              <w:rPr>
                <w:rFonts w:ascii="宋体" w:hAnsi="宋体" w:cs="宋体" w:eastAsia="宋体" w:hint="default"/>
                <w:sz w:val="18"/>
                <w:szCs w:val="18"/>
              </w:rPr>
            </w:pPr>
            <w:r>
              <w:rPr>
                <w:rFonts w:ascii="宋体" w:hAnsi="宋体" w:cs="宋体" w:eastAsia="宋体" w:hint="default"/>
                <w:spacing w:val="-12"/>
                <w:sz w:val="18"/>
                <w:szCs w:val="18"/>
              </w:rPr>
              <w:t>经营活动产生的现金流量净额</w:t>
            </w:r>
            <w:r>
              <w:rPr>
                <w:rFonts w:ascii="宋体" w:hAnsi="宋体" w:cs="宋体" w:eastAsia="宋体" w:hint="default"/>
                <w:sz w:val="18"/>
                <w:szCs w:val="18"/>
              </w:rPr>
            </w:r>
          </w:p>
        </w:tc>
        <w:tc>
          <w:tcPr>
            <w:tcW w:w="664" w:type="dxa"/>
            <w:tcBorders>
              <w:top w:val="single" w:sz="4" w:space="0" w:color="000000"/>
              <w:left w:val="nil" w:sz="6" w:space="0" w:color="auto"/>
              <w:bottom w:val="single" w:sz="4" w:space="0" w:color="000000"/>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12,721,648.94</w:t>
            </w:r>
          </w:p>
        </w:tc>
        <w:tc>
          <w:tcPr>
            <w:tcW w:w="786" w:type="dxa"/>
            <w:tcBorders>
              <w:top w:val="single" w:sz="4" w:space="0" w:color="000000"/>
              <w:left w:val="nil" w:sz="6" w:space="0" w:color="auto"/>
              <w:bottom w:val="single" w:sz="4" w:space="0" w:color="000000"/>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42,302,725.31</w:t>
            </w:r>
          </w:p>
        </w:tc>
      </w:tr>
      <w:tr>
        <w:trPr>
          <w:trHeight w:val="403"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不涉及现金收支的重大投资和筹资活动：</w:t>
            </w:r>
            <w:r>
              <w:rPr>
                <w:rFonts w:ascii="宋体" w:hAnsi="宋体" w:cs="宋体" w:eastAsia="宋体" w:hint="default"/>
                <w:sz w:val="18"/>
                <w:szCs w:val="18"/>
              </w:rPr>
            </w:r>
          </w:p>
        </w:tc>
        <w:tc>
          <w:tcPr>
            <w:tcW w:w="664" w:type="dxa"/>
            <w:tcBorders>
              <w:top w:val="single" w:sz="4" w:space="0" w:color="000000"/>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
        </w:tc>
      </w:tr>
      <w:tr>
        <w:trPr>
          <w:trHeight w:val="3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3" w:right="0"/>
              <w:jc w:val="left"/>
              <w:rPr>
                <w:rFonts w:ascii="宋体" w:hAnsi="宋体" w:cs="宋体" w:eastAsia="宋体" w:hint="default"/>
                <w:sz w:val="18"/>
                <w:szCs w:val="18"/>
              </w:rPr>
            </w:pPr>
            <w:r>
              <w:rPr>
                <w:rFonts w:ascii="宋体" w:hAnsi="宋体" w:cs="宋体" w:eastAsia="宋体" w:hint="default"/>
                <w:spacing w:val="-12"/>
                <w:sz w:val="18"/>
                <w:szCs w:val="18"/>
              </w:rPr>
              <w:t>债务转为资本</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宋体" w:hAnsi="宋体" w:cs="宋体" w:eastAsia="宋体" w:hint="default"/>
                <w:sz w:val="18"/>
                <w:szCs w:val="18"/>
              </w:rPr>
            </w:pPr>
            <w:r>
              <w:rPr>
                <w:rFonts w:ascii="宋体" w:hAnsi="宋体" w:cs="宋体" w:eastAsia="宋体" w:hint="default"/>
                <w:spacing w:val="-12"/>
                <w:sz w:val="18"/>
                <w:szCs w:val="18"/>
              </w:rPr>
              <w:t>一年内到期的可转换公司债券</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34" w:right="0"/>
              <w:jc w:val="left"/>
              <w:rPr>
                <w:rFonts w:ascii="宋体" w:hAnsi="宋体" w:cs="宋体" w:eastAsia="宋体" w:hint="default"/>
                <w:sz w:val="18"/>
                <w:szCs w:val="18"/>
              </w:rPr>
            </w:pPr>
            <w:r>
              <w:rPr>
                <w:rFonts w:ascii="宋体" w:hAnsi="宋体" w:cs="宋体" w:eastAsia="宋体" w:hint="default"/>
                <w:spacing w:val="-12"/>
                <w:sz w:val="18"/>
                <w:szCs w:val="18"/>
              </w:rPr>
              <w:t>融资租入固定资产</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4"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pacing w:val="-12"/>
                <w:sz w:val="18"/>
                <w:szCs w:val="18"/>
              </w:rPr>
              <w:t>现金及现金等价物净增加情况</w:t>
            </w:r>
            <w:r>
              <w:rPr>
                <w:rFonts w:ascii="Times New Roman" w:hAnsi="Times New Roman" w:cs="Times New Roman" w:eastAsia="Times New Roman" w:hint="default"/>
                <w:spacing w:val="-12"/>
                <w:sz w:val="18"/>
                <w:szCs w:val="18"/>
              </w:rPr>
              <w:t>:</w:t>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pacing w:val="-12"/>
                <w:sz w:val="18"/>
                <w:szCs w:val="18"/>
              </w:rPr>
              <w:t>现金的期末余额</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right"/>
              <w:rPr>
                <w:rFonts w:ascii="Times New Roman" w:hAnsi="Times New Roman" w:cs="Times New Roman" w:eastAsia="Times New Roman" w:hint="default"/>
                <w:sz w:val="18"/>
                <w:szCs w:val="18"/>
              </w:rPr>
            </w:pPr>
            <w:r>
              <w:rPr>
                <w:rFonts w:ascii="Times New Roman"/>
                <w:spacing w:val="-1"/>
                <w:sz w:val="18"/>
              </w:rPr>
              <w:t>293,940,873.56</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Times New Roman" w:hAnsi="Times New Roman" w:cs="Times New Roman" w:eastAsia="Times New Roman" w:hint="default"/>
                <w:sz w:val="18"/>
                <w:szCs w:val="18"/>
              </w:rPr>
            </w:pPr>
            <w:r>
              <w:rPr>
                <w:rFonts w:ascii="Times New Roman"/>
                <w:spacing w:val="-1"/>
                <w:sz w:val="18"/>
              </w:rPr>
              <w:t>50,231,007.85</w:t>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35" w:right="0"/>
              <w:jc w:val="left"/>
              <w:rPr>
                <w:rFonts w:ascii="宋体" w:hAnsi="宋体" w:cs="宋体" w:eastAsia="宋体" w:hint="default"/>
                <w:sz w:val="18"/>
                <w:szCs w:val="18"/>
              </w:rPr>
            </w:pPr>
            <w:r>
              <w:rPr>
                <w:rFonts w:ascii="宋体" w:hAnsi="宋体" w:cs="宋体" w:eastAsia="宋体" w:hint="default"/>
                <w:spacing w:val="-6"/>
                <w:sz w:val="18"/>
                <w:szCs w:val="18"/>
              </w:rPr>
              <w:t>减：</w:t>
            </w:r>
            <w:r>
              <w:rPr>
                <w:rFonts w:ascii="宋体" w:hAnsi="宋体" w:cs="宋体" w:eastAsia="宋体" w:hint="default"/>
                <w:spacing w:val="-24"/>
                <w:sz w:val="18"/>
                <w:szCs w:val="18"/>
              </w:rPr>
              <w:t> </w:t>
            </w:r>
            <w:r>
              <w:rPr>
                <w:rFonts w:ascii="宋体" w:hAnsi="宋体" w:cs="宋体" w:eastAsia="宋体" w:hint="default"/>
                <w:spacing w:val="-12"/>
                <w:sz w:val="18"/>
                <w:szCs w:val="18"/>
              </w:rPr>
              <w:t>现金的期初余额</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
              <w:jc w:val="right"/>
              <w:rPr>
                <w:rFonts w:ascii="Times New Roman" w:hAnsi="Times New Roman" w:cs="Times New Roman" w:eastAsia="Times New Roman" w:hint="default"/>
                <w:sz w:val="18"/>
                <w:szCs w:val="18"/>
              </w:rPr>
            </w:pPr>
            <w:r>
              <w:rPr>
                <w:rFonts w:ascii="Times New Roman"/>
                <w:spacing w:val="-1"/>
                <w:sz w:val="18"/>
              </w:rPr>
              <w:t>50,231,007.85</w:t>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45,196,172.24</w:t>
            </w:r>
          </w:p>
        </w:tc>
      </w:tr>
      <w:tr>
        <w:trPr>
          <w:trHeight w:val="392"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5" w:right="0"/>
              <w:jc w:val="left"/>
              <w:rPr>
                <w:rFonts w:ascii="宋体" w:hAnsi="宋体" w:cs="宋体" w:eastAsia="宋体" w:hint="default"/>
                <w:sz w:val="18"/>
                <w:szCs w:val="18"/>
              </w:rPr>
            </w:pPr>
            <w:r>
              <w:rPr>
                <w:rFonts w:ascii="宋体" w:hAnsi="宋体" w:cs="宋体" w:eastAsia="宋体" w:hint="default"/>
                <w:spacing w:val="-6"/>
                <w:sz w:val="18"/>
                <w:szCs w:val="18"/>
              </w:rPr>
              <w:t>加：</w:t>
            </w:r>
            <w:r>
              <w:rPr>
                <w:rFonts w:ascii="宋体" w:hAnsi="宋体" w:cs="宋体" w:eastAsia="宋体" w:hint="default"/>
                <w:spacing w:val="-24"/>
                <w:sz w:val="18"/>
                <w:szCs w:val="18"/>
              </w:rPr>
              <w:t> </w:t>
            </w:r>
            <w:r>
              <w:rPr>
                <w:rFonts w:ascii="宋体" w:hAnsi="宋体" w:cs="宋体" w:eastAsia="宋体" w:hint="default"/>
                <w:spacing w:val="-12"/>
                <w:sz w:val="18"/>
                <w:szCs w:val="18"/>
              </w:rPr>
              <w:t>现金等价物的期末余额</w:t>
            </w:r>
            <w:r>
              <w:rPr>
                <w:rFonts w:ascii="宋体" w:hAnsi="宋体" w:cs="宋体" w:eastAsia="宋体" w:hint="default"/>
                <w:sz w:val="18"/>
                <w:szCs w:val="18"/>
              </w:rPr>
            </w:r>
          </w:p>
        </w:tc>
        <w:tc>
          <w:tcPr>
            <w:tcW w:w="664"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6" w:right="0"/>
              <w:jc w:val="left"/>
              <w:rPr>
                <w:rFonts w:ascii="宋体" w:hAnsi="宋体" w:cs="宋体" w:eastAsia="宋体" w:hint="default"/>
                <w:sz w:val="18"/>
                <w:szCs w:val="18"/>
              </w:rPr>
            </w:pPr>
            <w:r>
              <w:rPr>
                <w:rFonts w:ascii="宋体" w:hAnsi="宋体" w:cs="宋体" w:eastAsia="宋体" w:hint="default"/>
                <w:spacing w:val="-6"/>
                <w:sz w:val="18"/>
                <w:szCs w:val="18"/>
              </w:rPr>
              <w:t>减：</w:t>
            </w:r>
            <w:r>
              <w:rPr>
                <w:rFonts w:ascii="宋体" w:hAnsi="宋体" w:cs="宋体" w:eastAsia="宋体" w:hint="default"/>
                <w:spacing w:val="-24"/>
                <w:sz w:val="18"/>
                <w:szCs w:val="18"/>
              </w:rPr>
              <w:t> </w:t>
            </w:r>
            <w:r>
              <w:rPr>
                <w:rFonts w:ascii="宋体" w:hAnsi="宋体" w:cs="宋体" w:eastAsia="宋体" w:hint="default"/>
                <w:spacing w:val="-12"/>
                <w:sz w:val="18"/>
                <w:szCs w:val="18"/>
              </w:rPr>
              <w:t>现金等价物的期初余额</w:t>
            </w:r>
            <w:r>
              <w:rPr>
                <w:rFonts w:ascii="宋体" w:hAnsi="宋体" w:cs="宋体" w:eastAsia="宋体" w:hint="default"/>
                <w:sz w:val="18"/>
                <w:szCs w:val="18"/>
              </w:rPr>
            </w:r>
          </w:p>
        </w:tc>
        <w:tc>
          <w:tcPr>
            <w:tcW w:w="664"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single" w:sz="4" w:space="0" w:color="000000"/>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8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1" w:hRule="exact"/>
        </w:trPr>
        <w:tc>
          <w:tcPr>
            <w:tcW w:w="56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6" w:right="0"/>
              <w:jc w:val="left"/>
              <w:rPr>
                <w:rFonts w:ascii="宋体" w:hAnsi="宋体" w:cs="宋体" w:eastAsia="宋体" w:hint="default"/>
                <w:sz w:val="18"/>
                <w:szCs w:val="18"/>
              </w:rPr>
            </w:pPr>
            <w:r>
              <w:rPr>
                <w:rFonts w:ascii="宋体" w:hAnsi="宋体" w:cs="宋体" w:eastAsia="宋体" w:hint="default"/>
                <w:spacing w:val="-11"/>
                <w:sz w:val="18"/>
                <w:szCs w:val="18"/>
              </w:rPr>
              <w:t>现金及现金等价物净增加</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减少</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额</w:t>
            </w:r>
          </w:p>
        </w:tc>
        <w:tc>
          <w:tcPr>
            <w:tcW w:w="664"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left="9" w:right="0"/>
              <w:jc w:val="left"/>
              <w:rPr>
                <w:rFonts w:ascii="Times New Roman" w:hAnsi="Times New Roman" w:cs="Times New Roman" w:eastAsia="Times New Roman" w:hint="default"/>
                <w:sz w:val="18"/>
                <w:szCs w:val="18"/>
              </w:rPr>
            </w:pPr>
            <w:r>
              <w:rPr>
                <w:rFonts w:ascii="Times New Roman"/>
                <w:sz w:val="18"/>
              </w:rPr>
              <w:t>RMB</w:t>
            </w:r>
          </w:p>
        </w:tc>
        <w:tc>
          <w:tcPr>
            <w:tcW w:w="1411"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243,709,865.71</w:t>
            </w:r>
          </w:p>
        </w:tc>
        <w:tc>
          <w:tcPr>
            <w:tcW w:w="786"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RMB</w:t>
            </w:r>
          </w:p>
        </w:tc>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5,034,835.61</w:t>
            </w:r>
          </w:p>
        </w:tc>
      </w:tr>
    </w:tbl>
    <w:p>
      <w:pPr>
        <w:spacing w:line="240" w:lineRule="auto" w:before="2"/>
        <w:rPr>
          <w:rFonts w:ascii="宋体" w:hAnsi="宋体" w:cs="宋体" w:eastAsia="宋体" w:hint="default"/>
          <w:sz w:val="17"/>
          <w:szCs w:val="17"/>
        </w:rPr>
      </w:pPr>
    </w:p>
    <w:p>
      <w:pPr>
        <w:pStyle w:val="BodyText"/>
        <w:spacing w:line="240" w:lineRule="auto" w:before="26"/>
        <w:ind w:left="824" w:right="141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收到的其他与经营活动有关的现金明细项目列示如下：</w:t>
      </w:r>
    </w:p>
    <w:p>
      <w:pPr>
        <w:spacing w:line="240" w:lineRule="auto" w:before="6"/>
        <w:rPr>
          <w:rFonts w:ascii="宋体" w:hAnsi="宋体" w:cs="宋体" w:eastAsia="宋体" w:hint="default"/>
          <w:sz w:val="19"/>
          <w:szCs w:val="19"/>
        </w:rPr>
      </w:pPr>
    </w:p>
    <w:tbl>
      <w:tblPr>
        <w:tblW w:w="0" w:type="auto"/>
        <w:jc w:val="left"/>
        <w:tblInd w:w="233" w:type="dxa"/>
        <w:tblLayout w:type="fixed"/>
        <w:tblCellMar>
          <w:top w:w="0" w:type="dxa"/>
          <w:left w:w="0" w:type="dxa"/>
          <w:bottom w:w="0" w:type="dxa"/>
          <w:right w:w="0" w:type="dxa"/>
        </w:tblCellMar>
        <w:tblLook w:val="01E0"/>
      </w:tblPr>
      <w:tblGrid>
        <w:gridCol w:w="1661"/>
        <w:gridCol w:w="2192"/>
        <w:gridCol w:w="2238"/>
        <w:gridCol w:w="961"/>
        <w:gridCol w:w="1057"/>
        <w:gridCol w:w="1619"/>
      </w:tblGrid>
      <w:tr>
        <w:trPr>
          <w:trHeight w:val="253" w:hRule="exact"/>
        </w:trPr>
        <w:tc>
          <w:tcPr>
            <w:tcW w:w="1661"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2192"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single" w:sz="8" w:space="0" w:color="000000"/>
              <w:right w:val="nil" w:sz="6" w:space="0" w:color="auto"/>
            </w:tcBorders>
          </w:tcPr>
          <w:p>
            <w:pPr>
              <w:pStyle w:val="TableParagraph"/>
              <w:spacing w:line="194" w:lineRule="exact"/>
              <w:ind w:left="17" w:right="0"/>
              <w:jc w:val="center"/>
              <w:rPr>
                <w:rFonts w:ascii="Times New Roman" w:hAnsi="Times New Roman" w:cs="Times New Roman" w:eastAsia="Times New Roman" w:hint="default"/>
                <w:sz w:val="18"/>
                <w:szCs w:val="18"/>
              </w:rPr>
            </w:pPr>
            <w:r>
              <w:rPr>
                <w:rFonts w:ascii="Times New Roman"/>
                <w:sz w:val="18"/>
              </w:rPr>
              <w:t>2007</w:t>
            </w:r>
          </w:p>
        </w:tc>
        <w:tc>
          <w:tcPr>
            <w:tcW w:w="961"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8" w:space="0" w:color="000000"/>
              <w:right w:val="nil" w:sz="6" w:space="0" w:color="auto"/>
            </w:tcBorders>
          </w:tcPr>
          <w:p>
            <w:pPr/>
          </w:p>
        </w:tc>
        <w:tc>
          <w:tcPr>
            <w:tcW w:w="1619" w:type="dxa"/>
            <w:tcBorders>
              <w:top w:val="nil" w:sz="6" w:space="0" w:color="auto"/>
              <w:left w:val="nil" w:sz="6" w:space="0" w:color="auto"/>
              <w:bottom w:val="single" w:sz="8" w:space="0" w:color="000000"/>
              <w:right w:val="nil" w:sz="6" w:space="0" w:color="auto"/>
            </w:tcBorders>
          </w:tcPr>
          <w:p>
            <w:pPr>
              <w:pStyle w:val="TableParagraph"/>
              <w:spacing w:line="194" w:lineRule="exact"/>
              <w:ind w:left="106" w:right="0"/>
              <w:jc w:val="left"/>
              <w:rPr>
                <w:rFonts w:ascii="Times New Roman" w:hAnsi="Times New Roman" w:cs="Times New Roman" w:eastAsia="Times New Roman" w:hint="default"/>
                <w:sz w:val="18"/>
                <w:szCs w:val="18"/>
              </w:rPr>
            </w:pPr>
            <w:r>
              <w:rPr>
                <w:rFonts w:ascii="Times New Roman"/>
                <w:sz w:val="18"/>
              </w:rPr>
              <w:t>2006</w:t>
            </w:r>
          </w:p>
        </w:tc>
      </w:tr>
      <w:tr>
        <w:trPr>
          <w:trHeight w:val="415" w:hRule="exact"/>
        </w:trPr>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科技拨款</w:t>
            </w:r>
          </w:p>
        </w:tc>
        <w:tc>
          <w:tcPr>
            <w:tcW w:w="2192" w:type="dxa"/>
            <w:tcBorders>
              <w:top w:val="nil" w:sz="6" w:space="0" w:color="auto"/>
              <w:left w:val="nil" w:sz="6" w:space="0" w:color="auto"/>
              <w:bottom w:val="nil" w:sz="6" w:space="0" w:color="auto"/>
              <w:right w:val="nil" w:sz="6" w:space="0" w:color="auto"/>
            </w:tcBorders>
          </w:tcPr>
          <w:p>
            <w:pPr/>
          </w:p>
        </w:tc>
        <w:tc>
          <w:tcPr>
            <w:tcW w:w="2238" w:type="dxa"/>
            <w:tcBorders>
              <w:top w:val="single" w:sz="8" w:space="0" w:color="000000"/>
              <w:left w:val="nil" w:sz="6" w:space="0" w:color="auto"/>
              <w:bottom w:val="nil" w:sz="6" w:space="0" w:color="auto"/>
              <w:right w:val="nil" w:sz="6" w:space="0" w:color="auto"/>
            </w:tcBorders>
          </w:tcPr>
          <w:p>
            <w:pPr>
              <w:pStyle w:val="TableParagraph"/>
              <w:tabs>
                <w:tab w:pos="850" w:val="left" w:leader="none"/>
              </w:tabs>
              <w:spacing w:line="240" w:lineRule="auto" w:before="93"/>
              <w:ind w:right="44"/>
              <w:jc w:val="right"/>
              <w:rPr>
                <w:rFonts w:ascii="Times New Roman" w:hAnsi="Times New Roman" w:cs="Times New Roman" w:eastAsia="Times New Roman" w:hint="default"/>
                <w:sz w:val="18"/>
                <w:szCs w:val="18"/>
              </w:rPr>
            </w:pPr>
            <w:r>
              <w:rPr>
                <w:rFonts w:ascii="Times New Roman"/>
                <w:w w:val="95"/>
                <w:sz w:val="18"/>
              </w:rPr>
              <w:t>RMB</w:t>
              <w:tab/>
              <w:t>13,477,600.00</w:t>
            </w:r>
            <w:r>
              <w:rPr>
                <w:rFonts w:ascii="Times New Roman"/>
                <w:sz w:val="18"/>
              </w:rPr>
            </w:r>
          </w:p>
        </w:tc>
        <w:tc>
          <w:tcPr>
            <w:tcW w:w="961" w:type="dxa"/>
            <w:tcBorders>
              <w:top w:val="nil" w:sz="6" w:space="0" w:color="auto"/>
              <w:left w:val="nil" w:sz="6" w:space="0" w:color="auto"/>
              <w:bottom w:val="nil" w:sz="6" w:space="0" w:color="auto"/>
              <w:right w:val="nil" w:sz="6" w:space="0" w:color="auto"/>
            </w:tcBorders>
          </w:tcPr>
          <w:p>
            <w:pPr/>
          </w:p>
        </w:tc>
        <w:tc>
          <w:tcPr>
            <w:tcW w:w="1057"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RMB</w:t>
            </w:r>
          </w:p>
        </w:tc>
        <w:tc>
          <w:tcPr>
            <w:tcW w:w="1619"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right="52"/>
              <w:jc w:val="right"/>
              <w:rPr>
                <w:rFonts w:ascii="Times New Roman" w:hAnsi="Times New Roman" w:cs="Times New Roman" w:eastAsia="Times New Roman" w:hint="default"/>
                <w:sz w:val="18"/>
                <w:szCs w:val="18"/>
              </w:rPr>
            </w:pPr>
            <w:r>
              <w:rPr>
                <w:rFonts w:ascii="Times New Roman"/>
                <w:spacing w:val="-1"/>
                <w:sz w:val="18"/>
              </w:rPr>
              <w:t>5,170,000.00</w:t>
            </w:r>
          </w:p>
        </w:tc>
      </w:tr>
      <w:tr>
        <w:trPr>
          <w:trHeight w:val="380" w:hRule="exact"/>
        </w:trPr>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92"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
              <w:jc w:val="right"/>
              <w:rPr>
                <w:rFonts w:ascii="Times New Roman" w:hAnsi="Times New Roman" w:cs="Times New Roman" w:eastAsia="Times New Roman" w:hint="default"/>
                <w:sz w:val="18"/>
                <w:szCs w:val="18"/>
              </w:rPr>
            </w:pPr>
            <w:r>
              <w:rPr>
                <w:rFonts w:ascii="Times New Roman"/>
                <w:spacing w:val="-1"/>
                <w:sz w:val="18"/>
              </w:rPr>
              <w:t>1,964,373.89</w:t>
            </w:r>
          </w:p>
        </w:tc>
        <w:tc>
          <w:tcPr>
            <w:tcW w:w="961"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2"/>
              <w:jc w:val="right"/>
              <w:rPr>
                <w:rFonts w:ascii="Times New Roman" w:hAnsi="Times New Roman" w:cs="Times New Roman" w:eastAsia="Times New Roman" w:hint="default"/>
                <w:sz w:val="18"/>
                <w:szCs w:val="18"/>
              </w:rPr>
            </w:pPr>
            <w:r>
              <w:rPr>
                <w:rFonts w:ascii="Times New Roman"/>
                <w:sz w:val="18"/>
              </w:rPr>
              <w:t>301,559.83</w:t>
            </w:r>
          </w:p>
        </w:tc>
      </w:tr>
      <w:tr>
        <w:trPr>
          <w:trHeight w:val="365" w:hRule="exact"/>
        </w:trPr>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92"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single" w:sz="8" w:space="0" w:color="000000"/>
              <w:right w:val="nil" w:sz="6" w:space="0" w:color="auto"/>
            </w:tcBorders>
          </w:tcPr>
          <w:p>
            <w:pPr>
              <w:pStyle w:val="TableParagraph"/>
              <w:spacing w:line="240" w:lineRule="auto" w:before="69"/>
              <w:ind w:right="44"/>
              <w:jc w:val="right"/>
              <w:rPr>
                <w:rFonts w:ascii="Times New Roman" w:hAnsi="Times New Roman" w:cs="Times New Roman" w:eastAsia="Times New Roman" w:hint="default"/>
                <w:sz w:val="18"/>
                <w:szCs w:val="18"/>
              </w:rPr>
            </w:pPr>
            <w:r>
              <w:rPr>
                <w:rFonts w:ascii="Times New Roman"/>
                <w:sz w:val="18"/>
              </w:rPr>
              <w:t>574,373.17</w:t>
            </w:r>
          </w:p>
        </w:tc>
        <w:tc>
          <w:tcPr>
            <w:tcW w:w="961"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8" w:space="0" w:color="000000"/>
              <w:right w:val="nil" w:sz="6" w:space="0" w:color="auto"/>
            </w:tcBorders>
          </w:tcPr>
          <w:p>
            <w:pPr/>
          </w:p>
        </w:tc>
        <w:tc>
          <w:tcPr>
            <w:tcW w:w="1619" w:type="dxa"/>
            <w:tcBorders>
              <w:top w:val="nil" w:sz="6" w:space="0" w:color="auto"/>
              <w:left w:val="nil" w:sz="6" w:space="0" w:color="auto"/>
              <w:bottom w:val="single" w:sz="8" w:space="0" w:color="000000"/>
              <w:right w:val="nil" w:sz="6" w:space="0" w:color="auto"/>
            </w:tcBorders>
          </w:tcPr>
          <w:p>
            <w:pPr>
              <w:pStyle w:val="TableParagraph"/>
              <w:spacing w:line="240" w:lineRule="auto" w:before="69"/>
              <w:ind w:right="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4" w:hRule="exact"/>
        </w:trPr>
        <w:tc>
          <w:tcPr>
            <w:tcW w:w="1661"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2238" w:type="dxa"/>
            <w:tcBorders>
              <w:top w:val="single" w:sz="8" w:space="0" w:color="000000"/>
              <w:left w:val="nil" w:sz="6" w:space="0" w:color="auto"/>
              <w:bottom w:val="single" w:sz="17" w:space="0" w:color="000000"/>
              <w:right w:val="nil" w:sz="6" w:space="0" w:color="auto"/>
            </w:tcBorders>
          </w:tcPr>
          <w:p>
            <w:pPr>
              <w:pStyle w:val="TableParagraph"/>
              <w:tabs>
                <w:tab w:pos="850" w:val="left" w:leader="none"/>
              </w:tabs>
              <w:spacing w:line="240" w:lineRule="auto" w:before="64"/>
              <w:ind w:right="44"/>
              <w:jc w:val="right"/>
              <w:rPr>
                <w:rFonts w:ascii="Times New Roman" w:hAnsi="Times New Roman" w:cs="Times New Roman" w:eastAsia="Times New Roman" w:hint="default"/>
                <w:sz w:val="18"/>
                <w:szCs w:val="18"/>
              </w:rPr>
            </w:pPr>
            <w:r>
              <w:rPr>
                <w:rFonts w:ascii="Times New Roman"/>
                <w:w w:val="95"/>
                <w:sz w:val="18"/>
              </w:rPr>
              <w:t>RMB</w:t>
              <w:tab/>
              <w:t>16,016,347.06</w:t>
            </w:r>
            <w:r>
              <w:rPr>
                <w:rFonts w:ascii="Times New Roman"/>
                <w:sz w:val="18"/>
              </w:rPr>
            </w:r>
          </w:p>
        </w:tc>
        <w:tc>
          <w:tcPr>
            <w:tcW w:w="961" w:type="dxa"/>
            <w:tcBorders>
              <w:top w:val="nil" w:sz="6" w:space="0" w:color="auto"/>
              <w:left w:val="nil" w:sz="6" w:space="0" w:color="auto"/>
              <w:bottom w:val="nil" w:sz="6" w:space="0" w:color="auto"/>
              <w:right w:val="nil" w:sz="6" w:space="0" w:color="auto"/>
            </w:tcBorders>
          </w:tcPr>
          <w:p>
            <w:pPr/>
          </w:p>
        </w:tc>
        <w:tc>
          <w:tcPr>
            <w:tcW w:w="1057"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left="35" w:right="0"/>
              <w:jc w:val="left"/>
              <w:rPr>
                <w:rFonts w:ascii="Times New Roman" w:hAnsi="Times New Roman" w:cs="Times New Roman" w:eastAsia="Times New Roman" w:hint="default"/>
                <w:sz w:val="18"/>
                <w:szCs w:val="18"/>
              </w:rPr>
            </w:pPr>
            <w:r>
              <w:rPr>
                <w:rFonts w:ascii="Times New Roman"/>
                <w:sz w:val="18"/>
              </w:rPr>
              <w:t>RMB</w:t>
            </w:r>
          </w:p>
        </w:tc>
        <w:tc>
          <w:tcPr>
            <w:tcW w:w="1619"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52"/>
              <w:jc w:val="right"/>
              <w:rPr>
                <w:rFonts w:ascii="Times New Roman" w:hAnsi="Times New Roman" w:cs="Times New Roman" w:eastAsia="Times New Roman" w:hint="default"/>
                <w:sz w:val="18"/>
                <w:szCs w:val="18"/>
              </w:rPr>
            </w:pPr>
            <w:r>
              <w:rPr>
                <w:rFonts w:ascii="Times New Roman"/>
                <w:spacing w:val="-1"/>
                <w:sz w:val="18"/>
              </w:rPr>
              <w:t>5,471,559.83</w:t>
            </w:r>
          </w:p>
        </w:tc>
      </w:tr>
    </w:tbl>
    <w:p>
      <w:pPr>
        <w:spacing w:line="240" w:lineRule="auto" w:before="5"/>
        <w:rPr>
          <w:rFonts w:ascii="宋体" w:hAnsi="宋体" w:cs="宋体" w:eastAsia="宋体" w:hint="default"/>
          <w:sz w:val="6"/>
          <w:szCs w:val="6"/>
        </w:rPr>
      </w:pPr>
    </w:p>
    <w:p>
      <w:pPr>
        <w:pStyle w:val="BodyText"/>
        <w:spacing w:line="240" w:lineRule="auto" w:before="26"/>
        <w:ind w:left="813" w:right="141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支付的其他与经营活动有关的现金明细项目列示如下：</w:t>
      </w:r>
    </w:p>
    <w:p>
      <w:pPr>
        <w:spacing w:line="240" w:lineRule="auto" w:before="10"/>
        <w:rPr>
          <w:rFonts w:ascii="宋体" w:hAnsi="宋体" w:cs="宋体" w:eastAsia="宋体" w:hint="default"/>
          <w:sz w:val="17"/>
          <w:szCs w:val="17"/>
        </w:rPr>
      </w:pPr>
    </w:p>
    <w:tbl>
      <w:tblPr>
        <w:tblW w:w="0" w:type="auto"/>
        <w:jc w:val="left"/>
        <w:tblInd w:w="286" w:type="dxa"/>
        <w:tblLayout w:type="fixed"/>
        <w:tblCellMar>
          <w:top w:w="0" w:type="dxa"/>
          <w:left w:w="0" w:type="dxa"/>
          <w:bottom w:w="0" w:type="dxa"/>
          <w:right w:w="0" w:type="dxa"/>
        </w:tblCellMar>
        <w:tblLook w:val="01E0"/>
      </w:tblPr>
      <w:tblGrid>
        <w:gridCol w:w="2623"/>
        <w:gridCol w:w="1247"/>
        <w:gridCol w:w="2216"/>
        <w:gridCol w:w="970"/>
        <w:gridCol w:w="2630"/>
      </w:tblGrid>
      <w:tr>
        <w:trPr>
          <w:trHeight w:val="295" w:hRule="exact"/>
        </w:trPr>
        <w:tc>
          <w:tcPr>
            <w:tcW w:w="2623" w:type="dxa"/>
            <w:tcBorders>
              <w:top w:val="nil" w:sz="6" w:space="0" w:color="auto"/>
              <w:left w:val="nil" w:sz="6" w:space="0" w:color="auto"/>
              <w:bottom w:val="single" w:sz="6"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4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188" w:lineRule="exact"/>
              <w:ind w:left="15" w:right="0"/>
              <w:jc w:val="center"/>
              <w:rPr>
                <w:rFonts w:ascii="Times New Roman" w:hAnsi="Times New Roman" w:cs="Times New Roman" w:eastAsia="Times New Roman" w:hint="default"/>
                <w:sz w:val="18"/>
                <w:szCs w:val="18"/>
              </w:rPr>
            </w:pPr>
            <w:r>
              <w:rPr>
                <w:rFonts w:ascii="Times New Roman"/>
                <w:sz w:val="18"/>
              </w:rPr>
              <w:t>2007</w:t>
            </w:r>
          </w:p>
        </w:tc>
        <w:tc>
          <w:tcPr>
            <w:tcW w:w="970"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single" w:sz="4" w:space="0" w:color="000000"/>
              <w:right w:val="nil" w:sz="6" w:space="0" w:color="auto"/>
            </w:tcBorders>
          </w:tcPr>
          <w:p>
            <w:pPr>
              <w:pStyle w:val="TableParagraph"/>
              <w:spacing w:line="188" w:lineRule="exact"/>
              <w:ind w:left="14" w:right="0"/>
              <w:jc w:val="center"/>
              <w:rPr>
                <w:rFonts w:ascii="Times New Roman" w:hAnsi="Times New Roman" w:cs="Times New Roman" w:eastAsia="Times New Roman" w:hint="default"/>
                <w:sz w:val="18"/>
                <w:szCs w:val="18"/>
              </w:rPr>
            </w:pPr>
            <w:r>
              <w:rPr>
                <w:rFonts w:ascii="Times New Roman"/>
                <w:sz w:val="18"/>
              </w:rPr>
              <w:t>2006</w:t>
            </w:r>
          </w:p>
        </w:tc>
      </w:tr>
      <w:tr>
        <w:trPr>
          <w:trHeight w:val="457" w:hRule="exact"/>
        </w:trPr>
        <w:tc>
          <w:tcPr>
            <w:tcW w:w="2623"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left="27" w:right="0"/>
              <w:jc w:val="left"/>
              <w:rPr>
                <w:rFonts w:ascii="宋体" w:hAnsi="宋体" w:cs="宋体" w:eastAsia="宋体" w:hint="default"/>
                <w:sz w:val="18"/>
                <w:szCs w:val="18"/>
              </w:rPr>
            </w:pPr>
            <w:r>
              <w:rPr>
                <w:rFonts w:ascii="宋体" w:hAnsi="宋体" w:cs="宋体" w:eastAsia="宋体" w:hint="default"/>
                <w:sz w:val="18"/>
                <w:szCs w:val="18"/>
              </w:rPr>
              <w:t>销售费</w:t>
            </w:r>
          </w:p>
        </w:tc>
        <w:tc>
          <w:tcPr>
            <w:tcW w:w="1247"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nil" w:sz="6" w:space="0" w:color="auto"/>
              <w:right w:val="nil" w:sz="6" w:space="0" w:color="auto"/>
            </w:tcBorders>
          </w:tcPr>
          <w:p>
            <w:pPr>
              <w:pStyle w:val="TableParagraph"/>
              <w:tabs>
                <w:tab w:pos="850" w:val="left" w:leader="none"/>
              </w:tabs>
              <w:spacing w:line="240" w:lineRule="auto" w:before="136"/>
              <w:ind w:right="18"/>
              <w:jc w:val="right"/>
              <w:rPr>
                <w:rFonts w:ascii="Times New Roman" w:hAnsi="Times New Roman" w:cs="Times New Roman" w:eastAsia="Times New Roman" w:hint="default"/>
                <w:sz w:val="18"/>
                <w:szCs w:val="18"/>
              </w:rPr>
            </w:pPr>
            <w:r>
              <w:rPr>
                <w:rFonts w:ascii="Times New Roman"/>
                <w:w w:val="95"/>
                <w:sz w:val="18"/>
              </w:rPr>
              <w:t>RMB</w:t>
              <w:tab/>
              <w:t>13,146,090.92</w:t>
            </w:r>
            <w:r>
              <w:rPr>
                <w:rFonts w:ascii="Times New Roman"/>
                <w:sz w:val="18"/>
              </w:rPr>
            </w:r>
          </w:p>
        </w:tc>
        <w:tc>
          <w:tcPr>
            <w:tcW w:w="970" w:type="dxa"/>
            <w:tcBorders>
              <w:top w:val="nil" w:sz="6" w:space="0" w:color="auto"/>
              <w:left w:val="nil" w:sz="6" w:space="0" w:color="auto"/>
              <w:bottom w:val="nil" w:sz="6" w:space="0" w:color="auto"/>
              <w:right w:val="nil" w:sz="6" w:space="0" w:color="auto"/>
            </w:tcBorders>
          </w:tcPr>
          <w:p>
            <w:pPr/>
          </w:p>
        </w:tc>
        <w:tc>
          <w:tcPr>
            <w:tcW w:w="2630" w:type="dxa"/>
            <w:tcBorders>
              <w:top w:val="single" w:sz="4" w:space="0" w:color="000000"/>
              <w:left w:val="nil" w:sz="6" w:space="0" w:color="auto"/>
              <w:bottom w:val="nil" w:sz="6" w:space="0" w:color="auto"/>
              <w:right w:val="nil" w:sz="6" w:space="0" w:color="auto"/>
            </w:tcBorders>
          </w:tcPr>
          <w:p>
            <w:pPr>
              <w:pStyle w:val="TableParagraph"/>
              <w:tabs>
                <w:tab w:pos="1210" w:val="left" w:leader="none"/>
              </w:tabs>
              <w:spacing w:line="240" w:lineRule="auto" w:before="136"/>
              <w:ind w:right="18"/>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33,181,126.00</w:t>
            </w:r>
          </w:p>
        </w:tc>
      </w:tr>
      <w:tr>
        <w:trPr>
          <w:trHeight w:val="425"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124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27,151,197.15</w:t>
            </w:r>
          </w:p>
        </w:tc>
        <w:tc>
          <w:tcPr>
            <w:tcW w:w="970"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7,402,000.00</w:t>
            </w:r>
          </w:p>
        </w:tc>
      </w:tr>
      <w:tr>
        <w:trPr>
          <w:trHeight w:val="425"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124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8,287,981.69</w:t>
            </w:r>
          </w:p>
        </w:tc>
        <w:tc>
          <w:tcPr>
            <w:tcW w:w="970"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7,244,683.59</w:t>
            </w:r>
          </w:p>
        </w:tc>
      </w:tr>
      <w:tr>
        <w:trPr>
          <w:trHeight w:val="312"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4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17,917,496.09</w:t>
            </w:r>
          </w:p>
        </w:tc>
        <w:tc>
          <w:tcPr>
            <w:tcW w:w="970"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4,954,269.65</w:t>
            </w:r>
          </w:p>
        </w:tc>
      </w:tr>
    </w:tbl>
    <w:p>
      <w:pPr>
        <w:spacing w:line="240" w:lineRule="auto" w:before="9"/>
        <w:rPr>
          <w:rFonts w:ascii="宋体" w:hAnsi="宋体" w:cs="宋体" w:eastAsia="宋体" w:hint="default"/>
          <w:sz w:val="9"/>
          <w:szCs w:val="9"/>
        </w:rPr>
      </w:pPr>
    </w:p>
    <w:p>
      <w:pPr>
        <w:tabs>
          <w:tab w:pos="5541" w:val="left" w:leader="none"/>
          <w:tab w:pos="9006" w:val="left" w:leader="none"/>
        </w:tabs>
        <w:spacing w:before="44"/>
        <w:ind w:left="313"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维修费</w:t>
        <w:tab/>
      </w:r>
      <w:r>
        <w:rPr>
          <w:rFonts w:ascii="Times New Roman" w:hAnsi="Times New Roman" w:cs="Times New Roman" w:eastAsia="Times New Roman" w:hint="default"/>
          <w:sz w:val="18"/>
          <w:szCs w:val="18"/>
        </w:rPr>
        <w:t>407,368.44</w:t>
        <w:tab/>
        <w:t>1,052,403.44</w:t>
      </w:r>
    </w:p>
    <w:p>
      <w:pPr>
        <w:spacing w:after="0"/>
        <w:jc w:val="left"/>
        <w:rPr>
          <w:rFonts w:ascii="Times New Roman" w:hAnsi="Times New Roman" w:cs="Times New Roman" w:eastAsia="Times New Roman" w:hint="default"/>
          <w:sz w:val="18"/>
          <w:szCs w:val="18"/>
        </w:rPr>
        <w:sectPr>
          <w:pgSz w:w="11910" w:h="16840"/>
          <w:pgMar w:header="877" w:footer="1022" w:top="1060" w:bottom="1220" w:left="82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4042"/>
        <w:gridCol w:w="2216"/>
        <w:gridCol w:w="966"/>
        <w:gridCol w:w="2641"/>
      </w:tblGrid>
      <w:tr>
        <w:trPr>
          <w:trHeight w:val="312"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216" w:type="dxa"/>
            <w:tcBorders>
              <w:top w:val="nil" w:sz="6" w:space="0" w:color="auto"/>
              <w:left w:val="nil" w:sz="6" w:space="0" w:color="auto"/>
              <w:bottom w:val="nil" w:sz="6" w:space="0" w:color="auto"/>
              <w:right w:val="nil" w:sz="6" w:space="0" w:color="auto"/>
            </w:tcBorders>
          </w:tcPr>
          <w:p>
            <w:pPr>
              <w:pStyle w:val="TableParagraph"/>
              <w:spacing w:line="203" w:lineRule="exact"/>
              <w:ind w:right="18"/>
              <w:jc w:val="right"/>
              <w:rPr>
                <w:rFonts w:ascii="Times New Roman" w:hAnsi="Times New Roman" w:cs="Times New Roman" w:eastAsia="Times New Roman" w:hint="default"/>
                <w:sz w:val="18"/>
                <w:szCs w:val="18"/>
              </w:rPr>
            </w:pPr>
            <w:r>
              <w:rPr>
                <w:rFonts w:ascii="Times New Roman"/>
                <w:sz w:val="18"/>
              </w:rPr>
              <w:t>663,539.70</w:t>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nil" w:sz="6" w:space="0" w:color="auto"/>
              <w:right w:val="nil" w:sz="6" w:space="0" w:color="auto"/>
            </w:tcBorders>
          </w:tcPr>
          <w:p>
            <w:pPr>
              <w:pStyle w:val="TableParagraph"/>
              <w:spacing w:line="203" w:lineRule="exact"/>
              <w:ind w:right="26"/>
              <w:jc w:val="right"/>
              <w:rPr>
                <w:rFonts w:ascii="Times New Roman" w:hAnsi="Times New Roman" w:cs="Times New Roman" w:eastAsia="Times New Roman" w:hint="default"/>
                <w:sz w:val="18"/>
                <w:szCs w:val="18"/>
              </w:rPr>
            </w:pPr>
            <w:r>
              <w:rPr>
                <w:rFonts w:ascii="Times New Roman"/>
                <w:spacing w:val="-1"/>
                <w:sz w:val="18"/>
              </w:rPr>
              <w:t>1,920,018.75</w:t>
            </w:r>
          </w:p>
        </w:tc>
      </w:tr>
      <w:tr>
        <w:trPr>
          <w:trHeight w:val="42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1,302,372.85</w:t>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18"/>
                <w:szCs w:val="18"/>
              </w:rPr>
            </w:pPr>
            <w:r>
              <w:rPr>
                <w:rFonts w:ascii="Times New Roman"/>
                <w:sz w:val="18"/>
              </w:rPr>
              <w:t>908,138.84</w:t>
            </w:r>
          </w:p>
        </w:tc>
      </w:tr>
      <w:tr>
        <w:trPr>
          <w:trHeight w:val="42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1,191,636.16</w:t>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8"/>
                <w:szCs w:val="18"/>
              </w:rPr>
            </w:pPr>
            <w:r>
              <w:rPr>
                <w:rFonts w:ascii="Times New Roman"/>
                <w:spacing w:val="-1"/>
                <w:sz w:val="18"/>
              </w:rPr>
              <w:t>1,223,363.75</w:t>
            </w:r>
          </w:p>
        </w:tc>
      </w:tr>
      <w:tr>
        <w:trPr>
          <w:trHeight w:val="42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招投标保证金费用等支出</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4,962,965.00</w:t>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18"/>
                <w:szCs w:val="18"/>
              </w:rPr>
            </w:pPr>
            <w:r>
              <w:rPr>
                <w:rFonts w:ascii="Times New Roman"/>
                <w:spacing w:val="-1"/>
                <w:sz w:val="18"/>
              </w:rPr>
              <w:t>3,690,894.00</w:t>
            </w:r>
          </w:p>
        </w:tc>
      </w:tr>
      <w:tr>
        <w:trPr>
          <w:trHeight w:val="42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网络及广告服务费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6,522,417.28</w:t>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11,508,694.15</w:t>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8"/>
                <w:szCs w:val="18"/>
              </w:rPr>
            </w:pPr>
            <w:r>
              <w:rPr>
                <w:rFonts w:ascii="Times New Roman"/>
                <w:spacing w:val="-1"/>
                <w:sz w:val="18"/>
              </w:rPr>
              <w:t>11,947,597.49</w:t>
            </w:r>
          </w:p>
        </w:tc>
      </w:tr>
      <w:tr>
        <w:trPr>
          <w:trHeight w:val="446" w:hRule="exact"/>
        </w:trPr>
        <w:tc>
          <w:tcPr>
            <w:tcW w:w="4042"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single" w:sz="12" w:space="0" w:color="000000"/>
              <w:right w:val="nil" w:sz="6" w:space="0" w:color="auto"/>
            </w:tcBorders>
          </w:tcPr>
          <w:p>
            <w:pPr>
              <w:pStyle w:val="TableParagraph"/>
              <w:tabs>
                <w:tab w:pos="850" w:val="left" w:leader="none"/>
              </w:tabs>
              <w:spacing w:line="240" w:lineRule="auto" w:before="131"/>
              <w:ind w:right="18"/>
              <w:jc w:val="right"/>
              <w:rPr>
                <w:rFonts w:ascii="Times New Roman" w:hAnsi="Times New Roman" w:cs="Times New Roman" w:eastAsia="Times New Roman" w:hint="default"/>
                <w:sz w:val="18"/>
                <w:szCs w:val="18"/>
              </w:rPr>
            </w:pPr>
            <w:r>
              <w:rPr>
                <w:rFonts w:ascii="Times New Roman"/>
                <w:w w:val="95"/>
                <w:sz w:val="18"/>
              </w:rPr>
              <w:t>RMB</w:t>
              <w:tab/>
              <w:t>93,061,759.43</w:t>
            </w:r>
            <w:r>
              <w:rPr>
                <w:rFonts w:ascii="Times New Roman"/>
                <w:sz w:val="18"/>
              </w:rPr>
            </w:r>
          </w:p>
        </w:tc>
        <w:tc>
          <w:tcPr>
            <w:tcW w:w="966" w:type="dxa"/>
            <w:tcBorders>
              <w:top w:val="nil" w:sz="6" w:space="0" w:color="auto"/>
              <w:left w:val="nil" w:sz="6" w:space="0" w:color="auto"/>
              <w:bottom w:val="nil" w:sz="6" w:space="0" w:color="auto"/>
              <w:right w:val="nil" w:sz="6" w:space="0" w:color="auto"/>
            </w:tcBorders>
          </w:tcPr>
          <w:p>
            <w:pPr/>
          </w:p>
        </w:tc>
        <w:tc>
          <w:tcPr>
            <w:tcW w:w="2641" w:type="dxa"/>
            <w:tcBorders>
              <w:top w:val="single" w:sz="4" w:space="0" w:color="000000"/>
              <w:left w:val="nil" w:sz="6" w:space="0" w:color="auto"/>
              <w:bottom w:val="single" w:sz="12" w:space="0" w:color="000000"/>
              <w:right w:val="nil" w:sz="6" w:space="0" w:color="auto"/>
            </w:tcBorders>
          </w:tcPr>
          <w:p>
            <w:pPr>
              <w:pStyle w:val="TableParagraph"/>
              <w:tabs>
                <w:tab w:pos="1210" w:val="left" w:leader="none"/>
              </w:tabs>
              <w:spacing w:line="240" w:lineRule="auto" w:before="131"/>
              <w:ind w:right="25"/>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73,524,495.51</w:t>
            </w:r>
          </w:p>
        </w:tc>
      </w:tr>
    </w:tbl>
    <w:p>
      <w:pPr>
        <w:spacing w:line="240" w:lineRule="auto" w:before="3"/>
        <w:rPr>
          <w:rFonts w:ascii="Times New Roman" w:hAnsi="Times New Roman" w:cs="Times New Roman" w:eastAsia="Times New Roman" w:hint="default"/>
          <w:sz w:val="14"/>
          <w:szCs w:val="14"/>
        </w:rPr>
      </w:pPr>
    </w:p>
    <w:p>
      <w:pPr>
        <w:pStyle w:val="Heading4"/>
        <w:spacing w:line="240" w:lineRule="auto"/>
        <w:ind w:left="824" w:right="1410"/>
        <w:jc w:val="left"/>
        <w:rPr>
          <w:b w:val="0"/>
          <w:bCs w:val="0"/>
        </w:rPr>
      </w:pPr>
      <w:r>
        <w:rPr>
          <w:rFonts w:ascii="Times New Roman" w:hAnsi="Times New Roman" w:cs="Times New Roman" w:eastAsia="Times New Roman" w:hint="default"/>
        </w:rPr>
        <w:t>33. </w:t>
      </w:r>
      <w:r>
        <w:rPr>
          <w:rFonts w:ascii="Times New Roman" w:hAnsi="Times New Roman" w:cs="Times New Roman" w:eastAsia="Times New Roman" w:hint="default"/>
          <w:spacing w:val="5"/>
        </w:rPr>
        <w:t> </w:t>
      </w:r>
      <w:r>
        <w:rPr>
          <w:spacing w:val="9"/>
        </w:rPr>
        <w:t>母公司会计报表主要项目注释</w:t>
      </w:r>
      <w:r>
        <w:rPr>
          <w:b w:val="0"/>
          <w:bCs w:val="0"/>
        </w:rPr>
      </w:r>
    </w:p>
    <w:p>
      <w:pPr>
        <w:spacing w:line="240" w:lineRule="auto" w:before="6"/>
        <w:rPr>
          <w:rFonts w:ascii="宋体" w:hAnsi="宋体" w:cs="宋体" w:eastAsia="宋体" w:hint="default"/>
          <w:b/>
          <w:bCs/>
          <w:sz w:val="17"/>
          <w:szCs w:val="17"/>
        </w:rPr>
      </w:pPr>
    </w:p>
    <w:p>
      <w:pPr>
        <w:pStyle w:val="BodyText"/>
        <w:spacing w:line="240" w:lineRule="auto"/>
        <w:ind w:left="824" w:right="141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应收账款</w:t>
      </w:r>
      <w:r>
        <w:rPr/>
      </w:r>
    </w:p>
    <w:p>
      <w:pPr>
        <w:spacing w:line="240" w:lineRule="auto" w:before="5"/>
        <w:rPr>
          <w:rFonts w:ascii="宋体" w:hAnsi="宋体" w:cs="宋体" w:eastAsia="宋体" w:hint="default"/>
          <w:sz w:val="17"/>
          <w:szCs w:val="17"/>
        </w:rPr>
      </w:pPr>
    </w:p>
    <w:p>
      <w:pPr>
        <w:pStyle w:val="BodyText"/>
        <w:spacing w:line="240" w:lineRule="auto"/>
        <w:ind w:left="824" w:right="1410"/>
        <w:jc w:val="left"/>
      </w:pPr>
      <w:r>
        <w:rPr/>
        <w:pict>
          <v:group style="position:absolute;margin-left:139.919998pt;margin-top:45.6959pt;width:198pt;height:.1pt;mso-position-horizontal-relative:page;mso-position-vertical-relative:paragraph;z-index:-507832" coordorigin="2798,914" coordsize="3960,2">
            <v:shape style="position:absolute;left:2798;top:914;width:3960;height:2" coordorigin="2798,914" coordsize="3960,0" path="m2798,914l6758,914e" filled="false" stroked="true" strokeweight=".72pt" strokecolor="#000000">
              <v:path arrowok="t"/>
            </v:shape>
            <w10:wrap type="none"/>
          </v:group>
        </w:pict>
      </w:r>
      <w:r>
        <w:rPr/>
        <w:pict>
          <v:group style="position:absolute;margin-left:344.040009pt;margin-top:45.6959pt;width:193.15pt;height:.1pt;mso-position-horizontal-relative:page;mso-position-vertical-relative:paragraph;z-index:-507808" coordorigin="6881,914" coordsize="3863,2">
            <v:shape style="position:absolute;left:6881;top:914;width:3863;height:2" coordorigin="6881,914" coordsize="3863,0" path="m6881,914l10744,914e" filled="false" stroked="true" strokeweight=".72pt" strokecolor="#000000">
              <v:path arrowok="t"/>
            </v:shape>
            <w10:wrap type="none"/>
          </v:group>
        </w:pict>
      </w:r>
      <w:r>
        <w:rPr/>
        <w:t>①</w:t>
      </w:r>
      <w:r>
        <w:rPr>
          <w:spacing w:val="6"/>
        </w:rPr>
        <w:t> </w:t>
      </w:r>
      <w:r>
        <w:rPr>
          <w:spacing w:val="8"/>
        </w:rPr>
        <w:t>应收账款账龄分析列示如下：</w:t>
      </w:r>
      <w:r>
        <w:rPr/>
      </w:r>
    </w:p>
    <w:p>
      <w:pPr>
        <w:spacing w:line="240" w:lineRule="auto" w:before="9"/>
        <w:rPr>
          <w:rFonts w:ascii="宋体" w:hAnsi="宋体" w:cs="宋体" w:eastAsia="宋体" w:hint="default"/>
          <w:sz w:val="24"/>
          <w:szCs w:val="24"/>
        </w:rPr>
      </w:pPr>
    </w:p>
    <w:tbl>
      <w:tblPr>
        <w:tblW w:w="0" w:type="auto"/>
        <w:jc w:val="left"/>
        <w:tblInd w:w="313" w:type="dxa"/>
        <w:tblLayout w:type="fixed"/>
        <w:tblCellMar>
          <w:top w:w="0" w:type="dxa"/>
          <w:left w:w="0" w:type="dxa"/>
          <w:bottom w:w="0" w:type="dxa"/>
          <w:right w:w="0" w:type="dxa"/>
        </w:tblCellMar>
        <w:tblLook w:val="01E0"/>
      </w:tblPr>
      <w:tblGrid>
        <w:gridCol w:w="763"/>
        <w:gridCol w:w="902"/>
        <w:gridCol w:w="1601"/>
        <w:gridCol w:w="804"/>
        <w:gridCol w:w="119"/>
        <w:gridCol w:w="1460"/>
        <w:gridCol w:w="116"/>
        <w:gridCol w:w="1619"/>
        <w:gridCol w:w="690"/>
        <w:gridCol w:w="119"/>
        <w:gridCol w:w="1447"/>
      </w:tblGrid>
      <w:tr>
        <w:trPr>
          <w:trHeight w:val="175" w:hRule="exact"/>
        </w:trPr>
        <w:tc>
          <w:tcPr>
            <w:tcW w:w="763" w:type="dxa"/>
            <w:tcBorders>
              <w:top w:val="nil" w:sz="6" w:space="0" w:color="auto"/>
              <w:left w:val="nil" w:sz="6" w:space="0" w:color="auto"/>
              <w:bottom w:val="nil" w:sz="6" w:space="0" w:color="auto"/>
              <w:right w:val="nil" w:sz="6" w:space="0" w:color="auto"/>
            </w:tcBorders>
          </w:tcPr>
          <w:p>
            <w:pPr/>
          </w:p>
        </w:tc>
        <w:tc>
          <w:tcPr>
            <w:tcW w:w="902" w:type="dxa"/>
            <w:vMerge w:val="restart"/>
            <w:tcBorders>
              <w:top w:val="nil" w:sz="6" w:space="0" w:color="auto"/>
              <w:left w:val="nil" w:sz="6" w:space="0" w:color="auto"/>
              <w:right w:val="nil" w:sz="6" w:space="0" w:color="auto"/>
            </w:tcBorders>
          </w:tcPr>
          <w:p>
            <w:pPr>
              <w:pStyle w:val="TableParagraph"/>
              <w:spacing w:line="288" w:lineRule="auto" w:before="36"/>
              <w:ind w:left="308" w:right="134" w:hanging="114"/>
              <w:jc w:val="left"/>
              <w:rPr>
                <w:rFonts w:ascii="宋体" w:hAnsi="宋体" w:cs="宋体" w:eastAsia="宋体" w:hint="default"/>
                <w:sz w:val="15"/>
                <w:szCs w:val="15"/>
              </w:rPr>
            </w:pPr>
            <w:r>
              <w:rPr>
                <w:rFonts w:ascii="宋体" w:hAnsi="宋体" w:cs="宋体" w:eastAsia="宋体" w:hint="default"/>
                <w:spacing w:val="-36"/>
                <w:sz w:val="15"/>
                <w:szCs w:val="15"/>
              </w:rPr>
              <w:t>坏账准备计 提比例</w:t>
            </w:r>
            <w:r>
              <w:rPr>
                <w:rFonts w:ascii="宋体" w:hAnsi="宋体" w:cs="宋体" w:eastAsia="宋体" w:hint="default"/>
                <w:sz w:val="15"/>
                <w:szCs w:val="15"/>
              </w:rPr>
            </w:r>
          </w:p>
        </w:tc>
        <w:tc>
          <w:tcPr>
            <w:tcW w:w="1601"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153" w:lineRule="exact"/>
              <w:ind w:left="87" w:right="0"/>
              <w:jc w:val="left"/>
              <w:rPr>
                <w:rFonts w:ascii="Times New Roman" w:hAnsi="Times New Roman" w:cs="Times New Roman" w:eastAsia="Times New Roman" w:hint="default"/>
                <w:sz w:val="15"/>
                <w:szCs w:val="15"/>
              </w:rPr>
            </w:pPr>
            <w:r>
              <w:rPr>
                <w:rFonts w:ascii="Times New Roman"/>
                <w:spacing w:val="-9"/>
                <w:sz w:val="15"/>
              </w:rPr>
              <w:t>2007.12.31</w:t>
            </w:r>
            <w:r>
              <w:rPr>
                <w:rFonts w:ascii="Times New Roman"/>
                <w:sz w:val="15"/>
              </w:rPr>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153" w:lineRule="exact"/>
              <w:ind w:left="4" w:right="0"/>
              <w:jc w:val="left"/>
              <w:rPr>
                <w:rFonts w:ascii="Times New Roman" w:hAnsi="Times New Roman" w:cs="Times New Roman" w:eastAsia="Times New Roman" w:hint="default"/>
                <w:sz w:val="15"/>
                <w:szCs w:val="15"/>
              </w:rPr>
            </w:pPr>
            <w:r>
              <w:rPr>
                <w:rFonts w:ascii="Times New Roman"/>
                <w:spacing w:val="-9"/>
                <w:sz w:val="15"/>
              </w:rPr>
              <w:t>2006.12.31</w:t>
            </w:r>
            <w:r>
              <w:rPr>
                <w:rFonts w:ascii="Times New Roman"/>
                <w:sz w:val="15"/>
              </w:rPr>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03"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175" w:lineRule="exact"/>
              <w:ind w:right="226"/>
              <w:jc w:val="right"/>
              <w:rPr>
                <w:rFonts w:ascii="宋体" w:hAnsi="宋体" w:cs="宋体" w:eastAsia="宋体" w:hint="default"/>
                <w:sz w:val="15"/>
                <w:szCs w:val="15"/>
              </w:rPr>
            </w:pPr>
            <w:r>
              <w:rPr>
                <w:rFonts w:ascii="宋体" w:hAnsi="宋体" w:cs="宋体" w:eastAsia="宋体" w:hint="default"/>
                <w:spacing w:val="-17"/>
                <w:w w:val="95"/>
                <w:sz w:val="15"/>
                <w:szCs w:val="15"/>
              </w:rPr>
              <w:t>账龄</w:t>
            </w:r>
            <w:r>
              <w:rPr>
                <w:rFonts w:ascii="宋体" w:hAnsi="宋体" w:cs="宋体" w:eastAsia="宋体" w:hint="default"/>
                <w:w w:val="95"/>
                <w:sz w:val="15"/>
                <w:szCs w:val="15"/>
              </w:rPr>
            </w:r>
          </w:p>
        </w:tc>
        <w:tc>
          <w:tcPr>
            <w:tcW w:w="902" w:type="dxa"/>
            <w:vMerge/>
            <w:tcBorders>
              <w:left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08" w:hRule="exact"/>
        </w:trPr>
        <w:tc>
          <w:tcPr>
            <w:tcW w:w="763" w:type="dxa"/>
            <w:tcBorders>
              <w:top w:val="nil" w:sz="6" w:space="0" w:color="auto"/>
              <w:left w:val="nil" w:sz="6" w:space="0" w:color="auto"/>
              <w:bottom w:val="single" w:sz="4" w:space="0" w:color="000000"/>
              <w:right w:val="nil" w:sz="6" w:space="0" w:color="auto"/>
            </w:tcBorders>
          </w:tcPr>
          <w:p>
            <w:pPr/>
          </w:p>
        </w:tc>
        <w:tc>
          <w:tcPr>
            <w:tcW w:w="902" w:type="dxa"/>
            <w:vMerge/>
            <w:tcBorders>
              <w:left w:val="nil" w:sz="6" w:space="0" w:color="auto"/>
              <w:bottom w:val="single" w:sz="8" w:space="0" w:color="000000"/>
              <w:right w:val="nil" w:sz="6" w:space="0" w:color="auto"/>
            </w:tcBorders>
          </w:tcPr>
          <w:p>
            <w:pPr/>
          </w:p>
        </w:tc>
        <w:tc>
          <w:tcPr>
            <w:tcW w:w="1601" w:type="dxa"/>
            <w:tcBorders>
              <w:top w:val="nil" w:sz="6" w:space="0" w:color="auto"/>
              <w:left w:val="nil" w:sz="6" w:space="0" w:color="auto"/>
              <w:bottom w:val="single" w:sz="6" w:space="0" w:color="000000"/>
              <w:right w:val="nil" w:sz="6" w:space="0" w:color="auto"/>
            </w:tcBorders>
          </w:tcPr>
          <w:p>
            <w:pPr>
              <w:pStyle w:val="TableParagraph"/>
              <w:spacing w:line="178" w:lineRule="exact"/>
              <w:ind w:right="53"/>
              <w:jc w:val="center"/>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27"/>
                <w:sz w:val="15"/>
                <w:szCs w:val="15"/>
              </w:rPr>
              <w:t> </w:t>
            </w:r>
            <w:r>
              <w:rPr>
                <w:rFonts w:ascii="宋体" w:hAnsi="宋体" w:cs="宋体" w:eastAsia="宋体" w:hint="default"/>
                <w:sz w:val="15"/>
                <w:szCs w:val="15"/>
              </w:rPr>
              <w:t>额</w:t>
            </w:r>
          </w:p>
        </w:tc>
        <w:tc>
          <w:tcPr>
            <w:tcW w:w="804" w:type="dxa"/>
            <w:tcBorders>
              <w:top w:val="nil" w:sz="6" w:space="0" w:color="auto"/>
              <w:left w:val="nil" w:sz="6" w:space="0" w:color="auto"/>
              <w:bottom w:val="single" w:sz="6" w:space="0" w:color="000000"/>
              <w:right w:val="nil" w:sz="6" w:space="0" w:color="auto"/>
            </w:tcBorders>
          </w:tcPr>
          <w:p>
            <w:pPr>
              <w:pStyle w:val="TableParagraph"/>
              <w:spacing w:line="178" w:lineRule="exact"/>
              <w:ind w:left="274" w:right="0"/>
              <w:jc w:val="left"/>
              <w:rPr>
                <w:rFonts w:ascii="宋体" w:hAnsi="宋体" w:cs="宋体" w:eastAsia="宋体" w:hint="default"/>
                <w:sz w:val="15"/>
                <w:szCs w:val="15"/>
              </w:rPr>
            </w:pPr>
            <w:r>
              <w:rPr>
                <w:rFonts w:ascii="宋体" w:hAnsi="宋体" w:cs="宋体" w:eastAsia="宋体" w:hint="default"/>
                <w:spacing w:val="-17"/>
                <w:sz w:val="15"/>
                <w:szCs w:val="15"/>
              </w:rPr>
              <w:t>比例</w:t>
            </w:r>
            <w:r>
              <w:rPr>
                <w:rFonts w:ascii="宋体" w:hAnsi="宋体" w:cs="宋体" w:eastAsia="宋体" w:hint="default"/>
                <w:sz w:val="15"/>
                <w:szCs w:val="15"/>
              </w:rPr>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178" w:lineRule="exact"/>
              <w:ind w:left="466" w:right="0"/>
              <w:jc w:val="left"/>
              <w:rPr>
                <w:rFonts w:ascii="宋体" w:hAnsi="宋体" w:cs="宋体" w:eastAsia="宋体" w:hint="default"/>
                <w:sz w:val="15"/>
                <w:szCs w:val="15"/>
              </w:rPr>
            </w:pPr>
            <w:r>
              <w:rPr>
                <w:rFonts w:ascii="宋体" w:hAnsi="宋体" w:cs="宋体" w:eastAsia="宋体" w:hint="default"/>
                <w:spacing w:val="-17"/>
                <w:sz w:val="15"/>
                <w:szCs w:val="15"/>
              </w:rPr>
              <w:t>坏账准备</w:t>
            </w:r>
            <w:r>
              <w:rPr>
                <w:rFonts w:ascii="宋体" w:hAnsi="宋体" w:cs="宋体" w:eastAsia="宋体" w:hint="default"/>
                <w:sz w:val="15"/>
                <w:szCs w:val="15"/>
              </w:rPr>
            </w: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6" w:space="0" w:color="000000"/>
              <w:right w:val="nil" w:sz="6" w:space="0" w:color="auto"/>
            </w:tcBorders>
          </w:tcPr>
          <w:p>
            <w:pPr>
              <w:pStyle w:val="TableParagraph"/>
              <w:spacing w:line="178" w:lineRule="exact"/>
              <w:ind w:right="113"/>
              <w:jc w:val="center"/>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27"/>
                <w:sz w:val="15"/>
                <w:szCs w:val="15"/>
              </w:rPr>
              <w:t> </w:t>
            </w:r>
            <w:r>
              <w:rPr>
                <w:rFonts w:ascii="宋体" w:hAnsi="宋体" w:cs="宋体" w:eastAsia="宋体" w:hint="default"/>
                <w:sz w:val="15"/>
                <w:szCs w:val="15"/>
              </w:rPr>
              <w:t>额</w:t>
            </w:r>
          </w:p>
        </w:tc>
        <w:tc>
          <w:tcPr>
            <w:tcW w:w="690" w:type="dxa"/>
            <w:tcBorders>
              <w:top w:val="nil" w:sz="6" w:space="0" w:color="auto"/>
              <w:left w:val="nil" w:sz="6" w:space="0" w:color="auto"/>
              <w:bottom w:val="single" w:sz="4" w:space="0" w:color="000000"/>
              <w:right w:val="nil" w:sz="6" w:space="0" w:color="auto"/>
            </w:tcBorders>
          </w:tcPr>
          <w:p>
            <w:pPr>
              <w:pStyle w:val="TableParagraph"/>
              <w:spacing w:line="178" w:lineRule="exact"/>
              <w:ind w:left="172" w:right="0"/>
              <w:jc w:val="left"/>
              <w:rPr>
                <w:rFonts w:ascii="宋体" w:hAnsi="宋体" w:cs="宋体" w:eastAsia="宋体" w:hint="default"/>
                <w:sz w:val="15"/>
                <w:szCs w:val="15"/>
              </w:rPr>
            </w:pPr>
            <w:r>
              <w:rPr>
                <w:rFonts w:ascii="宋体" w:hAnsi="宋体" w:cs="宋体" w:eastAsia="宋体" w:hint="default"/>
                <w:spacing w:val="-17"/>
                <w:sz w:val="15"/>
                <w:szCs w:val="15"/>
              </w:rPr>
              <w:t>比例</w:t>
            </w:r>
            <w:r>
              <w:rPr>
                <w:rFonts w:ascii="宋体" w:hAnsi="宋体" w:cs="宋体" w:eastAsia="宋体" w:hint="default"/>
                <w:sz w:val="15"/>
                <w:szCs w:val="15"/>
              </w:rPr>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178" w:lineRule="exact"/>
              <w:ind w:left="460" w:right="0"/>
              <w:jc w:val="left"/>
              <w:rPr>
                <w:rFonts w:ascii="宋体" w:hAnsi="宋体" w:cs="宋体" w:eastAsia="宋体" w:hint="default"/>
                <w:sz w:val="15"/>
                <w:szCs w:val="15"/>
              </w:rPr>
            </w:pPr>
            <w:r>
              <w:rPr>
                <w:rFonts w:ascii="宋体" w:hAnsi="宋体" w:cs="宋体" w:eastAsia="宋体" w:hint="default"/>
                <w:spacing w:val="-17"/>
                <w:sz w:val="15"/>
                <w:szCs w:val="15"/>
              </w:rPr>
              <w:t>坏账准备</w:t>
            </w:r>
            <w:r>
              <w:rPr>
                <w:rFonts w:ascii="宋体" w:hAnsi="宋体" w:cs="宋体" w:eastAsia="宋体" w:hint="default"/>
                <w:sz w:val="15"/>
                <w:szCs w:val="15"/>
              </w:rPr>
            </w:r>
          </w:p>
        </w:tc>
      </w:tr>
      <w:tr>
        <w:trPr>
          <w:trHeight w:val="415" w:hRule="exact"/>
        </w:trPr>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194"/>
              <w:jc w:val="right"/>
              <w:rPr>
                <w:rFonts w:ascii="宋体" w:hAnsi="宋体" w:cs="宋体" w:eastAsia="宋体" w:hint="default"/>
                <w:sz w:val="15"/>
                <w:szCs w:val="15"/>
              </w:rPr>
            </w:pPr>
            <w:r>
              <w:rPr>
                <w:rFonts w:ascii="宋体" w:hAnsi="宋体" w:cs="宋体" w:eastAsia="宋体" w:hint="default"/>
                <w:spacing w:val="-9"/>
                <w:sz w:val="15"/>
                <w:szCs w:val="15"/>
              </w:rPr>
              <w:t>一年以内</w:t>
            </w:r>
            <w:r>
              <w:rPr>
                <w:rFonts w:ascii="宋体" w:hAnsi="宋体" w:cs="宋体" w:eastAsia="宋体" w:hint="default"/>
                <w:sz w:val="15"/>
                <w:szCs w:val="15"/>
              </w:rPr>
            </w:r>
          </w:p>
        </w:tc>
        <w:tc>
          <w:tcPr>
            <w:tcW w:w="902"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left="58" w:right="0"/>
              <w:jc w:val="center"/>
              <w:rPr>
                <w:rFonts w:ascii="Times New Roman" w:hAnsi="Times New Roman" w:cs="Times New Roman" w:eastAsia="Times New Roman" w:hint="default"/>
                <w:sz w:val="15"/>
                <w:szCs w:val="15"/>
              </w:rPr>
            </w:pPr>
            <w:r>
              <w:rPr>
                <w:rFonts w:ascii="Times New Roman"/>
                <w:spacing w:val="-4"/>
                <w:sz w:val="15"/>
              </w:rPr>
              <w:t>5%</w:t>
            </w:r>
            <w:r>
              <w:rPr>
                <w:rFonts w:ascii="Times New Roman"/>
                <w:sz w:val="15"/>
              </w:rPr>
            </w:r>
          </w:p>
        </w:tc>
        <w:tc>
          <w:tcPr>
            <w:tcW w:w="1601" w:type="dxa"/>
            <w:tcBorders>
              <w:top w:val="single" w:sz="6" w:space="0" w:color="000000"/>
              <w:left w:val="nil" w:sz="6" w:space="0" w:color="auto"/>
              <w:bottom w:val="nil" w:sz="6" w:space="0" w:color="auto"/>
              <w:right w:val="nil" w:sz="6" w:space="0" w:color="auto"/>
            </w:tcBorders>
          </w:tcPr>
          <w:p>
            <w:pPr>
              <w:pStyle w:val="TableParagraph"/>
              <w:spacing w:line="240" w:lineRule="auto" w:before="114"/>
              <w:ind w:right="93"/>
              <w:jc w:val="right"/>
              <w:rPr>
                <w:rFonts w:ascii="Times New Roman" w:hAnsi="Times New Roman" w:cs="Times New Roman" w:eastAsia="Times New Roman" w:hint="default"/>
                <w:sz w:val="15"/>
                <w:szCs w:val="15"/>
              </w:rPr>
            </w:pPr>
            <w:r>
              <w:rPr>
                <w:rFonts w:ascii="Times New Roman"/>
                <w:spacing w:val="-1"/>
                <w:sz w:val="15"/>
              </w:rPr>
              <w:t>RMB179,529,764.19</w:t>
            </w:r>
          </w:p>
        </w:tc>
        <w:tc>
          <w:tcPr>
            <w:tcW w:w="804"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8"/>
              <w:jc w:val="right"/>
              <w:rPr>
                <w:rFonts w:ascii="Times New Roman" w:hAnsi="Times New Roman" w:cs="Times New Roman" w:eastAsia="Times New Roman" w:hint="default"/>
                <w:sz w:val="15"/>
                <w:szCs w:val="15"/>
              </w:rPr>
            </w:pPr>
            <w:r>
              <w:rPr>
                <w:rFonts w:ascii="Times New Roman"/>
                <w:spacing w:val="-1"/>
                <w:sz w:val="15"/>
              </w:rPr>
              <w:t>82.96%</w:t>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4"/>
              <w:jc w:val="right"/>
              <w:rPr>
                <w:rFonts w:ascii="Times New Roman" w:hAnsi="Times New Roman" w:cs="Times New Roman" w:eastAsia="Times New Roman" w:hint="default"/>
                <w:sz w:val="15"/>
                <w:szCs w:val="15"/>
              </w:rPr>
            </w:pPr>
            <w:r>
              <w:rPr>
                <w:rFonts w:ascii="Times New Roman"/>
                <w:sz w:val="15"/>
              </w:rPr>
              <w:t>RMB</w:t>
            </w:r>
            <w:r>
              <w:rPr>
                <w:rFonts w:ascii="Times New Roman"/>
                <w:spacing w:val="-8"/>
                <w:sz w:val="15"/>
              </w:rPr>
              <w:t> </w:t>
            </w:r>
            <w:r>
              <w:rPr>
                <w:rFonts w:ascii="Times New Roman"/>
                <w:sz w:val="15"/>
              </w:rPr>
              <w:t>8,976,488.21</w:t>
            </w: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154"/>
              <w:jc w:val="right"/>
              <w:rPr>
                <w:rFonts w:ascii="Times New Roman" w:hAnsi="Times New Roman" w:cs="Times New Roman" w:eastAsia="Times New Roman" w:hint="default"/>
                <w:sz w:val="15"/>
                <w:szCs w:val="15"/>
              </w:rPr>
            </w:pPr>
            <w:r>
              <w:rPr>
                <w:rFonts w:ascii="Times New Roman"/>
                <w:sz w:val="15"/>
              </w:rPr>
              <w:t>RMB</w:t>
            </w:r>
            <w:r>
              <w:rPr>
                <w:rFonts w:ascii="Times New Roman"/>
                <w:spacing w:val="28"/>
                <w:sz w:val="15"/>
              </w:rPr>
              <w:t> </w:t>
            </w:r>
            <w:r>
              <w:rPr>
                <w:rFonts w:ascii="Times New Roman"/>
                <w:sz w:val="15"/>
              </w:rPr>
              <w:t>84,172,253.25</w:t>
            </w:r>
          </w:p>
        </w:tc>
        <w:tc>
          <w:tcPr>
            <w:tcW w:w="690"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0"/>
              <w:jc w:val="right"/>
              <w:rPr>
                <w:rFonts w:ascii="Times New Roman" w:hAnsi="Times New Roman" w:cs="Times New Roman" w:eastAsia="Times New Roman" w:hint="default"/>
                <w:sz w:val="15"/>
                <w:szCs w:val="15"/>
              </w:rPr>
            </w:pPr>
            <w:r>
              <w:rPr>
                <w:rFonts w:ascii="Times New Roman"/>
                <w:spacing w:val="-1"/>
                <w:sz w:val="15"/>
              </w:rPr>
              <w:t>79.76%</w:t>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5"/>
              <w:jc w:val="right"/>
              <w:rPr>
                <w:rFonts w:ascii="Times New Roman" w:hAnsi="Times New Roman" w:cs="Times New Roman" w:eastAsia="Times New Roman" w:hint="default"/>
                <w:sz w:val="15"/>
                <w:szCs w:val="15"/>
              </w:rPr>
            </w:pPr>
            <w:r>
              <w:rPr>
                <w:rFonts w:ascii="Times New Roman"/>
                <w:sz w:val="15"/>
              </w:rPr>
              <w:t>RMB</w:t>
            </w:r>
            <w:r>
              <w:rPr>
                <w:rFonts w:ascii="Times New Roman"/>
                <w:spacing w:val="-8"/>
                <w:sz w:val="15"/>
              </w:rPr>
              <w:t> </w:t>
            </w:r>
            <w:r>
              <w:rPr>
                <w:rFonts w:ascii="Times New Roman"/>
                <w:sz w:val="15"/>
              </w:rPr>
              <w:t>4,208,612.66</w:t>
            </w:r>
          </w:p>
        </w:tc>
      </w:tr>
      <w:tr>
        <w:trPr>
          <w:trHeight w:val="397"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4"/>
              <w:jc w:val="right"/>
              <w:rPr>
                <w:rFonts w:ascii="宋体" w:hAnsi="宋体" w:cs="宋体" w:eastAsia="宋体" w:hint="default"/>
                <w:sz w:val="15"/>
                <w:szCs w:val="15"/>
              </w:rPr>
            </w:pPr>
            <w:r>
              <w:rPr>
                <w:rFonts w:ascii="宋体" w:hAnsi="宋体" w:cs="宋体" w:eastAsia="宋体" w:hint="default"/>
                <w:spacing w:val="-9"/>
                <w:sz w:val="15"/>
                <w:szCs w:val="15"/>
              </w:rPr>
              <w:t>一至二年</w:t>
            </w:r>
            <w:r>
              <w:rPr>
                <w:rFonts w:ascii="宋体" w:hAnsi="宋体" w:cs="宋体" w:eastAsia="宋体" w:hint="default"/>
                <w:sz w:val="15"/>
                <w:szCs w:val="15"/>
              </w:rPr>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0" w:right="0"/>
              <w:jc w:val="center"/>
              <w:rPr>
                <w:rFonts w:ascii="Times New Roman" w:hAnsi="Times New Roman" w:cs="Times New Roman" w:eastAsia="Times New Roman" w:hint="default"/>
                <w:sz w:val="15"/>
                <w:szCs w:val="15"/>
              </w:rPr>
            </w:pPr>
            <w:r>
              <w:rPr>
                <w:rFonts w:ascii="Times New Roman"/>
                <w:spacing w:val="-3"/>
                <w:sz w:val="15"/>
              </w:rPr>
              <w:t>10%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4"/>
              <w:jc w:val="right"/>
              <w:rPr>
                <w:rFonts w:ascii="Times New Roman" w:hAnsi="Times New Roman" w:cs="Times New Roman" w:eastAsia="Times New Roman" w:hint="default"/>
                <w:sz w:val="15"/>
                <w:szCs w:val="15"/>
              </w:rPr>
            </w:pPr>
            <w:r>
              <w:rPr>
                <w:rFonts w:ascii="Times New Roman"/>
                <w:spacing w:val="-1"/>
                <w:sz w:val="15"/>
              </w:rPr>
              <w:t>28,009,219.27</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
              <w:jc w:val="right"/>
              <w:rPr>
                <w:rFonts w:ascii="Times New Roman" w:hAnsi="Times New Roman" w:cs="Times New Roman" w:eastAsia="Times New Roman" w:hint="default"/>
                <w:sz w:val="15"/>
                <w:szCs w:val="15"/>
              </w:rPr>
            </w:pPr>
            <w:r>
              <w:rPr>
                <w:rFonts w:ascii="Times New Roman"/>
                <w:spacing w:val="-1"/>
                <w:sz w:val="15"/>
              </w:rPr>
              <w:t>12.94%</w:t>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5"/>
                <w:szCs w:val="15"/>
              </w:rPr>
            </w:pPr>
            <w:r>
              <w:rPr>
                <w:rFonts w:ascii="Times New Roman"/>
                <w:spacing w:val="-1"/>
                <w:sz w:val="15"/>
              </w:rPr>
              <w:t>2,800,921.93</w:t>
            </w: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7"/>
              <w:jc w:val="right"/>
              <w:rPr>
                <w:rFonts w:ascii="Times New Roman" w:hAnsi="Times New Roman" w:cs="Times New Roman" w:eastAsia="Times New Roman" w:hint="default"/>
                <w:sz w:val="15"/>
                <w:szCs w:val="15"/>
              </w:rPr>
            </w:pPr>
            <w:r>
              <w:rPr>
                <w:rFonts w:ascii="Times New Roman"/>
                <w:spacing w:val="-1"/>
                <w:sz w:val="15"/>
              </w:rPr>
              <w:t>13,842,843.60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5"/>
                <w:szCs w:val="15"/>
              </w:rPr>
            </w:pPr>
            <w:r>
              <w:rPr>
                <w:rFonts w:ascii="Times New Roman"/>
                <w:spacing w:val="-1"/>
                <w:sz w:val="15"/>
              </w:rPr>
              <w:t>13.12%</w:t>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5"/>
                <w:szCs w:val="15"/>
              </w:rPr>
            </w:pPr>
            <w:r>
              <w:rPr>
                <w:rFonts w:ascii="Times New Roman"/>
                <w:spacing w:val="-1"/>
                <w:sz w:val="15"/>
              </w:rPr>
              <w:t>1,384,284.36</w:t>
            </w:r>
          </w:p>
        </w:tc>
      </w:tr>
      <w:tr>
        <w:trPr>
          <w:trHeight w:val="397"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4"/>
              <w:jc w:val="right"/>
              <w:rPr>
                <w:rFonts w:ascii="宋体" w:hAnsi="宋体" w:cs="宋体" w:eastAsia="宋体" w:hint="default"/>
                <w:sz w:val="15"/>
                <w:szCs w:val="15"/>
              </w:rPr>
            </w:pPr>
            <w:r>
              <w:rPr>
                <w:rFonts w:ascii="宋体" w:hAnsi="宋体" w:cs="宋体" w:eastAsia="宋体" w:hint="default"/>
                <w:spacing w:val="-17"/>
                <w:sz w:val="15"/>
                <w:szCs w:val="15"/>
              </w:rPr>
              <w:t>二至三年</w:t>
            </w:r>
            <w:r>
              <w:rPr>
                <w:rFonts w:ascii="宋体" w:hAnsi="宋体" w:cs="宋体" w:eastAsia="宋体" w:hint="default"/>
                <w:sz w:val="15"/>
                <w:szCs w:val="15"/>
              </w:rPr>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8" w:right="0"/>
              <w:jc w:val="center"/>
              <w:rPr>
                <w:rFonts w:ascii="Times New Roman" w:hAnsi="Times New Roman" w:cs="Times New Roman" w:eastAsia="Times New Roman" w:hint="default"/>
                <w:sz w:val="15"/>
                <w:szCs w:val="15"/>
              </w:rPr>
            </w:pPr>
            <w:r>
              <w:rPr>
                <w:rFonts w:ascii="Times New Roman"/>
                <w:spacing w:val="-9"/>
                <w:sz w:val="15"/>
              </w:rPr>
              <w:t>20%</w:t>
            </w:r>
            <w:r>
              <w:rPr>
                <w:rFonts w:ascii="Times New Roman"/>
                <w:sz w:val="15"/>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5"/>
              <w:jc w:val="right"/>
              <w:rPr>
                <w:rFonts w:ascii="Times New Roman" w:hAnsi="Times New Roman" w:cs="Times New Roman" w:eastAsia="Times New Roman" w:hint="default"/>
                <w:sz w:val="15"/>
                <w:szCs w:val="15"/>
              </w:rPr>
            </w:pPr>
            <w:r>
              <w:rPr>
                <w:rFonts w:ascii="Times New Roman"/>
                <w:spacing w:val="-1"/>
                <w:sz w:val="15"/>
              </w:rPr>
              <w:t>2,982,859.24</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
              <w:jc w:val="right"/>
              <w:rPr>
                <w:rFonts w:ascii="Times New Roman" w:hAnsi="Times New Roman" w:cs="Times New Roman" w:eastAsia="Times New Roman" w:hint="default"/>
                <w:sz w:val="15"/>
                <w:szCs w:val="15"/>
              </w:rPr>
            </w:pPr>
            <w:r>
              <w:rPr>
                <w:rFonts w:ascii="Times New Roman"/>
                <w:spacing w:val="-1"/>
                <w:sz w:val="15"/>
              </w:rPr>
              <w:t>1.38%</w:t>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5"/>
                <w:szCs w:val="15"/>
              </w:rPr>
            </w:pPr>
            <w:r>
              <w:rPr>
                <w:rFonts w:ascii="Times New Roman"/>
                <w:spacing w:val="-1"/>
                <w:sz w:val="15"/>
              </w:rPr>
              <w:t>596,571.85</w:t>
            </w: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7"/>
              <w:jc w:val="right"/>
              <w:rPr>
                <w:rFonts w:ascii="Times New Roman" w:hAnsi="Times New Roman" w:cs="Times New Roman" w:eastAsia="Times New Roman" w:hint="default"/>
                <w:sz w:val="15"/>
                <w:szCs w:val="15"/>
              </w:rPr>
            </w:pPr>
            <w:r>
              <w:rPr>
                <w:rFonts w:ascii="Times New Roman"/>
                <w:spacing w:val="-1"/>
                <w:sz w:val="15"/>
              </w:rPr>
              <w:t>3,286,903.00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5"/>
                <w:szCs w:val="15"/>
              </w:rPr>
            </w:pPr>
            <w:r>
              <w:rPr>
                <w:rFonts w:ascii="Times New Roman"/>
                <w:spacing w:val="-2"/>
                <w:sz w:val="15"/>
              </w:rPr>
              <w:t>3.11%</w:t>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5"/>
                <w:szCs w:val="15"/>
              </w:rPr>
            </w:pPr>
            <w:r>
              <w:rPr>
                <w:rFonts w:ascii="Times New Roman"/>
                <w:spacing w:val="-1"/>
                <w:sz w:val="15"/>
              </w:rPr>
              <w:t>657,380.60</w:t>
            </w:r>
          </w:p>
        </w:tc>
      </w:tr>
      <w:tr>
        <w:trPr>
          <w:trHeight w:val="398"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4"/>
              <w:jc w:val="right"/>
              <w:rPr>
                <w:rFonts w:ascii="宋体" w:hAnsi="宋体" w:cs="宋体" w:eastAsia="宋体" w:hint="default"/>
                <w:sz w:val="15"/>
                <w:szCs w:val="15"/>
              </w:rPr>
            </w:pPr>
            <w:r>
              <w:rPr>
                <w:rFonts w:ascii="宋体" w:hAnsi="宋体" w:cs="宋体" w:eastAsia="宋体" w:hint="default"/>
                <w:spacing w:val="-17"/>
                <w:sz w:val="15"/>
                <w:szCs w:val="15"/>
              </w:rPr>
              <w:t>三年以上</w:t>
            </w:r>
            <w:r>
              <w:rPr>
                <w:rFonts w:ascii="宋体" w:hAnsi="宋体" w:cs="宋体" w:eastAsia="宋体" w:hint="default"/>
                <w:sz w:val="15"/>
                <w:szCs w:val="15"/>
              </w:rPr>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8" w:right="0"/>
              <w:jc w:val="center"/>
              <w:rPr>
                <w:rFonts w:ascii="Times New Roman" w:hAnsi="Times New Roman" w:cs="Times New Roman" w:eastAsia="Times New Roman" w:hint="default"/>
                <w:sz w:val="15"/>
                <w:szCs w:val="15"/>
              </w:rPr>
            </w:pPr>
            <w:r>
              <w:rPr>
                <w:rFonts w:ascii="Times New Roman"/>
                <w:spacing w:val="-9"/>
                <w:sz w:val="15"/>
              </w:rPr>
              <w:t>30%</w:t>
            </w:r>
            <w:r>
              <w:rPr>
                <w:rFonts w:ascii="Times New Roman"/>
                <w:sz w:val="15"/>
              </w:rPr>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75"/>
              <w:jc w:val="right"/>
              <w:rPr>
                <w:rFonts w:ascii="Times New Roman" w:hAnsi="Times New Roman" w:cs="Times New Roman" w:eastAsia="Times New Roman" w:hint="default"/>
                <w:sz w:val="15"/>
                <w:szCs w:val="15"/>
              </w:rPr>
            </w:pPr>
            <w:r>
              <w:rPr>
                <w:rFonts w:ascii="Times New Roman"/>
                <w:spacing w:val="-1"/>
                <w:sz w:val="15"/>
              </w:rPr>
              <w:t>5,879,021.80</w:t>
            </w:r>
          </w:p>
        </w:tc>
        <w:tc>
          <w:tcPr>
            <w:tcW w:w="804"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8"/>
              <w:jc w:val="right"/>
              <w:rPr>
                <w:rFonts w:ascii="Times New Roman" w:hAnsi="Times New Roman" w:cs="Times New Roman" w:eastAsia="Times New Roman" w:hint="default"/>
                <w:sz w:val="15"/>
                <w:szCs w:val="15"/>
              </w:rPr>
            </w:pPr>
            <w:r>
              <w:rPr>
                <w:rFonts w:ascii="Times New Roman"/>
                <w:spacing w:val="-1"/>
                <w:sz w:val="15"/>
              </w:rPr>
              <w:t>2.72%</w:t>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5"/>
                <w:szCs w:val="15"/>
              </w:rPr>
            </w:pPr>
            <w:r>
              <w:rPr>
                <w:rFonts w:ascii="Times New Roman"/>
                <w:spacing w:val="-1"/>
                <w:sz w:val="15"/>
              </w:rPr>
              <w:t>1,763,706.53</w:t>
            </w: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37"/>
              <w:jc w:val="right"/>
              <w:rPr>
                <w:rFonts w:ascii="Times New Roman" w:hAnsi="Times New Roman" w:cs="Times New Roman" w:eastAsia="Times New Roman" w:hint="default"/>
                <w:sz w:val="15"/>
                <w:szCs w:val="15"/>
              </w:rPr>
            </w:pPr>
            <w:r>
              <w:rPr>
                <w:rFonts w:ascii="Times New Roman"/>
                <w:spacing w:val="-1"/>
                <w:sz w:val="15"/>
              </w:rPr>
              <w:t>4,228,238.80</w:t>
            </w:r>
          </w:p>
        </w:tc>
        <w:tc>
          <w:tcPr>
            <w:tcW w:w="690"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9"/>
              <w:jc w:val="right"/>
              <w:rPr>
                <w:rFonts w:ascii="Times New Roman" w:hAnsi="Times New Roman" w:cs="Times New Roman" w:eastAsia="Times New Roman" w:hint="default"/>
                <w:sz w:val="15"/>
                <w:szCs w:val="15"/>
              </w:rPr>
            </w:pPr>
            <w:r>
              <w:rPr>
                <w:rFonts w:ascii="Times New Roman"/>
                <w:spacing w:val="-1"/>
                <w:sz w:val="15"/>
              </w:rPr>
              <w:t>4.01%</w:t>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5"/>
                <w:szCs w:val="15"/>
              </w:rPr>
            </w:pPr>
            <w:r>
              <w:rPr>
                <w:rFonts w:ascii="Times New Roman"/>
                <w:spacing w:val="-1"/>
                <w:sz w:val="15"/>
              </w:rPr>
              <w:t>1,268,471.64</w:t>
            </w:r>
          </w:p>
        </w:tc>
      </w:tr>
      <w:tr>
        <w:trPr>
          <w:trHeight w:val="426" w:hRule="exact"/>
        </w:trPr>
        <w:tc>
          <w:tcPr>
            <w:tcW w:w="763"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93"/>
              <w:jc w:val="right"/>
              <w:rPr>
                <w:rFonts w:ascii="Times New Roman" w:hAnsi="Times New Roman" w:cs="Times New Roman" w:eastAsia="Times New Roman" w:hint="default"/>
                <w:sz w:val="15"/>
                <w:szCs w:val="15"/>
              </w:rPr>
            </w:pPr>
            <w:r>
              <w:rPr>
                <w:rFonts w:ascii="Times New Roman"/>
                <w:spacing w:val="-1"/>
                <w:sz w:val="15"/>
              </w:rPr>
              <w:t>RMB216,400,864.50</w:t>
            </w:r>
          </w:p>
        </w:tc>
        <w:tc>
          <w:tcPr>
            <w:tcW w:w="804"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5"/>
                <w:szCs w:val="15"/>
              </w:rPr>
            </w:pPr>
            <w:r>
              <w:rPr>
                <w:rFonts w:ascii="Times New Roman"/>
                <w:spacing w:val="-1"/>
                <w:sz w:val="15"/>
              </w:rPr>
              <w:t>100.00%</w:t>
            </w:r>
          </w:p>
        </w:tc>
        <w:tc>
          <w:tcPr>
            <w:tcW w:w="119"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13"/>
              <w:jc w:val="right"/>
              <w:rPr>
                <w:rFonts w:ascii="Times New Roman" w:hAnsi="Times New Roman" w:cs="Times New Roman" w:eastAsia="Times New Roman" w:hint="default"/>
                <w:sz w:val="15"/>
                <w:szCs w:val="15"/>
              </w:rPr>
            </w:pPr>
            <w:r>
              <w:rPr>
                <w:rFonts w:ascii="Times New Roman"/>
                <w:spacing w:val="-1"/>
                <w:sz w:val="15"/>
              </w:rPr>
              <w:t>RMB14,137,688.52</w:t>
            </w:r>
          </w:p>
        </w:tc>
        <w:tc>
          <w:tcPr>
            <w:tcW w:w="116"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154"/>
              <w:jc w:val="right"/>
              <w:rPr>
                <w:rFonts w:ascii="Times New Roman" w:hAnsi="Times New Roman" w:cs="Times New Roman" w:eastAsia="Times New Roman" w:hint="default"/>
                <w:sz w:val="15"/>
                <w:szCs w:val="15"/>
              </w:rPr>
            </w:pPr>
            <w:r>
              <w:rPr>
                <w:rFonts w:ascii="Times New Roman"/>
                <w:spacing w:val="-1"/>
                <w:sz w:val="15"/>
              </w:rPr>
              <w:t>RMB105,530,238.65</w:t>
            </w:r>
          </w:p>
        </w:tc>
        <w:tc>
          <w:tcPr>
            <w:tcW w:w="690"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9"/>
              <w:jc w:val="right"/>
              <w:rPr>
                <w:rFonts w:ascii="Times New Roman" w:hAnsi="Times New Roman" w:cs="Times New Roman" w:eastAsia="Times New Roman" w:hint="default"/>
                <w:sz w:val="15"/>
                <w:szCs w:val="15"/>
              </w:rPr>
            </w:pPr>
            <w:r>
              <w:rPr>
                <w:rFonts w:ascii="Times New Roman"/>
                <w:spacing w:val="-1"/>
                <w:sz w:val="15"/>
              </w:rPr>
              <w:t>100.00%</w:t>
            </w:r>
          </w:p>
        </w:tc>
        <w:tc>
          <w:tcPr>
            <w:tcW w:w="119"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14"/>
              <w:jc w:val="right"/>
              <w:rPr>
                <w:rFonts w:ascii="Times New Roman" w:hAnsi="Times New Roman" w:cs="Times New Roman" w:eastAsia="Times New Roman" w:hint="default"/>
                <w:sz w:val="15"/>
                <w:szCs w:val="15"/>
              </w:rPr>
            </w:pPr>
            <w:r>
              <w:rPr>
                <w:rFonts w:ascii="Times New Roman"/>
                <w:sz w:val="15"/>
              </w:rPr>
              <w:t>RMB</w:t>
            </w:r>
            <w:r>
              <w:rPr>
                <w:rFonts w:ascii="Times New Roman"/>
                <w:spacing w:val="29"/>
                <w:sz w:val="15"/>
              </w:rPr>
              <w:t> </w:t>
            </w:r>
            <w:r>
              <w:rPr>
                <w:rFonts w:ascii="Times New Roman"/>
                <w:sz w:val="15"/>
              </w:rPr>
              <w:t>7,518,749.26</w:t>
            </w:r>
          </w:p>
        </w:tc>
      </w:tr>
    </w:tbl>
    <w:p>
      <w:pPr>
        <w:spacing w:line="240" w:lineRule="auto" w:before="9"/>
        <w:rPr>
          <w:rFonts w:ascii="宋体" w:hAnsi="宋体" w:cs="宋体" w:eastAsia="宋体" w:hint="default"/>
          <w:sz w:val="21"/>
          <w:szCs w:val="21"/>
        </w:rPr>
      </w:pPr>
    </w:p>
    <w:p>
      <w:pPr>
        <w:pStyle w:val="BodyText"/>
        <w:spacing w:line="240" w:lineRule="auto" w:before="26"/>
        <w:ind w:left="824" w:right="1410"/>
        <w:jc w:val="left"/>
      </w:pPr>
      <w:r>
        <w:rPr/>
        <w:pict>
          <v:group style="position:absolute;margin-left:265.920013pt;margin-top:-16.124071pt;width:73.2pt;height:.1pt;mso-position-horizontal-relative:page;mso-position-vertical-relative:paragraph;z-index:-507784" coordorigin="5318,-322" coordsize="1464,2">
            <v:shape style="position:absolute;left:5318;top:-322;width:1464;height:2" coordorigin="5318,-322" coordsize="1464,0" path="m5318,-322l6782,-322e" filled="false" stroked="true" strokeweight=".48pt" strokecolor="#000000">
              <v:path arrowok="t"/>
            </v:shape>
            <w10:wrap type="none"/>
          </v:group>
        </w:pict>
      </w:r>
      <w:r>
        <w:rPr/>
        <w:t>② 本公司应收账款按类别分类列示如下：</w:t>
      </w:r>
    </w:p>
    <w:p>
      <w:pPr>
        <w:spacing w:line="240" w:lineRule="auto" w:before="0"/>
        <w:rPr>
          <w:rFonts w:ascii="宋体" w:hAnsi="宋体" w:cs="宋体" w:eastAsia="宋体" w:hint="default"/>
          <w:sz w:val="13"/>
          <w:szCs w:val="13"/>
        </w:rPr>
      </w:pPr>
    </w:p>
    <w:p>
      <w:pPr>
        <w:spacing w:line="183" w:lineRule="exact" w:before="76"/>
        <w:ind w:left="6581" w:right="1410" w:firstLine="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p>
      <w:pPr>
        <w:spacing w:line="195" w:lineRule="exact" w:before="0"/>
        <w:ind w:left="1956" w:right="1410" w:firstLine="0"/>
        <w:jc w:val="left"/>
        <w:rPr>
          <w:rFonts w:ascii="宋体" w:hAnsi="宋体" w:cs="宋体" w:eastAsia="宋体" w:hint="default"/>
          <w:sz w:val="18"/>
          <w:szCs w:val="18"/>
        </w:rPr>
      </w:pPr>
      <w:r>
        <w:rPr/>
        <w:pict>
          <v:group style="position:absolute;margin-left:239.580002pt;margin-top:5.902779pt;width:298.95pt;height:.5pt;mso-position-horizontal-relative:page;mso-position-vertical-relative:paragraph;z-index:2824" coordorigin="4792,118" coordsize="5979,10">
            <v:group style="position:absolute;left:4796;top:123;width:2992;height:2" coordorigin="4796,123" coordsize="2992,2">
              <v:shape style="position:absolute;left:4796;top:123;width:2992;height:2" coordorigin="4796,123" coordsize="2992,0" path="m4796,123l7788,123e" filled="false" stroked="true" strokeweight=".48pt" strokecolor="#000000">
                <v:path arrowok="t"/>
              </v:shape>
            </v:group>
            <v:group style="position:absolute;left:7788;top:123;width:1644;height:2" coordorigin="7788,123" coordsize="1644,2">
              <v:shape style="position:absolute;left:7788;top:123;width:1644;height:2" coordorigin="7788,123" coordsize="1644,0" path="m7788,123l9432,123e" filled="false" stroked="true" strokeweight=".48pt" strokecolor="#000000">
                <v:path arrowok="t"/>
              </v:shape>
            </v:group>
            <v:group style="position:absolute;left:9432;top:123;width:1334;height:2" coordorigin="9432,123" coordsize="1334,2">
              <v:shape style="position:absolute;left:9432;top:123;width:1334;height:2" coordorigin="9432,123" coordsize="1334,0" path="m9432,123l10765,123e" filled="false" stroked="true" strokeweight=".48pt" strokecolor="#000000">
                <v:path arrowok="t"/>
              </v:shape>
            </v:group>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324" w:val="left" w:leader="none"/>
          <w:tab w:pos="7447" w:val="left" w:leader="none"/>
          <w:tab w:pos="9066" w:val="left" w:leader="none"/>
        </w:tabs>
        <w:spacing w:line="219" w:lineRule="exact" w:before="0"/>
        <w:ind w:left="4853" w:right="303"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1"/>
        <w:rPr>
          <w:rFonts w:ascii="宋体" w:hAnsi="宋体" w:cs="宋体" w:eastAsia="宋体" w:hint="default"/>
          <w:sz w:val="8"/>
          <w:szCs w:val="8"/>
        </w:rPr>
      </w:pPr>
    </w:p>
    <w:p>
      <w:pPr>
        <w:tabs>
          <w:tab w:pos="8859" w:val="left" w:leader="none"/>
        </w:tabs>
        <w:spacing w:line="20" w:lineRule="exact"/>
        <w:ind w:left="314" w:right="0" w:firstLine="0"/>
        <w:rPr>
          <w:rFonts w:ascii="宋体" w:hAnsi="宋体" w:cs="宋体" w:eastAsia="宋体" w:hint="default"/>
          <w:sz w:val="2"/>
          <w:szCs w:val="2"/>
        </w:rPr>
      </w:pPr>
      <w:r>
        <w:rPr>
          <w:rFonts w:ascii="宋体"/>
          <w:sz w:val="2"/>
        </w:rPr>
        <w:pict>
          <v:group style="width:415.15pt;height:.75pt;mso-position-horizontal-relative:char;mso-position-vertical-relative:line" coordorigin="0,0" coordsize="8303,15">
            <v:group style="position:absolute;left:7;top:7;width:3618;height:2" coordorigin="7,7" coordsize="3618,2">
              <v:shape style="position:absolute;left:7;top:7;width:3618;height:2" coordorigin="7,7" coordsize="3618,0" path="m7,7l3625,7e" filled="false" stroked="true" strokeweight=".72pt" strokecolor="#000000">
                <v:path arrowok="t"/>
              </v:shape>
            </v:group>
            <v:group style="position:absolute;left:3662;top:5;width:2088;height:2" coordorigin="3662,5" coordsize="2088,2">
              <v:shape style="position:absolute;left:3662;top:5;width:2088;height:2" coordorigin="3662,5" coordsize="2088,0" path="m3662,5l5750,5e" filled="false" stroked="true" strokeweight=".48pt" strokecolor="#000000">
                <v:path arrowok="t"/>
              </v:shape>
            </v:group>
            <v:group style="position:absolute;left:5786;top:7;width:782;height:2" coordorigin="5786,7" coordsize="782,2">
              <v:shape style="position:absolute;left:5786;top:7;width:782;height:2" coordorigin="5786,7" coordsize="782,0" path="m5786,7l6568,7e" filled="false" stroked="true" strokeweight=".72pt" strokecolor="#000000">
                <v:path arrowok="t"/>
              </v:shape>
            </v:group>
            <v:group style="position:absolute;left:6644;top:5;width:399;height:2" coordorigin="6644,5" coordsize="399,2">
              <v:shape style="position:absolute;left:6644;top:5;width:399;height:2" coordorigin="6644,5" coordsize="399,0" path="m6644,5l7043,5e" filled="false" stroked="true" strokeweight=".48pt" strokecolor="#000000">
                <v:path arrowok="t"/>
              </v:shape>
            </v:group>
            <v:group style="position:absolute;left:7043;top:5;width:1256;height:2" coordorigin="7043,5" coordsize="1256,2">
              <v:shape style="position:absolute;left:7043;top:5;width:1256;height:2" coordorigin="7043,5" coordsize="1256,0" path="m7043,5l8298,5e" filled="false" stroked="true" strokeweight=".48pt" strokecolor="#000000">
                <v:path arrowok="t"/>
              </v:shape>
            </v:group>
          </v:group>
        </w:pict>
      </w:r>
      <w:r>
        <w:rPr>
          <w:rFonts w:ascii="宋体"/>
          <w:sz w:val="2"/>
        </w:rPr>
      </w:r>
      <w:r>
        <w:rPr>
          <w:rFonts w:ascii="宋体"/>
          <w:sz w:val="2"/>
        </w:rPr>
        <w:tab/>
      </w:r>
      <w:r>
        <w:rPr>
          <w:rFonts w:ascii="宋体"/>
          <w:sz w:val="2"/>
        </w:rPr>
        <w:pict>
          <v:group style="width:54.55pt;height:.5pt;mso-position-horizontal-relative:char;mso-position-vertical-relative:line" coordorigin="0,0" coordsize="1091,10">
            <v:group style="position:absolute;left:5;top:5;width:1082;height:2" coordorigin="5,5" coordsize="1082,2">
              <v:shape style="position:absolute;left:5;top:5;width:1082;height:2" coordorigin="5,5" coordsize="1082,0" path="m5,5l1086,5e" filled="false" stroked="true" strokeweight=".48pt" strokecolor="#000000">
                <v:path arrowok="t"/>
              </v:shape>
            </v:group>
          </v:group>
        </w:pict>
      </w:r>
      <w:r>
        <w:rPr>
          <w:rFonts w:ascii="宋体"/>
          <w:sz w:val="2"/>
        </w:rPr>
      </w:r>
    </w:p>
    <w:p>
      <w:pPr>
        <w:tabs>
          <w:tab w:pos="3983" w:val="left" w:leader="none"/>
          <w:tab w:pos="5001" w:val="left" w:leader="none"/>
          <w:tab w:pos="6356" w:val="left" w:leader="none"/>
          <w:tab w:pos="7634" w:val="left" w:leader="none"/>
          <w:tab w:pos="9506" w:val="left" w:leader="none"/>
        </w:tabs>
        <w:spacing w:before="48"/>
        <w:ind w:left="31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单项金额重大的应收账款</w:t>
        <w:tab/>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5"/>
          <w:sz w:val="18"/>
          <w:szCs w:val="18"/>
        </w:rPr>
        <w:t>171,401,775.17</w:t>
        <w:tab/>
      </w:r>
      <w:r>
        <w:rPr>
          <w:rFonts w:ascii="Times New Roman" w:hAnsi="Times New Roman" w:cs="Times New Roman" w:eastAsia="Times New Roman" w:hint="default"/>
          <w:spacing w:val="-4"/>
          <w:sz w:val="18"/>
          <w:szCs w:val="18"/>
        </w:rPr>
        <w:t>79.21%</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10,279,388.76</w:t>
        <w:tab/>
        <w:t>6.00%</w:t>
      </w:r>
      <w:r>
        <w:rPr>
          <w:rFonts w:ascii="Times New Roman" w:hAnsi="Times New Roman" w:cs="Times New Roman" w:eastAsia="Times New Roman" w:hint="default"/>
          <w:sz w:val="18"/>
          <w:szCs w:val="18"/>
        </w:rPr>
      </w:r>
    </w:p>
    <w:p>
      <w:pPr>
        <w:spacing w:line="199" w:lineRule="exact" w:before="99"/>
        <w:ind w:left="314" w:right="1410" w:firstLine="0"/>
        <w:jc w:val="left"/>
        <w:rPr>
          <w:rFonts w:ascii="宋体" w:hAnsi="宋体" w:cs="宋体" w:eastAsia="宋体" w:hint="default"/>
          <w:sz w:val="18"/>
          <w:szCs w:val="18"/>
        </w:rPr>
      </w:pP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z w:val="18"/>
          <w:szCs w:val="18"/>
        </w:rPr>
      </w:r>
    </w:p>
    <w:p>
      <w:pPr>
        <w:tabs>
          <w:tab w:pos="5172" w:val="left" w:leader="none"/>
          <w:tab w:pos="6442" w:val="left" w:leader="none"/>
          <w:tab w:pos="7848" w:val="left" w:leader="none"/>
          <w:tab w:pos="9420" w:val="left" w:leader="none"/>
        </w:tabs>
        <w:spacing w:line="267" w:lineRule="exact" w:before="0"/>
        <w:ind w:left="31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position w:val="-10"/>
          <w:sz w:val="18"/>
          <w:szCs w:val="18"/>
        </w:rPr>
        <w:t>大的应收账款</w:t>
        <w:tab/>
      </w:r>
      <w:r>
        <w:rPr>
          <w:rFonts w:ascii="Times New Roman" w:hAnsi="Times New Roman" w:cs="Times New Roman" w:eastAsia="Times New Roman" w:hint="default"/>
          <w:spacing w:val="-4"/>
          <w:sz w:val="18"/>
          <w:szCs w:val="18"/>
        </w:rPr>
        <w:t>2,177,021.80</w:t>
        <w:tab/>
        <w:t>1.01%</w:t>
        <w:tab/>
        <w:t>653,106.54</w:t>
        <w:tab/>
        <w:t>30.00%</w:t>
      </w:r>
    </w:p>
    <w:p>
      <w:pPr>
        <w:tabs>
          <w:tab w:pos="5086" w:val="left" w:leader="none"/>
          <w:tab w:pos="6358" w:val="left" w:leader="none"/>
          <w:tab w:pos="7722" w:val="left" w:leader="none"/>
          <w:tab w:pos="9486" w:val="left" w:leader="none"/>
        </w:tabs>
        <w:spacing w:before="123"/>
        <w:ind w:left="313" w:right="0" w:firstLine="0"/>
        <w:jc w:val="left"/>
        <w:rPr>
          <w:rFonts w:ascii="Times New Roman" w:hAnsi="Times New Roman" w:cs="Times New Roman" w:eastAsia="Times New Roman" w:hint="default"/>
          <w:sz w:val="18"/>
          <w:szCs w:val="18"/>
        </w:rPr>
      </w:pPr>
      <w:r>
        <w:rPr/>
        <w:pict>
          <v:group style="position:absolute;margin-left:239.580002pt;margin-top:66.222015pt;width:298.95pt;height:.5pt;mso-position-horizontal-relative:page;mso-position-vertical-relative:paragraph;z-index:-507736" coordorigin="4792,1324" coordsize="5979,10">
            <v:group style="position:absolute;left:4796;top:1329;width:2992;height:2" coordorigin="4796,1329" coordsize="2992,2">
              <v:shape style="position:absolute;left:4796;top:1329;width:2992;height:2" coordorigin="4796,1329" coordsize="2992,0" path="m4796,1329l7788,1329e" filled="false" stroked="true" strokeweight=".48pt" strokecolor="#000000">
                <v:path arrowok="t"/>
              </v:shape>
            </v:group>
            <v:group style="position:absolute;left:7788;top:1329;width:1644;height:2" coordorigin="7788,1329" coordsize="1644,2">
              <v:shape style="position:absolute;left:7788;top:1329;width:1644;height:2" coordorigin="7788,1329" coordsize="1644,0" path="m7788,1329l9432,1329e" filled="false" stroked="true" strokeweight=".48pt" strokecolor="#000000">
                <v:path arrowok="t"/>
              </v:shape>
            </v:group>
            <v:group style="position:absolute;left:9432;top:1329;width:1334;height:2" coordorigin="9432,1329" coordsize="1334,2">
              <v:shape style="position:absolute;left:9432;top:1329;width:1334;height:2" coordorigin="9432,1329" coordsize="1334,0" path="m9432,1329l10765,1329e" filled="false" stroked="true" strokeweight=".48pt" strokecolor="#000000">
                <v:path arrowok="t"/>
              </v:shape>
            </v:group>
            <w10:wrap type="none"/>
          </v:group>
        </w:pict>
      </w:r>
      <w:r>
        <w:rPr>
          <w:rFonts w:ascii="宋体" w:hAnsi="宋体" w:cs="宋体" w:eastAsia="宋体" w:hint="default"/>
          <w:spacing w:val="-8"/>
          <w:sz w:val="18"/>
          <w:szCs w:val="18"/>
        </w:rPr>
        <w:t>单项金额不重大的应收账款</w:t>
        <w:tab/>
      </w:r>
      <w:r>
        <w:rPr>
          <w:rFonts w:ascii="Times New Roman" w:hAnsi="Times New Roman" w:cs="Times New Roman" w:eastAsia="Times New Roman" w:hint="default"/>
          <w:spacing w:val="-4"/>
          <w:sz w:val="18"/>
          <w:szCs w:val="18"/>
        </w:rPr>
        <w:t>42,822,067.53</w:t>
        <w:tab/>
        <w:t>19.78%</w:t>
        <w:tab/>
        <w:t>3,205,193.22</w:t>
        <w:tab/>
      </w:r>
      <w:r>
        <w:rPr>
          <w:rFonts w:ascii="Times New Roman" w:hAnsi="Times New Roman" w:cs="Times New Roman" w:eastAsia="Times New Roman" w:hint="default"/>
          <w:sz w:val="18"/>
          <w:szCs w:val="18"/>
        </w:rPr>
        <w:t>7.48%</w:t>
      </w:r>
    </w:p>
    <w:p>
      <w:pPr>
        <w:spacing w:line="240" w:lineRule="auto" w:before="9"/>
        <w:rPr>
          <w:rFonts w:ascii="Times New Roman" w:hAnsi="Times New Roman" w:cs="Times New Roman" w:eastAsia="Times New Roman" w:hint="default"/>
          <w:sz w:val="7"/>
          <w:szCs w:val="7"/>
        </w:rPr>
      </w:pPr>
    </w:p>
    <w:p>
      <w:pPr>
        <w:spacing w:line="20" w:lineRule="exact"/>
        <w:ind w:left="3971" w:right="0" w:firstLine="0"/>
        <w:rPr>
          <w:rFonts w:ascii="Times New Roman" w:hAnsi="Times New Roman" w:cs="Times New Roman" w:eastAsia="Times New Roman" w:hint="default"/>
          <w:sz w:val="2"/>
          <w:szCs w:val="2"/>
        </w:rPr>
      </w:pPr>
      <w:r>
        <w:rPr>
          <w:rFonts w:ascii="Times New Roman"/>
          <w:sz w:val="2"/>
        </w:rPr>
        <w:pict>
          <v:group style="width:145.75pt;height:.75pt;mso-position-horizontal-relative:char;mso-position-vertical-relative:line" coordorigin="0,0" coordsize="2915,15">
            <v:group style="position:absolute;left:5;top:5;width:414;height:2" coordorigin="5,5" coordsize="414,2">
              <v:shape style="position:absolute;left:5;top:5;width:414;height:2" coordorigin="5,5" coordsize="414,0" path="m5,5l419,5e" filled="false" stroked="true" strokeweight=".48pt" strokecolor="#000000">
                <v:path arrowok="t"/>
              </v:shape>
            </v:group>
            <v:group style="position:absolute;left:419;top:7;width:1674;height:2" coordorigin="419,7" coordsize="1674,2">
              <v:shape style="position:absolute;left:419;top:7;width:1674;height:2" coordorigin="419,7" coordsize="1674,0" path="m419,7l2093,7e" filled="false" stroked="true" strokeweight=".72pt" strokecolor="#000000">
                <v:path arrowok="t"/>
              </v:shape>
            </v:group>
            <v:group style="position:absolute;left:2129;top:5;width:782;height:2" coordorigin="2129,5" coordsize="782,2">
              <v:shape style="position:absolute;left:2129;top:5;width:782;height:2" coordorigin="2129,5" coordsize="782,0" path="m2129,5l2910,5e" filled="false" stroked="true" strokeweight=".48pt" strokecolor="#000000">
                <v:path arrowok="t"/>
              </v:shape>
            </v:group>
          </v:group>
        </w:pict>
      </w:r>
      <w:r>
        <w:rPr>
          <w:rFonts w:ascii="Times New Roman"/>
          <w:sz w:val="2"/>
        </w:rPr>
      </w:r>
      <w:r>
        <w:rPr>
          <w:rFonts w:ascii="Times New Roman"/>
          <w:spacing w:val="59"/>
          <w:sz w:val="2"/>
        </w:rPr>
        <w:t> </w:t>
      </w:r>
      <w:r>
        <w:rPr>
          <w:rFonts w:ascii="Times New Roman"/>
          <w:spacing w:val="59"/>
          <w:sz w:val="2"/>
        </w:rPr>
        <w:pict>
          <v:group style="width:83.3pt;height:.75pt;mso-position-horizontal-relative:char;mso-position-vertical-relative:line" coordorigin="0,0" coordsize="1666,15">
            <v:group style="position:absolute;left:5;top:5;width:389;height:2" coordorigin="5,5" coordsize="389,2">
              <v:shape style="position:absolute;left:5;top:5;width:389;height:2" coordorigin="5,5" coordsize="389,0" path="m5,5l394,5e" filled="false" stroked="true" strokeweight=".48pt" strokecolor="#000000">
                <v:path arrowok="t"/>
              </v:shape>
            </v:group>
            <v:group style="position:absolute;left:394;top:7;width:1265;height:2" coordorigin="394,7" coordsize="1265,2">
              <v:shape style="position:absolute;left:394;top:7;width:1265;height:2" coordorigin="394,7" coordsize="1265,0" path="m394,7l1658,7e" filled="false" stroked="true" strokeweight=".72pt" strokecolor="#000000">
                <v:path arrowok="t"/>
              </v:shape>
            </v:group>
          </v:group>
        </w:pict>
      </w:r>
      <w:r>
        <w:rPr>
          <w:rFonts w:ascii="Times New Roman"/>
          <w:spacing w:val="59"/>
          <w:sz w:val="2"/>
        </w:rPr>
      </w:r>
    </w:p>
    <w:tbl>
      <w:tblPr>
        <w:tblW w:w="0" w:type="auto"/>
        <w:jc w:val="left"/>
        <w:tblInd w:w="278" w:type="dxa"/>
        <w:tblLayout w:type="fixed"/>
        <w:tblCellMar>
          <w:top w:w="0" w:type="dxa"/>
          <w:left w:w="0" w:type="dxa"/>
          <w:bottom w:w="0" w:type="dxa"/>
          <w:right w:w="0" w:type="dxa"/>
        </w:tblCellMar>
        <w:tblLook w:val="01E0"/>
      </w:tblPr>
      <w:tblGrid>
        <w:gridCol w:w="3697"/>
        <w:gridCol w:w="637"/>
        <w:gridCol w:w="1557"/>
        <w:gridCol w:w="1231"/>
        <w:gridCol w:w="1221"/>
        <w:gridCol w:w="241"/>
        <w:gridCol w:w="1127"/>
      </w:tblGrid>
      <w:tr>
        <w:trPr>
          <w:trHeight w:val="391" w:hRule="exact"/>
        </w:trPr>
        <w:tc>
          <w:tcPr>
            <w:tcW w:w="3697" w:type="dxa"/>
            <w:vMerge w:val="restart"/>
            <w:tcBorders>
              <w:top w:val="nil" w:sz="6" w:space="0" w:color="auto"/>
              <w:left w:val="nil" w:sz="6" w:space="0" w:color="auto"/>
              <w:right w:val="nil" w:sz="6" w:space="0" w:color="auto"/>
            </w:tcBorders>
          </w:tcPr>
          <w:p>
            <w:pPr/>
          </w:p>
        </w:tc>
        <w:tc>
          <w:tcPr>
            <w:tcW w:w="637"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left="7"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557"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right="98"/>
              <w:jc w:val="right"/>
              <w:rPr>
                <w:rFonts w:ascii="Times New Roman" w:hAnsi="Times New Roman" w:cs="Times New Roman" w:eastAsia="Times New Roman" w:hint="default"/>
                <w:sz w:val="18"/>
                <w:szCs w:val="18"/>
              </w:rPr>
            </w:pPr>
            <w:r>
              <w:rPr>
                <w:rFonts w:ascii="Times New Roman"/>
                <w:spacing w:val="-5"/>
                <w:sz w:val="18"/>
              </w:rPr>
              <w:t>216,400,864.50</w:t>
            </w:r>
            <w:r>
              <w:rPr>
                <w:rFonts w:ascii="Times New Roman"/>
                <w:sz w:val="18"/>
              </w:rPr>
            </w:r>
          </w:p>
        </w:tc>
        <w:tc>
          <w:tcPr>
            <w:tcW w:w="1231"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right="46"/>
              <w:jc w:val="right"/>
              <w:rPr>
                <w:rFonts w:ascii="Times New Roman" w:hAnsi="Times New Roman" w:cs="Times New Roman" w:eastAsia="Times New Roman" w:hint="default"/>
                <w:sz w:val="18"/>
                <w:szCs w:val="18"/>
              </w:rPr>
            </w:pPr>
            <w:r>
              <w:rPr>
                <w:rFonts w:ascii="Times New Roman"/>
                <w:spacing w:val="-4"/>
                <w:sz w:val="18"/>
              </w:rPr>
              <w:t>100.00%</w:t>
            </w:r>
            <w:r>
              <w:rPr>
                <w:rFonts w:ascii="Times New Roman"/>
                <w:spacing w:val="30"/>
                <w:sz w:val="18"/>
              </w:rPr>
              <w:t> </w:t>
            </w:r>
            <w:r>
              <w:rPr>
                <w:rFonts w:ascii="Times New Roman"/>
                <w:spacing w:val="-4"/>
                <w:sz w:val="18"/>
              </w:rPr>
              <w:t>RMB</w:t>
            </w:r>
            <w:r>
              <w:rPr>
                <w:rFonts w:ascii="Times New Roman"/>
                <w:sz w:val="18"/>
              </w:rPr>
            </w:r>
          </w:p>
        </w:tc>
        <w:tc>
          <w:tcPr>
            <w:tcW w:w="1221"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right="1"/>
              <w:jc w:val="right"/>
              <w:rPr>
                <w:rFonts w:ascii="Times New Roman" w:hAnsi="Times New Roman" w:cs="Times New Roman" w:eastAsia="Times New Roman" w:hint="default"/>
                <w:sz w:val="18"/>
                <w:szCs w:val="18"/>
              </w:rPr>
            </w:pPr>
            <w:r>
              <w:rPr>
                <w:rFonts w:ascii="Times New Roman"/>
                <w:spacing w:val="-5"/>
                <w:sz w:val="18"/>
              </w:rPr>
              <w:t>14,137,688.52</w:t>
            </w:r>
            <w:r>
              <w:rPr>
                <w:rFonts w:ascii="Times New Roman"/>
                <w:sz w:val="18"/>
              </w:rPr>
            </w:r>
          </w:p>
        </w:tc>
        <w:tc>
          <w:tcPr>
            <w:tcW w:w="241"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
              <w:jc w:val="right"/>
              <w:rPr>
                <w:rFonts w:ascii="Times New Roman" w:hAnsi="Times New Roman" w:cs="Times New Roman" w:eastAsia="Times New Roman" w:hint="default"/>
                <w:sz w:val="18"/>
                <w:szCs w:val="18"/>
              </w:rPr>
            </w:pPr>
            <w:r>
              <w:rPr>
                <w:rFonts w:ascii="Times New Roman"/>
                <w:spacing w:val="-4"/>
                <w:sz w:val="18"/>
              </w:rPr>
              <w:t>6.53%</w:t>
            </w:r>
            <w:r>
              <w:rPr>
                <w:rFonts w:ascii="Times New Roman"/>
                <w:sz w:val="18"/>
              </w:rPr>
            </w:r>
          </w:p>
        </w:tc>
      </w:tr>
      <w:tr>
        <w:trPr>
          <w:trHeight w:val="333" w:hRule="exact"/>
        </w:trPr>
        <w:tc>
          <w:tcPr>
            <w:tcW w:w="3697" w:type="dxa"/>
            <w:vMerge/>
            <w:tcBorders>
              <w:left w:val="nil" w:sz="6" w:space="0" w:color="auto"/>
              <w:bottom w:val="nil" w:sz="6" w:space="0" w:color="auto"/>
              <w:right w:val="nil" w:sz="6" w:space="0" w:color="auto"/>
            </w:tcBorders>
          </w:tcPr>
          <w:p>
            <w:pPr/>
          </w:p>
        </w:tc>
        <w:tc>
          <w:tcPr>
            <w:tcW w:w="637" w:type="dxa"/>
            <w:tcBorders>
              <w:top w:val="single" w:sz="12" w:space="0" w:color="000000"/>
              <w:left w:val="nil" w:sz="6" w:space="0" w:color="auto"/>
              <w:bottom w:val="nil" w:sz="6" w:space="0" w:color="auto"/>
              <w:right w:val="nil" w:sz="6" w:space="0" w:color="auto"/>
            </w:tcBorders>
          </w:tcPr>
          <w:p>
            <w:pPr/>
          </w:p>
        </w:tc>
        <w:tc>
          <w:tcPr>
            <w:tcW w:w="1557" w:type="dxa"/>
            <w:tcBorders>
              <w:top w:val="single" w:sz="12" w:space="0" w:color="000000"/>
              <w:left w:val="nil" w:sz="6" w:space="0" w:color="auto"/>
              <w:bottom w:val="nil" w:sz="6" w:space="0" w:color="auto"/>
              <w:right w:val="nil" w:sz="6" w:space="0" w:color="auto"/>
            </w:tcBorders>
          </w:tcPr>
          <w:p>
            <w:pPr/>
          </w:p>
        </w:tc>
        <w:tc>
          <w:tcPr>
            <w:tcW w:w="1231" w:type="dxa"/>
            <w:tcBorders>
              <w:top w:val="single" w:sz="12" w:space="0" w:color="000000"/>
              <w:left w:val="nil" w:sz="6" w:space="0" w:color="auto"/>
              <w:bottom w:val="nil" w:sz="6" w:space="0" w:color="auto"/>
              <w:right w:val="nil" w:sz="6" w:space="0" w:color="auto"/>
            </w:tcBorders>
          </w:tcPr>
          <w:p>
            <w:pPr>
              <w:pStyle w:val="TableParagraph"/>
              <w:spacing w:line="240" w:lineRule="auto" w:before="108"/>
              <w:ind w:right="46"/>
              <w:jc w:val="right"/>
              <w:rPr>
                <w:rFonts w:ascii="Times New Roman" w:hAnsi="Times New Roman" w:cs="Times New Roman" w:eastAsia="Times New Roman" w:hint="default"/>
                <w:sz w:val="18"/>
                <w:szCs w:val="18"/>
              </w:rPr>
            </w:pPr>
            <w:r>
              <w:rPr>
                <w:rFonts w:ascii="Times New Roman"/>
                <w:spacing w:val="-5"/>
                <w:sz w:val="18"/>
              </w:rPr>
              <w:t>2006.12.31</w:t>
            </w:r>
            <w:r>
              <w:rPr>
                <w:rFonts w:ascii="Times New Roman"/>
                <w:sz w:val="18"/>
              </w:rPr>
            </w:r>
          </w:p>
        </w:tc>
        <w:tc>
          <w:tcPr>
            <w:tcW w:w="1221" w:type="dxa"/>
            <w:tcBorders>
              <w:top w:val="single" w:sz="12" w:space="0" w:color="000000"/>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r>
      <w:tr>
        <w:trPr>
          <w:trHeight w:val="214"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187" w:lineRule="exact"/>
              <w:ind w:left="3" w:right="0"/>
              <w:jc w:val="center"/>
              <w:rPr>
                <w:rFonts w:ascii="宋体" w:hAnsi="宋体" w:cs="宋体" w:eastAsia="宋体" w:hint="default"/>
                <w:sz w:val="18"/>
                <w:szCs w:val="18"/>
              </w:rPr>
            </w:pPr>
            <w:r>
              <w:rPr>
                <w:rFonts w:ascii="宋体" w:hAnsi="宋体" w:cs="宋体" w:eastAsia="宋体" w:hint="default"/>
                <w:spacing w:val="-8"/>
                <w:sz w:val="18"/>
                <w:szCs w:val="18"/>
              </w:rPr>
              <w:t>类别</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r>
      <w:tr>
        <w:trPr>
          <w:trHeight w:val="334" w:hRule="exact"/>
        </w:trPr>
        <w:tc>
          <w:tcPr>
            <w:tcW w:w="3697" w:type="dxa"/>
            <w:tcBorders>
              <w:top w:val="nil" w:sz="6" w:space="0" w:color="auto"/>
              <w:left w:val="nil" w:sz="6" w:space="0" w:color="auto"/>
              <w:bottom w:val="single" w:sz="6" w:space="0" w:color="000000"/>
              <w:right w:val="nil" w:sz="6" w:space="0" w:color="auto"/>
            </w:tcBorders>
          </w:tcPr>
          <w:p>
            <w:pPr/>
          </w:p>
        </w:tc>
        <w:tc>
          <w:tcPr>
            <w:tcW w:w="637" w:type="dxa"/>
            <w:tcBorders>
              <w:top w:val="nil" w:sz="6" w:space="0" w:color="auto"/>
              <w:left w:val="nil" w:sz="6" w:space="0" w:color="auto"/>
              <w:bottom w:val="single" w:sz="4" w:space="0" w:color="000000"/>
              <w:right w:val="nil" w:sz="6" w:space="0" w:color="auto"/>
            </w:tcBorders>
          </w:tcPr>
          <w:p>
            <w:pPr/>
          </w:p>
        </w:tc>
        <w:tc>
          <w:tcPr>
            <w:tcW w:w="1557" w:type="dxa"/>
            <w:tcBorders>
              <w:top w:val="nil" w:sz="6" w:space="0" w:color="auto"/>
              <w:left w:val="nil" w:sz="6" w:space="0" w:color="auto"/>
              <w:bottom w:val="single" w:sz="6" w:space="0" w:color="000000"/>
              <w:right w:val="nil" w:sz="6" w:space="0" w:color="auto"/>
            </w:tcBorders>
          </w:tcPr>
          <w:p>
            <w:pPr>
              <w:pStyle w:val="TableParagraph"/>
              <w:spacing w:line="207" w:lineRule="exact"/>
              <w:ind w:left="240" w:right="0"/>
              <w:jc w:val="left"/>
              <w:rPr>
                <w:rFonts w:ascii="宋体" w:hAnsi="宋体" w:cs="宋体" w:eastAsia="宋体" w:hint="default"/>
                <w:sz w:val="18"/>
                <w:szCs w:val="18"/>
              </w:rPr>
            </w:pPr>
            <w:r>
              <w:rPr>
                <w:rFonts w:ascii="宋体" w:hAnsi="宋体" w:cs="宋体" w:eastAsia="宋体" w:hint="default"/>
                <w:spacing w:val="-8"/>
                <w:sz w:val="18"/>
                <w:szCs w:val="18"/>
              </w:rPr>
              <w:t>金额</w:t>
            </w:r>
            <w:r>
              <w:rPr>
                <w:rFonts w:ascii="宋体" w:hAnsi="宋体" w:cs="宋体" w:eastAsia="宋体" w:hint="default"/>
                <w:sz w:val="18"/>
                <w:szCs w:val="18"/>
              </w:rPr>
            </w:r>
          </w:p>
        </w:tc>
        <w:tc>
          <w:tcPr>
            <w:tcW w:w="1231" w:type="dxa"/>
            <w:tcBorders>
              <w:top w:val="nil" w:sz="6" w:space="0" w:color="auto"/>
              <w:left w:val="nil" w:sz="6" w:space="0" w:color="auto"/>
              <w:bottom w:val="single" w:sz="4" w:space="0" w:color="000000"/>
              <w:right w:val="nil" w:sz="6" w:space="0" w:color="auto"/>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pacing w:val="-8"/>
                <w:sz w:val="18"/>
                <w:szCs w:val="18"/>
              </w:rPr>
              <w:t>比例</w:t>
            </w:r>
            <w:r>
              <w:rPr>
                <w:rFonts w:ascii="宋体" w:hAnsi="宋体" w:cs="宋体" w:eastAsia="宋体" w:hint="default"/>
                <w:sz w:val="18"/>
                <w:szCs w:val="18"/>
              </w:rPr>
            </w:r>
          </w:p>
        </w:tc>
        <w:tc>
          <w:tcPr>
            <w:tcW w:w="1221" w:type="dxa"/>
            <w:tcBorders>
              <w:top w:val="nil" w:sz="6" w:space="0" w:color="auto"/>
              <w:left w:val="nil" w:sz="6" w:space="0" w:color="auto"/>
              <w:bottom w:val="single" w:sz="4" w:space="0" w:color="000000"/>
              <w:right w:val="nil" w:sz="6" w:space="0" w:color="auto"/>
            </w:tcBorders>
          </w:tcPr>
          <w:p>
            <w:pPr>
              <w:pStyle w:val="TableParagraph"/>
              <w:spacing w:line="207" w:lineRule="exact"/>
              <w:ind w:left="45"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r>
          </w:p>
        </w:tc>
        <w:tc>
          <w:tcPr>
            <w:tcW w:w="241"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single" w:sz="4" w:space="0" w:color="000000"/>
              <w:right w:val="nil" w:sz="6" w:space="0" w:color="auto"/>
            </w:tcBorders>
          </w:tcPr>
          <w:p>
            <w:pPr>
              <w:pStyle w:val="TableParagraph"/>
              <w:spacing w:line="208" w:lineRule="exact"/>
              <w:ind w:left="202" w:right="0"/>
              <w:jc w:val="lef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宋体" w:hAnsi="宋体" w:cs="宋体" w:eastAsia="宋体" w:hint="default"/>
                <w:sz w:val="18"/>
                <w:szCs w:val="18"/>
              </w:rPr>
            </w:r>
          </w:p>
        </w:tc>
      </w:tr>
      <w:tr>
        <w:trPr>
          <w:trHeight w:val="326" w:hRule="exact"/>
        </w:trPr>
        <w:tc>
          <w:tcPr>
            <w:tcW w:w="3697"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pacing w:val="-9"/>
                <w:sz w:val="18"/>
                <w:szCs w:val="18"/>
              </w:rPr>
              <w:t>单项金额重大的应收账款</w:t>
            </w:r>
            <w:r>
              <w:rPr>
                <w:rFonts w:ascii="宋体" w:hAnsi="宋体" w:cs="宋体" w:eastAsia="宋体" w:hint="default"/>
                <w:sz w:val="18"/>
                <w:szCs w:val="18"/>
              </w:rPr>
            </w:r>
          </w:p>
        </w:tc>
        <w:tc>
          <w:tcPr>
            <w:tcW w:w="637"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7"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557"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pacing w:val="-5"/>
                <w:sz w:val="18"/>
              </w:rPr>
              <w:t>68,121,658.63</w:t>
            </w:r>
            <w:r>
              <w:rPr>
                <w:rFonts w:ascii="Times New Roman"/>
                <w:sz w:val="18"/>
              </w:rPr>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3"/>
              <w:jc w:val="right"/>
              <w:rPr>
                <w:rFonts w:ascii="Times New Roman" w:hAnsi="Times New Roman" w:cs="Times New Roman" w:eastAsia="Times New Roman" w:hint="default"/>
                <w:sz w:val="18"/>
                <w:szCs w:val="18"/>
              </w:rPr>
            </w:pPr>
            <w:r>
              <w:rPr>
                <w:rFonts w:ascii="Times New Roman"/>
                <w:spacing w:val="-4"/>
                <w:sz w:val="18"/>
              </w:rPr>
              <w:t>64.55%</w:t>
            </w:r>
            <w:r>
              <w:rPr>
                <w:rFonts w:ascii="Times New Roman"/>
                <w:spacing w:val="30"/>
                <w:sz w:val="18"/>
              </w:rPr>
              <w:t> </w:t>
            </w:r>
            <w:r>
              <w:rPr>
                <w:rFonts w:ascii="Times New Roman"/>
                <w:spacing w:val="-4"/>
                <w:sz w:val="18"/>
              </w:rPr>
              <w:t>RMB</w:t>
            </w:r>
            <w:r>
              <w:rPr>
                <w:rFonts w:ascii="Times New Roman"/>
                <w:sz w:val="18"/>
              </w:rPr>
            </w:r>
          </w:p>
        </w:tc>
        <w:tc>
          <w:tcPr>
            <w:tcW w:w="12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4"/>
                <w:sz w:val="18"/>
              </w:rPr>
              <w:t>4,639,235.86</w:t>
            </w:r>
          </w:p>
        </w:tc>
        <w:tc>
          <w:tcPr>
            <w:tcW w:w="241" w:type="dxa"/>
            <w:tcBorders>
              <w:top w:val="nil" w:sz="6" w:space="0" w:color="auto"/>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36"/>
              <w:jc w:val="right"/>
              <w:rPr>
                <w:rFonts w:ascii="Times New Roman" w:hAnsi="Times New Roman" w:cs="Times New Roman" w:eastAsia="Times New Roman" w:hint="default"/>
                <w:sz w:val="18"/>
                <w:szCs w:val="18"/>
              </w:rPr>
            </w:pPr>
            <w:r>
              <w:rPr>
                <w:rFonts w:ascii="Times New Roman"/>
                <w:spacing w:val="-4"/>
                <w:sz w:val="18"/>
              </w:rPr>
              <w:t>6.81%</w:t>
            </w:r>
            <w:r>
              <w:rPr>
                <w:rFonts w:ascii="Times New Roman"/>
                <w:sz w:val="18"/>
              </w:rPr>
            </w:r>
          </w:p>
        </w:tc>
      </w:tr>
      <w:tr>
        <w:trPr>
          <w:trHeight w:val="328"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8"/>
                <w:szCs w:val="18"/>
              </w:rPr>
            </w:pP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r>
      <w:tr>
        <w:trPr>
          <w:trHeight w:val="308" w:hRule="exact"/>
        </w:trPr>
        <w:tc>
          <w:tcPr>
            <w:tcW w:w="4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pacing w:val="-9"/>
                <w:sz w:val="18"/>
                <w:szCs w:val="18"/>
              </w:rPr>
              <w:t>大的应收账款</w:t>
            </w:r>
            <w:r>
              <w:rPr>
                <w:rFonts w:ascii="宋体" w:hAnsi="宋体" w:cs="宋体" w:eastAsia="宋体" w:hint="default"/>
                <w:sz w:val="18"/>
                <w:szCs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162" w:lineRule="exact"/>
              <w:ind w:right="98"/>
              <w:jc w:val="right"/>
              <w:rPr>
                <w:rFonts w:ascii="Times New Roman" w:hAnsi="Times New Roman" w:cs="Times New Roman" w:eastAsia="Times New Roman" w:hint="default"/>
                <w:sz w:val="18"/>
                <w:szCs w:val="18"/>
              </w:rPr>
            </w:pPr>
            <w:r>
              <w:rPr>
                <w:rFonts w:ascii="Times New Roman"/>
                <w:spacing w:val="-5"/>
                <w:sz w:val="18"/>
              </w:rPr>
              <w:t>526,238.80</w:t>
            </w:r>
            <w:r>
              <w:rPr>
                <w:rFonts w:ascii="Times New Roman"/>
                <w:sz w:val="18"/>
              </w:rPr>
            </w:r>
          </w:p>
        </w:tc>
        <w:tc>
          <w:tcPr>
            <w:tcW w:w="1231" w:type="dxa"/>
            <w:tcBorders>
              <w:top w:val="nil" w:sz="6" w:space="0" w:color="auto"/>
              <w:left w:val="nil" w:sz="6" w:space="0" w:color="auto"/>
              <w:bottom w:val="nil" w:sz="6" w:space="0" w:color="auto"/>
              <w:right w:val="nil" w:sz="6" w:space="0" w:color="auto"/>
            </w:tcBorders>
          </w:tcPr>
          <w:p>
            <w:pPr>
              <w:pStyle w:val="TableParagraph"/>
              <w:spacing w:line="162" w:lineRule="exact"/>
              <w:ind w:left="271" w:right="0"/>
              <w:jc w:val="left"/>
              <w:rPr>
                <w:rFonts w:ascii="Times New Roman" w:hAnsi="Times New Roman" w:cs="Times New Roman" w:eastAsia="Times New Roman" w:hint="default"/>
                <w:sz w:val="18"/>
                <w:szCs w:val="18"/>
              </w:rPr>
            </w:pPr>
            <w:r>
              <w:rPr>
                <w:rFonts w:ascii="Times New Roman"/>
                <w:spacing w:val="-4"/>
                <w:sz w:val="18"/>
              </w:rPr>
              <w:t>0.50%</w:t>
            </w:r>
            <w:r>
              <w:rPr>
                <w:rFonts w:ascii="Times New Roman"/>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162" w:lineRule="exact"/>
              <w:ind w:right="1"/>
              <w:jc w:val="right"/>
              <w:rPr>
                <w:rFonts w:ascii="Times New Roman" w:hAnsi="Times New Roman" w:cs="Times New Roman" w:eastAsia="Times New Roman" w:hint="default"/>
                <w:sz w:val="18"/>
                <w:szCs w:val="18"/>
              </w:rPr>
            </w:pPr>
            <w:r>
              <w:rPr>
                <w:rFonts w:ascii="Times New Roman"/>
                <w:spacing w:val="-5"/>
                <w:sz w:val="18"/>
              </w:rPr>
              <w:t>157,871.64</w:t>
            </w:r>
            <w:r>
              <w:rPr>
                <w:rFonts w:ascii="Times New Roman"/>
                <w:sz w:val="18"/>
              </w:rPr>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157" w:lineRule="exact"/>
              <w:ind w:left="797" w:right="0"/>
              <w:jc w:val="left"/>
              <w:rPr>
                <w:rFonts w:ascii="Times New Roman" w:hAnsi="Times New Roman" w:cs="Times New Roman" w:eastAsia="Times New Roman" w:hint="default"/>
                <w:sz w:val="18"/>
                <w:szCs w:val="18"/>
              </w:rPr>
            </w:pPr>
            <w:r>
              <w:rPr>
                <w:rFonts w:ascii="Times New Roman"/>
                <w:spacing w:val="-4"/>
                <w:sz w:val="18"/>
              </w:rPr>
              <w:t>30.00%</w:t>
            </w:r>
          </w:p>
        </w:tc>
      </w:tr>
      <w:tr>
        <w:trPr>
          <w:trHeight w:val="453" w:hRule="exact"/>
        </w:trPr>
        <w:tc>
          <w:tcPr>
            <w:tcW w:w="4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34" w:right="0"/>
              <w:jc w:val="left"/>
              <w:rPr>
                <w:rFonts w:ascii="宋体" w:hAnsi="宋体" w:cs="宋体" w:eastAsia="宋体" w:hint="default"/>
                <w:sz w:val="18"/>
                <w:szCs w:val="18"/>
              </w:rPr>
            </w:pPr>
            <w:r>
              <w:rPr>
                <w:rFonts w:ascii="宋体" w:hAnsi="宋体" w:cs="宋体" w:eastAsia="宋体" w:hint="default"/>
                <w:spacing w:val="-8"/>
                <w:sz w:val="18"/>
                <w:szCs w:val="18"/>
              </w:rPr>
              <w:t>单项金额不重大的应收账款</w:t>
            </w:r>
          </w:p>
        </w:tc>
        <w:tc>
          <w:tcPr>
            <w:tcW w:w="1557" w:type="dxa"/>
            <w:tcBorders>
              <w:top w:val="nil" w:sz="6" w:space="0" w:color="auto"/>
              <w:left w:val="nil" w:sz="6" w:space="0" w:color="auto"/>
              <w:bottom w:val="single" w:sz="6" w:space="0" w:color="000000"/>
              <w:right w:val="nil" w:sz="6" w:space="0" w:color="auto"/>
            </w:tcBorders>
          </w:tcPr>
          <w:p>
            <w:pPr>
              <w:pStyle w:val="TableParagraph"/>
              <w:spacing w:line="240" w:lineRule="auto" w:before="131"/>
              <w:ind w:right="97"/>
              <w:jc w:val="right"/>
              <w:rPr>
                <w:rFonts w:ascii="Times New Roman" w:hAnsi="Times New Roman" w:cs="Times New Roman" w:eastAsia="Times New Roman" w:hint="default"/>
                <w:sz w:val="18"/>
                <w:szCs w:val="18"/>
              </w:rPr>
            </w:pPr>
            <w:r>
              <w:rPr>
                <w:rFonts w:ascii="Times New Roman"/>
                <w:spacing w:val="-5"/>
                <w:sz w:val="18"/>
              </w:rPr>
              <w:t>36,882,341.22</w:t>
            </w:r>
            <w:r>
              <w:rPr>
                <w:rFonts w:ascii="Times New Roman"/>
                <w:sz w:val="18"/>
              </w:rPr>
            </w:r>
          </w:p>
        </w:tc>
        <w:tc>
          <w:tcPr>
            <w:tcW w:w="1231" w:type="dxa"/>
            <w:tcBorders>
              <w:top w:val="nil" w:sz="6" w:space="0" w:color="auto"/>
              <w:left w:val="nil" w:sz="6" w:space="0" w:color="auto"/>
              <w:bottom w:val="single" w:sz="6" w:space="0" w:color="000000"/>
              <w:right w:val="nil" w:sz="6" w:space="0" w:color="auto"/>
            </w:tcBorders>
          </w:tcPr>
          <w:p>
            <w:pPr>
              <w:pStyle w:val="TableParagraph"/>
              <w:spacing w:line="240" w:lineRule="auto" w:before="131"/>
              <w:ind w:left="187" w:right="0"/>
              <w:jc w:val="left"/>
              <w:rPr>
                <w:rFonts w:ascii="Times New Roman" w:hAnsi="Times New Roman" w:cs="Times New Roman" w:eastAsia="Times New Roman" w:hint="default"/>
                <w:sz w:val="18"/>
                <w:szCs w:val="18"/>
              </w:rPr>
            </w:pPr>
            <w:r>
              <w:rPr>
                <w:rFonts w:ascii="Times New Roman"/>
                <w:spacing w:val="-4"/>
                <w:sz w:val="18"/>
              </w:rPr>
              <w:t>34.95%</w:t>
            </w:r>
          </w:p>
        </w:tc>
        <w:tc>
          <w:tcPr>
            <w:tcW w:w="1221" w:type="dxa"/>
            <w:tcBorders>
              <w:top w:val="nil" w:sz="6" w:space="0" w:color="auto"/>
              <w:left w:val="nil" w:sz="6" w:space="0" w:color="auto"/>
              <w:bottom w:val="single" w:sz="6" w:space="0" w:color="000000"/>
              <w:right w:val="nil" w:sz="6" w:space="0" w:color="auto"/>
            </w:tcBorders>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pacing w:val="-4"/>
                <w:sz w:val="18"/>
              </w:rPr>
              <w:t>2,721,641.76</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7"/>
              <w:ind w:left="863" w:right="0"/>
              <w:jc w:val="left"/>
              <w:rPr>
                <w:rFonts w:ascii="Times New Roman" w:hAnsi="Times New Roman" w:cs="Times New Roman" w:eastAsia="Times New Roman" w:hint="default"/>
                <w:sz w:val="18"/>
                <w:szCs w:val="18"/>
              </w:rPr>
            </w:pPr>
            <w:r>
              <w:rPr>
                <w:rFonts w:ascii="Times New Roman"/>
                <w:sz w:val="18"/>
              </w:rPr>
              <w:t>7.38%</w:t>
            </w:r>
          </w:p>
        </w:tc>
      </w:tr>
      <w:tr>
        <w:trPr>
          <w:trHeight w:val="423" w:hRule="exact"/>
        </w:trPr>
        <w:tc>
          <w:tcPr>
            <w:tcW w:w="4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right="238"/>
              <w:jc w:val="right"/>
              <w:rPr>
                <w:rFonts w:ascii="Times New Roman" w:hAnsi="Times New Roman" w:cs="Times New Roman" w:eastAsia="Times New Roman" w:hint="default"/>
                <w:sz w:val="18"/>
                <w:szCs w:val="18"/>
              </w:rPr>
            </w:pPr>
            <w:r>
              <w:rPr>
                <w:rFonts w:ascii="Times New Roman"/>
                <w:spacing w:val="-4"/>
                <w:w w:val="95"/>
                <w:sz w:val="18"/>
              </w:rPr>
              <w:t>RMB</w:t>
            </w:r>
            <w:r>
              <w:rPr>
                <w:rFonts w:ascii="Times New Roman"/>
                <w:sz w:val="18"/>
              </w:rPr>
            </w:r>
          </w:p>
        </w:tc>
        <w:tc>
          <w:tcPr>
            <w:tcW w:w="1557"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120"/>
              <w:jc w:val="right"/>
              <w:rPr>
                <w:rFonts w:ascii="Times New Roman" w:hAnsi="Times New Roman" w:cs="Times New Roman" w:eastAsia="Times New Roman" w:hint="default"/>
                <w:sz w:val="18"/>
                <w:szCs w:val="18"/>
              </w:rPr>
            </w:pPr>
            <w:r>
              <w:rPr>
                <w:rFonts w:ascii="Times New Roman"/>
                <w:spacing w:val="-5"/>
                <w:sz w:val="18"/>
              </w:rPr>
              <w:t>105,530,238.65</w:t>
            </w:r>
            <w:r>
              <w:rPr>
                <w:rFonts w:ascii="Times New Roman"/>
                <w:sz w:val="18"/>
              </w:rPr>
            </w:r>
          </w:p>
        </w:tc>
        <w:tc>
          <w:tcPr>
            <w:tcW w:w="1231"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44"/>
              <w:jc w:val="right"/>
              <w:rPr>
                <w:rFonts w:ascii="Times New Roman" w:hAnsi="Times New Roman" w:cs="Times New Roman" w:eastAsia="Times New Roman" w:hint="default"/>
                <w:sz w:val="18"/>
                <w:szCs w:val="18"/>
              </w:rPr>
            </w:pPr>
            <w:r>
              <w:rPr>
                <w:rFonts w:ascii="Times New Roman"/>
                <w:spacing w:val="-4"/>
                <w:sz w:val="18"/>
              </w:rPr>
              <w:t>100.00%</w:t>
            </w:r>
            <w:r>
              <w:rPr>
                <w:rFonts w:ascii="Times New Roman"/>
                <w:spacing w:val="30"/>
                <w:sz w:val="18"/>
              </w:rPr>
              <w:t> </w:t>
            </w:r>
            <w:r>
              <w:rPr>
                <w:rFonts w:ascii="Times New Roman"/>
                <w:spacing w:val="-4"/>
                <w:sz w:val="18"/>
              </w:rPr>
              <w:t>RMB</w:t>
            </w:r>
            <w:r>
              <w:rPr>
                <w:rFonts w:ascii="Times New Roman"/>
                <w:sz w:val="18"/>
              </w:rPr>
            </w:r>
          </w:p>
        </w:tc>
        <w:tc>
          <w:tcPr>
            <w:tcW w:w="1221"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1"/>
              <w:jc w:val="right"/>
              <w:rPr>
                <w:rFonts w:ascii="Times New Roman" w:hAnsi="Times New Roman" w:cs="Times New Roman" w:eastAsia="Times New Roman" w:hint="default"/>
                <w:sz w:val="18"/>
                <w:szCs w:val="18"/>
              </w:rPr>
            </w:pPr>
            <w:r>
              <w:rPr>
                <w:rFonts w:ascii="Times New Roman"/>
                <w:spacing w:val="-4"/>
                <w:sz w:val="18"/>
              </w:rPr>
              <w:t>7,518,749.26</w:t>
            </w:r>
          </w:p>
        </w:tc>
        <w:tc>
          <w:tcPr>
            <w:tcW w:w="1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863" w:right="0"/>
              <w:jc w:val="left"/>
              <w:rPr>
                <w:rFonts w:ascii="Times New Roman" w:hAnsi="Times New Roman" w:cs="Times New Roman" w:eastAsia="Times New Roman" w:hint="default"/>
                <w:sz w:val="18"/>
                <w:szCs w:val="18"/>
              </w:rPr>
            </w:pPr>
            <w:r>
              <w:rPr>
                <w:rFonts w:ascii="Times New Roman"/>
                <w:sz w:val="18"/>
              </w:rPr>
              <w:t>7.12%</w:t>
            </w:r>
          </w:p>
        </w:tc>
      </w:tr>
    </w:tbl>
    <w:p>
      <w:pPr>
        <w:spacing w:line="28" w:lineRule="exact"/>
        <w:ind w:left="39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233pt;height:1.45pt;mso-position-horizontal-relative:char;mso-position-vertical-relative:line" coordorigin="0,0" coordsize="4660,29">
            <v:group style="position:absolute;left:5;top:24;width:429;height:2" coordorigin="5,24" coordsize="429,2">
              <v:shape style="position:absolute;left:5;top:24;width:429;height:2" coordorigin="5,24" coordsize="429,0" path="m5,24l433,24e" filled="false" stroked="true" strokeweight=".48pt" strokecolor="#000000">
                <v:path arrowok="t"/>
              </v:shape>
            </v:group>
            <v:group style="position:absolute;left:5;top:5;width:429;height:2" coordorigin="5,5" coordsize="429,2">
              <v:shape style="position:absolute;left:5;top:5;width:429;height:2" coordorigin="5,5" coordsize="429,0" path="m5,5l433,5e" filled="false" stroked="true" strokeweight=".48pt" strokecolor="#000000">
                <v:path arrowok="t"/>
              </v:shape>
            </v:group>
            <v:group style="position:absolute;left:419;top:5;width:29;height:2" coordorigin="419,5" coordsize="29,2">
              <v:shape style="position:absolute;left:419;top:5;width:29;height:2" coordorigin="419,5" coordsize="29,0" path="m419,5l448,5e" filled="false" stroked="true" strokeweight=".48pt" strokecolor="#000000">
                <v:path arrowok="t"/>
              </v:shape>
            </v:group>
            <v:group style="position:absolute;left:419;top:24;width:1665;height:2" coordorigin="419,24" coordsize="1665,2">
              <v:shape style="position:absolute;left:419;top:24;width:1665;height:2" coordorigin="419,24" coordsize="1665,0" path="m419,24l2083,24e" filled="false" stroked="true" strokeweight=".48pt" strokecolor="#000000">
                <v:path arrowok="t"/>
              </v:shape>
            </v:group>
            <v:group style="position:absolute;left:448;top:5;width:1636;height:2" coordorigin="448,5" coordsize="1636,2">
              <v:shape style="position:absolute;left:448;top:5;width:1636;height:2" coordorigin="448,5" coordsize="1636,0" path="m448,5l2083,5e" filled="false" stroked="true" strokeweight=".48pt" strokecolor="#000000">
                <v:path arrowok="t"/>
              </v:shape>
            </v:group>
            <v:group style="position:absolute;left:2129;top:24;width:796;height:2" coordorigin="2129,24" coordsize="796,2">
              <v:shape style="position:absolute;left:2129;top:24;width:796;height:2" coordorigin="2129,24" coordsize="796,0" path="m2129,24l2924,24e" filled="false" stroked="true" strokeweight=".48pt" strokecolor="#000000">
                <v:path arrowok="t"/>
              </v:shape>
            </v:group>
            <v:group style="position:absolute;left:2129;top:5;width:796;height:2" coordorigin="2129,5" coordsize="796,2">
              <v:shape style="position:absolute;left:2129;top:5;width:796;height:2" coordorigin="2129,5" coordsize="796,0" path="m2129,5l2924,5e" filled="false" stroked="true" strokeweight=".48pt" strokecolor="#000000">
                <v:path arrowok="t"/>
              </v:shape>
            </v:group>
            <v:group style="position:absolute;left:2987;top:24;width:404;height:2" coordorigin="2987,24" coordsize="404,2">
              <v:shape style="position:absolute;left:2987;top:24;width:404;height:2" coordorigin="2987,24" coordsize="404,0" path="m2987,24l3390,24e" filled="false" stroked="true" strokeweight=".48pt" strokecolor="#000000">
                <v:path arrowok="t"/>
              </v:shape>
            </v:group>
            <v:group style="position:absolute;left:2987;top:5;width:404;height:2" coordorigin="2987,5" coordsize="404,2">
              <v:shape style="position:absolute;left:2987;top:5;width:404;height:2" coordorigin="2987,5" coordsize="404,0" path="m2987,5l3390,5e" filled="false" stroked="true" strokeweight=".48pt" strokecolor="#000000">
                <v:path arrowok="t"/>
              </v:shape>
            </v:group>
            <v:group style="position:absolute;left:3376;top:5;width:29;height:2" coordorigin="3376,5" coordsize="29,2">
              <v:shape style="position:absolute;left:3376;top:5;width:29;height:2" coordorigin="3376,5" coordsize="29,0" path="m3376,5l3404,5e" filled="false" stroked="true" strokeweight=".48pt" strokecolor="#000000">
                <v:path arrowok="t"/>
              </v:shape>
            </v:group>
            <v:group style="position:absolute;left:3376;top:24;width:29;height:2" coordorigin="3376,24" coordsize="29,2">
              <v:shape style="position:absolute;left:3376;top:24;width:29;height:2" coordorigin="3376,24" coordsize="29,0" path="m3376,24l3404,24e" filled="false" stroked="true" strokeweight=".48pt" strokecolor="#000000">
                <v:path arrowok="t"/>
              </v:shape>
            </v:group>
            <v:group style="position:absolute;left:3404;top:24;width:1251;height:2" coordorigin="3404,24" coordsize="1251,2">
              <v:shape style="position:absolute;left:3404;top:24;width:1251;height:2" coordorigin="3404,24" coordsize="1251,0" path="m3404,24l4655,24e" filled="false" stroked="true" strokeweight=".48pt" strokecolor="#000000">
                <v:path arrowok="t"/>
              </v:shape>
            </v:group>
            <v:group style="position:absolute;left:3404;top:5;width:1251;height:2" coordorigin="3404,5" coordsize="1251,2">
              <v:shape style="position:absolute;left:3404;top:5;width:1251;height:2" coordorigin="3404,5" coordsize="1251,0" path="m3404,5l4655,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pgSz w:w="11910" w:h="16840"/>
          <w:pgMar w:header="877" w:footer="1022" w:top="1060" w:bottom="1220" w:left="820" w:right="980"/>
        </w:sectPr>
      </w:pPr>
    </w:p>
    <w:p>
      <w:pPr>
        <w:spacing w:line="240" w:lineRule="auto" w:before="0"/>
        <w:rPr>
          <w:rFonts w:ascii="Times New Roman" w:hAnsi="Times New Roman" w:cs="Times New Roman" w:eastAsia="Times New Roman" w:hint="default"/>
          <w:sz w:val="20"/>
          <w:szCs w:val="20"/>
        </w:rPr>
      </w:pPr>
    </w:p>
    <w:p>
      <w:pPr>
        <w:pStyle w:val="BodyText"/>
        <w:spacing w:line="283" w:lineRule="auto" w:before="181"/>
        <w:ind w:right="0" w:firstLine="480"/>
        <w:jc w:val="left"/>
      </w:pPr>
      <w:r>
        <w:rPr>
          <w:rFonts w:ascii="Times New Roman" w:hAnsi="Times New Roman" w:cs="Times New Roman" w:eastAsia="Times New Roman" w:hint="default"/>
        </w:rPr>
        <w:t>* </w:t>
      </w:r>
      <w:r>
        <w:rPr/>
        <w:t>本公司单项金额重大的应收账款指单笔金额为 </w:t>
      </w:r>
      <w:r>
        <w:rPr>
          <w:rFonts w:ascii="Times New Roman" w:hAnsi="Times New Roman" w:cs="Times New Roman" w:eastAsia="Times New Roman" w:hint="default"/>
        </w:rPr>
        <w:t>1,000,000.00</w:t>
      </w:r>
      <w:r>
        <w:rPr>
          <w:rFonts w:ascii="Times New Roman" w:hAnsi="Times New Roman" w:cs="Times New Roman" w:eastAsia="Times New Roman" w:hint="default"/>
          <w:spacing w:val="38"/>
        </w:rPr>
        <w:t> </w:t>
      </w:r>
      <w:r>
        <w:rPr/>
        <w:t>人民币元以上的客户应收 账款，经减值测试后不存在减值，公司按账龄计提坏账准备。</w:t>
      </w:r>
    </w:p>
    <w:p>
      <w:pPr>
        <w:pStyle w:val="BodyText"/>
        <w:spacing w:line="283" w:lineRule="auto" w:before="82"/>
        <w:ind w:right="0" w:firstLine="4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3"/>
        </w:rPr>
        <w:t>本公司单项金额不重大但按信用风险特征组合后该组合的风险较大的应收账款，是指</w:t>
      </w:r>
      <w:r>
        <w:rPr/>
        <w:t> 账龄超过三年的应收账款，经减值测试后不存在减值，公司按账龄计提坏账准备。</w:t>
      </w:r>
    </w:p>
    <w:p>
      <w:pPr>
        <w:pStyle w:val="BodyText"/>
        <w:spacing w:line="280" w:lineRule="auto" w:before="82"/>
        <w:ind w:right="0" w:firstLine="480"/>
        <w:jc w:val="left"/>
      </w:pPr>
      <w:r>
        <w:rPr>
          <w:rFonts w:ascii="Times New Roman" w:hAnsi="Times New Roman" w:cs="Times New Roman" w:eastAsia="Times New Roman" w:hint="default"/>
        </w:rPr>
        <w:t>*** </w:t>
      </w:r>
      <w:r>
        <w:rPr/>
        <w:t>本公司单项金额不重大的应收账款指单笔金额为 </w:t>
      </w:r>
      <w:r>
        <w:rPr>
          <w:rFonts w:ascii="Times New Roman" w:hAnsi="Times New Roman" w:cs="Times New Roman" w:eastAsia="Times New Roman" w:hint="default"/>
        </w:rPr>
        <w:t>1,000,000.00</w:t>
      </w:r>
      <w:r>
        <w:rPr>
          <w:rFonts w:ascii="Times New Roman" w:hAnsi="Times New Roman" w:cs="Times New Roman" w:eastAsia="Times New Roman" w:hint="default"/>
          <w:spacing w:val="38"/>
        </w:rPr>
        <w:t> </w:t>
      </w:r>
      <w:r>
        <w:rPr/>
        <w:t>人民币元以下的客户 应收账款。</w:t>
      </w:r>
    </w:p>
    <w:p>
      <w:pPr>
        <w:pStyle w:val="BodyText"/>
        <w:spacing w:line="403" w:lineRule="auto" w:before="85"/>
        <w:ind w:left="774" w:right="1540" w:firstLine="99"/>
        <w:jc w:val="left"/>
      </w:pPr>
      <w:r>
        <w:rPr/>
        <w:t>③ </w:t>
      </w:r>
      <w:r>
        <w:rPr>
          <w:spacing w:val="7"/>
        </w:rPr>
        <w:t>应收账款中无持有本公司 </w:t>
      </w:r>
      <w:r>
        <w:rPr>
          <w:rFonts w:ascii="Times New Roman" w:hAnsi="Times New Roman" w:cs="Times New Roman" w:eastAsia="Times New Roman" w:hint="default"/>
          <w:spacing w:val="3"/>
        </w:rPr>
        <w:t>5%(</w:t>
      </w:r>
      <w:r>
        <w:rPr>
          <w:spacing w:val="3"/>
        </w:rPr>
        <w:t>含</w:t>
      </w:r>
      <w:r>
        <w:rPr>
          <w:spacing w:val="-97"/>
        </w:rPr>
        <w:t> </w:t>
      </w:r>
      <w:r>
        <w:rPr>
          <w:rFonts w:ascii="Times New Roman" w:hAnsi="Times New Roman" w:cs="Times New Roman" w:eastAsia="Times New Roman" w:hint="default"/>
          <w:spacing w:val="7"/>
        </w:rPr>
        <w:t>5%)</w:t>
      </w:r>
      <w:r>
        <w:rPr>
          <w:spacing w:val="7"/>
        </w:rPr>
        <w:t>以上股份的股东单位的欠款。</w:t>
      </w:r>
      <w:r>
        <w:rPr>
          <w:spacing w:val="8"/>
        </w:rPr>
        <w:t> </w:t>
      </w: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spacing w:val="7"/>
        </w:rPr>
        <w:t>其他应收款</w:t>
      </w:r>
      <w:r>
        <w:rPr/>
      </w:r>
    </w:p>
    <w:p>
      <w:pPr>
        <w:pStyle w:val="BodyText"/>
        <w:spacing w:line="240" w:lineRule="auto" w:before="47"/>
        <w:ind w:left="787" w:right="0"/>
        <w:jc w:val="left"/>
      </w:pPr>
      <w:r>
        <w:rPr/>
        <w:pict>
          <v:group style="position:absolute;margin-left:153.419998pt;margin-top:49.485931pt;width:187.5pt;height:.1pt;mso-position-horizontal-relative:page;mso-position-vertical-relative:paragraph;z-index:-507520" coordorigin="3068,990" coordsize="3750,2">
            <v:shape style="position:absolute;left:3068;top:990;width:3750;height:2" coordorigin="3068,990" coordsize="3750,0" path="m3068,990l6818,990e" filled="false" stroked="true" strokeweight=".72pt" strokecolor="#000000">
              <v:path arrowok="t"/>
            </v:shape>
            <w10:wrap type="none"/>
          </v:group>
        </w:pict>
      </w:r>
      <w:r>
        <w:rPr/>
        <w:pict>
          <v:group style="position:absolute;margin-left:346.920013pt;margin-top:49.485931pt;width:193.65pt;height:.1pt;mso-position-horizontal-relative:page;mso-position-vertical-relative:paragraph;z-index:-507496" coordorigin="6938,990" coordsize="3873,2">
            <v:shape style="position:absolute;left:6938;top:990;width:3873;height:2" coordorigin="6938,990" coordsize="3873,0" path="m6938,990l10811,990e" filled="false" stroked="true" strokeweight=".72pt" strokecolor="#000000">
              <v:path arrowok="t"/>
            </v:shape>
            <w10:wrap type="none"/>
          </v:group>
        </w:pict>
      </w:r>
      <w:r>
        <w:rPr/>
        <w:t>①</w:t>
      </w:r>
      <w:r>
        <w:rPr>
          <w:spacing w:val="7"/>
        </w:rPr>
        <w:t> </w:t>
      </w:r>
      <w:r>
        <w:rPr>
          <w:spacing w:val="8"/>
        </w:rPr>
        <w:t>其他应收款账龄分析列示如下：</w:t>
      </w:r>
      <w:r>
        <w:rPr/>
      </w:r>
    </w:p>
    <w:p>
      <w:pPr>
        <w:spacing w:line="240" w:lineRule="auto" w:before="6"/>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935"/>
        <w:gridCol w:w="1000"/>
        <w:gridCol w:w="1453"/>
        <w:gridCol w:w="121"/>
        <w:gridCol w:w="808"/>
        <w:gridCol w:w="104"/>
        <w:gridCol w:w="1272"/>
        <w:gridCol w:w="112"/>
        <w:gridCol w:w="1394"/>
        <w:gridCol w:w="211"/>
        <w:gridCol w:w="681"/>
        <w:gridCol w:w="125"/>
        <w:gridCol w:w="1469"/>
      </w:tblGrid>
      <w:tr>
        <w:trPr>
          <w:trHeight w:val="181" w:hRule="exact"/>
        </w:trPr>
        <w:tc>
          <w:tcPr>
            <w:tcW w:w="935" w:type="dxa"/>
            <w:tcBorders>
              <w:top w:val="nil" w:sz="6" w:space="0" w:color="auto"/>
              <w:left w:val="nil" w:sz="6" w:space="0" w:color="auto"/>
              <w:bottom w:val="nil" w:sz="6" w:space="0" w:color="auto"/>
              <w:right w:val="nil" w:sz="6" w:space="0" w:color="auto"/>
            </w:tcBorders>
          </w:tcPr>
          <w:p>
            <w:pPr/>
          </w:p>
        </w:tc>
        <w:tc>
          <w:tcPr>
            <w:tcW w:w="1000" w:type="dxa"/>
            <w:vMerge w:val="restart"/>
            <w:tcBorders>
              <w:top w:val="nil" w:sz="6" w:space="0" w:color="auto"/>
              <w:left w:val="nil" w:sz="6" w:space="0" w:color="auto"/>
              <w:right w:val="nil" w:sz="6" w:space="0" w:color="auto"/>
            </w:tcBorders>
          </w:tcPr>
          <w:p>
            <w:pPr>
              <w:pStyle w:val="TableParagraph"/>
              <w:spacing w:line="340" w:lineRule="auto" w:before="26"/>
              <w:ind w:left="343" w:right="198" w:hanging="114"/>
              <w:jc w:val="left"/>
              <w:rPr>
                <w:rFonts w:ascii="宋体" w:hAnsi="宋体" w:cs="宋体" w:eastAsia="宋体" w:hint="default"/>
                <w:sz w:val="15"/>
                <w:szCs w:val="15"/>
              </w:rPr>
            </w:pPr>
            <w:r>
              <w:rPr>
                <w:rFonts w:ascii="宋体" w:hAnsi="宋体" w:cs="宋体" w:eastAsia="宋体" w:hint="default"/>
                <w:spacing w:val="-36"/>
                <w:sz w:val="15"/>
                <w:szCs w:val="15"/>
              </w:rPr>
              <w:t>坏账准备计 提比例</w:t>
            </w:r>
            <w:r>
              <w:rPr>
                <w:rFonts w:ascii="宋体" w:hAnsi="宋体" w:cs="宋体" w:eastAsia="宋体" w:hint="default"/>
                <w:sz w:val="15"/>
                <w:szCs w:val="15"/>
              </w:rPr>
            </w:r>
          </w:p>
        </w:tc>
        <w:tc>
          <w:tcPr>
            <w:tcW w:w="2382" w:type="dxa"/>
            <w:gridSpan w:val="3"/>
            <w:tcBorders>
              <w:top w:val="nil" w:sz="6" w:space="0" w:color="auto"/>
              <w:left w:val="nil" w:sz="6" w:space="0" w:color="auto"/>
              <w:bottom w:val="nil" w:sz="6" w:space="0" w:color="auto"/>
              <w:right w:val="nil" w:sz="6" w:space="0" w:color="auto"/>
            </w:tcBorders>
          </w:tcPr>
          <w:p>
            <w:pPr>
              <w:pStyle w:val="TableParagraph"/>
              <w:spacing w:line="153" w:lineRule="exact"/>
              <w:ind w:left="1584" w:right="0"/>
              <w:jc w:val="left"/>
              <w:rPr>
                <w:rFonts w:ascii="Times New Roman" w:hAnsi="Times New Roman" w:cs="Times New Roman" w:eastAsia="Times New Roman" w:hint="default"/>
                <w:sz w:val="15"/>
                <w:szCs w:val="15"/>
              </w:rPr>
            </w:pPr>
            <w:r>
              <w:rPr>
                <w:rFonts w:ascii="Times New Roman"/>
                <w:spacing w:val="-9"/>
                <w:sz w:val="15"/>
              </w:rPr>
              <w:t>2007.12.31</w:t>
            </w:r>
            <w:r>
              <w:rPr>
                <w:rFonts w:ascii="Times New Roman"/>
                <w:sz w:val="15"/>
              </w:rPr>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Style w:val="TableParagraph"/>
              <w:spacing w:line="153" w:lineRule="exact"/>
              <w:ind w:right="43"/>
              <w:jc w:val="right"/>
              <w:rPr>
                <w:rFonts w:ascii="Times New Roman" w:hAnsi="Times New Roman" w:cs="Times New Roman" w:eastAsia="Times New Roman" w:hint="default"/>
                <w:sz w:val="15"/>
                <w:szCs w:val="15"/>
              </w:rPr>
            </w:pPr>
            <w:r>
              <w:rPr>
                <w:rFonts w:ascii="Times New Roman"/>
                <w:spacing w:val="-9"/>
                <w:sz w:val="15"/>
              </w:rPr>
              <w:t>2006.12.31</w:t>
            </w:r>
            <w:r>
              <w:rPr>
                <w:rFonts w:ascii="Times New Roman"/>
                <w:sz w:val="15"/>
              </w:rPr>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216"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181" w:lineRule="exact"/>
              <w:ind w:right="329"/>
              <w:jc w:val="right"/>
              <w:rPr>
                <w:rFonts w:ascii="宋体" w:hAnsi="宋体" w:cs="宋体" w:eastAsia="宋体" w:hint="default"/>
                <w:sz w:val="15"/>
                <w:szCs w:val="15"/>
              </w:rPr>
            </w:pPr>
            <w:r>
              <w:rPr>
                <w:rFonts w:ascii="宋体" w:hAnsi="宋体" w:cs="宋体" w:eastAsia="宋体" w:hint="default"/>
                <w:spacing w:val="-17"/>
                <w:w w:val="95"/>
                <w:sz w:val="15"/>
                <w:szCs w:val="15"/>
              </w:rPr>
              <w:t>账龄</w:t>
            </w:r>
            <w:r>
              <w:rPr>
                <w:rFonts w:ascii="宋体" w:hAnsi="宋体" w:cs="宋体" w:eastAsia="宋体" w:hint="default"/>
                <w:w w:val="95"/>
                <w:sz w:val="15"/>
                <w:szCs w:val="15"/>
              </w:rPr>
            </w:r>
          </w:p>
        </w:tc>
        <w:tc>
          <w:tcPr>
            <w:tcW w:w="1000" w:type="dxa"/>
            <w:vMerge/>
            <w:tcBorders>
              <w:left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10" w:hRule="exact"/>
        </w:trPr>
        <w:tc>
          <w:tcPr>
            <w:tcW w:w="935" w:type="dxa"/>
            <w:tcBorders>
              <w:top w:val="nil" w:sz="6" w:space="0" w:color="auto"/>
              <w:left w:val="nil" w:sz="6" w:space="0" w:color="auto"/>
              <w:bottom w:val="single" w:sz="4" w:space="0" w:color="000000"/>
              <w:right w:val="nil" w:sz="6" w:space="0" w:color="auto"/>
            </w:tcBorders>
          </w:tcPr>
          <w:p>
            <w:pPr/>
          </w:p>
        </w:tc>
        <w:tc>
          <w:tcPr>
            <w:tcW w:w="1000" w:type="dxa"/>
            <w:vMerge/>
            <w:tcBorders>
              <w:left w:val="nil" w:sz="6" w:space="0" w:color="auto"/>
              <w:bottom w:val="single" w:sz="8" w:space="0" w:color="000000"/>
              <w:right w:val="nil" w:sz="6" w:space="0" w:color="auto"/>
            </w:tcBorders>
          </w:tcPr>
          <w:p>
            <w:pPr/>
          </w:p>
        </w:tc>
        <w:tc>
          <w:tcPr>
            <w:tcW w:w="1453" w:type="dxa"/>
            <w:tcBorders>
              <w:top w:val="nil" w:sz="6" w:space="0" w:color="auto"/>
              <w:left w:val="nil" w:sz="6" w:space="0" w:color="auto"/>
              <w:bottom w:val="single" w:sz="6" w:space="0" w:color="000000"/>
              <w:right w:val="nil" w:sz="6" w:space="0" w:color="auto"/>
            </w:tcBorders>
          </w:tcPr>
          <w:p>
            <w:pPr>
              <w:pStyle w:val="TableParagraph"/>
              <w:spacing w:line="185" w:lineRule="exact"/>
              <w:ind w:left="28" w:right="0"/>
              <w:jc w:val="center"/>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27"/>
                <w:sz w:val="15"/>
                <w:szCs w:val="15"/>
              </w:rPr>
              <w:t> </w:t>
            </w:r>
            <w:r>
              <w:rPr>
                <w:rFonts w:ascii="宋体" w:hAnsi="宋体" w:cs="宋体" w:eastAsia="宋体" w:hint="default"/>
                <w:sz w:val="15"/>
                <w:szCs w:val="15"/>
              </w:rPr>
              <w:t>额</w:t>
            </w: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single" w:sz="6" w:space="0" w:color="000000"/>
              <w:right w:val="nil" w:sz="6" w:space="0" w:color="auto"/>
            </w:tcBorders>
          </w:tcPr>
          <w:p>
            <w:pPr>
              <w:pStyle w:val="TableParagraph"/>
              <w:spacing w:line="185" w:lineRule="exact"/>
              <w:ind w:left="278" w:right="0"/>
              <w:jc w:val="left"/>
              <w:rPr>
                <w:rFonts w:ascii="宋体" w:hAnsi="宋体" w:cs="宋体" w:eastAsia="宋体" w:hint="default"/>
                <w:sz w:val="15"/>
                <w:szCs w:val="15"/>
              </w:rPr>
            </w:pPr>
            <w:r>
              <w:rPr>
                <w:rFonts w:ascii="宋体" w:hAnsi="宋体" w:cs="宋体" w:eastAsia="宋体" w:hint="default"/>
                <w:spacing w:val="-17"/>
                <w:sz w:val="15"/>
                <w:szCs w:val="15"/>
              </w:rPr>
              <w:t>比例</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185" w:lineRule="exact"/>
              <w:ind w:left="373" w:right="0"/>
              <w:jc w:val="left"/>
              <w:rPr>
                <w:rFonts w:ascii="宋体" w:hAnsi="宋体" w:cs="宋体" w:eastAsia="宋体" w:hint="default"/>
                <w:sz w:val="15"/>
                <w:szCs w:val="15"/>
              </w:rPr>
            </w:pPr>
            <w:r>
              <w:rPr>
                <w:rFonts w:ascii="宋体" w:hAnsi="宋体" w:cs="宋体" w:eastAsia="宋体" w:hint="default"/>
                <w:spacing w:val="-17"/>
                <w:sz w:val="15"/>
                <w:szCs w:val="15"/>
              </w:rPr>
              <w:t>坏账准备</w:t>
            </w:r>
            <w:r>
              <w:rPr>
                <w:rFonts w:ascii="宋体" w:hAnsi="宋体" w:cs="宋体" w:eastAsia="宋体" w:hint="default"/>
                <w:sz w:val="15"/>
                <w:szCs w:val="15"/>
              </w:rPr>
            </w: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6" w:space="0" w:color="000000"/>
              <w:right w:val="nil" w:sz="6" w:space="0" w:color="auto"/>
            </w:tcBorders>
          </w:tcPr>
          <w:p>
            <w:pPr>
              <w:pStyle w:val="TableParagraph"/>
              <w:spacing w:line="185" w:lineRule="exact"/>
              <w:ind w:left="30" w:right="0"/>
              <w:jc w:val="center"/>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27"/>
                <w:sz w:val="15"/>
                <w:szCs w:val="15"/>
              </w:rPr>
              <w:t> </w:t>
            </w:r>
            <w:r>
              <w:rPr>
                <w:rFonts w:ascii="宋体" w:hAnsi="宋体" w:cs="宋体" w:eastAsia="宋体" w:hint="default"/>
                <w:sz w:val="15"/>
                <w:szCs w:val="15"/>
              </w:rPr>
              <w:t>额</w:t>
            </w: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single" w:sz="4" w:space="0" w:color="000000"/>
              <w:right w:val="nil" w:sz="6" w:space="0" w:color="auto"/>
            </w:tcBorders>
          </w:tcPr>
          <w:p>
            <w:pPr>
              <w:pStyle w:val="TableParagraph"/>
              <w:spacing w:line="185" w:lineRule="exact"/>
              <w:ind w:left="218" w:right="0"/>
              <w:jc w:val="left"/>
              <w:rPr>
                <w:rFonts w:ascii="宋体" w:hAnsi="宋体" w:cs="宋体" w:eastAsia="宋体" w:hint="default"/>
                <w:sz w:val="15"/>
                <w:szCs w:val="15"/>
              </w:rPr>
            </w:pPr>
            <w:r>
              <w:rPr>
                <w:rFonts w:ascii="宋体" w:hAnsi="宋体" w:cs="宋体" w:eastAsia="宋体" w:hint="default"/>
                <w:spacing w:val="-17"/>
                <w:sz w:val="15"/>
                <w:szCs w:val="15"/>
              </w:rPr>
              <w:t>比例</w:t>
            </w:r>
            <w:r>
              <w:rPr>
                <w:rFonts w:ascii="宋体" w:hAnsi="宋体" w:cs="宋体" w:eastAsia="宋体" w:hint="default"/>
                <w:sz w:val="15"/>
                <w:szCs w:val="15"/>
              </w:rPr>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185" w:lineRule="exact"/>
              <w:ind w:left="478" w:right="0"/>
              <w:jc w:val="left"/>
              <w:rPr>
                <w:rFonts w:ascii="宋体" w:hAnsi="宋体" w:cs="宋体" w:eastAsia="宋体" w:hint="default"/>
                <w:sz w:val="15"/>
                <w:szCs w:val="15"/>
              </w:rPr>
            </w:pPr>
            <w:r>
              <w:rPr>
                <w:rFonts w:ascii="宋体" w:hAnsi="宋体" w:cs="宋体" w:eastAsia="宋体" w:hint="default"/>
                <w:spacing w:val="-17"/>
                <w:sz w:val="15"/>
                <w:szCs w:val="15"/>
              </w:rPr>
              <w:t>坏账准备</w:t>
            </w:r>
            <w:r>
              <w:rPr>
                <w:rFonts w:ascii="宋体" w:hAnsi="宋体" w:cs="宋体" w:eastAsia="宋体" w:hint="default"/>
                <w:sz w:val="15"/>
                <w:szCs w:val="15"/>
              </w:rPr>
            </w:r>
          </w:p>
        </w:tc>
      </w:tr>
      <w:tr>
        <w:trPr>
          <w:trHeight w:val="461" w:hRule="exact"/>
        </w:trPr>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65"/>
              <w:jc w:val="right"/>
              <w:rPr>
                <w:rFonts w:ascii="宋体" w:hAnsi="宋体" w:cs="宋体" w:eastAsia="宋体" w:hint="default"/>
                <w:sz w:val="15"/>
                <w:szCs w:val="15"/>
              </w:rPr>
            </w:pPr>
            <w:r>
              <w:rPr>
                <w:rFonts w:ascii="宋体" w:hAnsi="宋体" w:cs="宋体" w:eastAsia="宋体" w:hint="default"/>
                <w:spacing w:val="-9"/>
                <w:sz w:val="15"/>
                <w:szCs w:val="15"/>
              </w:rPr>
              <w:t>一年以内</w:t>
            </w:r>
            <w:r>
              <w:rPr>
                <w:rFonts w:ascii="宋体" w:hAnsi="宋体" w:cs="宋体" w:eastAsia="宋体" w:hint="default"/>
                <w:sz w:val="15"/>
                <w:szCs w:val="15"/>
              </w:rPr>
            </w:r>
          </w:p>
        </w:tc>
        <w:tc>
          <w:tcPr>
            <w:tcW w:w="100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385"/>
              <w:jc w:val="right"/>
              <w:rPr>
                <w:rFonts w:ascii="Times New Roman" w:hAnsi="Times New Roman" w:cs="Times New Roman" w:eastAsia="Times New Roman" w:hint="default"/>
                <w:sz w:val="15"/>
                <w:szCs w:val="15"/>
              </w:rPr>
            </w:pPr>
            <w:r>
              <w:rPr>
                <w:rFonts w:ascii="Times New Roman"/>
                <w:spacing w:val="-4"/>
                <w:sz w:val="15"/>
              </w:rPr>
              <w:t>5%</w:t>
            </w:r>
            <w:r>
              <w:rPr>
                <w:rFonts w:ascii="Times New Roman"/>
                <w:sz w:val="15"/>
              </w:rPr>
            </w:r>
          </w:p>
        </w:tc>
        <w:tc>
          <w:tcPr>
            <w:tcW w:w="145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RMB</w:t>
            </w:r>
            <w:r>
              <w:rPr>
                <w:rFonts w:ascii="Times New Roman"/>
                <w:spacing w:val="-8"/>
                <w:sz w:val="15"/>
              </w:rPr>
              <w:t> </w:t>
            </w:r>
            <w:r>
              <w:rPr>
                <w:rFonts w:ascii="Times New Roman"/>
                <w:sz w:val="15"/>
              </w:rPr>
              <w:t>3,968,678.98</w:t>
            </w: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85.52%</w:t>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z w:val="15"/>
              </w:rPr>
              <w:t>RMB</w:t>
            </w:r>
            <w:r>
              <w:rPr>
                <w:rFonts w:ascii="Times New Roman"/>
                <w:spacing w:val="-6"/>
                <w:sz w:val="15"/>
              </w:rPr>
              <w:t> </w:t>
            </w:r>
            <w:r>
              <w:rPr>
                <w:rFonts w:ascii="Times New Roman"/>
                <w:sz w:val="15"/>
              </w:rPr>
              <w:t>198,433.95</w:t>
            </w: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RMB</w:t>
            </w:r>
            <w:r>
              <w:rPr>
                <w:rFonts w:ascii="Times New Roman"/>
                <w:spacing w:val="-8"/>
                <w:sz w:val="15"/>
              </w:rPr>
              <w:t> </w:t>
            </w:r>
            <w:r>
              <w:rPr>
                <w:rFonts w:ascii="Times New Roman"/>
                <w:sz w:val="15"/>
              </w:rPr>
              <w:t>1,997,531.08</w:t>
            </w: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65.40%</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z w:val="15"/>
              </w:rPr>
              <w:t>RMB  </w:t>
            </w:r>
            <w:r>
              <w:rPr>
                <w:rFonts w:ascii="Times New Roman"/>
                <w:spacing w:val="31"/>
                <w:sz w:val="15"/>
              </w:rPr>
              <w:t> </w:t>
            </w:r>
            <w:r>
              <w:rPr>
                <w:rFonts w:ascii="Times New Roman"/>
                <w:sz w:val="15"/>
              </w:rPr>
              <w:t>99,876.55</w:t>
            </w:r>
          </w:p>
        </w:tc>
      </w:tr>
      <w:tr>
        <w:trPr>
          <w:trHeight w:val="425"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5"/>
              <w:jc w:val="right"/>
              <w:rPr>
                <w:rFonts w:ascii="宋体" w:hAnsi="宋体" w:cs="宋体" w:eastAsia="宋体" w:hint="default"/>
                <w:sz w:val="15"/>
                <w:szCs w:val="15"/>
              </w:rPr>
            </w:pPr>
            <w:r>
              <w:rPr>
                <w:rFonts w:ascii="宋体" w:hAnsi="宋体" w:cs="宋体" w:eastAsia="宋体" w:hint="default"/>
                <w:spacing w:val="-9"/>
                <w:sz w:val="15"/>
                <w:szCs w:val="15"/>
              </w:rPr>
              <w:t>一至二年</w:t>
            </w:r>
            <w:r>
              <w:rPr>
                <w:rFonts w:ascii="宋体" w:hAnsi="宋体" w:cs="宋体" w:eastAsia="宋体" w:hint="default"/>
                <w:sz w:val="15"/>
                <w:szCs w:val="15"/>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6"/>
              <w:jc w:val="right"/>
              <w:rPr>
                <w:rFonts w:ascii="Times New Roman" w:hAnsi="Times New Roman" w:cs="Times New Roman" w:eastAsia="Times New Roman" w:hint="default"/>
                <w:sz w:val="15"/>
                <w:szCs w:val="15"/>
              </w:rPr>
            </w:pPr>
            <w:r>
              <w:rPr>
                <w:rFonts w:ascii="Times New Roman"/>
                <w:spacing w:val="-3"/>
                <w:sz w:val="15"/>
              </w:rPr>
              <w:t>10%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
              <w:jc w:val="right"/>
              <w:rPr>
                <w:rFonts w:ascii="Times New Roman" w:hAnsi="Times New Roman" w:cs="Times New Roman" w:eastAsia="Times New Roman" w:hint="default"/>
                <w:sz w:val="15"/>
                <w:szCs w:val="15"/>
              </w:rPr>
            </w:pPr>
            <w:r>
              <w:rPr>
                <w:rFonts w:ascii="Times New Roman"/>
                <w:spacing w:val="-1"/>
                <w:sz w:val="15"/>
              </w:rPr>
              <w:t>289,708.92</w:t>
            </w: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
              <w:jc w:val="right"/>
              <w:rPr>
                <w:rFonts w:ascii="Times New Roman" w:hAnsi="Times New Roman" w:cs="Times New Roman" w:eastAsia="Times New Roman" w:hint="default"/>
                <w:sz w:val="15"/>
                <w:szCs w:val="15"/>
              </w:rPr>
            </w:pPr>
            <w:r>
              <w:rPr>
                <w:rFonts w:ascii="Times New Roman"/>
                <w:spacing w:val="-1"/>
                <w:sz w:val="15"/>
              </w:rPr>
              <w:t>6.24%</w:t>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Times New Roman" w:hAnsi="Times New Roman" w:cs="Times New Roman" w:eastAsia="Times New Roman" w:hint="default"/>
                <w:sz w:val="15"/>
                <w:szCs w:val="15"/>
              </w:rPr>
            </w:pPr>
            <w:r>
              <w:rPr>
                <w:rFonts w:ascii="Times New Roman"/>
                <w:spacing w:val="-1"/>
                <w:sz w:val="15"/>
              </w:rPr>
              <w:t>28,970.89</w:t>
            </w: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
              <w:jc w:val="right"/>
              <w:rPr>
                <w:rFonts w:ascii="Times New Roman" w:hAnsi="Times New Roman" w:cs="Times New Roman" w:eastAsia="Times New Roman" w:hint="default"/>
                <w:sz w:val="15"/>
                <w:szCs w:val="15"/>
              </w:rPr>
            </w:pPr>
            <w:r>
              <w:rPr>
                <w:rFonts w:ascii="Times New Roman"/>
                <w:spacing w:val="-1"/>
                <w:sz w:val="15"/>
              </w:rPr>
              <w:t>212,000.00</w:t>
            </w: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
              <w:jc w:val="right"/>
              <w:rPr>
                <w:rFonts w:ascii="Times New Roman" w:hAnsi="Times New Roman" w:cs="Times New Roman" w:eastAsia="Times New Roman" w:hint="default"/>
                <w:sz w:val="15"/>
                <w:szCs w:val="15"/>
              </w:rPr>
            </w:pPr>
            <w:r>
              <w:rPr>
                <w:rFonts w:ascii="Times New Roman"/>
                <w:spacing w:val="-1"/>
                <w:sz w:val="15"/>
              </w:rPr>
              <w:t>6.94%</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Times New Roman" w:hAnsi="Times New Roman" w:cs="Times New Roman" w:eastAsia="Times New Roman" w:hint="default"/>
                <w:sz w:val="15"/>
                <w:szCs w:val="15"/>
              </w:rPr>
            </w:pPr>
            <w:r>
              <w:rPr>
                <w:rFonts w:ascii="Times New Roman"/>
                <w:spacing w:val="-1"/>
                <w:sz w:val="15"/>
              </w:rPr>
              <w:t>21,200.00</w:t>
            </w:r>
          </w:p>
        </w:tc>
      </w:tr>
      <w:tr>
        <w:trPr>
          <w:trHeight w:val="425"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96"/>
              <w:jc w:val="right"/>
              <w:rPr>
                <w:rFonts w:ascii="宋体" w:hAnsi="宋体" w:cs="宋体" w:eastAsia="宋体" w:hint="default"/>
                <w:sz w:val="15"/>
                <w:szCs w:val="15"/>
              </w:rPr>
            </w:pPr>
            <w:r>
              <w:rPr>
                <w:rFonts w:ascii="宋体" w:hAnsi="宋体" w:cs="宋体" w:eastAsia="宋体" w:hint="default"/>
                <w:spacing w:val="-17"/>
                <w:sz w:val="15"/>
                <w:szCs w:val="15"/>
              </w:rPr>
              <w:t>二至三年</w:t>
            </w:r>
            <w:r>
              <w:rPr>
                <w:rFonts w:ascii="宋体" w:hAnsi="宋体" w:cs="宋体" w:eastAsia="宋体" w:hint="default"/>
                <w:sz w:val="15"/>
                <w:szCs w:val="15"/>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6"/>
              <w:jc w:val="right"/>
              <w:rPr>
                <w:rFonts w:ascii="Times New Roman" w:hAnsi="Times New Roman" w:cs="Times New Roman" w:eastAsia="Times New Roman" w:hint="default"/>
                <w:sz w:val="15"/>
                <w:szCs w:val="15"/>
              </w:rPr>
            </w:pPr>
            <w:r>
              <w:rPr>
                <w:rFonts w:ascii="Times New Roman"/>
                <w:spacing w:val="-9"/>
                <w:sz w:val="15"/>
              </w:rPr>
              <w:t>20%</w:t>
            </w:r>
            <w:r>
              <w:rPr>
                <w:rFonts w:ascii="Times New Roman"/>
                <w:sz w:val="15"/>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
              <w:jc w:val="right"/>
              <w:rPr>
                <w:rFonts w:ascii="Times New Roman" w:hAnsi="Times New Roman" w:cs="Times New Roman" w:eastAsia="Times New Roman" w:hint="default"/>
                <w:sz w:val="15"/>
                <w:szCs w:val="15"/>
              </w:rPr>
            </w:pPr>
            <w:r>
              <w:rPr>
                <w:rFonts w:ascii="Times New Roman"/>
                <w:spacing w:val="-1"/>
                <w:sz w:val="15"/>
              </w:rPr>
              <w:t>75,000.00</w:t>
            </w: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
              <w:jc w:val="right"/>
              <w:rPr>
                <w:rFonts w:ascii="Times New Roman" w:hAnsi="Times New Roman" w:cs="Times New Roman" w:eastAsia="Times New Roman" w:hint="default"/>
                <w:sz w:val="15"/>
                <w:szCs w:val="15"/>
              </w:rPr>
            </w:pPr>
            <w:r>
              <w:rPr>
                <w:rFonts w:ascii="Times New Roman"/>
                <w:spacing w:val="-1"/>
                <w:sz w:val="15"/>
              </w:rPr>
              <w:t>1.62%</w:t>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Times New Roman" w:hAnsi="Times New Roman" w:cs="Times New Roman" w:eastAsia="Times New Roman" w:hint="default"/>
                <w:sz w:val="15"/>
                <w:szCs w:val="15"/>
              </w:rPr>
            </w:pPr>
            <w:r>
              <w:rPr>
                <w:rFonts w:ascii="Times New Roman"/>
                <w:spacing w:val="-1"/>
                <w:sz w:val="15"/>
              </w:rPr>
              <w:t>15,000.00</w:t>
            </w: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
              <w:jc w:val="right"/>
              <w:rPr>
                <w:rFonts w:ascii="Times New Roman" w:hAnsi="Times New Roman" w:cs="Times New Roman" w:eastAsia="Times New Roman" w:hint="default"/>
                <w:sz w:val="15"/>
                <w:szCs w:val="15"/>
              </w:rPr>
            </w:pPr>
            <w:r>
              <w:rPr>
                <w:rFonts w:ascii="Times New Roman"/>
                <w:spacing w:val="-1"/>
                <w:sz w:val="15"/>
              </w:rPr>
              <w:t>844,920.00</w:t>
            </w: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
              <w:jc w:val="right"/>
              <w:rPr>
                <w:rFonts w:ascii="Times New Roman" w:hAnsi="Times New Roman" w:cs="Times New Roman" w:eastAsia="Times New Roman" w:hint="default"/>
                <w:sz w:val="15"/>
                <w:szCs w:val="15"/>
              </w:rPr>
            </w:pPr>
            <w:r>
              <w:rPr>
                <w:rFonts w:ascii="Times New Roman"/>
                <w:spacing w:val="-1"/>
                <w:sz w:val="15"/>
              </w:rPr>
              <w:t>27.66%</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5"/>
                <w:szCs w:val="15"/>
              </w:rPr>
            </w:pPr>
            <w:r>
              <w:rPr>
                <w:rFonts w:ascii="Times New Roman"/>
                <w:spacing w:val="-1"/>
                <w:sz w:val="15"/>
              </w:rPr>
              <w:t>168,984.00</w:t>
            </w:r>
          </w:p>
        </w:tc>
      </w:tr>
      <w:tr>
        <w:trPr>
          <w:trHeight w:val="409"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96"/>
              <w:jc w:val="right"/>
              <w:rPr>
                <w:rFonts w:ascii="宋体" w:hAnsi="宋体" w:cs="宋体" w:eastAsia="宋体" w:hint="default"/>
                <w:sz w:val="15"/>
                <w:szCs w:val="15"/>
              </w:rPr>
            </w:pPr>
            <w:r>
              <w:rPr>
                <w:rFonts w:ascii="宋体" w:hAnsi="宋体" w:cs="宋体" w:eastAsia="宋体" w:hint="default"/>
                <w:spacing w:val="-17"/>
                <w:sz w:val="15"/>
                <w:szCs w:val="15"/>
              </w:rPr>
              <w:t>三年以上</w:t>
            </w:r>
            <w:r>
              <w:rPr>
                <w:rFonts w:ascii="宋体" w:hAnsi="宋体" w:cs="宋体" w:eastAsia="宋体" w:hint="default"/>
                <w:sz w:val="15"/>
                <w:szCs w:val="15"/>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6"/>
              <w:jc w:val="right"/>
              <w:rPr>
                <w:rFonts w:ascii="Times New Roman" w:hAnsi="Times New Roman" w:cs="Times New Roman" w:eastAsia="Times New Roman" w:hint="default"/>
                <w:sz w:val="15"/>
                <w:szCs w:val="15"/>
              </w:rPr>
            </w:pPr>
            <w:r>
              <w:rPr>
                <w:rFonts w:ascii="Times New Roman"/>
                <w:spacing w:val="-9"/>
                <w:sz w:val="15"/>
              </w:rPr>
              <w:t>30%</w:t>
            </w:r>
            <w:r>
              <w:rPr>
                <w:rFonts w:ascii="Times New Roman"/>
                <w:sz w:val="15"/>
              </w:rPr>
            </w: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9"/>
              <w:jc w:val="right"/>
              <w:rPr>
                <w:rFonts w:ascii="Times New Roman" w:hAnsi="Times New Roman" w:cs="Times New Roman" w:eastAsia="Times New Roman" w:hint="default"/>
                <w:sz w:val="15"/>
                <w:szCs w:val="15"/>
              </w:rPr>
            </w:pPr>
            <w:r>
              <w:rPr>
                <w:rFonts w:ascii="Times New Roman"/>
                <w:spacing w:val="-1"/>
                <w:sz w:val="15"/>
              </w:rPr>
              <w:t>307,320.00</w:t>
            </w: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7"/>
              <w:jc w:val="right"/>
              <w:rPr>
                <w:rFonts w:ascii="Times New Roman" w:hAnsi="Times New Roman" w:cs="Times New Roman" w:eastAsia="Times New Roman" w:hint="default"/>
                <w:sz w:val="15"/>
                <w:szCs w:val="15"/>
              </w:rPr>
            </w:pPr>
            <w:r>
              <w:rPr>
                <w:rFonts w:ascii="Times New Roman"/>
                <w:spacing w:val="-1"/>
                <w:sz w:val="15"/>
              </w:rPr>
              <w:t>6.62%</w:t>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0"/>
              <w:jc w:val="right"/>
              <w:rPr>
                <w:rFonts w:ascii="Times New Roman" w:hAnsi="Times New Roman" w:cs="Times New Roman" w:eastAsia="Times New Roman" w:hint="default"/>
                <w:sz w:val="15"/>
                <w:szCs w:val="15"/>
              </w:rPr>
            </w:pPr>
            <w:r>
              <w:rPr>
                <w:rFonts w:ascii="Times New Roman"/>
                <w:spacing w:val="-1"/>
                <w:sz w:val="15"/>
              </w:rPr>
              <w:t>92,196.00</w:t>
            </w: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54" w:hRule="exact"/>
        </w:trPr>
        <w:tc>
          <w:tcPr>
            <w:tcW w:w="935"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RMB</w:t>
            </w:r>
            <w:r>
              <w:rPr>
                <w:rFonts w:ascii="Times New Roman"/>
                <w:spacing w:val="-8"/>
                <w:sz w:val="15"/>
              </w:rPr>
              <w:t> </w:t>
            </w:r>
            <w:r>
              <w:rPr>
                <w:rFonts w:ascii="Times New Roman"/>
                <w:sz w:val="15"/>
              </w:rPr>
              <w:t>4,640,707.90</w:t>
            </w:r>
          </w:p>
        </w:tc>
        <w:tc>
          <w:tcPr>
            <w:tcW w:w="121" w:type="dxa"/>
            <w:tcBorders>
              <w:top w:val="nil" w:sz="6" w:space="0" w:color="auto"/>
              <w:left w:val="nil" w:sz="6" w:space="0" w:color="auto"/>
              <w:bottom w:val="nil" w:sz="6" w:space="0" w:color="auto"/>
              <w:right w:val="nil" w:sz="6" w:space="0" w:color="auto"/>
            </w:tcBorders>
          </w:tcPr>
          <w:p>
            <w:pPr/>
          </w:p>
        </w:tc>
        <w:tc>
          <w:tcPr>
            <w:tcW w:w="808"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100.00%</w:t>
            </w:r>
          </w:p>
        </w:tc>
        <w:tc>
          <w:tcPr>
            <w:tcW w:w="104"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z w:val="15"/>
              </w:rPr>
              <w:t>RMB</w:t>
            </w:r>
            <w:r>
              <w:rPr>
                <w:rFonts w:ascii="Times New Roman"/>
                <w:spacing w:val="-6"/>
                <w:sz w:val="15"/>
              </w:rPr>
              <w:t> </w:t>
            </w:r>
            <w:r>
              <w:rPr>
                <w:rFonts w:ascii="Times New Roman"/>
                <w:sz w:val="15"/>
              </w:rPr>
              <w:t>334,600.84</w:t>
            </w:r>
          </w:p>
        </w:tc>
        <w:tc>
          <w:tcPr>
            <w:tcW w:w="112"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RMB</w:t>
            </w:r>
            <w:r>
              <w:rPr>
                <w:rFonts w:ascii="Times New Roman"/>
                <w:spacing w:val="-8"/>
                <w:sz w:val="15"/>
              </w:rPr>
              <w:t> </w:t>
            </w:r>
            <w:r>
              <w:rPr>
                <w:rFonts w:ascii="Times New Roman"/>
                <w:sz w:val="15"/>
              </w:rPr>
              <w:t>3,054,451.08</w:t>
            </w:r>
          </w:p>
        </w:tc>
        <w:tc>
          <w:tcPr>
            <w:tcW w:w="211" w:type="dxa"/>
            <w:tcBorders>
              <w:top w:val="nil" w:sz="6" w:space="0" w:color="auto"/>
              <w:left w:val="nil" w:sz="6" w:space="0" w:color="auto"/>
              <w:bottom w:val="nil" w:sz="6" w:space="0" w:color="auto"/>
              <w:right w:val="nil" w:sz="6" w:space="0" w:color="auto"/>
            </w:tcBorders>
          </w:tcPr>
          <w:p>
            <w:pPr/>
          </w:p>
        </w:tc>
        <w:tc>
          <w:tcPr>
            <w:tcW w:w="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100.00%</w:t>
            </w:r>
          </w:p>
        </w:tc>
        <w:tc>
          <w:tcPr>
            <w:tcW w:w="125"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z w:val="15"/>
              </w:rPr>
              <w:t>RMB</w:t>
            </w:r>
            <w:r>
              <w:rPr>
                <w:rFonts w:ascii="Times New Roman"/>
                <w:spacing w:val="-6"/>
                <w:sz w:val="15"/>
              </w:rPr>
              <w:t> </w:t>
            </w:r>
            <w:r>
              <w:rPr>
                <w:rFonts w:ascii="Times New Roman"/>
                <w:sz w:val="15"/>
              </w:rPr>
              <w:t>290,060.55</w:t>
            </w:r>
          </w:p>
        </w:tc>
      </w:tr>
    </w:tbl>
    <w:p>
      <w:pPr>
        <w:spacing w:line="240" w:lineRule="auto" w:before="0"/>
        <w:rPr>
          <w:rFonts w:ascii="宋体" w:hAnsi="宋体" w:cs="宋体" w:eastAsia="宋体" w:hint="default"/>
          <w:sz w:val="14"/>
          <w:szCs w:val="14"/>
        </w:rPr>
      </w:pPr>
    </w:p>
    <w:p>
      <w:pPr>
        <w:pStyle w:val="BodyText"/>
        <w:spacing w:line="240" w:lineRule="auto" w:before="26"/>
        <w:ind w:left="874" w:right="0"/>
        <w:jc w:val="left"/>
      </w:pPr>
      <w:r>
        <w:rPr/>
        <w:pict>
          <v:group style="position:absolute;margin-left:277.559998pt;margin-top:-11.08406pt;width:63.75pt;height:.1pt;mso-position-horizontal-relative:page;mso-position-vertical-relative:paragraph;z-index:-507472" coordorigin="5551,-222" coordsize="1275,2">
            <v:shape style="position:absolute;left:5551;top:-222;width:1275;height:2" coordorigin="5551,-222" coordsize="1275,0" path="m5551,-222l6826,-222e" filled="false" stroked="true" strokeweight=".48pt" strokecolor="#000000">
              <v:path arrowok="t"/>
            </v:shape>
            <w10:wrap type="none"/>
          </v:group>
        </w:pict>
      </w:r>
      <w:r>
        <w:rPr/>
        <w:t>② 本公司其他应收款按类别分类列示如下：</w:t>
      </w:r>
    </w:p>
    <w:p>
      <w:pPr>
        <w:spacing w:line="240" w:lineRule="auto" w:before="5"/>
        <w:rPr>
          <w:rFonts w:ascii="宋体" w:hAnsi="宋体" w:cs="宋体" w:eastAsia="宋体" w:hint="default"/>
          <w:sz w:val="14"/>
          <w:szCs w:val="14"/>
        </w:rPr>
      </w:pPr>
    </w:p>
    <w:p>
      <w:pPr>
        <w:spacing w:line="193" w:lineRule="exact" w:before="76"/>
        <w:ind w:left="6425" w:right="0" w:firstLine="0"/>
        <w:jc w:val="left"/>
        <w:rPr>
          <w:rFonts w:ascii="Times New Roman" w:hAnsi="Times New Roman" w:cs="Times New Roman" w:eastAsia="Times New Roman" w:hint="default"/>
          <w:sz w:val="18"/>
          <w:szCs w:val="18"/>
        </w:rPr>
      </w:pPr>
      <w:r>
        <w:rPr>
          <w:rFonts w:ascii="Times New Roman"/>
          <w:spacing w:val="-5"/>
          <w:sz w:val="18"/>
        </w:rPr>
        <w:t>2007.12.31</w:t>
      </w:r>
      <w:r>
        <w:rPr>
          <w:rFonts w:ascii="Times New Roman"/>
          <w:sz w:val="18"/>
        </w:rPr>
      </w:r>
    </w:p>
    <w:p>
      <w:pPr>
        <w:spacing w:line="213" w:lineRule="exact" w:before="0"/>
        <w:ind w:left="1800" w:right="0" w:firstLine="0"/>
        <w:jc w:val="left"/>
        <w:rPr>
          <w:rFonts w:ascii="宋体" w:hAnsi="宋体" w:cs="宋体" w:eastAsia="宋体" w:hint="default"/>
          <w:sz w:val="18"/>
          <w:szCs w:val="18"/>
        </w:rPr>
      </w:pPr>
      <w:r>
        <w:rPr/>
        <w:pict>
          <v:group style="position:absolute;margin-left:240.119995pt;margin-top:6.561259pt;width:298.150pt;height:.1pt;mso-position-horizontal-relative:page;mso-position-vertical-relative:paragraph;z-index:3136" coordorigin="4802,131" coordsize="5963,2">
            <v:shape style="position:absolute;left:4802;top:131;width:5963;height:2" coordorigin="4802,131" coordsize="5963,0" path="m4802,131l10765,131e" filled="false" stroked="true" strokeweight=".48pt" strokecolor="#000000">
              <v:path arrowok="t"/>
            </v:shape>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174" w:val="left" w:leader="none"/>
          <w:tab w:pos="7296" w:val="left" w:leader="none"/>
          <w:tab w:pos="8911" w:val="left" w:leader="none"/>
        </w:tabs>
        <w:spacing w:line="228" w:lineRule="exact" w:before="0"/>
        <w:ind w:left="4702" w:right="0"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6"/>
        <w:rPr>
          <w:rFonts w:ascii="宋体" w:hAnsi="宋体" w:cs="宋体" w:eastAsia="宋体" w:hint="default"/>
          <w:sz w:val="9"/>
          <w:szCs w:val="9"/>
        </w:rPr>
      </w:pPr>
    </w:p>
    <w:p>
      <w:pPr>
        <w:tabs>
          <w:tab w:pos="8707" w:val="left" w:leader="none"/>
        </w:tabs>
        <w:spacing w:line="20" w:lineRule="exact"/>
        <w:ind w:left="154" w:right="0" w:firstLine="0"/>
        <w:rPr>
          <w:rFonts w:ascii="宋体" w:hAnsi="宋体" w:cs="宋体" w:eastAsia="宋体" w:hint="default"/>
          <w:sz w:val="2"/>
          <w:szCs w:val="2"/>
        </w:rPr>
      </w:pPr>
      <w:r>
        <w:rPr>
          <w:rFonts w:ascii="宋体"/>
          <w:sz w:val="2"/>
        </w:rPr>
        <w:pict>
          <v:group style="width:415.6pt;height:.75pt;mso-position-horizontal-relative:char;mso-position-vertical-relative:line" coordorigin="0,0" coordsize="8312,15">
            <v:group style="position:absolute;left:7;top:7;width:3626;height:2" coordorigin="7,7" coordsize="3626,2">
              <v:shape style="position:absolute;left:7;top:7;width:3626;height:2" coordorigin="7,7" coordsize="3626,0" path="m7,7l3632,7e" filled="false" stroked="true" strokeweight=".72pt" strokecolor="#000000">
                <v:path arrowok="t"/>
              </v:shape>
            </v:group>
            <v:group style="position:absolute;left:3668;top:5;width:2091;height:2" coordorigin="3668,5" coordsize="2091,2">
              <v:shape style="position:absolute;left:3668;top:5;width:2091;height:2" coordorigin="3668,5" coordsize="2091,0" path="m3668,5l5759,5e" filled="false" stroked="true" strokeweight=".48pt" strokecolor="#000000">
                <v:path arrowok="t"/>
              </v:shape>
            </v:group>
            <v:group style="position:absolute;left:5796;top:7;width:782;height:2" coordorigin="5796,7" coordsize="782,2">
              <v:shape style="position:absolute;left:5796;top:7;width:782;height:2" coordorigin="5796,7" coordsize="782,0" path="m5796,7l6577,7e" filled="false" stroked="true" strokeweight=".72pt" strokecolor="#000000">
                <v:path arrowok="t"/>
              </v:shape>
            </v:group>
            <v:group style="position:absolute;left:6653;top:5;width:1654;height:2" coordorigin="6653,5" coordsize="1654,2">
              <v:shape style="position:absolute;left:6653;top:5;width:1654;height:2" coordorigin="6653,5" coordsize="1654,0" path="m6653,5l8306,5e" filled="false" stroked="true" strokeweight=".48pt" strokecolor="#000000">
                <v:path arrowok="t"/>
              </v:shape>
            </v:group>
          </v:group>
        </w:pict>
      </w:r>
      <w:r>
        <w:rPr>
          <w:rFonts w:ascii="宋体"/>
          <w:sz w:val="2"/>
        </w:rPr>
      </w:r>
      <w:r>
        <w:rPr>
          <w:rFonts w:ascii="宋体"/>
          <w:sz w:val="2"/>
        </w:rPr>
        <w:tab/>
      </w:r>
      <w:r>
        <w:rPr>
          <w:rFonts w:ascii="宋体"/>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8pt" strokecolor="#000000">
                <v:path arrowok="t"/>
              </v:shape>
            </v:group>
          </v:group>
        </w:pict>
      </w:r>
      <w:r>
        <w:rPr>
          <w:rFonts w:ascii="宋体"/>
          <w:sz w:val="2"/>
        </w:rPr>
      </w:r>
    </w:p>
    <w:p>
      <w:pPr>
        <w:tabs>
          <w:tab w:pos="3829" w:val="left" w:leader="none"/>
          <w:tab w:pos="5024" w:val="left" w:leader="none"/>
          <w:tab w:pos="6207" w:val="left" w:leader="none"/>
          <w:tab w:pos="7697" w:val="left" w:leader="none"/>
          <w:tab w:pos="9345" w:val="left" w:leader="none"/>
        </w:tabs>
        <w:spacing w:before="66"/>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单项金额重大的其他应收款</w:t>
        <w:tab/>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1,937,600.00</w:t>
        <w:tab/>
        <w:t>41.75%</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171,880.00</w:t>
        <w:tab/>
        <w:t>8.87%</w:t>
      </w:r>
      <w:r>
        <w:rPr>
          <w:rFonts w:ascii="Times New Roman" w:hAnsi="Times New Roman" w:cs="Times New Roman" w:eastAsia="Times New Roman" w:hint="default"/>
          <w:sz w:val="18"/>
          <w:szCs w:val="18"/>
        </w:rPr>
      </w:r>
    </w:p>
    <w:p>
      <w:pPr>
        <w:spacing w:before="117"/>
        <w:ind w:left="154" w:right="5172" w:firstLine="0"/>
        <w:jc w:val="left"/>
        <w:rPr>
          <w:rFonts w:ascii="宋体" w:hAnsi="宋体" w:cs="宋体" w:eastAsia="宋体" w:hint="default"/>
          <w:sz w:val="18"/>
          <w:szCs w:val="18"/>
        </w:rPr>
      </w:pPr>
      <w:r>
        <w:rPr/>
        <w:pict>
          <v:shape style="position:absolute;margin-left:298.43869pt;margin-top:10.176657pt;width:242.1pt;height:43.4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8"/>
                    <w:gridCol w:w="1153"/>
                    <w:gridCol w:w="1647"/>
                    <w:gridCol w:w="964"/>
                  </w:tblGrid>
                  <w:tr>
                    <w:trPr>
                      <w:trHeight w:val="434"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9"/>
                          <w:jc w:val="right"/>
                          <w:rPr>
                            <w:rFonts w:ascii="Times New Roman" w:hAnsi="Times New Roman" w:cs="Times New Roman" w:eastAsia="Times New Roman" w:hint="default"/>
                            <w:sz w:val="18"/>
                            <w:szCs w:val="18"/>
                          </w:rPr>
                        </w:pPr>
                        <w:r>
                          <w:rPr>
                            <w:rFonts w:ascii="Times New Roman"/>
                            <w:spacing w:val="-4"/>
                            <w:sz w:val="18"/>
                          </w:rPr>
                          <w:t>7,320.00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78"/>
                          <w:jc w:val="right"/>
                          <w:rPr>
                            <w:rFonts w:ascii="Times New Roman" w:hAnsi="Times New Roman" w:cs="Times New Roman" w:eastAsia="Times New Roman" w:hint="default"/>
                            <w:sz w:val="18"/>
                            <w:szCs w:val="18"/>
                          </w:rPr>
                        </w:pPr>
                        <w:r>
                          <w:rPr>
                            <w:rFonts w:ascii="Times New Roman"/>
                            <w:spacing w:val="-4"/>
                            <w:sz w:val="18"/>
                          </w:rPr>
                          <w:t>0.16%</w:t>
                        </w:r>
                        <w:r>
                          <w:rPr>
                            <w:rFonts w:ascii="Times New Roman"/>
                            <w:sz w:val="18"/>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2"/>
                          <w:jc w:val="right"/>
                          <w:rPr>
                            <w:rFonts w:ascii="Times New Roman" w:hAnsi="Times New Roman" w:cs="Times New Roman" w:eastAsia="Times New Roman" w:hint="default"/>
                            <w:sz w:val="18"/>
                            <w:szCs w:val="18"/>
                          </w:rPr>
                        </w:pPr>
                        <w:r>
                          <w:rPr>
                            <w:rFonts w:ascii="Times New Roman"/>
                            <w:spacing w:val="-4"/>
                            <w:sz w:val="18"/>
                          </w:rPr>
                          <w:t>2,196.00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4"/>
                            <w:sz w:val="18"/>
                          </w:rPr>
                          <w:t>30.00%</w:t>
                        </w:r>
                      </w:p>
                    </w:tc>
                  </w:tr>
                  <w:tr>
                    <w:trPr>
                      <w:trHeight w:val="434"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9"/>
                          <w:jc w:val="right"/>
                          <w:rPr>
                            <w:rFonts w:ascii="Times New Roman" w:hAnsi="Times New Roman" w:cs="Times New Roman" w:eastAsia="Times New Roman" w:hint="default"/>
                            <w:sz w:val="18"/>
                            <w:szCs w:val="18"/>
                          </w:rPr>
                        </w:pPr>
                        <w:r>
                          <w:rPr>
                            <w:rFonts w:ascii="Times New Roman"/>
                            <w:spacing w:val="-4"/>
                            <w:sz w:val="18"/>
                          </w:rPr>
                          <w:t>2,695,787.90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75"/>
                          <w:jc w:val="right"/>
                          <w:rPr>
                            <w:rFonts w:ascii="Times New Roman" w:hAnsi="Times New Roman" w:cs="Times New Roman" w:eastAsia="Times New Roman" w:hint="default"/>
                            <w:sz w:val="18"/>
                            <w:szCs w:val="18"/>
                          </w:rPr>
                        </w:pPr>
                        <w:r>
                          <w:rPr>
                            <w:rFonts w:ascii="Times New Roman"/>
                            <w:spacing w:val="-4"/>
                            <w:sz w:val="18"/>
                          </w:rPr>
                          <w:t>58.09%</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6"/>
                          <w:jc w:val="right"/>
                          <w:rPr>
                            <w:rFonts w:ascii="Times New Roman" w:hAnsi="Times New Roman" w:cs="Times New Roman" w:eastAsia="Times New Roman" w:hint="default"/>
                            <w:sz w:val="18"/>
                            <w:szCs w:val="18"/>
                          </w:rPr>
                        </w:pPr>
                        <w:r>
                          <w:rPr>
                            <w:rFonts w:ascii="Times New Roman"/>
                            <w:spacing w:val="-5"/>
                            <w:sz w:val="18"/>
                          </w:rPr>
                          <w:t>160,524.84</w:t>
                        </w:r>
                        <w:r>
                          <w:rPr>
                            <w:rFonts w:ascii="Times New Roman"/>
                            <w:sz w:val="18"/>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Times New Roman" w:hAnsi="Times New Roman" w:cs="Times New Roman" w:eastAsia="Times New Roman" w:hint="default"/>
                            <w:sz w:val="18"/>
                            <w:szCs w:val="18"/>
                          </w:rPr>
                        </w:pPr>
                        <w:r>
                          <w:rPr>
                            <w:rFonts w:ascii="Times New Roman"/>
                            <w:spacing w:val="-4"/>
                            <w:sz w:val="18"/>
                          </w:rPr>
                          <w:t>5.95%</w:t>
                        </w:r>
                        <w:r>
                          <w:rPr>
                            <w:rFonts w:ascii="Times New Roman"/>
                            <w:sz w:val="18"/>
                          </w:rPr>
                        </w:r>
                      </w:p>
                    </w:tc>
                  </w:tr>
                </w:tbl>
                <w:p>
                  <w:pPr/>
                </w:p>
              </w:txbxContent>
            </v:textbox>
            <w10:wrap type="none"/>
          </v:shape>
        </w:pict>
      </w: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9"/>
          <w:sz w:val="18"/>
          <w:szCs w:val="18"/>
        </w:rPr>
        <w:t>大的其他应收款</w:t>
      </w:r>
      <w:r>
        <w:rPr>
          <w:rFonts w:ascii="宋体" w:hAnsi="宋体" w:cs="宋体" w:eastAsia="宋体" w:hint="default"/>
          <w:sz w:val="18"/>
          <w:szCs w:val="18"/>
        </w:rPr>
      </w:r>
    </w:p>
    <w:p>
      <w:pPr>
        <w:spacing w:before="136"/>
        <w:ind w:left="154" w:right="0" w:firstLine="0"/>
        <w:jc w:val="left"/>
        <w:rPr>
          <w:rFonts w:ascii="宋体" w:hAnsi="宋体" w:cs="宋体" w:eastAsia="宋体" w:hint="default"/>
          <w:sz w:val="18"/>
          <w:szCs w:val="18"/>
        </w:rPr>
      </w:pPr>
      <w:r>
        <w:rPr>
          <w:rFonts w:ascii="宋体" w:hAnsi="宋体" w:cs="宋体" w:eastAsia="宋体" w:hint="default"/>
          <w:spacing w:val="-9"/>
          <w:sz w:val="18"/>
          <w:szCs w:val="18"/>
        </w:rPr>
        <w:t>单项金额不重大的其他应收款</w:t>
      </w:r>
      <w:r>
        <w:rPr>
          <w:rFonts w:ascii="宋体" w:hAnsi="宋体" w:cs="宋体" w:eastAsia="宋体" w:hint="default"/>
          <w:sz w:val="18"/>
          <w:szCs w:val="18"/>
        </w:rPr>
      </w:r>
    </w:p>
    <w:p>
      <w:pPr>
        <w:spacing w:line="240" w:lineRule="auto" w:before="7"/>
        <w:rPr>
          <w:rFonts w:ascii="宋体" w:hAnsi="宋体" w:cs="宋体" w:eastAsia="宋体" w:hint="default"/>
          <w:sz w:val="9"/>
          <w:szCs w:val="9"/>
        </w:rPr>
      </w:pPr>
    </w:p>
    <w:p>
      <w:pPr>
        <w:spacing w:line="20" w:lineRule="exact"/>
        <w:ind w:left="3817" w:right="0" w:firstLine="0"/>
        <w:rPr>
          <w:rFonts w:ascii="宋体" w:hAnsi="宋体" w:cs="宋体" w:eastAsia="宋体" w:hint="default"/>
          <w:sz w:val="2"/>
          <w:szCs w:val="2"/>
        </w:rPr>
      </w:pPr>
      <w:r>
        <w:rPr>
          <w:rFonts w:ascii="宋体"/>
          <w:sz w:val="2"/>
        </w:rPr>
        <w:pict>
          <v:group style="width:145.950pt;height:.75pt;mso-position-horizontal-relative:char;mso-position-vertical-relative:line" coordorigin="0,0" coordsize="2919,15">
            <v:group style="position:absolute;left:5;top:5;width:414;height:2" coordorigin="5,5" coordsize="414,2">
              <v:shape style="position:absolute;left:5;top:5;width:414;height:2" coordorigin="5,5" coordsize="414,0" path="m5,5l419,5e" filled="false" stroked="true" strokeweight=".48pt" strokecolor="#000000">
                <v:path arrowok="t"/>
              </v:shape>
            </v:group>
            <v:group style="position:absolute;left:419;top:7;width:1677;height:2" coordorigin="419,7" coordsize="1677,2">
              <v:shape style="position:absolute;left:419;top:7;width:1677;height:2" coordorigin="419,7" coordsize="1677,0" path="m419,7l2095,7e" filled="false" stroked="true" strokeweight=".72pt" strokecolor="#000000">
                <v:path arrowok="t"/>
              </v:shape>
            </v:group>
            <v:group style="position:absolute;left:2132;top:5;width:782;height:2" coordorigin="2132,5" coordsize="782,2">
              <v:shape style="position:absolute;left:2132;top:5;width:782;height:2" coordorigin="2132,5" coordsize="782,0" path="m2132,5l2914,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83.3pt;height:.75pt;mso-position-horizontal-relative:char;mso-position-vertical-relative:line" coordorigin="0,0" coordsize="1666,15">
            <v:group style="position:absolute;left:5;top:5;width:389;height:2" coordorigin="5,5" coordsize="389,2">
              <v:shape style="position:absolute;left:5;top:5;width:389;height:2" coordorigin="5,5" coordsize="389,0" path="m5,5l394,5e" filled="false" stroked="true" strokeweight=".48pt" strokecolor="#000000">
                <v:path arrowok="t"/>
              </v:shape>
            </v:group>
            <v:group style="position:absolute;left:394;top:7;width:1265;height:2" coordorigin="394,7" coordsize="1265,2">
              <v:shape style="position:absolute;left:394;top:7;width:1265;height:2" coordorigin="394,7" coordsize="1265,0" path="m394,7l1658,7e" filled="false" stroked="true" strokeweight=".72pt" strokecolor="#000000">
                <v:path arrowok="t"/>
              </v:shape>
            </v:group>
          </v:group>
        </w:pict>
      </w:r>
      <w:r>
        <w:rPr>
          <w:rFonts w:ascii="宋体"/>
          <w:spacing w:val="57"/>
          <w:sz w:val="2"/>
        </w:rPr>
      </w:r>
    </w:p>
    <w:p>
      <w:pPr>
        <w:tabs>
          <w:tab w:pos="5024" w:val="left" w:leader="none"/>
          <w:tab w:pos="7697" w:val="left" w:leader="none"/>
          <w:tab w:pos="9346" w:val="left" w:leader="none"/>
        </w:tabs>
        <w:spacing w:before="108"/>
        <w:ind w:left="3829" w:right="0" w:firstLine="0"/>
        <w:jc w:val="left"/>
        <w:rPr>
          <w:rFonts w:ascii="Times New Roman" w:hAnsi="Times New Roman" w:cs="Times New Roman" w:eastAsia="Times New Roman" w:hint="default"/>
          <w:sz w:val="18"/>
          <w:szCs w:val="18"/>
        </w:rPr>
      </w:pPr>
      <w:r>
        <w:rPr>
          <w:rFonts w:ascii="Times New Roman"/>
          <w:spacing w:val="-3"/>
          <w:sz w:val="18"/>
        </w:rPr>
        <w:t>RMB</w:t>
        <w:tab/>
      </w:r>
      <w:r>
        <w:rPr>
          <w:rFonts w:ascii="Times New Roman"/>
          <w:spacing w:val="-4"/>
          <w:sz w:val="18"/>
        </w:rPr>
        <w:t>4,640,707.90     100.00%</w:t>
      </w:r>
      <w:r>
        <w:rPr>
          <w:rFonts w:ascii="Times New Roman"/>
          <w:spacing w:val="19"/>
          <w:sz w:val="18"/>
        </w:rPr>
        <w:t> </w:t>
      </w:r>
      <w:r>
        <w:rPr>
          <w:rFonts w:ascii="Times New Roman"/>
          <w:spacing w:val="-3"/>
          <w:sz w:val="18"/>
        </w:rPr>
        <w:t>RMB</w:t>
        <w:tab/>
      </w:r>
      <w:r>
        <w:rPr>
          <w:rFonts w:ascii="Times New Roman"/>
          <w:spacing w:val="-4"/>
          <w:sz w:val="18"/>
        </w:rPr>
        <w:t>334,600.84</w:t>
        <w:tab/>
        <w:t>7.21%</w:t>
      </w:r>
      <w:r>
        <w:rPr>
          <w:rFonts w:ascii="Times New Roman"/>
          <w:sz w:val="18"/>
        </w:rPr>
      </w:r>
    </w:p>
    <w:p>
      <w:pPr>
        <w:spacing w:line="240" w:lineRule="auto" w:before="4"/>
        <w:rPr>
          <w:rFonts w:ascii="Times New Roman" w:hAnsi="Times New Roman" w:cs="Times New Roman" w:eastAsia="Times New Roman" w:hint="default"/>
          <w:sz w:val="9"/>
          <w:szCs w:val="9"/>
        </w:rPr>
      </w:pPr>
    </w:p>
    <w:p>
      <w:pPr>
        <w:spacing w:line="28" w:lineRule="exact"/>
        <w:ind w:left="3817" w:right="0" w:firstLine="0"/>
        <w:rPr>
          <w:rFonts w:ascii="Times New Roman" w:hAnsi="Times New Roman" w:cs="Times New Roman" w:eastAsia="Times New Roman" w:hint="default"/>
          <w:sz w:val="2"/>
          <w:szCs w:val="2"/>
        </w:rPr>
      </w:pPr>
      <w:r>
        <w:rPr>
          <w:rFonts w:ascii="Times New Roman"/>
          <w:position w:val="0"/>
          <w:sz w:val="2"/>
        </w:rPr>
        <w:pict>
          <v:group style="width:145.950pt;height:1.45pt;mso-position-horizontal-relative:char;mso-position-vertical-relative:line" coordorigin="0,0" coordsize="2919,29">
            <v:group style="position:absolute;left:5;top:5;width:414;height:2" coordorigin="5,5" coordsize="414,2">
              <v:shape style="position:absolute;left:5;top:5;width:414;height:2" coordorigin="5,5" coordsize="414,0" path="m5,5l419,5e" filled="false" stroked="true" strokeweight=".48pt" strokecolor="#000000">
                <v:path arrowok="t"/>
              </v:shape>
            </v:group>
            <v:group style="position:absolute;left:5;top:24;width:414;height:2" coordorigin="5,24" coordsize="414,2">
              <v:shape style="position:absolute;left:5;top:24;width:414;height:2" coordorigin="5,24" coordsize="414,0" path="m5,24l419,24e" filled="false" stroked="true" strokeweight=".48pt" strokecolor="#000000">
                <v:path arrowok="t"/>
              </v:shape>
            </v:group>
            <v:group style="position:absolute;left:419;top:5;width:29;height:2" coordorigin="419,5" coordsize="29,2">
              <v:shape style="position:absolute;left:419;top:5;width:29;height:2" coordorigin="419,5" coordsize="29,0" path="m419,5l448,5e" filled="false" stroked="true" strokeweight=".48pt" strokecolor="#000000">
                <v:path arrowok="t"/>
              </v:shape>
            </v:group>
            <v:group style="position:absolute;left:419;top:24;width:29;height:2" coordorigin="419,24" coordsize="29,2">
              <v:shape style="position:absolute;left:419;top:24;width:29;height:2" coordorigin="419,24" coordsize="29,0" path="m419,24l448,24e" filled="false" stroked="true" strokeweight=".48pt" strokecolor="#000000">
                <v:path arrowok="t"/>
              </v:shape>
            </v:group>
            <v:group style="position:absolute;left:448;top:5;width:1648;height:2" coordorigin="448,5" coordsize="1648,2">
              <v:shape style="position:absolute;left:448;top:5;width:1648;height:2" coordorigin="448,5" coordsize="1648,0" path="m448,5l2095,5e" filled="false" stroked="true" strokeweight=".48pt" strokecolor="#000000">
                <v:path arrowok="t"/>
              </v:shape>
            </v:group>
            <v:group style="position:absolute;left:448;top:24;width:1648;height:2" coordorigin="448,24" coordsize="1648,2">
              <v:shape style="position:absolute;left:448;top:24;width:1648;height:2" coordorigin="448,24" coordsize="1648,0" path="m448,24l2095,24e" filled="false" stroked="true" strokeweight=".48pt" strokecolor="#000000">
                <v:path arrowok="t"/>
              </v:shape>
            </v:group>
            <v:group style="position:absolute;left:2132;top:5;width:782;height:2" coordorigin="2132,5" coordsize="782,2">
              <v:shape style="position:absolute;left:2132;top:5;width:782;height:2" coordorigin="2132,5" coordsize="782,0" path="m2132,5l2914,5e" filled="false" stroked="true" strokeweight=".48pt" strokecolor="#000000">
                <v:path arrowok="t"/>
              </v:shape>
            </v:group>
            <v:group style="position:absolute;left:2132;top:24;width:782;height:2" coordorigin="2132,24" coordsize="782,2">
              <v:shape style="position:absolute;left:2132;top:24;width:782;height:2" coordorigin="2132,24" coordsize="782,0" path="m2132,24l2914,24e" filled="false" stroked="true" strokeweight=".48pt" strokecolor="#000000">
                <v:path arrowok="t"/>
              </v:shape>
            </v:group>
          </v:group>
        </w:pict>
      </w:r>
      <w:r>
        <w:rPr>
          <w:rFonts w:ascii="Times New Roman"/>
          <w:position w:val="0"/>
          <w:sz w:val="2"/>
        </w:rPr>
      </w:r>
      <w:r>
        <w:rPr>
          <w:rFonts w:ascii="Times New Roman"/>
          <w:spacing w:val="50"/>
          <w:position w:val="0"/>
          <w:sz w:val="2"/>
        </w:rPr>
        <w:t> </w:t>
      </w:r>
      <w:r>
        <w:rPr>
          <w:rFonts w:ascii="Times New Roman"/>
          <w:spacing w:val="50"/>
          <w:position w:val="0"/>
          <w:sz w:val="2"/>
        </w:rPr>
        <w:pict>
          <v:group style="width:83.2pt;height:1.45pt;mso-position-horizontal-relative:char;mso-position-vertical-relative:line" coordorigin="0,0" coordsize="1664,29">
            <v:group style="position:absolute;left:5;top:5;width:389;height:2" coordorigin="5,5" coordsize="389,2">
              <v:shape style="position:absolute;left:5;top:5;width:389;height:2" coordorigin="5,5" coordsize="389,0" path="m5,5l394,5e" filled="false" stroked="true" strokeweight=".48pt" strokecolor="#000000">
                <v:path arrowok="t"/>
              </v:shape>
            </v:group>
            <v:group style="position:absolute;left:5;top:24;width:389;height:2" coordorigin="5,24" coordsize="389,2">
              <v:shape style="position:absolute;left:5;top:24;width:389;height:2" coordorigin="5,24" coordsize="389,0" path="m5,24l394,24e" filled="false" stroked="true" strokeweight=".48pt" strokecolor="#000000">
                <v:path arrowok="t"/>
              </v:shape>
            </v:group>
            <v:group style="position:absolute;left:394;top:5;width:29;height:2" coordorigin="394,5" coordsize="29,2">
              <v:shape style="position:absolute;left:394;top:5;width:29;height:2" coordorigin="394,5" coordsize="29,0" path="m394,5l422,5e" filled="false" stroked="true" strokeweight=".48pt" strokecolor="#000000">
                <v:path arrowok="t"/>
              </v:shape>
            </v:group>
            <v:group style="position:absolute;left:394;top:24;width:29;height:2" coordorigin="394,24" coordsize="29,2">
              <v:shape style="position:absolute;left:394;top:24;width:29;height:2" coordorigin="394,24" coordsize="29,0" path="m394,24l422,24e" filled="false" stroked="true" strokeweight=".48pt" strokecolor="#000000">
                <v:path arrowok="t"/>
              </v:shape>
            </v:group>
            <v:group style="position:absolute;left:422;top:5;width:1236;height:2" coordorigin="422,5" coordsize="1236,2">
              <v:shape style="position:absolute;left:422;top:5;width:1236;height:2" coordorigin="422,5" coordsize="1236,0" path="m422,5l1658,5e" filled="false" stroked="true" strokeweight=".48pt" strokecolor="#000000">
                <v:path arrowok="t"/>
              </v:shape>
            </v:group>
            <v:group style="position:absolute;left:422;top:24;width:1236;height:2" coordorigin="422,24" coordsize="1236,2">
              <v:shape style="position:absolute;left:422;top:24;width:1236;height:2" coordorigin="422,24" coordsize="1236,0" path="m422,24l1658,24e" filled="false" stroked="true" strokeweight=".48pt" strokecolor="#000000">
                <v:path arrowok="t"/>
              </v:shape>
            </v:group>
          </v:group>
        </w:pict>
      </w:r>
      <w:r>
        <w:rPr>
          <w:rFonts w:ascii="Times New Roman"/>
          <w:spacing w:val="50"/>
          <w:position w:val="0"/>
          <w:sz w:val="2"/>
        </w:rPr>
      </w:r>
    </w:p>
    <w:p>
      <w:pPr>
        <w:spacing w:line="176" w:lineRule="exact" w:before="93"/>
        <w:ind w:left="6425" w:right="0" w:firstLine="0"/>
        <w:jc w:val="left"/>
        <w:rPr>
          <w:rFonts w:ascii="Times New Roman" w:hAnsi="Times New Roman" w:cs="Times New Roman" w:eastAsia="Times New Roman" w:hint="default"/>
          <w:sz w:val="18"/>
          <w:szCs w:val="18"/>
        </w:rPr>
      </w:pPr>
      <w:r>
        <w:rPr>
          <w:rFonts w:ascii="Times New Roman"/>
          <w:spacing w:val="-5"/>
          <w:sz w:val="18"/>
        </w:rPr>
        <w:t>2006.12.31</w:t>
      </w:r>
      <w:r>
        <w:rPr>
          <w:rFonts w:ascii="Times New Roman"/>
          <w:sz w:val="18"/>
        </w:rPr>
      </w:r>
    </w:p>
    <w:p>
      <w:pPr>
        <w:spacing w:line="195" w:lineRule="exact" w:before="0"/>
        <w:ind w:left="1800" w:right="0" w:firstLine="0"/>
        <w:jc w:val="left"/>
        <w:rPr>
          <w:rFonts w:ascii="宋体" w:hAnsi="宋体" w:cs="宋体" w:eastAsia="宋体" w:hint="default"/>
          <w:sz w:val="18"/>
          <w:szCs w:val="18"/>
        </w:rPr>
      </w:pPr>
      <w:r>
        <w:rPr/>
        <w:pict>
          <v:group style="position:absolute;margin-left:240.119995pt;margin-top:6.502778pt;width:298.150pt;height:.1pt;mso-position-horizontal-relative:page;mso-position-vertical-relative:paragraph;z-index:3160" coordorigin="4802,130" coordsize="5963,2">
            <v:shape style="position:absolute;left:4802;top:130;width:5963;height:2" coordorigin="4802,130" coordsize="5963,0" path="m4802,130l10765,130e" filled="false" stroked="true" strokeweight=".48pt" strokecolor="#000000">
              <v:path arrowok="t"/>
            </v:shape>
            <w10:wrap type="none"/>
          </v:group>
        </w:pict>
      </w:r>
      <w:r>
        <w:rPr>
          <w:rFonts w:ascii="宋体" w:hAnsi="宋体" w:cs="宋体" w:eastAsia="宋体" w:hint="default"/>
          <w:spacing w:val="-8"/>
          <w:sz w:val="18"/>
          <w:szCs w:val="18"/>
        </w:rPr>
        <w:t>类别</w:t>
      </w:r>
      <w:r>
        <w:rPr>
          <w:rFonts w:ascii="宋体" w:hAnsi="宋体" w:cs="宋体" w:eastAsia="宋体" w:hint="default"/>
          <w:sz w:val="18"/>
          <w:szCs w:val="18"/>
        </w:rPr>
      </w:r>
    </w:p>
    <w:p>
      <w:pPr>
        <w:tabs>
          <w:tab w:pos="6174" w:val="left" w:leader="none"/>
          <w:tab w:pos="7296" w:val="left" w:leader="none"/>
          <w:tab w:pos="8911" w:val="left" w:leader="none"/>
        </w:tabs>
        <w:spacing w:line="226" w:lineRule="exact" w:before="0"/>
        <w:ind w:left="4702" w:right="0" w:firstLine="0"/>
        <w:jc w:val="left"/>
        <w:rPr>
          <w:rFonts w:ascii="宋体" w:hAnsi="宋体" w:cs="宋体" w:eastAsia="宋体" w:hint="default"/>
          <w:sz w:val="18"/>
          <w:szCs w:val="18"/>
        </w:rPr>
      </w:pPr>
      <w:r>
        <w:rPr>
          <w:rFonts w:ascii="宋体" w:hAnsi="宋体" w:cs="宋体" w:eastAsia="宋体" w:hint="default"/>
          <w:spacing w:val="-4"/>
          <w:sz w:val="18"/>
          <w:szCs w:val="18"/>
        </w:rPr>
        <w:t>金额</w:t>
        <w:tab/>
        <w:t>比例</w:t>
        <w:tab/>
      </w:r>
      <w:r>
        <w:rPr>
          <w:rFonts w:ascii="宋体" w:hAnsi="宋体" w:cs="宋体" w:eastAsia="宋体" w:hint="default"/>
          <w:spacing w:val="-7"/>
          <w:sz w:val="18"/>
          <w:szCs w:val="18"/>
        </w:rPr>
        <w:t>坏账准备</w:t>
        <w:tab/>
      </w:r>
      <w:r>
        <w:rPr>
          <w:rFonts w:ascii="宋体" w:hAnsi="宋体" w:cs="宋体" w:eastAsia="宋体" w:hint="default"/>
          <w:spacing w:val="-9"/>
          <w:sz w:val="18"/>
          <w:szCs w:val="18"/>
        </w:rPr>
        <w:t>计提比例</w:t>
      </w:r>
      <w:r>
        <w:rPr>
          <w:rFonts w:ascii="宋体" w:hAnsi="宋体" w:cs="宋体" w:eastAsia="宋体" w:hint="default"/>
          <w:sz w:val="18"/>
          <w:szCs w:val="18"/>
        </w:rPr>
      </w:r>
    </w:p>
    <w:p>
      <w:pPr>
        <w:spacing w:line="240" w:lineRule="auto" w:before="1"/>
        <w:rPr>
          <w:rFonts w:ascii="宋体" w:hAnsi="宋体" w:cs="宋体" w:eastAsia="宋体" w:hint="default"/>
          <w:sz w:val="8"/>
          <w:szCs w:val="8"/>
        </w:rPr>
      </w:pPr>
    </w:p>
    <w:p>
      <w:pPr>
        <w:tabs>
          <w:tab w:pos="8707" w:val="left" w:leader="none"/>
        </w:tabs>
        <w:spacing w:line="20" w:lineRule="exact"/>
        <w:ind w:left="154" w:right="0" w:firstLine="0"/>
        <w:rPr>
          <w:rFonts w:ascii="宋体" w:hAnsi="宋体" w:cs="宋体" w:eastAsia="宋体" w:hint="default"/>
          <w:sz w:val="2"/>
          <w:szCs w:val="2"/>
        </w:rPr>
      </w:pPr>
      <w:r>
        <w:rPr>
          <w:rFonts w:ascii="宋体"/>
          <w:sz w:val="2"/>
        </w:rPr>
        <w:pict>
          <v:group style="width:415.6pt;height:.75pt;mso-position-horizontal-relative:char;mso-position-vertical-relative:line" coordorigin="0,0" coordsize="8312,15">
            <v:group style="position:absolute;left:7;top:7;width:3626;height:2" coordorigin="7,7" coordsize="3626,2">
              <v:shape style="position:absolute;left:7;top:7;width:3626;height:2" coordorigin="7,7" coordsize="3626,0" path="m7,7l3632,7e" filled="false" stroked="true" strokeweight=".72pt" strokecolor="#000000">
                <v:path arrowok="t"/>
              </v:shape>
            </v:group>
            <v:group style="position:absolute;left:3668;top:5;width:2091;height:2" coordorigin="3668,5" coordsize="2091,2">
              <v:shape style="position:absolute;left:3668;top:5;width:2091;height:2" coordorigin="3668,5" coordsize="2091,0" path="m3668,5l5759,5e" filled="false" stroked="true" strokeweight=".48pt" strokecolor="#000000">
                <v:path arrowok="t"/>
              </v:shape>
            </v:group>
            <v:group style="position:absolute;left:5796;top:7;width:782;height:2" coordorigin="5796,7" coordsize="782,2">
              <v:shape style="position:absolute;left:5796;top:7;width:782;height:2" coordorigin="5796,7" coordsize="782,0" path="m5796,7l6577,7e" filled="false" stroked="true" strokeweight=".72pt" strokecolor="#000000">
                <v:path arrowok="t"/>
              </v:shape>
            </v:group>
            <v:group style="position:absolute;left:6653;top:5;width:1654;height:2" coordorigin="6653,5" coordsize="1654,2">
              <v:shape style="position:absolute;left:6653;top:5;width:1654;height:2" coordorigin="6653,5" coordsize="1654,0" path="m6653,5l8306,5e" filled="false" stroked="true" strokeweight=".48pt" strokecolor="#000000">
                <v:path arrowok="t"/>
              </v:shape>
            </v:group>
          </v:group>
        </w:pict>
      </w:r>
      <w:r>
        <w:rPr>
          <w:rFonts w:ascii="宋体"/>
          <w:sz w:val="2"/>
        </w:rPr>
      </w:r>
      <w:r>
        <w:rPr>
          <w:rFonts w:ascii="宋体"/>
          <w:sz w:val="2"/>
        </w:rPr>
        <w:tab/>
      </w:r>
      <w:r>
        <w:rPr>
          <w:rFonts w:ascii="宋体"/>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8pt" strokecolor="#000000">
                <v:path arrowok="t"/>
              </v:shape>
            </v:group>
          </v:group>
        </w:pict>
      </w:r>
      <w:r>
        <w:rPr>
          <w:rFonts w:ascii="宋体"/>
          <w:sz w:val="2"/>
        </w:rPr>
      </w:r>
    </w:p>
    <w:p>
      <w:pPr>
        <w:tabs>
          <w:tab w:pos="3829" w:val="left" w:leader="none"/>
          <w:tab w:pos="5150" w:val="left" w:leader="none"/>
          <w:tab w:pos="6206" w:val="left" w:leader="none"/>
          <w:tab w:pos="7782" w:val="left" w:leader="none"/>
          <w:tab w:pos="9260" w:val="left" w:leader="none"/>
        </w:tabs>
        <w:spacing w:before="48"/>
        <w:ind w:left="154"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单项金额重大的其他应收款</w:t>
        <w:tab/>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500,000.00</w:t>
        <w:tab/>
        <w:t>16.37%</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
          <w:sz w:val="18"/>
          <w:szCs w:val="18"/>
        </w:rPr>
        <w:t>RMB</w:t>
        <w:tab/>
      </w:r>
      <w:r>
        <w:rPr>
          <w:rFonts w:ascii="Times New Roman" w:hAnsi="Times New Roman" w:cs="Times New Roman" w:eastAsia="Times New Roman" w:hint="default"/>
          <w:spacing w:val="-4"/>
          <w:sz w:val="18"/>
          <w:szCs w:val="18"/>
        </w:rPr>
        <w:t>20,000.00</w:t>
        <w:tab/>
        <w:t>14.00%</w:t>
      </w:r>
    </w:p>
    <w:p>
      <w:pPr>
        <w:spacing w:before="99"/>
        <w:ind w:left="154" w:right="5172" w:firstLine="0"/>
        <w:jc w:val="left"/>
        <w:rPr>
          <w:rFonts w:ascii="宋体" w:hAnsi="宋体" w:cs="宋体" w:eastAsia="宋体" w:hint="default"/>
          <w:sz w:val="18"/>
          <w:szCs w:val="18"/>
        </w:rPr>
      </w:pPr>
      <w:r>
        <w:rPr/>
        <w:pict>
          <v:shape style="position:absolute;margin-left:240.119995pt;margin-top:9.042661pt;width:300.45pt;height:64.9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9"/>
                    <w:gridCol w:w="1402"/>
                    <w:gridCol w:w="1427"/>
                    <w:gridCol w:w="1021"/>
                    <w:gridCol w:w="1360"/>
                  </w:tblGrid>
                  <w:tr>
                    <w:trPr>
                      <w:trHeight w:val="854" w:hRule="exact"/>
                    </w:trPr>
                    <w:tc>
                      <w:tcPr>
                        <w:tcW w:w="799" w:type="dxa"/>
                        <w:tcBorders>
                          <w:top w:val="nil" w:sz="6" w:space="0" w:color="auto"/>
                          <w:left w:val="nil" w:sz="6" w:space="0" w:color="auto"/>
                          <w:bottom w:val="single" w:sz="6" w:space="0" w:color="000000"/>
                          <w:right w:val="nil" w:sz="6" w:space="0" w:color="auto"/>
                        </w:tcBorders>
                      </w:tcPr>
                      <w:p>
                        <w:pPr/>
                      </w:p>
                    </w:tc>
                    <w:tc>
                      <w:tcPr>
                        <w:tcW w:w="1402"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402" w:right="0" w:firstLine="841"/>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pacing w:val="-4"/>
                            <w:sz w:val="18"/>
                          </w:rPr>
                          <w:t>2,554,451.08</w:t>
                        </w:r>
                      </w:p>
                    </w:tc>
                    <w:tc>
                      <w:tcPr>
                        <w:tcW w:w="1427"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183" w:right="0" w:firstLine="474"/>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pacing w:val="-4"/>
                            <w:sz w:val="18"/>
                          </w:rPr>
                          <w:t>83.63%</w:t>
                        </w:r>
                      </w:p>
                    </w:tc>
                    <w:tc>
                      <w:tcPr>
                        <w:tcW w:w="1021" w:type="dxa"/>
                        <w:tcBorders>
                          <w:top w:val="nil" w:sz="6" w:space="0" w:color="auto"/>
                          <w:left w:val="nil" w:sz="6" w:space="0" w:color="auto"/>
                          <w:bottom w:val="single" w:sz="6" w:space="0" w:color="000000"/>
                          <w:right w:val="nil" w:sz="6" w:space="0" w:color="auto"/>
                        </w:tcBorders>
                      </w:tcPr>
                      <w:p>
                        <w:pPr>
                          <w:pStyle w:val="TableParagraph"/>
                          <w:spacing w:line="240" w:lineRule="auto" w:before="81"/>
                          <w:ind w:left="246" w:right="0" w:firstLine="714"/>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pacing w:val="-5"/>
                            <w:sz w:val="18"/>
                          </w:rPr>
                          <w:t>270,060.55</w:t>
                        </w:r>
                        <w:r>
                          <w:rPr>
                            <w:rFonts w:ascii="Times New Roman"/>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65" w:right="0" w:firstLine="499"/>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10.57%</w:t>
                        </w:r>
                      </w:p>
                    </w:tc>
                  </w:tr>
                  <w:tr>
                    <w:trPr>
                      <w:trHeight w:val="415" w:hRule="exact"/>
                    </w:trPr>
                    <w:tc>
                      <w:tcPr>
                        <w:tcW w:w="799" w:type="dxa"/>
                        <w:tcBorders>
                          <w:top w:val="single" w:sz="6" w:space="0" w:color="000000"/>
                          <w:left w:val="nil" w:sz="6" w:space="0" w:color="auto"/>
                          <w:bottom w:val="single" w:sz="12" w:space="0" w:color="000000"/>
                          <w:right w:val="nil" w:sz="6" w:space="0" w:color="auto"/>
                        </w:tcBorders>
                      </w:tcPr>
                      <w:p>
                        <w:pPr>
                          <w:pStyle w:val="TableParagraph"/>
                          <w:spacing w:line="240" w:lineRule="auto" w:before="95"/>
                          <w:ind w:left="7" w:right="0"/>
                          <w:jc w:val="left"/>
                          <w:rPr>
                            <w:rFonts w:ascii="Times New Roman" w:hAnsi="Times New Roman" w:cs="Times New Roman" w:eastAsia="Times New Roman" w:hint="default"/>
                            <w:sz w:val="18"/>
                            <w:szCs w:val="18"/>
                          </w:rPr>
                        </w:pPr>
                        <w:r>
                          <w:rPr>
                            <w:rFonts w:ascii="Times New Roman"/>
                            <w:spacing w:val="-4"/>
                            <w:sz w:val="18"/>
                          </w:rPr>
                          <w:t>RMB</w:t>
                        </w:r>
                        <w:r>
                          <w:rPr>
                            <w:rFonts w:ascii="Times New Roman"/>
                            <w:sz w:val="18"/>
                          </w:rPr>
                        </w:r>
                      </w:p>
                    </w:tc>
                    <w:tc>
                      <w:tcPr>
                        <w:tcW w:w="1402" w:type="dxa"/>
                        <w:tcBorders>
                          <w:top w:val="single" w:sz="6" w:space="0" w:color="000000"/>
                          <w:left w:val="nil" w:sz="6" w:space="0" w:color="auto"/>
                          <w:bottom w:val="single" w:sz="12" w:space="0" w:color="000000"/>
                          <w:right w:val="nil" w:sz="6" w:space="0" w:color="auto"/>
                        </w:tcBorders>
                      </w:tcPr>
                      <w:p>
                        <w:pPr>
                          <w:pStyle w:val="TableParagraph"/>
                          <w:spacing w:line="240" w:lineRule="auto" w:before="95"/>
                          <w:ind w:left="402" w:right="0"/>
                          <w:jc w:val="left"/>
                          <w:rPr>
                            <w:rFonts w:ascii="Times New Roman" w:hAnsi="Times New Roman" w:cs="Times New Roman" w:eastAsia="Times New Roman" w:hint="default"/>
                            <w:sz w:val="18"/>
                            <w:szCs w:val="18"/>
                          </w:rPr>
                        </w:pPr>
                        <w:r>
                          <w:rPr>
                            <w:rFonts w:ascii="Times New Roman"/>
                            <w:spacing w:val="-4"/>
                            <w:sz w:val="18"/>
                          </w:rPr>
                          <w:t>3,054,451.08</w:t>
                        </w:r>
                      </w:p>
                    </w:tc>
                    <w:tc>
                      <w:tcPr>
                        <w:tcW w:w="1427" w:type="dxa"/>
                        <w:tcBorders>
                          <w:top w:val="single" w:sz="6" w:space="0" w:color="000000"/>
                          <w:left w:val="nil" w:sz="6" w:space="0" w:color="auto"/>
                          <w:bottom w:val="single" w:sz="12" w:space="0" w:color="000000"/>
                          <w:right w:val="nil" w:sz="6" w:space="0" w:color="auto"/>
                        </w:tcBorders>
                      </w:tcPr>
                      <w:p>
                        <w:pPr>
                          <w:pStyle w:val="TableParagraph"/>
                          <w:spacing w:line="240" w:lineRule="auto" w:before="95"/>
                          <w:ind w:left="97" w:right="0"/>
                          <w:jc w:val="left"/>
                          <w:rPr>
                            <w:rFonts w:ascii="Times New Roman" w:hAnsi="Times New Roman" w:cs="Times New Roman" w:eastAsia="Times New Roman" w:hint="default"/>
                            <w:sz w:val="18"/>
                            <w:szCs w:val="18"/>
                          </w:rPr>
                        </w:pPr>
                        <w:r>
                          <w:rPr>
                            <w:rFonts w:ascii="Times New Roman"/>
                            <w:spacing w:val="-4"/>
                            <w:sz w:val="18"/>
                          </w:rPr>
                          <w:t>100.00%</w:t>
                        </w:r>
                        <w:r>
                          <w:rPr>
                            <w:rFonts w:ascii="Times New Roman"/>
                            <w:spacing w:val="28"/>
                            <w:sz w:val="18"/>
                          </w:rPr>
                          <w:t> </w:t>
                        </w:r>
                        <w:r>
                          <w:rPr>
                            <w:rFonts w:ascii="Times New Roman"/>
                            <w:spacing w:val="-4"/>
                            <w:sz w:val="18"/>
                          </w:rPr>
                          <w:t>RMB</w:t>
                        </w:r>
                        <w:r>
                          <w:rPr>
                            <w:rFonts w:ascii="Times New Roman"/>
                            <w:sz w:val="18"/>
                          </w:rPr>
                        </w:r>
                      </w:p>
                    </w:tc>
                    <w:tc>
                      <w:tcPr>
                        <w:tcW w:w="1021" w:type="dxa"/>
                        <w:tcBorders>
                          <w:top w:val="single" w:sz="6" w:space="0" w:color="000000"/>
                          <w:left w:val="nil" w:sz="6" w:space="0" w:color="auto"/>
                          <w:bottom w:val="single" w:sz="12" w:space="0" w:color="000000"/>
                          <w:right w:val="nil" w:sz="6" w:space="0" w:color="auto"/>
                        </w:tcBorders>
                      </w:tcPr>
                      <w:p>
                        <w:pPr>
                          <w:pStyle w:val="TableParagraph"/>
                          <w:spacing w:line="240" w:lineRule="auto" w:before="95"/>
                          <w:ind w:left="246" w:right="0"/>
                          <w:jc w:val="left"/>
                          <w:rPr>
                            <w:rFonts w:ascii="Times New Roman" w:hAnsi="Times New Roman" w:cs="Times New Roman" w:eastAsia="Times New Roman" w:hint="default"/>
                            <w:sz w:val="18"/>
                            <w:szCs w:val="18"/>
                          </w:rPr>
                        </w:pPr>
                        <w:r>
                          <w:rPr>
                            <w:rFonts w:ascii="Times New Roman"/>
                            <w:spacing w:val="-5"/>
                            <w:sz w:val="18"/>
                          </w:rPr>
                          <w:t>290,060.55</w:t>
                        </w:r>
                        <w:r>
                          <w:rPr>
                            <w:rFonts w:ascii="Times New Roman"/>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5" w:right="0"/>
                          <w:jc w:val="left"/>
                          <w:rPr>
                            <w:rFonts w:ascii="Times New Roman" w:hAnsi="Times New Roman" w:cs="Times New Roman" w:eastAsia="Times New Roman" w:hint="default"/>
                            <w:sz w:val="18"/>
                            <w:szCs w:val="18"/>
                          </w:rPr>
                        </w:pPr>
                        <w:r>
                          <w:rPr>
                            <w:rFonts w:ascii="Times New Roman"/>
                            <w:sz w:val="18"/>
                          </w:rPr>
                          <w:t>9.50%</w:t>
                        </w:r>
                      </w:p>
                    </w:tc>
                  </w:tr>
                </w:tbl>
                <w:p>
                  <w:pPr/>
                </w:p>
              </w:txbxContent>
            </v:textbox>
            <w10:wrap type="none"/>
          </v:shape>
        </w:pict>
      </w:r>
      <w:r>
        <w:rPr>
          <w:rFonts w:ascii="宋体" w:hAnsi="宋体" w:cs="宋体" w:eastAsia="宋体" w:hint="default"/>
          <w:spacing w:val="-8"/>
          <w:sz w:val="18"/>
          <w:szCs w:val="18"/>
        </w:rPr>
        <w:t>单项金额按信用风险特征组合后该组合的风险较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9"/>
          <w:sz w:val="18"/>
          <w:szCs w:val="18"/>
        </w:rPr>
        <w:t>大的其他应收款</w:t>
      </w:r>
      <w:r>
        <w:rPr>
          <w:rFonts w:ascii="宋体" w:hAnsi="宋体" w:cs="宋体" w:eastAsia="宋体" w:hint="default"/>
          <w:sz w:val="18"/>
          <w:szCs w:val="18"/>
        </w:rPr>
      </w:r>
    </w:p>
    <w:p>
      <w:pPr>
        <w:spacing w:before="117"/>
        <w:ind w:left="154" w:right="0" w:firstLine="0"/>
        <w:jc w:val="left"/>
        <w:rPr>
          <w:rFonts w:ascii="宋体" w:hAnsi="宋体" w:cs="宋体" w:eastAsia="宋体" w:hint="default"/>
          <w:sz w:val="18"/>
          <w:szCs w:val="18"/>
        </w:rPr>
      </w:pPr>
      <w:r>
        <w:rPr>
          <w:rFonts w:ascii="宋体" w:hAnsi="宋体" w:cs="宋体" w:eastAsia="宋体" w:hint="default"/>
          <w:spacing w:val="-9"/>
          <w:sz w:val="18"/>
          <w:szCs w:val="18"/>
        </w:rPr>
        <w:t>单项金额不重大的其他应收款</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26"/>
        <w:ind w:left="634" w:right="0"/>
        <w:jc w:val="left"/>
      </w:pPr>
      <w:r>
        <w:rPr>
          <w:rFonts w:ascii="Times New Roman" w:hAnsi="Times New Roman" w:cs="Times New Roman" w:eastAsia="Times New Roman" w:hint="default"/>
        </w:rPr>
        <w:t>*  </w:t>
      </w:r>
      <w:r>
        <w:rPr/>
        <w:t>本公司单项金额重大的其他应收款指单笔金额为 </w:t>
      </w:r>
      <w:r>
        <w:rPr>
          <w:rFonts w:ascii="Times New Roman" w:hAnsi="Times New Roman" w:cs="Times New Roman" w:eastAsia="Times New Roman" w:hint="default"/>
        </w:rPr>
        <w:t>200,000.00</w:t>
      </w:r>
      <w:r>
        <w:rPr>
          <w:rFonts w:ascii="Times New Roman" w:hAnsi="Times New Roman" w:cs="Times New Roman" w:eastAsia="Times New Roman" w:hint="default"/>
          <w:spacing w:val="-22"/>
        </w:rPr>
        <w:t> </w:t>
      </w:r>
      <w:r>
        <w:rPr/>
        <w:t>人民币元以上的其他应收</w:t>
      </w:r>
    </w:p>
    <w:p>
      <w:pPr>
        <w:spacing w:after="0" w:line="240" w:lineRule="auto"/>
        <w:jc w:val="left"/>
        <w:sectPr>
          <w:pgSz w:w="11910" w:h="16840"/>
          <w:pgMar w:header="877" w:footer="1022" w:top="1060" w:bottom="1220" w:left="980" w:right="980"/>
        </w:sectPr>
      </w:pPr>
    </w:p>
    <w:p>
      <w:pPr>
        <w:spacing w:line="240" w:lineRule="auto" w:before="0"/>
        <w:rPr>
          <w:rFonts w:ascii="宋体" w:hAnsi="宋体" w:cs="宋体" w:eastAsia="宋体" w:hint="default"/>
          <w:sz w:val="20"/>
          <w:szCs w:val="20"/>
        </w:rPr>
      </w:pPr>
    </w:p>
    <w:p>
      <w:pPr>
        <w:pStyle w:val="BodyText"/>
        <w:spacing w:line="240" w:lineRule="auto" w:before="170"/>
        <w:ind w:left="154" w:right="218"/>
        <w:jc w:val="left"/>
      </w:pPr>
      <w:r>
        <w:rPr/>
        <w:t>款，经减值测试后不存在减值，公司按账龄计提坏账准备。</w:t>
      </w:r>
    </w:p>
    <w:p>
      <w:pPr>
        <w:spacing w:line="240" w:lineRule="auto" w:before="7"/>
        <w:rPr>
          <w:rFonts w:ascii="宋体" w:hAnsi="宋体" w:cs="宋体" w:eastAsia="宋体" w:hint="default"/>
          <w:sz w:val="18"/>
          <w:szCs w:val="18"/>
        </w:rPr>
      </w:pPr>
    </w:p>
    <w:p>
      <w:pPr>
        <w:pStyle w:val="BodyText"/>
        <w:spacing w:line="288" w:lineRule="auto"/>
        <w:ind w:left="154" w:right="0" w:firstLine="4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3"/>
        </w:rPr>
        <w:t>本公司单项金额不重大但按信用风险特征组合后该组合的风险较大的其他应收款，是</w:t>
      </w:r>
      <w:r>
        <w:rPr/>
        <w:t> 指账龄超过三年的其他应收款，经减值测试后不存在减值，公司按账龄计提坏账准备。</w:t>
      </w:r>
    </w:p>
    <w:p>
      <w:pPr>
        <w:pStyle w:val="BodyText"/>
        <w:spacing w:line="288" w:lineRule="auto" w:before="138"/>
        <w:ind w:right="0" w:firstLine="480"/>
        <w:jc w:val="left"/>
      </w:pPr>
      <w:r>
        <w:rPr>
          <w:rFonts w:ascii="Times New Roman" w:hAnsi="Times New Roman" w:cs="Times New Roman" w:eastAsia="Times New Roman" w:hint="default"/>
        </w:rPr>
        <w:t>*** </w:t>
      </w:r>
      <w:r>
        <w:rPr/>
        <w:t>本公司单项金额不重大的其他应收款指单笔金额为 </w:t>
      </w:r>
      <w:r>
        <w:rPr>
          <w:rFonts w:ascii="Times New Roman" w:hAnsi="Times New Roman" w:cs="Times New Roman" w:eastAsia="Times New Roman" w:hint="default"/>
        </w:rPr>
        <w:t>200,000.00</w:t>
      </w:r>
      <w:r>
        <w:rPr>
          <w:rFonts w:ascii="Times New Roman" w:hAnsi="Times New Roman" w:cs="Times New Roman" w:eastAsia="Times New Roman" w:hint="default"/>
          <w:spacing w:val="-22"/>
        </w:rPr>
        <w:t> </w:t>
      </w:r>
      <w:r>
        <w:rPr/>
        <w:t>人民币元以下的其他 应收款。</w:t>
      </w:r>
    </w:p>
    <w:p>
      <w:pPr>
        <w:spacing w:line="240" w:lineRule="auto" w:before="4"/>
        <w:rPr>
          <w:rFonts w:ascii="宋体" w:hAnsi="宋体" w:cs="宋体" w:eastAsia="宋体" w:hint="default"/>
          <w:sz w:val="21"/>
          <w:szCs w:val="21"/>
        </w:rPr>
      </w:pPr>
    </w:p>
    <w:p>
      <w:pPr>
        <w:pStyle w:val="BodyText"/>
        <w:spacing w:line="391" w:lineRule="auto"/>
        <w:ind w:left="354" w:right="1813" w:firstLine="39"/>
        <w:jc w:val="left"/>
      </w:pPr>
      <w:r>
        <w:rPr/>
        <w:t>③ </w:t>
      </w:r>
      <w:r>
        <w:rPr>
          <w:spacing w:val="7"/>
        </w:rPr>
        <w:t>其他应收款中无持有本公司 </w:t>
      </w:r>
      <w:r>
        <w:rPr>
          <w:rFonts w:ascii="Times New Roman" w:hAnsi="Times New Roman" w:cs="Times New Roman" w:eastAsia="Times New Roman" w:hint="default"/>
          <w:spacing w:val="2"/>
        </w:rPr>
        <w:t>5%(</w:t>
      </w:r>
      <w:r>
        <w:rPr>
          <w:spacing w:val="2"/>
        </w:rPr>
        <w:t>含</w:t>
      </w:r>
      <w:r>
        <w:rPr>
          <w:spacing w:val="-93"/>
        </w:rPr>
        <w:t> </w:t>
      </w:r>
      <w:r>
        <w:rPr>
          <w:rFonts w:ascii="Times New Roman" w:hAnsi="Times New Roman" w:cs="Times New Roman" w:eastAsia="Times New Roman" w:hint="default"/>
          <w:spacing w:val="7"/>
        </w:rPr>
        <w:t>5%)</w:t>
      </w:r>
      <w:r>
        <w:rPr>
          <w:spacing w:val="7"/>
        </w:rPr>
        <w:t>以上股份的股东单位的欠款。</w:t>
      </w:r>
      <w:r>
        <w:rPr>
          <w:spacing w:val="8"/>
        </w:rPr>
        <w:t> </w:t>
      </w:r>
      <w:r>
        <w:rPr>
          <w:rFonts w:ascii="Times New Roman" w:hAnsi="Times New Roman" w:cs="Times New Roman" w:eastAsia="Times New Roman" w:hint="default"/>
        </w:rPr>
        <w:t>(3) </w:t>
      </w:r>
      <w:r>
        <w:rPr>
          <w:rFonts w:ascii="Times New Roman" w:hAnsi="Times New Roman" w:cs="Times New Roman" w:eastAsia="Times New Roman" w:hint="default"/>
          <w:spacing w:val="17"/>
        </w:rPr>
        <w:t> </w:t>
      </w:r>
      <w:r>
        <w:rPr>
          <w:spacing w:val="8"/>
        </w:rPr>
        <w:t>长期股权投资</w:t>
      </w:r>
      <w:r>
        <w:rPr/>
      </w:r>
    </w:p>
    <w:p>
      <w:pPr>
        <w:pStyle w:val="BodyText"/>
        <w:spacing w:line="240" w:lineRule="auto" w:before="40"/>
        <w:ind w:left="354" w:right="218"/>
        <w:jc w:val="left"/>
      </w:pPr>
      <w:r>
        <w:rPr>
          <w:spacing w:val="8"/>
        </w:rPr>
        <w:t>长期股权投资明细项目列示如下：</w:t>
      </w:r>
      <w:r>
        <w:rPr/>
      </w:r>
    </w:p>
    <w:p>
      <w:pPr>
        <w:spacing w:line="240" w:lineRule="auto" w:before="2"/>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1062"/>
        <w:gridCol w:w="890"/>
        <w:gridCol w:w="1472"/>
        <w:gridCol w:w="1668"/>
        <w:gridCol w:w="154"/>
        <w:gridCol w:w="1587"/>
        <w:gridCol w:w="157"/>
        <w:gridCol w:w="1280"/>
        <w:gridCol w:w="87"/>
        <w:gridCol w:w="1288"/>
      </w:tblGrid>
      <w:tr>
        <w:trPr>
          <w:trHeight w:val="362" w:hRule="exact"/>
        </w:trPr>
        <w:tc>
          <w:tcPr>
            <w:tcW w:w="1062" w:type="dxa"/>
            <w:vMerge w:val="restart"/>
            <w:tcBorders>
              <w:top w:val="nil" w:sz="6" w:space="0" w:color="auto"/>
              <w:left w:val="nil" w:sz="6" w:space="0" w:color="auto"/>
              <w:right w:val="nil" w:sz="6" w:space="0" w:color="auto"/>
            </w:tcBorders>
          </w:tcPr>
          <w:p>
            <w:pPr>
              <w:pStyle w:val="TableParagraph"/>
              <w:spacing w:line="285" w:lineRule="auto" w:before="31"/>
              <w:ind w:left="313" w:right="210" w:firstLine="67"/>
              <w:jc w:val="left"/>
              <w:rPr>
                <w:rFonts w:ascii="宋体" w:hAnsi="宋体" w:cs="宋体" w:eastAsia="宋体" w:hint="default"/>
                <w:sz w:val="15"/>
                <w:szCs w:val="15"/>
              </w:rPr>
            </w:pPr>
            <w:r>
              <w:rPr>
                <w:rFonts w:ascii="宋体" w:hAnsi="宋体" w:cs="宋体" w:eastAsia="宋体" w:hint="default"/>
                <w:spacing w:val="-11"/>
                <w:sz w:val="15"/>
                <w:szCs w:val="15"/>
              </w:rPr>
              <w:t>被投资</w:t>
            </w:r>
            <w:r>
              <w:rPr>
                <w:rFonts w:ascii="宋体" w:hAnsi="宋体" w:cs="宋体" w:eastAsia="宋体" w:hint="default"/>
                <w:sz w:val="15"/>
                <w:szCs w:val="15"/>
              </w:rPr>
              <w:t> </w:t>
            </w:r>
            <w:r>
              <w:rPr>
                <w:rFonts w:ascii="宋体" w:hAnsi="宋体" w:cs="宋体" w:eastAsia="宋体" w:hint="default"/>
                <w:spacing w:val="-17"/>
                <w:sz w:val="15"/>
                <w:szCs w:val="15"/>
              </w:rPr>
              <w:t>公司名称</w:t>
            </w:r>
            <w:r>
              <w:rPr>
                <w:rFonts w:ascii="宋体" w:hAnsi="宋体" w:cs="宋体" w:eastAsia="宋体" w:hint="default"/>
                <w:sz w:val="15"/>
                <w:szCs w:val="15"/>
              </w:rPr>
            </w:r>
          </w:p>
        </w:tc>
        <w:tc>
          <w:tcPr>
            <w:tcW w:w="890" w:type="dxa"/>
            <w:vMerge w:val="restart"/>
            <w:tcBorders>
              <w:top w:val="nil" w:sz="6" w:space="0" w:color="auto"/>
              <w:left w:val="nil" w:sz="6" w:space="0" w:color="auto"/>
              <w:right w:val="nil" w:sz="6" w:space="0" w:color="auto"/>
            </w:tcBorders>
          </w:tcPr>
          <w:p>
            <w:pPr>
              <w:pStyle w:val="TableParagraph"/>
              <w:spacing w:line="149" w:lineRule="exact"/>
              <w:ind w:left="212" w:right="0"/>
              <w:jc w:val="left"/>
              <w:rPr>
                <w:rFonts w:ascii="宋体" w:hAnsi="宋体" w:cs="宋体" w:eastAsia="宋体" w:hint="default"/>
                <w:sz w:val="15"/>
                <w:szCs w:val="15"/>
              </w:rPr>
            </w:pPr>
            <w:r>
              <w:rPr>
                <w:rFonts w:ascii="宋体" w:hAnsi="宋体" w:cs="宋体" w:eastAsia="宋体" w:hint="default"/>
                <w:spacing w:val="-17"/>
                <w:sz w:val="15"/>
                <w:szCs w:val="15"/>
              </w:rPr>
              <w:t>占被投资</w:t>
            </w:r>
            <w:r>
              <w:rPr>
                <w:rFonts w:ascii="宋体" w:hAnsi="宋体" w:cs="宋体" w:eastAsia="宋体" w:hint="default"/>
                <w:sz w:val="15"/>
                <w:szCs w:val="15"/>
              </w:rPr>
            </w:r>
          </w:p>
          <w:p>
            <w:pPr>
              <w:pStyle w:val="TableParagraph"/>
              <w:spacing w:line="240" w:lineRule="auto"/>
              <w:ind w:left="213" w:right="138" w:hanging="2"/>
              <w:jc w:val="left"/>
              <w:rPr>
                <w:rFonts w:ascii="宋体" w:hAnsi="宋体" w:cs="宋体" w:eastAsia="宋体" w:hint="default"/>
                <w:sz w:val="15"/>
                <w:szCs w:val="15"/>
              </w:rPr>
            </w:pPr>
            <w:r>
              <w:rPr>
                <w:rFonts w:ascii="宋体" w:hAnsi="宋体" w:cs="宋体" w:eastAsia="宋体" w:hint="default"/>
                <w:spacing w:val="-17"/>
                <w:sz w:val="15"/>
                <w:szCs w:val="15"/>
              </w:rPr>
              <w:t>公司注册</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7"/>
                <w:sz w:val="15"/>
                <w:szCs w:val="15"/>
              </w:rPr>
              <w:t>资本比例</w:t>
            </w:r>
            <w:r>
              <w:rPr>
                <w:rFonts w:ascii="宋体" w:hAnsi="宋体" w:cs="宋体" w:eastAsia="宋体" w:hint="default"/>
                <w:sz w:val="15"/>
                <w:szCs w:val="15"/>
              </w:rPr>
            </w:r>
          </w:p>
        </w:tc>
        <w:tc>
          <w:tcPr>
            <w:tcW w:w="32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right="155"/>
              <w:jc w:val="center"/>
              <w:rPr>
                <w:rFonts w:ascii="Times New Roman" w:hAnsi="Times New Roman" w:cs="Times New Roman" w:eastAsia="Times New Roman" w:hint="default"/>
                <w:sz w:val="15"/>
                <w:szCs w:val="15"/>
              </w:rPr>
            </w:pPr>
            <w:r>
              <w:rPr>
                <w:rFonts w:ascii="Times New Roman"/>
                <w:spacing w:val="-9"/>
                <w:sz w:val="15"/>
              </w:rPr>
              <w:t>2007.01.01</w:t>
            </w:r>
            <w:r>
              <w:rPr>
                <w:rFonts w:ascii="Times New Roman"/>
                <w:sz w:val="15"/>
              </w:rPr>
            </w:r>
          </w:p>
        </w:tc>
        <w:tc>
          <w:tcPr>
            <w:tcW w:w="1587" w:type="dxa"/>
            <w:vMerge w:val="restart"/>
            <w:tcBorders>
              <w:top w:val="nil" w:sz="6" w:space="0" w:color="auto"/>
              <w:left w:val="nil" w:sz="6" w:space="0" w:color="auto"/>
              <w:right w:val="nil" w:sz="6" w:space="0" w:color="auto"/>
            </w:tcBorders>
          </w:tcPr>
          <w:p>
            <w:pPr>
              <w:pStyle w:val="TableParagraph"/>
              <w:spacing w:line="285" w:lineRule="auto" w:before="31"/>
              <w:ind w:left="424" w:right="423" w:firstLine="100"/>
              <w:jc w:val="left"/>
              <w:rPr>
                <w:rFonts w:ascii="Times New Roman" w:hAnsi="Times New Roman" w:cs="Times New Roman" w:eastAsia="Times New Roman" w:hint="default"/>
                <w:sz w:val="15"/>
                <w:szCs w:val="15"/>
              </w:rPr>
            </w:pPr>
            <w:r>
              <w:rPr>
                <w:rFonts w:ascii="宋体" w:hAnsi="宋体" w:cs="宋体" w:eastAsia="宋体" w:hint="default"/>
                <w:spacing w:val="-17"/>
                <w:sz w:val="15"/>
                <w:szCs w:val="15"/>
              </w:rPr>
              <w:t>本年增减</w:t>
            </w:r>
            <w:r>
              <w:rPr>
                <w:rFonts w:ascii="宋体" w:hAnsi="宋体" w:cs="宋体" w:eastAsia="宋体" w:hint="default"/>
                <w:spacing w:val="-16"/>
                <w:sz w:val="15"/>
                <w:szCs w:val="15"/>
              </w:rPr>
              <w:t> </w:t>
            </w:r>
            <w:r>
              <w:rPr>
                <w:rFonts w:ascii="宋体" w:hAnsi="宋体" w:cs="宋体" w:eastAsia="宋体" w:hint="default"/>
                <w:spacing w:val="-13"/>
                <w:sz w:val="15"/>
                <w:szCs w:val="15"/>
              </w:rPr>
              <w:t>投资额</w:t>
            </w:r>
            <w:r>
              <w:rPr>
                <w:rFonts w:ascii="Times New Roman" w:hAnsi="Times New Roman" w:cs="Times New Roman" w:eastAsia="Times New Roman" w:hint="default"/>
                <w:spacing w:val="-13"/>
                <w:sz w:val="15"/>
                <w:szCs w:val="15"/>
              </w:rPr>
              <w:t>(+</w:t>
            </w:r>
            <w:r>
              <w:rPr>
                <w:rFonts w:ascii="宋体" w:hAnsi="宋体" w:cs="宋体" w:eastAsia="宋体" w:hint="default"/>
                <w:spacing w:val="-13"/>
                <w:sz w:val="15"/>
                <w:szCs w:val="15"/>
              </w:rPr>
              <w:t>、</w:t>
            </w:r>
            <w:r>
              <w:rPr>
                <w:rFonts w:ascii="Times New Roman" w:hAnsi="Times New Roman" w:cs="Times New Roman" w:eastAsia="Times New Roman" w:hint="default"/>
                <w:spacing w:val="-13"/>
                <w:sz w:val="15"/>
                <w:szCs w:val="15"/>
              </w:rPr>
              <w:t>-)</w:t>
            </w:r>
            <w:r>
              <w:rPr>
                <w:rFonts w:ascii="Times New Roman" w:hAnsi="Times New Roman" w:cs="Times New Roman" w:eastAsia="Times New Roman" w:hint="default"/>
                <w:sz w:val="15"/>
                <w:szCs w:val="15"/>
              </w:rPr>
            </w:r>
          </w:p>
        </w:tc>
        <w:tc>
          <w:tcPr>
            <w:tcW w:w="157" w:type="dxa"/>
            <w:vMerge w:val="restart"/>
            <w:tcBorders>
              <w:top w:val="nil" w:sz="6" w:space="0" w:color="auto"/>
              <w:left w:val="nil" w:sz="6" w:space="0" w:color="auto"/>
              <w:right w:val="nil" w:sz="6" w:space="0" w:color="auto"/>
            </w:tcBorders>
          </w:tcPr>
          <w:p>
            <w:pPr/>
          </w:p>
        </w:tc>
        <w:tc>
          <w:tcPr>
            <w:tcW w:w="265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Times New Roman" w:hAnsi="Times New Roman" w:cs="Times New Roman" w:eastAsia="Times New Roman" w:hint="default"/>
                <w:sz w:val="15"/>
                <w:szCs w:val="15"/>
              </w:rPr>
            </w:pPr>
            <w:r>
              <w:rPr>
                <w:rFonts w:ascii="Times New Roman"/>
                <w:spacing w:val="-9"/>
                <w:sz w:val="15"/>
              </w:rPr>
              <w:t>2007.12.31</w:t>
            </w:r>
            <w:r>
              <w:rPr>
                <w:rFonts w:ascii="Times New Roman"/>
                <w:sz w:val="15"/>
              </w:rPr>
            </w:r>
          </w:p>
        </w:tc>
      </w:tr>
      <w:tr>
        <w:trPr>
          <w:trHeight w:val="294" w:hRule="exact"/>
        </w:trPr>
        <w:tc>
          <w:tcPr>
            <w:tcW w:w="1062" w:type="dxa"/>
            <w:vMerge/>
            <w:tcBorders>
              <w:left w:val="nil" w:sz="6" w:space="0" w:color="auto"/>
              <w:bottom w:val="single" w:sz="4" w:space="0" w:color="000000"/>
              <w:right w:val="nil" w:sz="6" w:space="0" w:color="auto"/>
            </w:tcBorders>
          </w:tcPr>
          <w:p>
            <w:pPr/>
          </w:p>
        </w:tc>
        <w:tc>
          <w:tcPr>
            <w:tcW w:w="890" w:type="dxa"/>
            <w:vMerge/>
            <w:tcBorders>
              <w:left w:val="nil" w:sz="6" w:space="0" w:color="auto"/>
              <w:bottom w:val="single" w:sz="4" w:space="0" w:color="000000"/>
              <w:right w:val="nil" w:sz="6" w:space="0" w:color="auto"/>
            </w:tcBorders>
          </w:tcPr>
          <w:p>
            <w:pP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88"/>
              <w:jc w:val="center"/>
              <w:rPr>
                <w:rFonts w:ascii="宋体" w:hAnsi="宋体" w:cs="宋体" w:eastAsia="宋体" w:hint="default"/>
                <w:sz w:val="15"/>
                <w:szCs w:val="15"/>
              </w:rPr>
            </w:pPr>
            <w:r>
              <w:rPr>
                <w:rFonts w:ascii="宋体" w:hAnsi="宋体" w:cs="宋体" w:eastAsia="宋体" w:hint="default"/>
                <w:spacing w:val="-17"/>
                <w:sz w:val="15"/>
                <w:szCs w:val="15"/>
              </w:rPr>
              <w:t>金额</w:t>
            </w:r>
            <w:r>
              <w:rPr>
                <w:rFonts w:ascii="宋体" w:hAnsi="宋体" w:cs="宋体" w:eastAsia="宋体" w:hint="default"/>
                <w:sz w:val="15"/>
                <w:szCs w:val="15"/>
              </w:rPr>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489" w:right="0"/>
              <w:jc w:val="left"/>
              <w:rPr>
                <w:rFonts w:ascii="宋体" w:hAnsi="宋体" w:cs="宋体" w:eastAsia="宋体" w:hint="default"/>
                <w:sz w:val="15"/>
                <w:szCs w:val="15"/>
              </w:rPr>
            </w:pPr>
            <w:r>
              <w:rPr>
                <w:rFonts w:ascii="宋体" w:hAnsi="宋体" w:cs="宋体" w:eastAsia="宋体" w:hint="default"/>
                <w:spacing w:val="-17"/>
                <w:sz w:val="15"/>
                <w:szCs w:val="15"/>
              </w:rPr>
              <w:t>减值准备</w:t>
            </w:r>
            <w:r>
              <w:rPr>
                <w:rFonts w:ascii="宋体" w:hAnsi="宋体" w:cs="宋体" w:eastAsia="宋体" w:hint="default"/>
                <w:sz w:val="15"/>
                <w:szCs w:val="15"/>
              </w:rPr>
            </w:r>
          </w:p>
        </w:tc>
        <w:tc>
          <w:tcPr>
            <w:tcW w:w="154" w:type="dxa"/>
            <w:tcBorders>
              <w:top w:val="nil" w:sz="6" w:space="0" w:color="auto"/>
              <w:left w:val="nil" w:sz="6" w:space="0" w:color="auto"/>
              <w:bottom w:val="nil" w:sz="6" w:space="0" w:color="auto"/>
              <w:right w:val="nil" w:sz="6" w:space="0" w:color="auto"/>
            </w:tcBorders>
          </w:tcPr>
          <w:p>
            <w:pPr/>
          </w:p>
        </w:tc>
        <w:tc>
          <w:tcPr>
            <w:tcW w:w="1587" w:type="dxa"/>
            <w:vMerge/>
            <w:tcBorders>
              <w:left w:val="nil" w:sz="6" w:space="0" w:color="auto"/>
              <w:bottom w:val="single" w:sz="4" w:space="0" w:color="000000"/>
              <w:right w:val="nil" w:sz="6" w:space="0" w:color="auto"/>
            </w:tcBorders>
          </w:tcPr>
          <w:p>
            <w:pPr/>
          </w:p>
        </w:tc>
        <w:tc>
          <w:tcPr>
            <w:tcW w:w="157" w:type="dxa"/>
            <w:vMerge/>
            <w:tcBorders>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pacing w:val="-17"/>
                <w:sz w:val="15"/>
                <w:szCs w:val="15"/>
              </w:rPr>
              <w:t>金额</w:t>
            </w:r>
            <w:r>
              <w:rPr>
                <w:rFonts w:ascii="宋体" w:hAnsi="宋体" w:cs="宋体" w:eastAsia="宋体" w:hint="default"/>
                <w:sz w:val="15"/>
                <w:szCs w:val="15"/>
              </w:rPr>
            </w:r>
          </w:p>
        </w:tc>
        <w:tc>
          <w:tcPr>
            <w:tcW w:w="87"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75" w:right="0"/>
              <w:jc w:val="left"/>
              <w:rPr>
                <w:rFonts w:ascii="宋体" w:hAnsi="宋体" w:cs="宋体" w:eastAsia="宋体" w:hint="default"/>
                <w:sz w:val="15"/>
                <w:szCs w:val="15"/>
              </w:rPr>
            </w:pPr>
            <w:r>
              <w:rPr>
                <w:rFonts w:ascii="宋体" w:hAnsi="宋体" w:cs="宋体" w:eastAsia="宋体" w:hint="default"/>
                <w:spacing w:val="-17"/>
                <w:sz w:val="15"/>
                <w:szCs w:val="15"/>
              </w:rPr>
              <w:t>减值准备</w:t>
            </w:r>
            <w:r>
              <w:rPr>
                <w:rFonts w:ascii="宋体" w:hAnsi="宋体" w:cs="宋体" w:eastAsia="宋体" w:hint="default"/>
                <w:sz w:val="15"/>
                <w:szCs w:val="15"/>
              </w:rPr>
            </w:r>
          </w:p>
        </w:tc>
      </w:tr>
      <w:tr>
        <w:trPr>
          <w:trHeight w:val="290" w:hRule="exact"/>
        </w:trPr>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0"/>
              <w:jc w:val="left"/>
              <w:rPr>
                <w:rFonts w:ascii="宋体" w:hAnsi="宋体" w:cs="宋体" w:eastAsia="宋体" w:hint="default"/>
                <w:sz w:val="15"/>
                <w:szCs w:val="15"/>
              </w:rPr>
            </w:pPr>
            <w:r>
              <w:rPr>
                <w:rFonts w:ascii="宋体" w:hAnsi="宋体" w:cs="宋体" w:eastAsia="宋体" w:hint="default"/>
                <w:spacing w:val="-17"/>
                <w:sz w:val="15"/>
                <w:szCs w:val="15"/>
              </w:rPr>
              <w:t>诚和伟业</w:t>
            </w:r>
            <w:r>
              <w:rPr>
                <w:rFonts w:ascii="宋体" w:hAnsi="宋体" w:cs="宋体" w:eastAsia="宋体" w:hint="default"/>
                <w:sz w:val="15"/>
                <w:szCs w:val="15"/>
              </w:rPr>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73" w:right="0"/>
              <w:jc w:val="center"/>
              <w:rPr>
                <w:rFonts w:ascii="Times New Roman" w:hAnsi="Times New Roman" w:cs="Times New Roman" w:eastAsia="Times New Roman" w:hint="default"/>
                <w:sz w:val="15"/>
                <w:szCs w:val="15"/>
              </w:rPr>
            </w:pPr>
            <w:r>
              <w:rPr>
                <w:rFonts w:ascii="Times New Roman"/>
                <w:spacing w:val="-8"/>
                <w:sz w:val="15"/>
              </w:rPr>
              <w:t>100%</w:t>
            </w:r>
            <w:r>
              <w:rPr>
                <w:rFonts w:ascii="Times New Roman"/>
                <w:sz w:val="15"/>
              </w:rPr>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22"/>
              <w:jc w:val="right"/>
              <w:rPr>
                <w:rFonts w:ascii="Times New Roman" w:hAnsi="Times New Roman" w:cs="Times New Roman" w:eastAsia="Times New Roman" w:hint="default"/>
                <w:sz w:val="15"/>
                <w:szCs w:val="15"/>
              </w:rPr>
            </w:pPr>
            <w:r>
              <w:rPr>
                <w:rFonts w:ascii="Times New Roman"/>
                <w:spacing w:val="-6"/>
                <w:sz w:val="15"/>
              </w:rPr>
              <w:t>RMB</w:t>
            </w:r>
            <w:r>
              <w:rPr>
                <w:rFonts w:ascii="Times New Roman"/>
                <w:spacing w:val="23"/>
                <w:sz w:val="15"/>
              </w:rPr>
              <w:t> </w:t>
            </w:r>
            <w:r>
              <w:rPr>
                <w:rFonts w:ascii="Times New Roman"/>
                <w:spacing w:val="-9"/>
                <w:sz w:val="15"/>
              </w:rPr>
              <w:t>2,400,000.00</w:t>
            </w:r>
            <w:r>
              <w:rPr>
                <w:rFonts w:ascii="Times New Roman"/>
                <w:sz w:val="15"/>
              </w:rPr>
            </w:r>
          </w:p>
        </w:tc>
        <w:tc>
          <w:tcPr>
            <w:tcW w:w="1668" w:type="dxa"/>
            <w:tcBorders>
              <w:top w:val="single" w:sz="4" w:space="0" w:color="000000"/>
              <w:left w:val="nil" w:sz="6" w:space="0" w:color="auto"/>
              <w:bottom w:val="nil" w:sz="6" w:space="0" w:color="auto"/>
              <w:right w:val="nil" w:sz="6" w:space="0" w:color="auto"/>
            </w:tcBorders>
          </w:tcPr>
          <w:p>
            <w:pPr>
              <w:pStyle w:val="TableParagraph"/>
              <w:tabs>
                <w:tab w:pos="1429" w:val="left" w:leader="none"/>
              </w:tabs>
              <w:spacing w:line="240" w:lineRule="auto" w:before="52"/>
              <w:ind w:right="0"/>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z w:val="15"/>
              </w:rPr>
              <w:t>-</w:t>
            </w:r>
          </w:p>
        </w:tc>
        <w:tc>
          <w:tcPr>
            <w:tcW w:w="154" w:type="dxa"/>
            <w:tcBorders>
              <w:top w:val="nil" w:sz="6" w:space="0" w:color="auto"/>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nil" w:sz="6" w:space="0" w:color="auto"/>
              <w:right w:val="nil" w:sz="6" w:space="0" w:color="auto"/>
            </w:tcBorders>
          </w:tcPr>
          <w:p>
            <w:pPr>
              <w:pStyle w:val="TableParagraph"/>
              <w:tabs>
                <w:tab w:pos="1252" w:val="left" w:leader="none"/>
              </w:tabs>
              <w:spacing w:line="240" w:lineRule="auto" w:before="52"/>
              <w:ind w:right="24"/>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z w:val="15"/>
              </w:rPr>
              <w:t>-</w:t>
            </w:r>
          </w:p>
        </w:tc>
        <w:tc>
          <w:tcPr>
            <w:tcW w:w="157"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1"/>
              <w:jc w:val="right"/>
              <w:rPr>
                <w:rFonts w:ascii="Times New Roman" w:hAnsi="Times New Roman" w:cs="Times New Roman" w:eastAsia="Times New Roman" w:hint="default"/>
                <w:sz w:val="15"/>
                <w:szCs w:val="15"/>
              </w:rPr>
            </w:pPr>
            <w:r>
              <w:rPr>
                <w:rFonts w:ascii="Times New Roman"/>
                <w:spacing w:val="-6"/>
                <w:sz w:val="15"/>
              </w:rPr>
              <w:t>RMB  </w:t>
            </w:r>
            <w:r>
              <w:rPr>
                <w:rFonts w:ascii="Times New Roman"/>
                <w:spacing w:val="19"/>
                <w:sz w:val="15"/>
              </w:rPr>
              <w:t> </w:t>
            </w:r>
            <w:r>
              <w:rPr>
                <w:rFonts w:ascii="Times New Roman"/>
                <w:spacing w:val="-9"/>
                <w:sz w:val="15"/>
              </w:rPr>
              <w:t>2,400,000.00</w:t>
            </w:r>
            <w:r>
              <w:rPr>
                <w:rFonts w:ascii="Times New Roman"/>
                <w:sz w:val="15"/>
              </w:rPr>
            </w:r>
          </w:p>
        </w:tc>
        <w:tc>
          <w:tcPr>
            <w:tcW w:w="87"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Style w:val="TableParagraph"/>
              <w:tabs>
                <w:tab w:pos="1133" w:val="left" w:leader="none"/>
              </w:tabs>
              <w:spacing w:line="240" w:lineRule="auto" w:before="52"/>
              <w:ind w:right="56"/>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z w:val="15"/>
              </w:rPr>
              <w:t>-</w:t>
            </w:r>
          </w:p>
        </w:tc>
      </w:tr>
      <w:tr>
        <w:trPr>
          <w:trHeight w:val="284"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left"/>
              <w:rPr>
                <w:rFonts w:ascii="宋体" w:hAnsi="宋体" w:cs="宋体" w:eastAsia="宋体" w:hint="default"/>
                <w:sz w:val="15"/>
                <w:szCs w:val="15"/>
              </w:rPr>
            </w:pPr>
            <w:r>
              <w:rPr>
                <w:rFonts w:ascii="宋体" w:hAnsi="宋体" w:cs="宋体" w:eastAsia="宋体" w:hint="default"/>
                <w:spacing w:val="-17"/>
                <w:sz w:val="15"/>
                <w:szCs w:val="15"/>
              </w:rPr>
              <w:t>荣信科技</w:t>
            </w:r>
            <w:r>
              <w:rPr>
                <w:rFonts w:ascii="宋体" w:hAnsi="宋体" w:cs="宋体" w:eastAsia="宋体" w:hint="default"/>
                <w:sz w:val="15"/>
                <w:szCs w:val="15"/>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Times New Roman" w:hAnsi="Times New Roman" w:cs="Times New Roman" w:eastAsia="Times New Roman" w:hint="default"/>
                <w:sz w:val="15"/>
                <w:szCs w:val="15"/>
              </w:rPr>
            </w:pPr>
            <w:r>
              <w:rPr>
                <w:rFonts w:ascii="Times New Roman"/>
                <w:spacing w:val="-8"/>
                <w:sz w:val="15"/>
              </w:rPr>
              <w:t>100%</w:t>
            </w:r>
            <w:r>
              <w:rPr>
                <w:rFonts w:ascii="Times New Roman"/>
                <w:sz w:val="15"/>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2"/>
              <w:jc w:val="right"/>
              <w:rPr>
                <w:rFonts w:ascii="Times New Roman" w:hAnsi="Times New Roman" w:cs="Times New Roman" w:eastAsia="Times New Roman" w:hint="default"/>
                <w:sz w:val="15"/>
                <w:szCs w:val="15"/>
              </w:rPr>
            </w:pPr>
            <w:r>
              <w:rPr>
                <w:rFonts w:ascii="Times New Roman"/>
                <w:spacing w:val="-9"/>
                <w:sz w:val="15"/>
              </w:rPr>
              <w:t>500,000.00</w:t>
            </w:r>
            <w:r>
              <w:rPr>
                <w:rFonts w:ascii="Times New Roman"/>
                <w:sz w:val="15"/>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4"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5"/>
                <w:szCs w:val="15"/>
              </w:rPr>
            </w:pPr>
            <w:r>
              <w:rPr>
                <w:rFonts w:ascii="Times New Roman"/>
                <w:spacing w:val="-9"/>
                <w:sz w:val="15"/>
              </w:rPr>
              <w:t>500,000.00</w:t>
            </w:r>
            <w:r>
              <w:rPr>
                <w:rFonts w:ascii="Times New Roman"/>
                <w:sz w:val="15"/>
              </w:rPr>
            </w:r>
          </w:p>
        </w:tc>
        <w:tc>
          <w:tcPr>
            <w:tcW w:w="87"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84"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left"/>
              <w:rPr>
                <w:rFonts w:ascii="宋体" w:hAnsi="宋体" w:cs="宋体" w:eastAsia="宋体" w:hint="default"/>
                <w:sz w:val="15"/>
                <w:szCs w:val="15"/>
              </w:rPr>
            </w:pPr>
            <w:r>
              <w:rPr>
                <w:rFonts w:ascii="宋体" w:hAnsi="宋体" w:cs="宋体" w:eastAsia="宋体" w:hint="default"/>
                <w:spacing w:val="-17"/>
                <w:sz w:val="15"/>
                <w:szCs w:val="15"/>
              </w:rPr>
              <w:t>清方荣信</w:t>
            </w:r>
            <w:r>
              <w:rPr>
                <w:rFonts w:ascii="宋体" w:hAnsi="宋体" w:cs="宋体" w:eastAsia="宋体" w:hint="default"/>
                <w:sz w:val="15"/>
                <w:szCs w:val="15"/>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Times New Roman" w:hAnsi="Times New Roman" w:cs="Times New Roman" w:eastAsia="Times New Roman" w:hint="default"/>
                <w:sz w:val="15"/>
                <w:szCs w:val="15"/>
              </w:rPr>
            </w:pPr>
            <w:r>
              <w:rPr>
                <w:rFonts w:ascii="Times New Roman"/>
                <w:spacing w:val="-8"/>
                <w:sz w:val="15"/>
              </w:rPr>
              <w:t>100%</w:t>
            </w:r>
            <w:r>
              <w:rPr>
                <w:rFonts w:ascii="Times New Roman"/>
                <w:sz w:val="15"/>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4"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5"/>
                <w:szCs w:val="15"/>
              </w:rPr>
            </w:pPr>
            <w:r>
              <w:rPr>
                <w:rFonts w:ascii="Times New Roman"/>
                <w:spacing w:val="-9"/>
                <w:sz w:val="15"/>
              </w:rPr>
              <w:t>2,000,000.00</w:t>
            </w:r>
            <w:r>
              <w:rPr>
                <w:rFonts w:ascii="Times New Roman"/>
                <w:sz w:val="15"/>
              </w:rPr>
            </w:r>
          </w:p>
        </w:tc>
        <w:tc>
          <w:tcPr>
            <w:tcW w:w="15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5"/>
                <w:szCs w:val="15"/>
              </w:rPr>
            </w:pPr>
            <w:r>
              <w:rPr>
                <w:rFonts w:ascii="Times New Roman"/>
                <w:spacing w:val="-9"/>
                <w:sz w:val="15"/>
              </w:rPr>
              <w:t>2,000,000.00</w:t>
            </w:r>
            <w:r>
              <w:rPr>
                <w:rFonts w:ascii="Times New Roman"/>
                <w:sz w:val="15"/>
              </w:rPr>
            </w:r>
          </w:p>
        </w:tc>
        <w:tc>
          <w:tcPr>
            <w:tcW w:w="87"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84"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宋体" w:hAnsi="宋体" w:cs="宋体" w:eastAsia="宋体" w:hint="default"/>
                <w:sz w:val="15"/>
                <w:szCs w:val="15"/>
              </w:rPr>
            </w:pPr>
            <w:r>
              <w:rPr>
                <w:rFonts w:ascii="宋体" w:hAnsi="宋体" w:cs="宋体" w:eastAsia="宋体" w:hint="default"/>
                <w:spacing w:val="-17"/>
                <w:sz w:val="15"/>
                <w:szCs w:val="15"/>
              </w:rPr>
              <w:t>荣信嘉时</w:t>
            </w:r>
            <w:r>
              <w:rPr>
                <w:rFonts w:ascii="宋体" w:hAnsi="宋体" w:cs="宋体" w:eastAsia="宋体" w:hint="default"/>
                <w:sz w:val="15"/>
                <w:szCs w:val="15"/>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Times New Roman" w:hAnsi="Times New Roman" w:cs="Times New Roman" w:eastAsia="Times New Roman" w:hint="default"/>
                <w:sz w:val="15"/>
                <w:szCs w:val="15"/>
              </w:rPr>
            </w:pPr>
            <w:r>
              <w:rPr>
                <w:rFonts w:ascii="Times New Roman"/>
                <w:spacing w:val="-8"/>
                <w:sz w:val="15"/>
              </w:rPr>
              <w:t>100%</w:t>
            </w:r>
            <w:r>
              <w:rPr>
                <w:rFonts w:ascii="Times New Roman"/>
                <w:sz w:val="15"/>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4"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5"/>
                <w:szCs w:val="15"/>
              </w:rPr>
            </w:pPr>
            <w:r>
              <w:rPr>
                <w:rFonts w:ascii="Times New Roman"/>
                <w:spacing w:val="-9"/>
                <w:sz w:val="15"/>
              </w:rPr>
              <w:t>5,000,000.00</w:t>
            </w:r>
            <w:r>
              <w:rPr>
                <w:rFonts w:ascii="Times New Roman"/>
                <w:sz w:val="15"/>
              </w:rPr>
            </w:r>
          </w:p>
        </w:tc>
        <w:tc>
          <w:tcPr>
            <w:tcW w:w="15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5"/>
                <w:szCs w:val="15"/>
              </w:rPr>
            </w:pPr>
            <w:r>
              <w:rPr>
                <w:rFonts w:ascii="Times New Roman"/>
                <w:spacing w:val="-9"/>
                <w:sz w:val="15"/>
              </w:rPr>
              <w:t>5,000,000.00</w:t>
            </w:r>
            <w:r>
              <w:rPr>
                <w:rFonts w:ascii="Times New Roman"/>
                <w:sz w:val="15"/>
              </w:rPr>
            </w:r>
          </w:p>
        </w:tc>
        <w:tc>
          <w:tcPr>
            <w:tcW w:w="87"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8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left"/>
              <w:rPr>
                <w:rFonts w:ascii="宋体" w:hAnsi="宋体" w:cs="宋体" w:eastAsia="宋体" w:hint="default"/>
                <w:sz w:val="15"/>
                <w:szCs w:val="15"/>
              </w:rPr>
            </w:pPr>
            <w:r>
              <w:rPr>
                <w:rFonts w:ascii="宋体" w:hAnsi="宋体" w:cs="宋体" w:eastAsia="宋体" w:hint="default"/>
                <w:spacing w:val="-17"/>
                <w:sz w:val="15"/>
                <w:szCs w:val="15"/>
              </w:rPr>
              <w:t>荣信电通</w:t>
            </w:r>
            <w:r>
              <w:rPr>
                <w:rFonts w:ascii="宋体" w:hAnsi="宋体" w:cs="宋体" w:eastAsia="宋体" w:hint="default"/>
                <w:sz w:val="15"/>
                <w:szCs w:val="15"/>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Times New Roman" w:hAnsi="Times New Roman" w:cs="Times New Roman" w:eastAsia="Times New Roman" w:hint="default"/>
                <w:sz w:val="15"/>
                <w:szCs w:val="15"/>
              </w:rPr>
            </w:pPr>
            <w:r>
              <w:rPr>
                <w:rFonts w:ascii="Times New Roman"/>
                <w:spacing w:val="-9"/>
                <w:sz w:val="15"/>
              </w:rPr>
              <w:t>10%</w:t>
            </w:r>
            <w:r>
              <w:rPr>
                <w:rFonts w:ascii="Times New Roman"/>
                <w:sz w:val="15"/>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2"/>
              <w:jc w:val="right"/>
              <w:rPr>
                <w:rFonts w:ascii="Times New Roman" w:hAnsi="Times New Roman" w:cs="Times New Roman" w:eastAsia="Times New Roman" w:hint="default"/>
                <w:sz w:val="15"/>
                <w:szCs w:val="15"/>
              </w:rPr>
            </w:pPr>
            <w:r>
              <w:rPr>
                <w:rFonts w:ascii="Times New Roman"/>
                <w:spacing w:val="-9"/>
                <w:sz w:val="15"/>
              </w:rPr>
              <w:t>1,000,000.00</w:t>
            </w:r>
            <w:r>
              <w:rPr>
                <w:rFonts w:ascii="Times New Roman"/>
                <w:sz w:val="15"/>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4"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5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5"/>
                <w:szCs w:val="15"/>
              </w:rPr>
            </w:pPr>
            <w:r>
              <w:rPr>
                <w:rFonts w:ascii="Times New Roman"/>
                <w:spacing w:val="-9"/>
                <w:sz w:val="15"/>
              </w:rPr>
              <w:t>1,000,000.00</w:t>
            </w:r>
            <w:r>
              <w:rPr>
                <w:rFonts w:ascii="Times New Roman"/>
                <w:sz w:val="15"/>
              </w:rPr>
            </w:r>
          </w:p>
        </w:tc>
        <w:tc>
          <w:tcPr>
            <w:tcW w:w="87"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7" w:hRule="exact"/>
        </w:trPr>
        <w:tc>
          <w:tcPr>
            <w:tcW w:w="106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6"/>
              <w:jc w:val="right"/>
              <w:rPr>
                <w:rFonts w:ascii="Times New Roman" w:hAnsi="Times New Roman" w:cs="Times New Roman" w:eastAsia="Times New Roman" w:hint="default"/>
                <w:sz w:val="15"/>
                <w:szCs w:val="15"/>
              </w:rPr>
            </w:pPr>
            <w:r>
              <w:rPr>
                <w:rFonts w:ascii="Times New Roman"/>
                <w:spacing w:val="-6"/>
                <w:sz w:val="15"/>
              </w:rPr>
              <w:t>RMB  </w:t>
            </w:r>
            <w:r>
              <w:rPr>
                <w:rFonts w:ascii="Times New Roman"/>
                <w:spacing w:val="15"/>
                <w:sz w:val="15"/>
              </w:rPr>
              <w:t> </w:t>
            </w:r>
            <w:r>
              <w:rPr>
                <w:rFonts w:ascii="Times New Roman"/>
                <w:spacing w:val="-8"/>
                <w:sz w:val="15"/>
              </w:rPr>
              <w:t>3,900,000.00</w:t>
            </w:r>
          </w:p>
        </w:tc>
        <w:tc>
          <w:tcPr>
            <w:tcW w:w="1668" w:type="dxa"/>
            <w:tcBorders>
              <w:top w:val="nil" w:sz="6" w:space="0" w:color="auto"/>
              <w:left w:val="nil" w:sz="6" w:space="0" w:color="auto"/>
              <w:bottom w:val="nil" w:sz="6" w:space="0" w:color="auto"/>
              <w:right w:val="nil" w:sz="6" w:space="0" w:color="auto"/>
            </w:tcBorders>
          </w:tcPr>
          <w:p>
            <w:pPr>
              <w:pStyle w:val="TableParagraph"/>
              <w:tabs>
                <w:tab w:pos="1370" w:val="left" w:leader="none"/>
              </w:tabs>
              <w:spacing w:line="240" w:lineRule="auto" w:before="48"/>
              <w:ind w:right="0"/>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z w:val="15"/>
              </w:rPr>
              <w:t>-</w:t>
            </w:r>
          </w:p>
        </w:tc>
        <w:tc>
          <w:tcPr>
            <w:tcW w:w="154"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5"/>
                <w:szCs w:val="15"/>
              </w:rPr>
            </w:pPr>
            <w:r>
              <w:rPr>
                <w:rFonts w:ascii="Times New Roman"/>
                <w:spacing w:val="-6"/>
                <w:sz w:val="15"/>
              </w:rPr>
              <w:t>RMB    </w:t>
            </w:r>
            <w:r>
              <w:rPr>
                <w:rFonts w:ascii="Times New Roman"/>
                <w:spacing w:val="10"/>
                <w:sz w:val="15"/>
              </w:rPr>
              <w:t> </w:t>
            </w:r>
            <w:r>
              <w:rPr>
                <w:rFonts w:ascii="Times New Roman"/>
                <w:spacing w:val="-8"/>
                <w:sz w:val="15"/>
              </w:rPr>
              <w:t>7,000,000.00</w:t>
            </w:r>
          </w:p>
        </w:tc>
        <w:tc>
          <w:tcPr>
            <w:tcW w:w="15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5"/>
                <w:szCs w:val="15"/>
              </w:rPr>
            </w:pPr>
            <w:r>
              <w:rPr>
                <w:rFonts w:ascii="Times New Roman"/>
                <w:spacing w:val="-6"/>
                <w:sz w:val="15"/>
              </w:rPr>
              <w:t>RMB  </w:t>
            </w:r>
            <w:r>
              <w:rPr>
                <w:rFonts w:ascii="Times New Roman"/>
                <w:spacing w:val="15"/>
                <w:sz w:val="15"/>
              </w:rPr>
              <w:t> </w:t>
            </w:r>
            <w:r>
              <w:rPr>
                <w:rFonts w:ascii="Times New Roman"/>
                <w:spacing w:val="-8"/>
                <w:sz w:val="15"/>
              </w:rPr>
              <w:t>10,900,000.00</w:t>
            </w:r>
          </w:p>
        </w:tc>
        <w:tc>
          <w:tcPr>
            <w:tcW w:w="87"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48"/>
              <w:ind w:right="0"/>
              <w:jc w:val="right"/>
              <w:rPr>
                <w:rFonts w:ascii="Times New Roman" w:hAnsi="Times New Roman" w:cs="Times New Roman" w:eastAsia="Times New Roman" w:hint="default"/>
                <w:sz w:val="15"/>
                <w:szCs w:val="15"/>
              </w:rPr>
            </w:pPr>
            <w:r>
              <w:rPr>
                <w:rFonts w:ascii="Times New Roman"/>
                <w:spacing w:val="-6"/>
                <w:sz w:val="15"/>
              </w:rPr>
              <w:t>RMB</w:t>
              <w:tab/>
            </w:r>
            <w:r>
              <w:rPr>
                <w:rFonts w:ascii="Times New Roman"/>
                <w:sz w:val="15"/>
              </w:rPr>
              <w:t>-</w:t>
            </w:r>
          </w:p>
        </w:tc>
      </w:tr>
    </w:tbl>
    <w:p>
      <w:pPr>
        <w:spacing w:line="240" w:lineRule="auto" w:before="9"/>
        <w:rPr>
          <w:rFonts w:ascii="宋体" w:hAnsi="宋体" w:cs="宋体" w:eastAsia="宋体" w:hint="default"/>
          <w:sz w:val="15"/>
          <w:szCs w:val="15"/>
        </w:rPr>
      </w:pPr>
    </w:p>
    <w:p>
      <w:pPr>
        <w:pStyle w:val="BodyText"/>
        <w:spacing w:line="376" w:lineRule="auto" w:before="26"/>
        <w:ind w:left="664" w:right="5332"/>
        <w:jc w:val="left"/>
      </w:pPr>
      <w:r>
        <w:rPr>
          <w:rFonts w:ascii="Times New Roman" w:hAnsi="Times New Roman" w:cs="Times New Roman" w:eastAsia="Times New Roman" w:hint="default"/>
        </w:rPr>
        <w:t>(4) </w:t>
      </w:r>
      <w:r>
        <w:rPr>
          <w:spacing w:val="8"/>
        </w:rPr>
        <w:t>营业收入及成本</w:t>
      </w:r>
      <w:r>
        <w:rPr>
          <w:spacing w:val="-103"/>
        </w:rPr>
        <w:t> </w:t>
      </w:r>
      <w:r>
        <w:rPr>
          <w:spacing w:val="8"/>
        </w:rPr>
        <w:t>营业收入及成本明细项目列示如下：</w:t>
      </w:r>
      <w:r>
        <w:rPr/>
      </w:r>
    </w:p>
    <w:p>
      <w:pPr>
        <w:spacing w:line="240" w:lineRule="auto" w:before="1"/>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321"/>
        <w:gridCol w:w="200"/>
        <w:gridCol w:w="864"/>
        <w:gridCol w:w="1510"/>
        <w:gridCol w:w="158"/>
        <w:gridCol w:w="1159"/>
        <w:gridCol w:w="761"/>
        <w:gridCol w:w="1336"/>
        <w:gridCol w:w="206"/>
        <w:gridCol w:w="1195"/>
      </w:tblGrid>
      <w:tr>
        <w:trPr>
          <w:trHeight w:val="243" w:hRule="exact"/>
        </w:trPr>
        <w:tc>
          <w:tcPr>
            <w:tcW w:w="9712" w:type="dxa"/>
            <w:gridSpan w:val="10"/>
            <w:tcBorders>
              <w:top w:val="nil" w:sz="6" w:space="0" w:color="auto"/>
              <w:left w:val="nil" w:sz="6" w:space="0" w:color="auto"/>
              <w:bottom w:val="nil" w:sz="6" w:space="0" w:color="auto"/>
              <w:right w:val="nil" w:sz="6" w:space="0" w:color="auto"/>
            </w:tcBorders>
          </w:tcPr>
          <w:p>
            <w:pPr>
              <w:pStyle w:val="TableParagraph"/>
              <w:spacing w:line="184" w:lineRule="exact"/>
              <w:ind w:left="2845" w:right="0"/>
              <w:jc w:val="center"/>
              <w:rPr>
                <w:rFonts w:ascii="Times New Roman" w:hAnsi="Times New Roman" w:cs="Times New Roman" w:eastAsia="Times New Roman" w:hint="default"/>
                <w:sz w:val="18"/>
                <w:szCs w:val="18"/>
              </w:rPr>
            </w:pPr>
            <w:r>
              <w:rPr>
                <w:rFonts w:ascii="Times New Roman"/>
                <w:sz w:val="18"/>
              </w:rPr>
              <w:t>2007</w:t>
            </w:r>
          </w:p>
        </w:tc>
      </w:tr>
      <w:tr>
        <w:trPr>
          <w:trHeight w:val="34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single" w:sz="8" w:space="0" w:color="000000"/>
              <w:right w:val="nil" w:sz="6" w:space="0" w:color="auto"/>
            </w:tcBorders>
          </w:tcPr>
          <w:p>
            <w:pP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58" w:type="dxa"/>
            <w:tcBorders>
              <w:top w:val="single" w:sz="8" w:space="0" w:color="000000"/>
              <w:left w:val="nil" w:sz="6" w:space="0" w:color="auto"/>
              <w:bottom w:val="single" w:sz="8" w:space="0" w:color="000000"/>
              <w:right w:val="nil" w:sz="6" w:space="0" w:color="auto"/>
            </w:tcBorders>
          </w:tcPr>
          <w:p>
            <w:pPr/>
          </w:p>
        </w:tc>
        <w:tc>
          <w:tcPr>
            <w:tcW w:w="1159" w:type="dxa"/>
            <w:tcBorders>
              <w:top w:val="single" w:sz="8" w:space="0" w:color="000000"/>
              <w:left w:val="nil" w:sz="6" w:space="0" w:color="auto"/>
              <w:bottom w:val="single" w:sz="8" w:space="0" w:color="000000"/>
              <w:right w:val="nil" w:sz="6" w:space="0" w:color="auto"/>
            </w:tcBorders>
          </w:tcPr>
          <w:p>
            <w:pPr/>
          </w:p>
        </w:tc>
        <w:tc>
          <w:tcPr>
            <w:tcW w:w="761" w:type="dxa"/>
            <w:tcBorders>
              <w:top w:val="single" w:sz="8" w:space="0" w:color="000000"/>
              <w:left w:val="nil" w:sz="6" w:space="0" w:color="auto"/>
              <w:bottom w:val="single" w:sz="8" w:space="0" w:color="000000"/>
              <w:right w:val="nil" w:sz="6" w:space="0" w:color="auto"/>
            </w:tcBorders>
          </w:tcPr>
          <w:p>
            <w:pP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37"/>
              <w:jc w:val="right"/>
              <w:rPr>
                <w:rFonts w:ascii="宋体" w:hAnsi="宋体" w:cs="宋体" w:eastAsia="宋体" w:hint="default"/>
                <w:sz w:val="18"/>
                <w:szCs w:val="18"/>
              </w:rPr>
            </w:pPr>
            <w:r>
              <w:rPr>
                <w:rFonts w:ascii="宋体" w:hAnsi="宋体" w:cs="宋体" w:eastAsia="宋体" w:hint="default"/>
                <w:sz w:val="18"/>
                <w:szCs w:val="18"/>
              </w:rPr>
              <w:t>营业成</w:t>
            </w:r>
          </w:p>
        </w:tc>
        <w:tc>
          <w:tcPr>
            <w:tcW w:w="20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95" w:type="dxa"/>
            <w:tcBorders>
              <w:top w:val="single" w:sz="8" w:space="0" w:color="000000"/>
              <w:left w:val="nil" w:sz="6" w:space="0" w:color="auto"/>
              <w:bottom w:val="single" w:sz="8" w:space="0" w:color="000000"/>
              <w:right w:val="nil" w:sz="6" w:space="0" w:color="auto"/>
            </w:tcBorders>
          </w:tcPr>
          <w:p>
            <w:pPr/>
          </w:p>
        </w:tc>
      </w:tr>
      <w:tr>
        <w:trPr>
          <w:trHeight w:val="340" w:hRule="exact"/>
        </w:trPr>
        <w:tc>
          <w:tcPr>
            <w:tcW w:w="2321" w:type="dxa"/>
            <w:tcBorders>
              <w:top w:val="nil" w:sz="6" w:space="0" w:color="auto"/>
              <w:left w:val="nil" w:sz="6" w:space="0" w:color="auto"/>
              <w:bottom w:val="single" w:sz="8" w:space="0" w:color="000000"/>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single" w:sz="8" w:space="0" w:color="000000"/>
              <w:right w:val="nil" w:sz="6" w:space="0" w:color="auto"/>
            </w:tcBorders>
          </w:tcPr>
          <w:p>
            <w:pP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8" w:type="dxa"/>
            <w:tcBorders>
              <w:top w:val="single" w:sz="8" w:space="0" w:color="000000"/>
              <w:left w:val="nil" w:sz="6" w:space="0" w:color="auto"/>
              <w:bottom w:val="nil" w:sz="6" w:space="0" w:color="auto"/>
              <w:right w:val="nil" w:sz="6" w:space="0" w:color="auto"/>
            </w:tcBorders>
          </w:tcPr>
          <w:p>
            <w:pPr/>
          </w:p>
        </w:tc>
        <w:tc>
          <w:tcPr>
            <w:tcW w:w="1159"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8" w:space="0" w:color="000000"/>
              <w:left w:val="nil" w:sz="6" w:space="0" w:color="auto"/>
              <w:bottom w:val="single" w:sz="8" w:space="0" w:color="000000"/>
              <w:right w:val="nil" w:sz="6" w:space="0" w:color="auto"/>
            </w:tcBorders>
          </w:tcPr>
          <w:p>
            <w:pP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06" w:type="dxa"/>
            <w:tcBorders>
              <w:top w:val="single" w:sz="8" w:space="0" w:color="000000"/>
              <w:left w:val="nil" w:sz="6" w:space="0" w:color="auto"/>
              <w:bottom w:val="nil" w:sz="6" w:space="0" w:color="auto"/>
              <w:right w:val="nil" w:sz="6" w:space="0" w:color="auto"/>
            </w:tcBorders>
          </w:tcPr>
          <w:p>
            <w:pPr/>
          </w:p>
        </w:tc>
        <w:tc>
          <w:tcPr>
            <w:tcW w:w="119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3" w:hRule="exact"/>
        </w:trPr>
        <w:tc>
          <w:tcPr>
            <w:tcW w:w="232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高压动态无功补偿装置</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SVC</w:t>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111"/>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510"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272" w:right="0"/>
              <w:jc w:val="left"/>
              <w:rPr>
                <w:rFonts w:ascii="Times New Roman" w:hAnsi="Times New Roman" w:cs="Times New Roman" w:eastAsia="Times New Roman" w:hint="default"/>
                <w:sz w:val="18"/>
                <w:szCs w:val="18"/>
              </w:rPr>
            </w:pPr>
            <w:r>
              <w:rPr>
                <w:rFonts w:ascii="Times New Roman"/>
                <w:sz w:val="18"/>
              </w:rPr>
              <w:t>294,988,090.10</w:t>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9"/>
              <w:jc w:val="right"/>
              <w:rPr>
                <w:rFonts w:ascii="Times New Roman" w:hAnsi="Times New Roman" w:cs="Times New Roman" w:eastAsia="Times New Roman" w:hint="default"/>
                <w:sz w:val="18"/>
                <w:szCs w:val="18"/>
              </w:rPr>
            </w:pPr>
            <w:r>
              <w:rPr>
                <w:rFonts w:ascii="Times New Roman"/>
                <w:sz w:val="18"/>
              </w:rPr>
              <w:t>80.33%</w:t>
            </w:r>
          </w:p>
        </w:tc>
        <w:tc>
          <w:tcPr>
            <w:tcW w:w="761"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76"/>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336"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156,920,125.20</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z w:val="18"/>
              </w:rPr>
              <w:t>75.33%</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智能瓦斯排放装置</w:t>
            </w:r>
            <w:r>
              <w:rPr>
                <w:rFonts w:ascii="宋体" w:hAnsi="宋体" w:cs="宋体" w:eastAsia="宋体" w:hint="default"/>
                <w:spacing w:val="-53"/>
                <w:sz w:val="18"/>
                <w:szCs w:val="18"/>
              </w:rPr>
              <w:t> </w:t>
            </w:r>
            <w:r>
              <w:rPr>
                <w:rFonts w:ascii="Times New Roman" w:hAnsi="Times New Roman" w:cs="Times New Roman" w:eastAsia="Times New Roman" w:hint="default"/>
                <w:spacing w:val="-6"/>
                <w:sz w:val="18"/>
                <w:szCs w:val="18"/>
              </w:rPr>
              <w:t>MABZ</w:t>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0" w:right="0"/>
              <w:jc w:val="left"/>
              <w:rPr>
                <w:rFonts w:ascii="Times New Roman" w:hAnsi="Times New Roman" w:cs="Times New Roman" w:eastAsia="Times New Roman" w:hint="default"/>
                <w:sz w:val="18"/>
                <w:szCs w:val="18"/>
              </w:rPr>
            </w:pPr>
            <w:r>
              <w:rPr>
                <w:rFonts w:ascii="Times New Roman"/>
                <w:sz w:val="18"/>
              </w:rPr>
              <w:t>12,739,743.59</w:t>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3.47%</w:t>
            </w:r>
          </w:p>
        </w:tc>
        <w:tc>
          <w:tcPr>
            <w:tcW w:w="76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6,448,179.04</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5"/>
                <w:sz w:val="18"/>
              </w:rPr>
              <w:t>3.09%</w:t>
            </w:r>
            <w:r>
              <w:rPr>
                <w:rFonts w:ascii="Times New Roman"/>
                <w:sz w:val="18"/>
              </w:rPr>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电力滤波装置</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FC</w:t>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34,865,042.71</w:t>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
              <w:jc w:val="right"/>
              <w:rPr>
                <w:rFonts w:ascii="Times New Roman" w:hAnsi="Times New Roman" w:cs="Times New Roman" w:eastAsia="Times New Roman" w:hint="default"/>
                <w:sz w:val="18"/>
                <w:szCs w:val="18"/>
              </w:rPr>
            </w:pPr>
            <w:r>
              <w:rPr>
                <w:rFonts w:ascii="Times New Roman"/>
                <w:spacing w:val="-1"/>
                <w:sz w:val="18"/>
              </w:rPr>
              <w:t>9.50%</w:t>
            </w:r>
          </w:p>
        </w:tc>
        <w:tc>
          <w:tcPr>
            <w:tcW w:w="76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28,459,858.54</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13.66%</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高压变频调速装置</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HVC</w:t>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0" w:right="0"/>
              <w:jc w:val="left"/>
              <w:rPr>
                <w:rFonts w:ascii="Times New Roman" w:hAnsi="Times New Roman" w:cs="Times New Roman" w:eastAsia="Times New Roman" w:hint="default"/>
                <w:sz w:val="18"/>
                <w:szCs w:val="18"/>
              </w:rPr>
            </w:pPr>
            <w:r>
              <w:rPr>
                <w:rFonts w:ascii="Times New Roman"/>
                <w:sz w:val="18"/>
              </w:rPr>
              <w:t>13,420,212.10</w:t>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3.66%</w:t>
            </w:r>
          </w:p>
        </w:tc>
        <w:tc>
          <w:tcPr>
            <w:tcW w:w="76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7,528,786.87</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5"/>
                <w:sz w:val="18"/>
              </w:rPr>
              <w:t>3.61%</w:t>
            </w:r>
            <w:r>
              <w:rPr>
                <w:rFonts w:ascii="Times New Roman"/>
                <w:sz w:val="18"/>
              </w:rPr>
            </w:r>
          </w:p>
        </w:tc>
      </w:tr>
      <w:tr>
        <w:trPr>
          <w:trHeight w:val="31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single" w:sz="8" w:space="0" w:color="000000"/>
              <w:right w:val="nil" w:sz="6" w:space="0" w:color="auto"/>
            </w:tcBorders>
          </w:tcPr>
          <w:p>
            <w:pPr/>
          </w:p>
        </w:tc>
        <w:tc>
          <w:tcPr>
            <w:tcW w:w="1510"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pacing w:val="-1"/>
                <w:sz w:val="18"/>
              </w:rPr>
              <w:t>11,143,888.26</w:t>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w w:val="95"/>
                <w:sz w:val="18"/>
              </w:rPr>
              <w:t>3.04%</w:t>
            </w:r>
            <w:r>
              <w:rPr>
                <w:rFonts w:ascii="Times New Roman"/>
                <w:sz w:val="18"/>
              </w:rPr>
            </w:r>
          </w:p>
        </w:tc>
        <w:tc>
          <w:tcPr>
            <w:tcW w:w="761" w:type="dxa"/>
            <w:tcBorders>
              <w:top w:val="nil" w:sz="6" w:space="0" w:color="auto"/>
              <w:left w:val="nil" w:sz="6" w:space="0" w:color="auto"/>
              <w:bottom w:val="single" w:sz="8" w:space="0" w:color="000000"/>
              <w:right w:val="nil" w:sz="6" w:space="0" w:color="auto"/>
            </w:tcBorders>
          </w:tcPr>
          <w:p>
            <w:pPr/>
          </w:p>
        </w:tc>
        <w:tc>
          <w:tcPr>
            <w:tcW w:w="1336"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8,985,501.62</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5"/>
                <w:sz w:val="18"/>
              </w:rPr>
              <w:t>4.31%</w:t>
            </w:r>
            <w:r>
              <w:rPr>
                <w:rFonts w:ascii="Times New Roman"/>
                <w:sz w:val="18"/>
              </w:rPr>
            </w:r>
          </w:p>
        </w:tc>
      </w:tr>
      <w:tr>
        <w:trPr>
          <w:trHeight w:val="353" w:hRule="exact"/>
        </w:trPr>
        <w:tc>
          <w:tcPr>
            <w:tcW w:w="2321" w:type="dxa"/>
            <w:tcBorders>
              <w:top w:val="nil" w:sz="6" w:space="0" w:color="auto"/>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111"/>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510"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left="272" w:right="0"/>
              <w:jc w:val="left"/>
              <w:rPr>
                <w:rFonts w:ascii="Times New Roman" w:hAnsi="Times New Roman" w:cs="Times New Roman" w:eastAsia="Times New Roman" w:hint="default"/>
                <w:sz w:val="18"/>
                <w:szCs w:val="18"/>
              </w:rPr>
            </w:pPr>
            <w:r>
              <w:rPr>
                <w:rFonts w:ascii="Times New Roman"/>
                <w:sz w:val="18"/>
              </w:rPr>
              <w:t>367,156,976.76</w:t>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1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336"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208,342,451.27</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53" w:hRule="exact"/>
        </w:trPr>
        <w:tc>
          <w:tcPr>
            <w:tcW w:w="9712"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87"/>
              <w:ind w:left="2480" w:right="0"/>
              <w:jc w:val="center"/>
              <w:rPr>
                <w:rFonts w:ascii="Times New Roman" w:hAnsi="Times New Roman" w:cs="Times New Roman" w:eastAsia="Times New Roman" w:hint="default"/>
                <w:sz w:val="18"/>
                <w:szCs w:val="18"/>
              </w:rPr>
            </w:pPr>
            <w:r>
              <w:rPr>
                <w:rFonts w:ascii="Times New Roman"/>
                <w:sz w:val="18"/>
              </w:rPr>
              <w:t>2006</w:t>
            </w:r>
          </w:p>
        </w:tc>
      </w:tr>
      <w:tr>
        <w:trPr>
          <w:trHeight w:val="34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
              <w:jc w:val="center"/>
              <w:rPr>
                <w:rFonts w:ascii="宋体" w:hAnsi="宋体" w:cs="宋体" w:eastAsia="宋体" w:hint="default"/>
                <w:sz w:val="18"/>
                <w:szCs w:val="18"/>
              </w:rPr>
            </w:pPr>
            <w:r>
              <w:rPr>
                <w:rFonts w:ascii="宋体" w:hAnsi="宋体" w:cs="宋体" w:eastAsia="宋体" w:hint="default"/>
                <w:sz w:val="18"/>
                <w:szCs w:val="18"/>
              </w:rPr>
              <w:t>项 目</w:t>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single" w:sz="8" w:space="0" w:color="000000"/>
              <w:right w:val="nil" w:sz="6" w:space="0" w:color="auto"/>
            </w:tcBorders>
          </w:tcPr>
          <w:p>
            <w:pP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 w:type="dxa"/>
            <w:tcBorders>
              <w:top w:val="single" w:sz="8" w:space="0" w:color="000000"/>
              <w:left w:val="nil" w:sz="6" w:space="0" w:color="auto"/>
              <w:bottom w:val="single" w:sz="8" w:space="0" w:color="000000"/>
              <w:right w:val="nil" w:sz="6" w:space="0" w:color="auto"/>
            </w:tcBorders>
          </w:tcPr>
          <w:p>
            <w:pPr/>
          </w:p>
        </w:tc>
        <w:tc>
          <w:tcPr>
            <w:tcW w:w="1159" w:type="dxa"/>
            <w:tcBorders>
              <w:top w:val="single" w:sz="8" w:space="0" w:color="000000"/>
              <w:left w:val="nil" w:sz="6" w:space="0" w:color="auto"/>
              <w:bottom w:val="single" w:sz="8" w:space="0" w:color="000000"/>
              <w:right w:val="nil" w:sz="6" w:space="0" w:color="auto"/>
            </w:tcBorders>
          </w:tcPr>
          <w:p>
            <w:pPr/>
          </w:p>
        </w:tc>
        <w:tc>
          <w:tcPr>
            <w:tcW w:w="761" w:type="dxa"/>
            <w:tcBorders>
              <w:top w:val="single" w:sz="8" w:space="0" w:color="000000"/>
              <w:left w:val="nil" w:sz="6" w:space="0" w:color="auto"/>
              <w:bottom w:val="single" w:sz="8" w:space="0" w:color="000000"/>
              <w:right w:val="nil" w:sz="6" w:space="0" w:color="auto"/>
            </w:tcBorders>
          </w:tcPr>
          <w:p>
            <w:pP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206" w:type="dxa"/>
            <w:tcBorders>
              <w:top w:val="single" w:sz="8" w:space="0" w:color="000000"/>
              <w:left w:val="nil" w:sz="6" w:space="0" w:color="auto"/>
              <w:bottom w:val="single" w:sz="8" w:space="0" w:color="000000"/>
              <w:right w:val="nil" w:sz="6" w:space="0" w:color="auto"/>
            </w:tcBorders>
          </w:tcPr>
          <w:p>
            <w:pPr/>
          </w:p>
        </w:tc>
        <w:tc>
          <w:tcPr>
            <w:tcW w:w="1195"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2321" w:type="dxa"/>
            <w:tcBorders>
              <w:top w:val="nil" w:sz="6" w:space="0" w:color="auto"/>
              <w:left w:val="nil" w:sz="6" w:space="0" w:color="auto"/>
              <w:bottom w:val="single" w:sz="8" w:space="0" w:color="000000"/>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single" w:sz="8" w:space="0" w:color="000000"/>
              <w:right w:val="nil" w:sz="6" w:space="0" w:color="auto"/>
            </w:tcBorders>
          </w:tcPr>
          <w:p>
            <w:pP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8" w:type="dxa"/>
            <w:tcBorders>
              <w:top w:val="single" w:sz="8" w:space="0" w:color="000000"/>
              <w:left w:val="nil" w:sz="6" w:space="0" w:color="auto"/>
              <w:bottom w:val="single" w:sz="8" w:space="0" w:color="000000"/>
              <w:right w:val="nil" w:sz="6" w:space="0" w:color="auto"/>
            </w:tcBorders>
          </w:tcPr>
          <w:p>
            <w:pPr/>
          </w:p>
        </w:tc>
        <w:tc>
          <w:tcPr>
            <w:tcW w:w="1159"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8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8" w:space="0" w:color="000000"/>
              <w:left w:val="nil" w:sz="6" w:space="0" w:color="auto"/>
              <w:bottom w:val="single" w:sz="8" w:space="0" w:color="000000"/>
              <w:right w:val="nil" w:sz="6" w:space="0" w:color="auto"/>
            </w:tcBorders>
          </w:tcPr>
          <w:p>
            <w:pP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06" w:type="dxa"/>
            <w:tcBorders>
              <w:top w:val="single" w:sz="8" w:space="0" w:color="000000"/>
              <w:left w:val="nil" w:sz="6" w:space="0" w:color="auto"/>
              <w:bottom w:val="single" w:sz="8" w:space="0" w:color="000000"/>
              <w:right w:val="nil" w:sz="6" w:space="0" w:color="auto"/>
            </w:tcBorders>
          </w:tcPr>
          <w:p>
            <w:pPr/>
          </w:p>
        </w:tc>
        <w:tc>
          <w:tcPr>
            <w:tcW w:w="119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3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2" w:hRule="exact"/>
        </w:trPr>
        <w:tc>
          <w:tcPr>
            <w:tcW w:w="232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高压动态无功补偿装置</w:t>
            </w:r>
            <w:r>
              <w:rPr>
                <w:rFonts w:ascii="宋体" w:hAnsi="宋体" w:cs="宋体" w:eastAsia="宋体" w:hint="default"/>
                <w:spacing w:val="-58"/>
                <w:sz w:val="18"/>
                <w:szCs w:val="18"/>
              </w:rPr>
              <w:t> </w:t>
            </w:r>
            <w:r>
              <w:rPr>
                <w:rFonts w:ascii="Times New Roman" w:hAnsi="Times New Roman" w:cs="Times New Roman" w:eastAsia="Times New Roman" w:hint="default"/>
                <w:spacing w:val="-6"/>
                <w:sz w:val="18"/>
                <w:szCs w:val="18"/>
              </w:rPr>
              <w:t>SVC</w:t>
            </w:r>
            <w:r>
              <w:rPr>
                <w:rFonts w:ascii="Times New Roman" w:hAnsi="Times New Roman" w:cs="Times New Roman" w:eastAsia="Times New Roman"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Times New Roman"/>
                <w:sz w:val="18"/>
              </w:rPr>
              <w:t>RMB</w:t>
            </w:r>
          </w:p>
        </w:tc>
        <w:tc>
          <w:tcPr>
            <w:tcW w:w="1510"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114" w:right="0"/>
              <w:jc w:val="left"/>
              <w:rPr>
                <w:rFonts w:ascii="Times New Roman" w:hAnsi="Times New Roman" w:cs="Times New Roman" w:eastAsia="Times New Roman" w:hint="default"/>
                <w:sz w:val="18"/>
                <w:szCs w:val="18"/>
              </w:rPr>
            </w:pPr>
            <w:r>
              <w:rPr>
                <w:rFonts w:ascii="Times New Roman"/>
                <w:spacing w:val="-7"/>
                <w:sz w:val="18"/>
              </w:rPr>
              <w:t>203,277,652.35</w:t>
            </w:r>
            <w:r>
              <w:rPr>
                <w:rFonts w:ascii="Times New Roman"/>
                <w:sz w:val="18"/>
              </w:rPr>
            </w:r>
          </w:p>
        </w:tc>
        <w:tc>
          <w:tcPr>
            <w:tcW w:w="158" w:type="dxa"/>
            <w:tcBorders>
              <w:top w:val="single" w:sz="8" w:space="0" w:color="000000"/>
              <w:left w:val="nil" w:sz="6" w:space="0" w:color="auto"/>
              <w:bottom w:val="nil" w:sz="6" w:space="0" w:color="auto"/>
              <w:right w:val="nil" w:sz="6" w:space="0" w:color="auto"/>
            </w:tcBorders>
          </w:tcPr>
          <w:p>
            <w:pPr/>
          </w:p>
        </w:tc>
        <w:tc>
          <w:tcPr>
            <w:tcW w:w="1159"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388" w:right="0"/>
              <w:jc w:val="left"/>
              <w:rPr>
                <w:rFonts w:ascii="Times New Roman" w:hAnsi="Times New Roman" w:cs="Times New Roman" w:eastAsia="Times New Roman" w:hint="default"/>
                <w:sz w:val="18"/>
                <w:szCs w:val="18"/>
              </w:rPr>
            </w:pPr>
            <w:r>
              <w:rPr>
                <w:rFonts w:ascii="Times New Roman"/>
                <w:sz w:val="18"/>
              </w:rPr>
              <w:t>84.33%</w:t>
            </w:r>
          </w:p>
        </w:tc>
        <w:tc>
          <w:tcPr>
            <w:tcW w:w="761"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10" w:right="0"/>
              <w:jc w:val="left"/>
              <w:rPr>
                <w:rFonts w:ascii="Times New Roman" w:hAnsi="Times New Roman" w:cs="Times New Roman" w:eastAsia="Times New Roman" w:hint="default"/>
                <w:sz w:val="18"/>
                <w:szCs w:val="18"/>
              </w:rPr>
            </w:pPr>
            <w:r>
              <w:rPr>
                <w:rFonts w:ascii="Times New Roman"/>
                <w:sz w:val="18"/>
              </w:rPr>
              <w:t>RMB</w:t>
            </w:r>
          </w:p>
        </w:tc>
        <w:tc>
          <w:tcPr>
            <w:tcW w:w="1336"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149" w:right="0"/>
              <w:jc w:val="left"/>
              <w:rPr>
                <w:rFonts w:ascii="Times New Roman" w:hAnsi="Times New Roman" w:cs="Times New Roman" w:eastAsia="Times New Roman" w:hint="default"/>
                <w:sz w:val="18"/>
                <w:szCs w:val="18"/>
              </w:rPr>
            </w:pPr>
            <w:r>
              <w:rPr>
                <w:rFonts w:ascii="Times New Roman"/>
                <w:sz w:val="18"/>
              </w:rPr>
              <w:t>105,845,422.45</w:t>
            </w:r>
          </w:p>
        </w:tc>
        <w:tc>
          <w:tcPr>
            <w:tcW w:w="206" w:type="dxa"/>
            <w:tcBorders>
              <w:top w:val="single" w:sz="8" w:space="0" w:color="000000"/>
              <w:left w:val="nil" w:sz="6" w:space="0" w:color="auto"/>
              <w:bottom w:val="nil" w:sz="6" w:space="0" w:color="auto"/>
              <w:right w:val="nil" w:sz="6" w:space="0" w:color="auto"/>
            </w:tcBorders>
          </w:tcPr>
          <w:p>
            <w:pPr/>
          </w:p>
        </w:tc>
        <w:tc>
          <w:tcPr>
            <w:tcW w:w="1195"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48"/>
              <w:jc w:val="right"/>
              <w:rPr>
                <w:rFonts w:ascii="Times New Roman" w:hAnsi="Times New Roman" w:cs="Times New Roman" w:eastAsia="Times New Roman" w:hint="default"/>
                <w:sz w:val="18"/>
                <w:szCs w:val="18"/>
              </w:rPr>
            </w:pPr>
            <w:r>
              <w:rPr>
                <w:rFonts w:ascii="Times New Roman"/>
                <w:sz w:val="18"/>
              </w:rPr>
              <w:t>80.13%</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智能瓦斯排放装置</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MABZ</w:t>
            </w:r>
            <w:r>
              <w:rPr>
                <w:rFonts w:ascii="Times New Roman" w:hAnsi="Times New Roman" w:cs="Times New Roman" w:eastAsia="Times New Roman"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7" w:right="0"/>
              <w:jc w:val="left"/>
              <w:rPr>
                <w:rFonts w:ascii="Times New Roman" w:hAnsi="Times New Roman" w:cs="Times New Roman" w:eastAsia="Times New Roman" w:hint="default"/>
                <w:sz w:val="18"/>
                <w:szCs w:val="18"/>
              </w:rPr>
            </w:pPr>
            <w:r>
              <w:rPr>
                <w:rFonts w:ascii="Times New Roman"/>
                <w:spacing w:val="-7"/>
                <w:sz w:val="18"/>
              </w:rPr>
              <w:t>7,117,777.78</w:t>
            </w:r>
            <w:r>
              <w:rPr>
                <w:rFonts w:ascii="Times New Roman"/>
                <w:sz w:val="18"/>
              </w:rPr>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78" w:right="0"/>
              <w:jc w:val="left"/>
              <w:rPr>
                <w:rFonts w:ascii="Times New Roman" w:hAnsi="Times New Roman" w:cs="Times New Roman" w:eastAsia="Times New Roman" w:hint="default"/>
                <w:sz w:val="18"/>
                <w:szCs w:val="18"/>
              </w:rPr>
            </w:pPr>
            <w:r>
              <w:rPr>
                <w:rFonts w:ascii="Times New Roman"/>
                <w:sz w:val="18"/>
              </w:rPr>
              <w:t>2.95%</w:t>
            </w:r>
          </w:p>
        </w:tc>
        <w:tc>
          <w:tcPr>
            <w:tcW w:w="76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8" w:right="0"/>
              <w:jc w:val="left"/>
              <w:rPr>
                <w:rFonts w:ascii="Times New Roman" w:hAnsi="Times New Roman" w:cs="Times New Roman" w:eastAsia="Times New Roman" w:hint="default"/>
                <w:sz w:val="18"/>
                <w:szCs w:val="18"/>
              </w:rPr>
            </w:pPr>
            <w:r>
              <w:rPr>
                <w:rFonts w:ascii="Times New Roman"/>
                <w:sz w:val="18"/>
              </w:rPr>
              <w:t>2,717,448.39</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
              <w:jc w:val="right"/>
              <w:rPr>
                <w:rFonts w:ascii="Times New Roman" w:hAnsi="Times New Roman" w:cs="Times New Roman" w:eastAsia="Times New Roman" w:hint="default"/>
                <w:sz w:val="18"/>
                <w:szCs w:val="18"/>
              </w:rPr>
            </w:pPr>
            <w:r>
              <w:rPr>
                <w:rFonts w:ascii="Times New Roman"/>
                <w:w w:val="95"/>
                <w:sz w:val="18"/>
              </w:rPr>
              <w:t>2.06%</w:t>
            </w:r>
            <w:r>
              <w:rPr>
                <w:rFonts w:ascii="Times New Roman"/>
                <w:sz w:val="18"/>
              </w:rPr>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电力滤波装置</w:t>
            </w:r>
            <w:r>
              <w:rPr>
                <w:rFonts w:ascii="宋体" w:hAnsi="宋体" w:cs="宋体" w:eastAsia="宋体" w:hint="default"/>
                <w:spacing w:val="-61"/>
                <w:sz w:val="18"/>
                <w:szCs w:val="18"/>
              </w:rPr>
              <w:t> </w:t>
            </w:r>
            <w:r>
              <w:rPr>
                <w:rFonts w:ascii="Times New Roman" w:hAnsi="Times New Roman" w:cs="Times New Roman" w:eastAsia="Times New Roman" w:hint="default"/>
                <w:spacing w:val="-6"/>
                <w:sz w:val="18"/>
                <w:szCs w:val="18"/>
              </w:rPr>
              <w:t>FC</w:t>
            </w:r>
            <w:r>
              <w:rPr>
                <w:rFonts w:ascii="Times New Roman" w:hAnsi="Times New Roman" w:cs="Times New Roman" w:eastAsia="Times New Roman"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98" w:right="0"/>
              <w:jc w:val="left"/>
              <w:rPr>
                <w:rFonts w:ascii="Times New Roman" w:hAnsi="Times New Roman" w:cs="Times New Roman" w:eastAsia="Times New Roman" w:hint="default"/>
                <w:sz w:val="18"/>
                <w:szCs w:val="18"/>
              </w:rPr>
            </w:pPr>
            <w:r>
              <w:rPr>
                <w:rFonts w:ascii="Times New Roman"/>
                <w:spacing w:val="-7"/>
                <w:sz w:val="18"/>
              </w:rPr>
              <w:t>19,182,874.76</w:t>
            </w:r>
            <w:r>
              <w:rPr>
                <w:rFonts w:ascii="Times New Roman"/>
                <w:sz w:val="18"/>
              </w:rPr>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8" w:right="0"/>
              <w:jc w:val="left"/>
              <w:rPr>
                <w:rFonts w:ascii="Times New Roman" w:hAnsi="Times New Roman" w:cs="Times New Roman" w:eastAsia="Times New Roman" w:hint="default"/>
                <w:sz w:val="18"/>
                <w:szCs w:val="18"/>
              </w:rPr>
            </w:pPr>
            <w:r>
              <w:rPr>
                <w:rFonts w:ascii="Times New Roman"/>
                <w:sz w:val="18"/>
              </w:rPr>
              <w:t>7.96%</w:t>
            </w:r>
          </w:p>
        </w:tc>
        <w:tc>
          <w:tcPr>
            <w:tcW w:w="76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8" w:right="0"/>
              <w:jc w:val="left"/>
              <w:rPr>
                <w:rFonts w:ascii="Times New Roman" w:hAnsi="Times New Roman" w:cs="Times New Roman" w:eastAsia="Times New Roman" w:hint="default"/>
                <w:sz w:val="18"/>
                <w:szCs w:val="18"/>
              </w:rPr>
            </w:pPr>
            <w:r>
              <w:rPr>
                <w:rFonts w:ascii="Times New Roman"/>
                <w:sz w:val="18"/>
              </w:rPr>
              <w:t>17,324,326.32</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Times New Roman" w:hAnsi="Times New Roman" w:cs="Times New Roman" w:eastAsia="Times New Roman" w:hint="default"/>
                <w:sz w:val="18"/>
                <w:szCs w:val="18"/>
              </w:rPr>
            </w:pPr>
            <w:r>
              <w:rPr>
                <w:rFonts w:ascii="Times New Roman"/>
                <w:spacing w:val="-2"/>
                <w:sz w:val="18"/>
              </w:rPr>
              <w:t>13.11%</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高压变频调速装置</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HVC</w:t>
            </w:r>
            <w:r>
              <w:rPr>
                <w:rFonts w:ascii="Times New Roman" w:hAnsi="Times New Roman" w:cs="Times New Roman" w:eastAsia="Times New Roman"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2" w:right="0"/>
              <w:jc w:val="left"/>
              <w:rPr>
                <w:rFonts w:ascii="Times New Roman" w:hAnsi="Times New Roman" w:cs="Times New Roman" w:eastAsia="Times New Roman" w:hint="default"/>
                <w:sz w:val="18"/>
                <w:szCs w:val="18"/>
              </w:rPr>
            </w:pPr>
            <w:r>
              <w:rPr>
                <w:rFonts w:ascii="Times New Roman"/>
                <w:spacing w:val="-7"/>
                <w:sz w:val="18"/>
              </w:rPr>
              <w:t>4,615,384.62</w:t>
            </w:r>
            <w:r>
              <w:rPr>
                <w:rFonts w:ascii="Times New Roman"/>
                <w:sz w:val="18"/>
              </w:rPr>
            </w:r>
          </w:p>
        </w:tc>
        <w:tc>
          <w:tcPr>
            <w:tcW w:w="15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79" w:right="0"/>
              <w:jc w:val="left"/>
              <w:rPr>
                <w:rFonts w:ascii="Times New Roman" w:hAnsi="Times New Roman" w:cs="Times New Roman" w:eastAsia="Times New Roman" w:hint="default"/>
                <w:sz w:val="18"/>
                <w:szCs w:val="18"/>
              </w:rPr>
            </w:pPr>
            <w:r>
              <w:rPr>
                <w:rFonts w:ascii="Times New Roman"/>
                <w:sz w:val="18"/>
              </w:rPr>
              <w:t>1.91%</w:t>
            </w:r>
          </w:p>
        </w:tc>
        <w:tc>
          <w:tcPr>
            <w:tcW w:w="76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8" w:right="0"/>
              <w:jc w:val="left"/>
              <w:rPr>
                <w:rFonts w:ascii="Times New Roman" w:hAnsi="Times New Roman" w:cs="Times New Roman" w:eastAsia="Times New Roman" w:hint="default"/>
                <w:sz w:val="18"/>
                <w:szCs w:val="18"/>
              </w:rPr>
            </w:pPr>
            <w:r>
              <w:rPr>
                <w:rFonts w:ascii="Times New Roman"/>
                <w:sz w:val="18"/>
              </w:rPr>
              <w:t>2,831,708.21</w:t>
            </w:r>
          </w:p>
        </w:tc>
        <w:tc>
          <w:tcPr>
            <w:tcW w:w="20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r>
      <w:tr>
        <w:trPr>
          <w:trHeight w:val="318"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single" w:sz="8" w:space="0" w:color="000000"/>
              <w:right w:val="nil" w:sz="6" w:space="0" w:color="auto"/>
            </w:tcBorders>
          </w:tcPr>
          <w:p>
            <w:pPr/>
          </w:p>
        </w:tc>
        <w:tc>
          <w:tcPr>
            <w:tcW w:w="1510"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281" w:right="0"/>
              <w:jc w:val="left"/>
              <w:rPr>
                <w:rFonts w:ascii="Times New Roman" w:hAnsi="Times New Roman" w:cs="Times New Roman" w:eastAsia="Times New Roman" w:hint="default"/>
                <w:sz w:val="18"/>
                <w:szCs w:val="18"/>
              </w:rPr>
            </w:pPr>
            <w:r>
              <w:rPr>
                <w:rFonts w:ascii="Times New Roman"/>
                <w:spacing w:val="-7"/>
                <w:sz w:val="18"/>
              </w:rPr>
              <w:t>6,881,749.72</w:t>
            </w:r>
            <w:r>
              <w:rPr>
                <w:rFonts w:ascii="Times New Roman"/>
                <w:sz w:val="18"/>
              </w:rPr>
            </w:r>
          </w:p>
        </w:tc>
        <w:tc>
          <w:tcPr>
            <w:tcW w:w="158" w:type="dxa"/>
            <w:tcBorders>
              <w:top w:val="nil" w:sz="6" w:space="0" w:color="auto"/>
              <w:left w:val="nil" w:sz="6" w:space="0" w:color="auto"/>
              <w:bottom w:val="single" w:sz="8" w:space="0" w:color="000000"/>
              <w:right w:val="nil" w:sz="6" w:space="0" w:color="auto"/>
            </w:tcBorders>
          </w:tcPr>
          <w:p>
            <w:pPr/>
          </w:p>
        </w:tc>
        <w:tc>
          <w:tcPr>
            <w:tcW w:w="1159"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479" w:right="0"/>
              <w:jc w:val="left"/>
              <w:rPr>
                <w:rFonts w:ascii="Times New Roman" w:hAnsi="Times New Roman" w:cs="Times New Roman" w:eastAsia="Times New Roman" w:hint="default"/>
                <w:sz w:val="18"/>
                <w:szCs w:val="18"/>
              </w:rPr>
            </w:pPr>
            <w:r>
              <w:rPr>
                <w:rFonts w:ascii="Times New Roman"/>
                <w:sz w:val="18"/>
              </w:rPr>
              <w:t>2.85%</w:t>
            </w:r>
          </w:p>
        </w:tc>
        <w:tc>
          <w:tcPr>
            <w:tcW w:w="761" w:type="dxa"/>
            <w:tcBorders>
              <w:top w:val="nil" w:sz="6" w:space="0" w:color="auto"/>
              <w:left w:val="nil" w:sz="6" w:space="0" w:color="auto"/>
              <w:bottom w:val="single" w:sz="8" w:space="0" w:color="000000"/>
              <w:right w:val="nil" w:sz="6" w:space="0" w:color="auto"/>
            </w:tcBorders>
          </w:tcPr>
          <w:p>
            <w:pPr/>
          </w:p>
        </w:tc>
        <w:tc>
          <w:tcPr>
            <w:tcW w:w="1336"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328" w:right="0"/>
              <w:jc w:val="left"/>
              <w:rPr>
                <w:rFonts w:ascii="Times New Roman" w:hAnsi="Times New Roman" w:cs="Times New Roman" w:eastAsia="Times New Roman" w:hint="default"/>
                <w:sz w:val="18"/>
                <w:szCs w:val="18"/>
              </w:rPr>
            </w:pPr>
            <w:r>
              <w:rPr>
                <w:rFonts w:ascii="Times New Roman"/>
                <w:sz w:val="18"/>
              </w:rPr>
              <w:t>3,379,094.04</w:t>
            </w:r>
          </w:p>
        </w:tc>
        <w:tc>
          <w:tcPr>
            <w:tcW w:w="206" w:type="dxa"/>
            <w:tcBorders>
              <w:top w:val="nil" w:sz="6" w:space="0" w:color="auto"/>
              <w:left w:val="nil" w:sz="6" w:space="0" w:color="auto"/>
              <w:bottom w:val="single" w:sz="8" w:space="0" w:color="000000"/>
              <w:right w:val="nil" w:sz="6" w:space="0" w:color="auto"/>
            </w:tcBorders>
          </w:tcPr>
          <w:p>
            <w:pPr/>
          </w:p>
        </w:tc>
        <w:tc>
          <w:tcPr>
            <w:tcW w:w="1195"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w w:val="95"/>
                <w:sz w:val="18"/>
              </w:rPr>
              <w:t>2.56%</w:t>
            </w:r>
            <w:r>
              <w:rPr>
                <w:rFonts w:ascii="Times New Roman"/>
                <w:sz w:val="18"/>
              </w:rPr>
            </w:r>
          </w:p>
        </w:tc>
      </w:tr>
      <w:tr>
        <w:trPr>
          <w:trHeight w:val="353" w:hRule="exact"/>
        </w:trPr>
        <w:tc>
          <w:tcPr>
            <w:tcW w:w="2321" w:type="dxa"/>
            <w:tcBorders>
              <w:top w:val="nil" w:sz="6" w:space="0" w:color="auto"/>
              <w:left w:val="nil" w:sz="6" w:space="0" w:color="auto"/>
              <w:bottom w:val="nil" w:sz="6" w:space="0" w:color="auto"/>
              <w:right w:val="nil" w:sz="6" w:space="0" w:color="auto"/>
            </w:tcBorders>
          </w:tcPr>
          <w:p>
            <w:pPr/>
          </w:p>
        </w:tc>
        <w:tc>
          <w:tcPr>
            <w:tcW w:w="200" w:type="dxa"/>
            <w:tcBorders>
              <w:top w:val="nil" w:sz="6" w:space="0" w:color="auto"/>
              <w:left w:val="nil" w:sz="6" w:space="0" w:color="auto"/>
              <w:bottom w:val="nil" w:sz="6" w:space="0" w:color="auto"/>
              <w:right w:val="nil" w:sz="6" w:space="0" w:color="auto"/>
            </w:tcBorders>
          </w:tcPr>
          <w:p>
            <w:pPr/>
          </w:p>
        </w:tc>
        <w:tc>
          <w:tcPr>
            <w:tcW w:w="864"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Times New Roman"/>
                <w:sz w:val="18"/>
              </w:rPr>
              <w:t>RMB</w:t>
            </w:r>
          </w:p>
        </w:tc>
        <w:tc>
          <w:tcPr>
            <w:tcW w:w="1510"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left="113" w:right="0"/>
              <w:jc w:val="left"/>
              <w:rPr>
                <w:rFonts w:ascii="Times New Roman" w:hAnsi="Times New Roman" w:cs="Times New Roman" w:eastAsia="Times New Roman" w:hint="default"/>
                <w:sz w:val="18"/>
                <w:szCs w:val="18"/>
              </w:rPr>
            </w:pPr>
            <w:r>
              <w:rPr>
                <w:rFonts w:ascii="Times New Roman"/>
                <w:spacing w:val="-7"/>
                <w:sz w:val="18"/>
              </w:rPr>
              <w:t>241,075,439.23</w:t>
            </w:r>
            <w:r>
              <w:rPr>
                <w:rFonts w:ascii="Times New Roman"/>
                <w:sz w:val="18"/>
              </w:rPr>
            </w:r>
          </w:p>
        </w:tc>
        <w:tc>
          <w:tcPr>
            <w:tcW w:w="158" w:type="dxa"/>
            <w:tcBorders>
              <w:top w:val="single" w:sz="8" w:space="0" w:color="000000"/>
              <w:left w:val="nil" w:sz="6" w:space="0" w:color="auto"/>
              <w:bottom w:val="single" w:sz="17" w:space="0" w:color="000000"/>
              <w:right w:val="nil" w:sz="6" w:space="0" w:color="auto"/>
            </w:tcBorders>
          </w:tcPr>
          <w:p>
            <w:pPr/>
          </w:p>
        </w:tc>
        <w:tc>
          <w:tcPr>
            <w:tcW w:w="1159"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299"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Times New Roman"/>
                <w:sz w:val="18"/>
              </w:rPr>
              <w:t>RMB</w:t>
            </w:r>
          </w:p>
        </w:tc>
        <w:tc>
          <w:tcPr>
            <w:tcW w:w="1336"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left="150" w:right="0"/>
              <w:jc w:val="left"/>
              <w:rPr>
                <w:rFonts w:ascii="Times New Roman" w:hAnsi="Times New Roman" w:cs="Times New Roman" w:eastAsia="Times New Roman" w:hint="default"/>
                <w:sz w:val="18"/>
                <w:szCs w:val="18"/>
              </w:rPr>
            </w:pPr>
            <w:r>
              <w:rPr>
                <w:rFonts w:ascii="Times New Roman"/>
                <w:sz w:val="18"/>
              </w:rPr>
              <w:t>132,097,999.41</w:t>
            </w:r>
          </w:p>
        </w:tc>
        <w:tc>
          <w:tcPr>
            <w:tcW w:w="206" w:type="dxa"/>
            <w:tcBorders>
              <w:top w:val="single" w:sz="8" w:space="0" w:color="000000"/>
              <w:left w:val="nil" w:sz="6" w:space="0" w:color="auto"/>
              <w:bottom w:val="single" w:sz="17" w:space="0" w:color="000000"/>
              <w:right w:val="nil" w:sz="6" w:space="0" w:color="auto"/>
            </w:tcBorders>
          </w:tcPr>
          <w:p>
            <w:pPr/>
          </w:p>
        </w:tc>
        <w:tc>
          <w:tcPr>
            <w:tcW w:w="1195" w:type="dxa"/>
            <w:tcBorders>
              <w:top w:val="single" w:sz="8" w:space="0" w:color="000000"/>
              <w:left w:val="nil" w:sz="6" w:space="0" w:color="auto"/>
              <w:bottom w:val="single" w:sz="17" w:space="0" w:color="000000"/>
              <w:right w:val="nil" w:sz="6" w:space="0" w:color="auto"/>
            </w:tcBorders>
          </w:tcPr>
          <w:p>
            <w:pPr>
              <w:pStyle w:val="TableParagraph"/>
              <w:spacing w:line="240" w:lineRule="auto" w:before="64"/>
              <w:ind w:right="47"/>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22" w:top="1060" w:bottom="1220" w:left="980" w:right="940"/>
        </w:sectPr>
      </w:pPr>
    </w:p>
    <w:p>
      <w:pPr>
        <w:spacing w:line="240" w:lineRule="auto" w:before="8"/>
        <w:rPr>
          <w:rFonts w:ascii="宋体" w:hAnsi="宋体" w:cs="宋体" w:eastAsia="宋体" w:hint="default"/>
          <w:sz w:val="23"/>
          <w:szCs w:val="23"/>
        </w:rPr>
      </w:pPr>
    </w:p>
    <w:p>
      <w:pPr>
        <w:pStyle w:val="Heading4"/>
        <w:spacing w:line="240" w:lineRule="auto"/>
        <w:ind w:left="651" w:right="214"/>
        <w:jc w:val="left"/>
        <w:rPr>
          <w:rFonts w:ascii="黑体" w:hAnsi="黑体" w:cs="黑体" w:eastAsia="黑体" w:hint="default"/>
          <w:b w:val="0"/>
          <w:bCs w:val="0"/>
        </w:rPr>
      </w:pPr>
      <w:r>
        <w:rPr>
          <w:rFonts w:ascii="黑体" w:hAnsi="黑体" w:cs="黑体" w:eastAsia="黑体" w:hint="default"/>
          <w:spacing w:val="4"/>
        </w:rPr>
        <w:t>九、</w:t>
      </w:r>
      <w:r>
        <w:rPr>
          <w:rFonts w:ascii="黑体" w:hAnsi="黑体" w:cs="黑体" w:eastAsia="黑体" w:hint="default"/>
          <w:spacing w:val="5"/>
        </w:rPr>
        <w:t> </w:t>
      </w:r>
      <w:r>
        <w:rPr>
          <w:rFonts w:ascii="黑体" w:hAnsi="黑体" w:cs="黑体" w:eastAsia="黑体" w:hint="default"/>
          <w:spacing w:val="8"/>
        </w:rPr>
        <w:t>关联方关系及其交易</w:t>
      </w:r>
      <w:r>
        <w:rPr>
          <w:rFonts w:ascii="黑体" w:hAnsi="黑体" w:cs="黑体" w:eastAsia="黑体" w:hint="default"/>
          <w:b w:val="0"/>
          <w:bCs w:val="0"/>
        </w:rPr>
      </w:r>
    </w:p>
    <w:p>
      <w:pPr>
        <w:spacing w:line="297" w:lineRule="auto" w:before="96"/>
        <w:ind w:left="647" w:right="5356" w:firstLine="1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4"/>
          <w:sz w:val="24"/>
          <w:szCs w:val="24"/>
        </w:rPr>
        <w:t> </w:t>
      </w:r>
      <w:r>
        <w:rPr>
          <w:rFonts w:ascii="宋体" w:hAnsi="宋体" w:cs="宋体" w:eastAsia="宋体" w:hint="default"/>
          <w:b/>
          <w:bCs/>
          <w:spacing w:val="9"/>
          <w:sz w:val="24"/>
          <w:szCs w:val="24"/>
        </w:rPr>
        <w:t>关联方关系明细项目列示如下：</w:t>
      </w:r>
      <w:r>
        <w:rPr>
          <w:rFonts w:ascii="宋体" w:hAnsi="宋体" w:cs="宋体" w:eastAsia="宋体" w:hint="default"/>
          <w:b/>
          <w:bCs/>
          <w:spacing w:val="9"/>
          <w:w w:val="99"/>
          <w:sz w:val="24"/>
          <w:szCs w:val="24"/>
        </w:rPr>
        <w:t> </w:t>
      </w:r>
      <w:r>
        <w:rPr>
          <w:rFonts w:ascii="宋体" w:hAnsi="宋体" w:cs="宋体" w:eastAsia="宋体" w:hint="default"/>
          <w:sz w:val="24"/>
          <w:szCs w:val="24"/>
        </w:rPr>
        <w:t>(1) 存在控制关系的关联方</w:t>
      </w:r>
    </w:p>
    <w:p>
      <w:pPr>
        <w:spacing w:line="240" w:lineRule="auto" w:before="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83"/>
        <w:gridCol w:w="4159"/>
        <w:gridCol w:w="1026"/>
        <w:gridCol w:w="807"/>
        <w:gridCol w:w="680"/>
        <w:gridCol w:w="581"/>
        <w:gridCol w:w="1606"/>
      </w:tblGrid>
      <w:tr>
        <w:trPr>
          <w:trHeight w:val="587" w:hRule="exact"/>
        </w:trPr>
        <w:tc>
          <w:tcPr>
            <w:tcW w:w="78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35" w:right="0"/>
              <w:jc w:val="left"/>
              <w:rPr>
                <w:rFonts w:ascii="宋体" w:hAnsi="宋体" w:cs="宋体" w:eastAsia="宋体" w:hint="default"/>
                <w:sz w:val="15"/>
                <w:szCs w:val="15"/>
              </w:rPr>
            </w:pPr>
            <w:r>
              <w:rPr>
                <w:rFonts w:ascii="宋体" w:hAnsi="宋体" w:cs="宋体" w:eastAsia="宋体" w:hint="default"/>
                <w:spacing w:val="-12"/>
                <w:sz w:val="15"/>
                <w:szCs w:val="15"/>
              </w:rPr>
              <w:t>公司名称</w:t>
            </w:r>
            <w:r>
              <w:rPr>
                <w:rFonts w:ascii="宋体" w:hAnsi="宋体" w:cs="宋体" w:eastAsia="宋体" w:hint="default"/>
                <w:sz w:val="15"/>
                <w:szCs w:val="15"/>
              </w:rPr>
            </w:r>
          </w:p>
        </w:tc>
        <w:tc>
          <w:tcPr>
            <w:tcW w:w="415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369" w:right="0"/>
              <w:jc w:val="center"/>
              <w:rPr>
                <w:rFonts w:ascii="宋体" w:hAnsi="宋体" w:cs="宋体" w:eastAsia="宋体" w:hint="default"/>
                <w:sz w:val="15"/>
                <w:szCs w:val="15"/>
              </w:rPr>
            </w:pPr>
            <w:r>
              <w:rPr>
                <w:rFonts w:ascii="宋体" w:hAnsi="宋体" w:cs="宋体" w:eastAsia="宋体" w:hint="default"/>
                <w:spacing w:val="-12"/>
                <w:sz w:val="15"/>
                <w:szCs w:val="15"/>
              </w:rPr>
              <w:t>注册地址或住址</w:t>
            </w:r>
            <w:r>
              <w:rPr>
                <w:rFonts w:ascii="宋体" w:hAnsi="宋体" w:cs="宋体" w:eastAsia="宋体" w:hint="default"/>
                <w:sz w:val="15"/>
                <w:szCs w:val="15"/>
              </w:rPr>
            </w:r>
          </w:p>
        </w:tc>
        <w:tc>
          <w:tcPr>
            <w:tcW w:w="1026" w:type="dxa"/>
            <w:tcBorders>
              <w:top w:val="nil" w:sz="6" w:space="0" w:color="auto"/>
              <w:left w:val="nil" w:sz="6" w:space="0" w:color="auto"/>
              <w:bottom w:val="single" w:sz="4" w:space="0" w:color="000000"/>
              <w:right w:val="nil" w:sz="6" w:space="0" w:color="auto"/>
            </w:tcBorders>
          </w:tcPr>
          <w:p>
            <w:pPr>
              <w:pStyle w:val="TableParagraph"/>
              <w:spacing w:line="150" w:lineRule="exact"/>
              <w:ind w:left="472" w:right="0" w:hanging="69"/>
              <w:jc w:val="left"/>
              <w:rPr>
                <w:rFonts w:ascii="宋体" w:hAnsi="宋体" w:cs="宋体" w:eastAsia="宋体" w:hint="default"/>
                <w:sz w:val="15"/>
                <w:szCs w:val="15"/>
              </w:rPr>
            </w:pPr>
            <w:r>
              <w:rPr>
                <w:rFonts w:ascii="宋体" w:hAnsi="宋体" w:cs="宋体" w:eastAsia="宋体" w:hint="default"/>
                <w:spacing w:val="-12"/>
                <w:sz w:val="15"/>
                <w:szCs w:val="15"/>
              </w:rPr>
              <w:t>与本公司</w:t>
            </w:r>
            <w:r>
              <w:rPr>
                <w:rFonts w:ascii="宋体" w:hAnsi="宋体" w:cs="宋体" w:eastAsia="宋体" w:hint="default"/>
                <w:sz w:val="15"/>
                <w:szCs w:val="15"/>
              </w:rPr>
            </w:r>
          </w:p>
          <w:p>
            <w:pPr>
              <w:pStyle w:val="TableParagraph"/>
              <w:spacing w:line="240" w:lineRule="auto" w:before="115"/>
              <w:ind w:left="472" w:right="0"/>
              <w:jc w:val="left"/>
              <w:rPr>
                <w:rFonts w:ascii="宋体" w:hAnsi="宋体" w:cs="宋体" w:eastAsia="宋体" w:hint="default"/>
                <w:sz w:val="15"/>
                <w:szCs w:val="15"/>
              </w:rPr>
            </w:pPr>
            <w:r>
              <w:rPr>
                <w:rFonts w:ascii="宋体" w:hAnsi="宋体" w:cs="宋体" w:eastAsia="宋体" w:hint="default"/>
                <w:spacing w:val="-12"/>
                <w:sz w:val="15"/>
                <w:szCs w:val="15"/>
              </w:rPr>
              <w:t>的关系</w:t>
            </w:r>
            <w:r>
              <w:rPr>
                <w:rFonts w:ascii="宋体" w:hAnsi="宋体" w:cs="宋体" w:eastAsia="宋体" w:hint="default"/>
                <w:sz w:val="15"/>
                <w:szCs w:val="15"/>
              </w:rPr>
            </w:r>
          </w:p>
        </w:tc>
        <w:tc>
          <w:tcPr>
            <w:tcW w:w="807" w:type="dxa"/>
            <w:tcBorders>
              <w:top w:val="nil" w:sz="6" w:space="0" w:color="auto"/>
              <w:left w:val="nil" w:sz="6" w:space="0" w:color="auto"/>
              <w:bottom w:val="single" w:sz="4" w:space="0" w:color="000000"/>
              <w:right w:val="nil" w:sz="6" w:space="0" w:color="auto"/>
            </w:tcBorders>
          </w:tcPr>
          <w:p>
            <w:pPr>
              <w:pStyle w:val="TableParagraph"/>
              <w:spacing w:line="150" w:lineRule="exact"/>
              <w:ind w:left="23" w:right="0"/>
              <w:jc w:val="center"/>
              <w:rPr>
                <w:rFonts w:ascii="宋体" w:hAnsi="宋体" w:cs="宋体" w:eastAsia="宋体" w:hint="default"/>
                <w:sz w:val="15"/>
                <w:szCs w:val="15"/>
              </w:rPr>
            </w:pPr>
            <w:r>
              <w:rPr>
                <w:rFonts w:ascii="宋体" w:hAnsi="宋体" w:cs="宋体" w:eastAsia="宋体" w:hint="default"/>
                <w:spacing w:val="-12"/>
                <w:sz w:val="15"/>
                <w:szCs w:val="15"/>
              </w:rPr>
              <w:t>经济性质或</w:t>
            </w:r>
            <w:r>
              <w:rPr>
                <w:rFonts w:ascii="宋体" w:hAnsi="宋体" w:cs="宋体" w:eastAsia="宋体" w:hint="default"/>
                <w:sz w:val="15"/>
                <w:szCs w:val="15"/>
              </w:rPr>
            </w:r>
          </w:p>
          <w:p>
            <w:pPr>
              <w:pStyle w:val="TableParagraph"/>
              <w:spacing w:line="240" w:lineRule="auto" w:before="115"/>
              <w:ind w:left="22" w:right="0"/>
              <w:jc w:val="center"/>
              <w:rPr>
                <w:rFonts w:ascii="宋体" w:hAnsi="宋体" w:cs="宋体" w:eastAsia="宋体" w:hint="default"/>
                <w:sz w:val="15"/>
                <w:szCs w:val="15"/>
              </w:rPr>
            </w:pPr>
            <w:r>
              <w:rPr>
                <w:rFonts w:ascii="宋体" w:hAnsi="宋体" w:cs="宋体" w:eastAsia="宋体" w:hint="default"/>
                <w:spacing w:val="-12"/>
                <w:sz w:val="15"/>
                <w:szCs w:val="15"/>
              </w:rPr>
              <w:t>类型</w:t>
            </w:r>
            <w:r>
              <w:rPr>
                <w:rFonts w:ascii="宋体" w:hAnsi="宋体" w:cs="宋体" w:eastAsia="宋体" w:hint="default"/>
                <w:sz w:val="15"/>
                <w:szCs w:val="15"/>
              </w:rPr>
            </w:r>
          </w:p>
        </w:tc>
        <w:tc>
          <w:tcPr>
            <w:tcW w:w="680" w:type="dxa"/>
            <w:tcBorders>
              <w:top w:val="nil" w:sz="6" w:space="0" w:color="auto"/>
              <w:left w:val="nil" w:sz="6" w:space="0" w:color="auto"/>
              <w:bottom w:val="single" w:sz="4" w:space="0" w:color="000000"/>
              <w:right w:val="nil" w:sz="6" w:space="0" w:color="auto"/>
            </w:tcBorders>
          </w:tcPr>
          <w:p>
            <w:pPr>
              <w:pStyle w:val="TableParagraph"/>
              <w:spacing w:line="150" w:lineRule="exact"/>
              <w:ind w:right="32"/>
              <w:jc w:val="center"/>
              <w:rPr>
                <w:rFonts w:ascii="宋体" w:hAnsi="宋体" w:cs="宋体" w:eastAsia="宋体" w:hint="default"/>
                <w:sz w:val="15"/>
                <w:szCs w:val="15"/>
              </w:rPr>
            </w:pPr>
            <w:r>
              <w:rPr>
                <w:rFonts w:ascii="宋体" w:hAnsi="宋体" w:cs="宋体" w:eastAsia="宋体" w:hint="default"/>
                <w:spacing w:val="-12"/>
                <w:sz w:val="15"/>
                <w:szCs w:val="15"/>
              </w:rPr>
              <w:t>法定代表</w:t>
            </w:r>
            <w:r>
              <w:rPr>
                <w:rFonts w:ascii="宋体" w:hAnsi="宋体" w:cs="宋体" w:eastAsia="宋体" w:hint="default"/>
                <w:sz w:val="15"/>
                <w:szCs w:val="15"/>
              </w:rPr>
            </w:r>
          </w:p>
          <w:p>
            <w:pPr>
              <w:pStyle w:val="TableParagraph"/>
              <w:spacing w:line="240" w:lineRule="auto" w:before="115"/>
              <w:ind w:right="22"/>
              <w:jc w:val="center"/>
              <w:rPr>
                <w:rFonts w:ascii="宋体" w:hAnsi="宋体" w:cs="宋体" w:eastAsia="宋体" w:hint="default"/>
                <w:sz w:val="15"/>
                <w:szCs w:val="15"/>
              </w:rPr>
            </w:pPr>
            <w:r>
              <w:rPr>
                <w:rFonts w:ascii="宋体" w:hAnsi="宋体" w:cs="宋体" w:eastAsia="宋体" w:hint="default"/>
                <w:sz w:val="15"/>
                <w:szCs w:val="15"/>
              </w:rPr>
              <w:t>人</w:t>
            </w:r>
          </w:p>
        </w:tc>
        <w:tc>
          <w:tcPr>
            <w:tcW w:w="58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52"/>
              <w:jc w:val="right"/>
              <w:rPr>
                <w:rFonts w:ascii="宋体" w:hAnsi="宋体" w:cs="宋体" w:eastAsia="宋体" w:hint="default"/>
                <w:sz w:val="15"/>
                <w:szCs w:val="15"/>
              </w:rPr>
            </w:pPr>
            <w:r>
              <w:rPr>
                <w:rFonts w:ascii="宋体" w:hAnsi="宋体" w:cs="宋体" w:eastAsia="宋体" w:hint="default"/>
                <w:spacing w:val="-12"/>
                <w:w w:val="95"/>
                <w:sz w:val="15"/>
                <w:szCs w:val="15"/>
              </w:rPr>
              <w:t>职务</w:t>
            </w:r>
            <w:r>
              <w:rPr>
                <w:rFonts w:ascii="宋体" w:hAnsi="宋体" w:cs="宋体" w:eastAsia="宋体" w:hint="default"/>
                <w:w w:val="95"/>
                <w:sz w:val="15"/>
                <w:szCs w:val="15"/>
              </w:rPr>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554" w:right="0"/>
              <w:jc w:val="left"/>
              <w:rPr>
                <w:rFonts w:ascii="宋体" w:hAnsi="宋体" w:cs="宋体" w:eastAsia="宋体" w:hint="default"/>
                <w:sz w:val="15"/>
                <w:szCs w:val="15"/>
              </w:rPr>
            </w:pPr>
            <w:r>
              <w:rPr>
                <w:rFonts w:ascii="宋体" w:hAnsi="宋体" w:cs="宋体" w:eastAsia="宋体" w:hint="default"/>
                <w:spacing w:val="-12"/>
                <w:sz w:val="15"/>
                <w:szCs w:val="15"/>
              </w:rPr>
              <w:t>证件号码</w:t>
            </w:r>
            <w:r>
              <w:rPr>
                <w:rFonts w:ascii="宋体" w:hAnsi="宋体" w:cs="宋体" w:eastAsia="宋体" w:hint="default"/>
                <w:sz w:val="15"/>
                <w:szCs w:val="15"/>
              </w:rPr>
            </w:r>
          </w:p>
        </w:tc>
      </w:tr>
      <w:tr>
        <w:trPr>
          <w:trHeight w:val="401" w:hRule="exact"/>
        </w:trPr>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 w:right="0"/>
              <w:jc w:val="left"/>
              <w:rPr>
                <w:rFonts w:ascii="宋体" w:hAnsi="宋体" w:cs="宋体" w:eastAsia="宋体" w:hint="default"/>
                <w:sz w:val="15"/>
                <w:szCs w:val="15"/>
              </w:rPr>
            </w:pPr>
            <w:r>
              <w:rPr>
                <w:rFonts w:ascii="宋体" w:hAnsi="宋体" w:cs="宋体" w:eastAsia="宋体" w:hint="default"/>
                <w:spacing w:val="-12"/>
                <w:sz w:val="15"/>
                <w:szCs w:val="15"/>
              </w:rPr>
              <w:t>深港产学研</w:t>
            </w:r>
            <w:r>
              <w:rPr>
                <w:rFonts w:ascii="宋体" w:hAnsi="宋体" w:cs="宋体" w:eastAsia="宋体" w:hint="default"/>
                <w:sz w:val="15"/>
                <w:szCs w:val="15"/>
              </w:rPr>
            </w:r>
          </w:p>
        </w:tc>
        <w:tc>
          <w:tcPr>
            <w:tcW w:w="415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85" w:right="0"/>
              <w:jc w:val="left"/>
              <w:rPr>
                <w:rFonts w:ascii="Times New Roman" w:hAnsi="Times New Roman" w:cs="Times New Roman" w:eastAsia="Times New Roman" w:hint="default"/>
                <w:sz w:val="15"/>
                <w:szCs w:val="15"/>
              </w:rPr>
            </w:pPr>
            <w:r>
              <w:rPr>
                <w:rFonts w:ascii="宋体" w:hAnsi="宋体" w:cs="宋体" w:eastAsia="宋体" w:hint="default"/>
                <w:spacing w:val="-11"/>
                <w:sz w:val="15"/>
                <w:szCs w:val="15"/>
              </w:rPr>
              <w:t>深圳市福田区深南中路</w:t>
            </w:r>
            <w:r>
              <w:rPr>
                <w:rFonts w:ascii="宋体" w:hAnsi="宋体" w:cs="宋体" w:eastAsia="宋体" w:hint="default"/>
                <w:spacing w:val="-50"/>
                <w:sz w:val="15"/>
                <w:szCs w:val="15"/>
              </w:rPr>
              <w:t> </w:t>
            </w:r>
            <w:r>
              <w:rPr>
                <w:rFonts w:ascii="Times New Roman" w:hAnsi="Times New Roman" w:cs="Times New Roman" w:eastAsia="Times New Roman" w:hint="default"/>
                <w:spacing w:val="-5"/>
                <w:sz w:val="15"/>
                <w:szCs w:val="15"/>
              </w:rPr>
              <w:t>3039 </w:t>
            </w:r>
            <w:r>
              <w:rPr>
                <w:rFonts w:ascii="宋体" w:hAnsi="宋体" w:cs="宋体" w:eastAsia="宋体" w:hint="default"/>
                <w:spacing w:val="-11"/>
                <w:sz w:val="15"/>
                <w:szCs w:val="15"/>
              </w:rPr>
              <w:t>号国际文化大厦</w:t>
            </w:r>
            <w:r>
              <w:rPr>
                <w:rFonts w:ascii="宋体" w:hAnsi="宋体" w:cs="宋体" w:eastAsia="宋体" w:hint="default"/>
                <w:spacing w:val="-50"/>
                <w:sz w:val="15"/>
                <w:szCs w:val="15"/>
              </w:rPr>
              <w:t> </w:t>
            </w:r>
            <w:r>
              <w:rPr>
                <w:rFonts w:ascii="Times New Roman" w:hAnsi="Times New Roman" w:cs="Times New Roman" w:eastAsia="Times New Roman" w:hint="default"/>
                <w:spacing w:val="-7"/>
                <w:sz w:val="15"/>
                <w:szCs w:val="15"/>
              </w:rPr>
              <w:t>2805A</w:t>
            </w:r>
            <w:r>
              <w:rPr>
                <w:rFonts w:ascii="宋体" w:hAnsi="宋体" w:cs="宋体" w:eastAsia="宋体" w:hint="default"/>
                <w:spacing w:val="-7"/>
                <w:sz w:val="15"/>
                <w:szCs w:val="15"/>
              </w:rPr>
              <w:t>、</w:t>
            </w:r>
            <w:r>
              <w:rPr>
                <w:rFonts w:ascii="Times New Roman" w:hAnsi="Times New Roman" w:cs="Times New Roman" w:eastAsia="Times New Roman" w:hint="default"/>
                <w:spacing w:val="-7"/>
                <w:sz w:val="15"/>
                <w:szCs w:val="15"/>
              </w:rPr>
              <w:t>2805B</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8"/>
              <w:jc w:val="right"/>
              <w:rPr>
                <w:rFonts w:ascii="宋体" w:hAnsi="宋体" w:cs="宋体" w:eastAsia="宋体" w:hint="default"/>
                <w:sz w:val="15"/>
                <w:szCs w:val="15"/>
              </w:rPr>
            </w:pPr>
            <w:r>
              <w:rPr>
                <w:rFonts w:ascii="宋体" w:hAnsi="宋体" w:cs="宋体" w:eastAsia="宋体" w:hint="default"/>
                <w:spacing w:val="-12"/>
                <w:sz w:val="15"/>
                <w:szCs w:val="15"/>
              </w:rPr>
              <w:t>控股股东</w:t>
            </w:r>
            <w:r>
              <w:rPr>
                <w:rFonts w:ascii="宋体" w:hAnsi="宋体" w:cs="宋体" w:eastAsia="宋体" w:hint="default"/>
                <w:sz w:val="15"/>
                <w:szCs w:val="15"/>
              </w:rPr>
            </w:r>
          </w:p>
        </w:tc>
        <w:tc>
          <w:tcPr>
            <w:tcW w:w="80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2" w:right="0"/>
              <w:jc w:val="center"/>
              <w:rPr>
                <w:rFonts w:ascii="宋体" w:hAnsi="宋体" w:cs="宋体" w:eastAsia="宋体" w:hint="default"/>
                <w:sz w:val="15"/>
                <w:szCs w:val="15"/>
              </w:rPr>
            </w:pPr>
            <w:r>
              <w:rPr>
                <w:rFonts w:ascii="宋体" w:hAnsi="宋体" w:cs="宋体" w:eastAsia="宋体" w:hint="default"/>
                <w:spacing w:val="-12"/>
                <w:sz w:val="15"/>
                <w:szCs w:val="15"/>
              </w:rPr>
              <w:t>有限公司</w:t>
            </w:r>
            <w:r>
              <w:rPr>
                <w:rFonts w:ascii="宋体" w:hAnsi="宋体" w:cs="宋体" w:eastAsia="宋体" w:hint="default"/>
                <w:sz w:val="15"/>
                <w:szCs w:val="15"/>
              </w:rPr>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2"/>
              <w:jc w:val="center"/>
              <w:rPr>
                <w:rFonts w:ascii="宋体" w:hAnsi="宋体" w:cs="宋体" w:eastAsia="宋体" w:hint="default"/>
                <w:sz w:val="15"/>
                <w:szCs w:val="15"/>
              </w:rPr>
            </w:pPr>
            <w:r>
              <w:rPr>
                <w:rFonts w:ascii="宋体" w:hAnsi="宋体" w:cs="宋体" w:eastAsia="宋体" w:hint="default"/>
                <w:spacing w:val="-12"/>
                <w:sz w:val="15"/>
                <w:szCs w:val="15"/>
              </w:rPr>
              <w:t>厉伟</w:t>
            </w:r>
            <w:r>
              <w:rPr>
                <w:rFonts w:ascii="宋体" w:hAnsi="宋体" w:cs="宋体" w:eastAsia="宋体" w:hint="default"/>
                <w:sz w:val="15"/>
                <w:szCs w:val="15"/>
              </w:rPr>
            </w:r>
          </w:p>
        </w:tc>
        <w:tc>
          <w:tcPr>
            <w:tcW w:w="58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3"/>
              <w:jc w:val="right"/>
              <w:rPr>
                <w:rFonts w:ascii="宋体" w:hAnsi="宋体" w:cs="宋体" w:eastAsia="宋体" w:hint="default"/>
                <w:sz w:val="15"/>
                <w:szCs w:val="15"/>
              </w:rPr>
            </w:pPr>
            <w:r>
              <w:rPr>
                <w:rFonts w:ascii="宋体" w:hAnsi="宋体" w:cs="宋体" w:eastAsia="宋体" w:hint="default"/>
                <w:spacing w:val="-12"/>
                <w:sz w:val="15"/>
                <w:szCs w:val="15"/>
              </w:rPr>
              <w:t>董事长</w:t>
            </w:r>
            <w:r>
              <w:rPr>
                <w:rFonts w:ascii="宋体" w:hAnsi="宋体" w:cs="宋体" w:eastAsia="宋体" w:hint="default"/>
                <w:sz w:val="15"/>
                <w:szCs w:val="15"/>
              </w:rPr>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85" w:right="0"/>
              <w:jc w:val="left"/>
              <w:rPr>
                <w:rFonts w:ascii="Times New Roman" w:hAnsi="Times New Roman" w:cs="Times New Roman" w:eastAsia="Times New Roman" w:hint="default"/>
                <w:sz w:val="15"/>
                <w:szCs w:val="15"/>
              </w:rPr>
            </w:pPr>
            <w:r>
              <w:rPr>
                <w:rFonts w:ascii="Times New Roman"/>
                <w:spacing w:val="-6"/>
                <w:sz w:val="15"/>
              </w:rPr>
              <w:t>4403012007432</w:t>
            </w:r>
          </w:p>
        </w:tc>
      </w:tr>
      <w:tr>
        <w:trPr>
          <w:trHeight w:val="275"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 w:right="0"/>
              <w:jc w:val="left"/>
              <w:rPr>
                <w:rFonts w:ascii="宋体" w:hAnsi="宋体" w:cs="宋体" w:eastAsia="宋体" w:hint="default"/>
                <w:sz w:val="15"/>
                <w:szCs w:val="15"/>
              </w:rPr>
            </w:pPr>
            <w:r>
              <w:rPr>
                <w:rFonts w:ascii="宋体" w:hAnsi="宋体" w:cs="宋体" w:eastAsia="宋体" w:hint="default"/>
                <w:sz w:val="15"/>
                <w:szCs w:val="15"/>
              </w:rPr>
              <w:t>左</w:t>
            </w:r>
            <w:r>
              <w:rPr>
                <w:rFonts w:ascii="宋体" w:hAnsi="宋体" w:cs="宋体" w:eastAsia="宋体" w:hint="default"/>
                <w:spacing w:val="37"/>
                <w:sz w:val="15"/>
                <w:szCs w:val="15"/>
              </w:rPr>
              <w:t> </w:t>
            </w:r>
            <w:r>
              <w:rPr>
                <w:rFonts w:ascii="宋体" w:hAnsi="宋体" w:cs="宋体" w:eastAsia="宋体" w:hint="default"/>
                <w:sz w:val="15"/>
                <w:szCs w:val="15"/>
              </w:rPr>
              <w:t>强</w:t>
            </w:r>
          </w:p>
        </w:tc>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5" w:right="0"/>
              <w:jc w:val="left"/>
              <w:rPr>
                <w:rFonts w:ascii="宋体" w:hAnsi="宋体" w:cs="宋体" w:eastAsia="宋体" w:hint="default"/>
                <w:sz w:val="15"/>
                <w:szCs w:val="15"/>
              </w:rPr>
            </w:pPr>
            <w:r>
              <w:rPr>
                <w:rFonts w:ascii="宋体" w:hAnsi="宋体" w:cs="宋体" w:eastAsia="宋体" w:hint="default"/>
                <w:spacing w:val="-12"/>
                <w:sz w:val="15"/>
                <w:szCs w:val="15"/>
              </w:rPr>
              <w:t>辽宁省鞍山市铁东区高新技术开发区新峪社区上汪峪委</w:t>
            </w:r>
            <w:r>
              <w:rPr>
                <w:rFonts w:ascii="宋体" w:hAnsi="宋体" w:cs="宋体" w:eastAsia="宋体" w:hint="default"/>
                <w:spacing w:val="-48"/>
                <w:sz w:val="15"/>
                <w:szCs w:val="15"/>
              </w:rPr>
              <w:t> </w:t>
            </w:r>
            <w:r>
              <w:rPr>
                <w:rFonts w:ascii="Times New Roman" w:hAnsi="Times New Roman" w:cs="Times New Roman" w:eastAsia="Times New Roman" w:hint="default"/>
                <w:spacing w:val="-4"/>
                <w:sz w:val="15"/>
                <w:szCs w:val="15"/>
              </w:rPr>
              <w:t>06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组</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
              <w:jc w:val="right"/>
              <w:rPr>
                <w:rFonts w:ascii="宋体" w:hAnsi="宋体" w:cs="宋体" w:eastAsia="宋体" w:hint="default"/>
                <w:sz w:val="15"/>
                <w:szCs w:val="15"/>
              </w:rPr>
            </w:pPr>
            <w:r>
              <w:rPr>
                <w:rFonts w:ascii="宋体" w:hAnsi="宋体" w:cs="宋体" w:eastAsia="宋体" w:hint="default"/>
                <w:spacing w:val="-12"/>
                <w:sz w:val="15"/>
                <w:szCs w:val="15"/>
              </w:rPr>
              <w:t>控股股东</w:t>
            </w:r>
            <w:r>
              <w:rPr>
                <w:rFonts w:ascii="宋体" w:hAnsi="宋体" w:cs="宋体" w:eastAsia="宋体" w:hint="default"/>
                <w:sz w:val="15"/>
                <w:szCs w:val="15"/>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 w:right="0"/>
              <w:jc w:val="center"/>
              <w:rPr>
                <w:rFonts w:ascii="宋体" w:hAnsi="宋体" w:cs="宋体" w:eastAsia="宋体" w:hint="default"/>
                <w:sz w:val="15"/>
                <w:szCs w:val="15"/>
              </w:rPr>
            </w:pPr>
            <w:r>
              <w:rPr>
                <w:rFonts w:ascii="宋体" w:hAnsi="宋体" w:cs="宋体" w:eastAsia="宋体" w:hint="default"/>
                <w:spacing w:val="-12"/>
                <w:sz w:val="15"/>
                <w:szCs w:val="15"/>
              </w:rPr>
              <w:t>自然人</w:t>
            </w:r>
            <w:r>
              <w:rPr>
                <w:rFonts w:ascii="宋体" w:hAnsi="宋体" w:cs="宋体" w:eastAsia="宋体" w:hint="default"/>
                <w:sz w:val="15"/>
                <w:szCs w:val="15"/>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3"/>
              <w:jc w:val="right"/>
              <w:rPr>
                <w:rFonts w:ascii="宋体" w:hAnsi="宋体" w:cs="宋体" w:eastAsia="宋体" w:hint="default"/>
                <w:sz w:val="15"/>
                <w:szCs w:val="15"/>
              </w:rPr>
            </w:pPr>
            <w:r>
              <w:rPr>
                <w:rFonts w:ascii="宋体" w:hAnsi="宋体" w:cs="宋体" w:eastAsia="宋体" w:hint="default"/>
                <w:spacing w:val="-12"/>
                <w:sz w:val="15"/>
                <w:szCs w:val="15"/>
              </w:rPr>
              <w:t>总经理</w:t>
            </w:r>
            <w:r>
              <w:rPr>
                <w:rFonts w:ascii="宋体" w:hAnsi="宋体" w:cs="宋体" w:eastAsia="宋体" w:hint="default"/>
                <w:sz w:val="15"/>
                <w:szCs w:val="15"/>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5" w:right="0"/>
              <w:jc w:val="left"/>
              <w:rPr>
                <w:rFonts w:ascii="Times New Roman" w:hAnsi="Times New Roman" w:cs="Times New Roman" w:eastAsia="Times New Roman" w:hint="default"/>
                <w:sz w:val="15"/>
                <w:szCs w:val="15"/>
              </w:rPr>
            </w:pPr>
            <w:r>
              <w:rPr>
                <w:rFonts w:ascii="Times New Roman"/>
                <w:spacing w:val="-7"/>
                <w:sz w:val="15"/>
              </w:rPr>
              <w:t>11010819701018897X</w:t>
            </w:r>
            <w:r>
              <w:rPr>
                <w:rFonts w:ascii="Times New Roman"/>
                <w:sz w:val="15"/>
              </w:rPr>
            </w:r>
          </w:p>
        </w:tc>
      </w:tr>
    </w:tbl>
    <w:p>
      <w:pPr>
        <w:spacing w:line="240" w:lineRule="auto" w:before="4"/>
        <w:rPr>
          <w:rFonts w:ascii="宋体" w:hAnsi="宋体" w:cs="宋体" w:eastAsia="宋体" w:hint="default"/>
          <w:sz w:val="8"/>
          <w:szCs w:val="8"/>
        </w:rPr>
      </w:pPr>
    </w:p>
    <w:p>
      <w:pPr>
        <w:pStyle w:val="BodyText"/>
        <w:spacing w:line="240" w:lineRule="auto" w:before="26"/>
        <w:ind w:left="647" w:right="214"/>
        <w:jc w:val="left"/>
      </w:pPr>
      <w:r>
        <w:rPr/>
        <w:t>(2) 存在控制关系的关联方的注册资本及其变化</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tabs>
          <w:tab w:pos="7685" w:val="left" w:leader="none"/>
        </w:tabs>
        <w:spacing w:before="76"/>
        <w:ind w:left="5997" w:right="214" w:firstLine="0"/>
        <w:jc w:val="left"/>
        <w:rPr>
          <w:rFonts w:ascii="Times New Roman" w:hAnsi="Times New Roman" w:cs="Times New Roman" w:eastAsia="Times New Roman" w:hint="default"/>
          <w:sz w:val="18"/>
          <w:szCs w:val="18"/>
        </w:rPr>
      </w:pPr>
      <w:r>
        <w:rPr/>
        <w:pict>
          <v:shape style="position:absolute;margin-left:56.700001pt;margin-top:-15.215044pt;width:481.85pt;height:29.2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8"/>
                    <w:gridCol w:w="204"/>
                    <w:gridCol w:w="583"/>
                    <w:gridCol w:w="1268"/>
                    <w:gridCol w:w="199"/>
                    <w:gridCol w:w="1422"/>
                    <w:gridCol w:w="60"/>
                    <w:gridCol w:w="195"/>
                    <w:gridCol w:w="1433"/>
                    <w:gridCol w:w="60"/>
                    <w:gridCol w:w="194"/>
                    <w:gridCol w:w="584"/>
                    <w:gridCol w:w="1268"/>
                  </w:tblGrid>
                  <w:tr>
                    <w:trPr>
                      <w:trHeight w:val="259" w:hRule="exact"/>
                    </w:trPr>
                    <w:tc>
                      <w:tcPr>
                        <w:tcW w:w="2168" w:type="dxa"/>
                        <w:tcBorders>
                          <w:top w:val="nil" w:sz="6" w:space="0" w:color="auto"/>
                          <w:left w:val="nil" w:sz="6" w:space="0" w:color="auto"/>
                          <w:bottom w:val="single" w:sz="6"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pacing w:val="-5"/>
                            <w:sz w:val="18"/>
                            <w:szCs w:val="18"/>
                          </w:rPr>
                          <w:t>公司名称</w:t>
                        </w:r>
                        <w:r>
                          <w:rPr>
                            <w:rFonts w:ascii="宋体" w:hAnsi="宋体" w:cs="宋体" w:eastAsia="宋体" w:hint="default"/>
                            <w:sz w:val="18"/>
                            <w:szCs w:val="18"/>
                          </w:rPr>
                        </w:r>
                      </w:p>
                    </w:tc>
                    <w:tc>
                      <w:tcPr>
                        <w:tcW w:w="204"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single" w:sz="6" w:space="0" w:color="000000"/>
                          <w:right w:val="nil" w:sz="6" w:space="0" w:color="auto"/>
                        </w:tcBorders>
                      </w:tcPr>
                      <w:p>
                        <w:pPr>
                          <w:pStyle w:val="TableParagraph"/>
                          <w:spacing w:line="191" w:lineRule="exact"/>
                          <w:ind w:right="-40"/>
                          <w:jc w:val="right"/>
                          <w:rPr>
                            <w:rFonts w:ascii="Times New Roman" w:hAnsi="Times New Roman" w:cs="Times New Roman" w:eastAsia="Times New Roman" w:hint="default"/>
                            <w:sz w:val="18"/>
                            <w:szCs w:val="18"/>
                          </w:rPr>
                        </w:pPr>
                        <w:r>
                          <w:rPr>
                            <w:rFonts w:ascii="Times New Roman"/>
                            <w:spacing w:val="-3"/>
                            <w:sz w:val="18"/>
                          </w:rPr>
                          <w:t>2</w:t>
                        </w:r>
                        <w:r>
                          <w:rPr>
                            <w:rFonts w:ascii="Times New Roman"/>
                            <w:sz w:val="18"/>
                          </w:rPr>
                        </w:r>
                      </w:p>
                    </w:tc>
                    <w:tc>
                      <w:tcPr>
                        <w:tcW w:w="1268" w:type="dxa"/>
                        <w:tcBorders>
                          <w:top w:val="nil" w:sz="6" w:space="0" w:color="auto"/>
                          <w:left w:val="nil" w:sz="6" w:space="0" w:color="auto"/>
                          <w:bottom w:val="single" w:sz="6" w:space="0" w:color="000000"/>
                          <w:right w:val="nil" w:sz="6" w:space="0" w:color="auto"/>
                        </w:tcBorders>
                      </w:tcPr>
                      <w:p>
                        <w:pPr>
                          <w:pStyle w:val="TableParagraph"/>
                          <w:spacing w:line="191" w:lineRule="exact"/>
                          <w:ind w:left="39" w:right="0"/>
                          <w:jc w:val="left"/>
                          <w:rPr>
                            <w:rFonts w:ascii="Times New Roman" w:hAnsi="Times New Roman" w:cs="Times New Roman" w:eastAsia="Times New Roman" w:hint="default"/>
                            <w:sz w:val="18"/>
                            <w:szCs w:val="18"/>
                          </w:rPr>
                        </w:pPr>
                        <w:r>
                          <w:rPr>
                            <w:rFonts w:ascii="Times New Roman"/>
                            <w:spacing w:val="-3"/>
                            <w:sz w:val="18"/>
                          </w:rPr>
                          <w:t>007.01.01</w:t>
                        </w:r>
                        <w:r>
                          <w:rPr>
                            <w:rFonts w:ascii="Times New Roman"/>
                            <w:sz w:val="18"/>
                          </w:rPr>
                        </w:r>
                      </w:p>
                    </w:tc>
                    <w:tc>
                      <w:tcPr>
                        <w:tcW w:w="199"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6"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spacing w:val="-5"/>
                            <w:sz w:val="18"/>
                            <w:szCs w:val="18"/>
                          </w:rPr>
                          <w:t>本年增加</w:t>
                        </w:r>
                        <w:r>
                          <w:rPr>
                            <w:rFonts w:ascii="宋体" w:hAnsi="宋体" w:cs="宋体" w:eastAsia="宋体" w:hint="default"/>
                            <w:sz w:val="18"/>
                            <w:szCs w:val="18"/>
                          </w:rPr>
                        </w:r>
                      </w:p>
                    </w:tc>
                    <w:tc>
                      <w:tcPr>
                        <w:tcW w:w="60" w:type="dxa"/>
                        <w:tcBorders>
                          <w:top w:val="nil" w:sz="6" w:space="0" w:color="auto"/>
                          <w:left w:val="nil" w:sz="6" w:space="0" w:color="auto"/>
                          <w:bottom w:val="single" w:sz="6" w:space="0" w:color="000000"/>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6" w:space="0" w:color="000000"/>
                          <w:right w:val="nil" w:sz="6" w:space="0" w:color="auto"/>
                        </w:tcBorders>
                      </w:tcPr>
                      <w:p>
                        <w:pPr>
                          <w:pStyle w:val="TableParagraph"/>
                          <w:spacing w:line="180" w:lineRule="exact"/>
                          <w:ind w:left="397" w:right="0"/>
                          <w:jc w:val="left"/>
                          <w:rPr>
                            <w:rFonts w:ascii="宋体" w:hAnsi="宋体" w:cs="宋体" w:eastAsia="宋体" w:hint="default"/>
                            <w:sz w:val="18"/>
                            <w:szCs w:val="18"/>
                          </w:rPr>
                        </w:pPr>
                        <w:r>
                          <w:rPr>
                            <w:rFonts w:ascii="宋体" w:hAnsi="宋体" w:cs="宋体" w:eastAsia="宋体" w:hint="default"/>
                            <w:spacing w:val="-5"/>
                            <w:sz w:val="18"/>
                            <w:szCs w:val="18"/>
                          </w:rPr>
                          <w:t>本年减少</w:t>
                        </w:r>
                        <w:r>
                          <w:rPr>
                            <w:rFonts w:ascii="宋体" w:hAnsi="宋体" w:cs="宋体" w:eastAsia="宋体" w:hint="default"/>
                            <w:sz w:val="18"/>
                            <w:szCs w:val="18"/>
                          </w:rPr>
                        </w:r>
                      </w:p>
                    </w:tc>
                    <w:tc>
                      <w:tcPr>
                        <w:tcW w:w="60" w:type="dxa"/>
                        <w:tcBorders>
                          <w:top w:val="nil" w:sz="6" w:space="0" w:color="auto"/>
                          <w:left w:val="nil" w:sz="6" w:space="0" w:color="auto"/>
                          <w:bottom w:val="single" w:sz="6" w:space="0" w:color="000000"/>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single" w:sz="4" w:space="0" w:color="000000"/>
                          <w:right w:val="nil" w:sz="6" w:space="0" w:color="auto"/>
                        </w:tcBorders>
                      </w:tcPr>
                      <w:p>
                        <w:pPr>
                          <w:pStyle w:val="TableParagraph"/>
                          <w:spacing w:line="191" w:lineRule="exact"/>
                          <w:ind w:right="-40"/>
                          <w:jc w:val="right"/>
                          <w:rPr>
                            <w:rFonts w:ascii="Times New Roman" w:hAnsi="Times New Roman" w:cs="Times New Roman" w:eastAsia="Times New Roman" w:hint="default"/>
                            <w:sz w:val="18"/>
                            <w:szCs w:val="18"/>
                          </w:rPr>
                        </w:pPr>
                        <w:r>
                          <w:rPr>
                            <w:rFonts w:ascii="Times New Roman"/>
                            <w:spacing w:val="-3"/>
                            <w:sz w:val="18"/>
                          </w:rPr>
                          <w:t>2</w:t>
                        </w:r>
                        <w:r>
                          <w:rPr>
                            <w:rFonts w:ascii="Times New Roman"/>
                            <w:sz w:val="18"/>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191" w:lineRule="exact"/>
                          <w:ind w:left="39" w:right="0"/>
                          <w:jc w:val="left"/>
                          <w:rPr>
                            <w:rFonts w:ascii="Times New Roman" w:hAnsi="Times New Roman" w:cs="Times New Roman" w:eastAsia="Times New Roman" w:hint="default"/>
                            <w:sz w:val="18"/>
                            <w:szCs w:val="18"/>
                          </w:rPr>
                        </w:pPr>
                        <w:r>
                          <w:rPr>
                            <w:rFonts w:ascii="Times New Roman"/>
                            <w:spacing w:val="-3"/>
                            <w:sz w:val="18"/>
                          </w:rPr>
                          <w:t>007.12.31</w:t>
                        </w:r>
                        <w:r>
                          <w:rPr>
                            <w:rFonts w:ascii="Times New Roman"/>
                            <w:sz w:val="18"/>
                          </w:rPr>
                        </w:r>
                      </w:p>
                    </w:tc>
                  </w:tr>
                  <w:tr>
                    <w:trPr>
                      <w:trHeight w:val="324" w:hRule="exact"/>
                    </w:trPr>
                    <w:tc>
                      <w:tcPr>
                        <w:tcW w:w="2168" w:type="dxa"/>
                        <w:tcBorders>
                          <w:top w:val="single" w:sz="6" w:space="0" w:color="000000"/>
                          <w:left w:val="nil" w:sz="6" w:space="0" w:color="auto"/>
                          <w:bottom w:val="nil" w:sz="6" w:space="0" w:color="auto"/>
                          <w:right w:val="nil" w:sz="6" w:space="0" w:color="auto"/>
                        </w:tcBorders>
                      </w:tcPr>
                      <w:p>
                        <w:pPr>
                          <w:pStyle w:val="TableParagraph"/>
                          <w:spacing w:line="240" w:lineRule="auto" w:before="78"/>
                          <w:ind w:left="90"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204" w:type="dxa"/>
                        <w:tcBorders>
                          <w:top w:val="nil" w:sz="6" w:space="0" w:color="auto"/>
                          <w:left w:val="nil" w:sz="6" w:space="0" w:color="auto"/>
                          <w:bottom w:val="nil" w:sz="6" w:space="0" w:color="auto"/>
                          <w:right w:val="nil" w:sz="6" w:space="0" w:color="auto"/>
                        </w:tcBorders>
                      </w:tcPr>
                      <w:p>
                        <w:pPr/>
                      </w:p>
                    </w:tc>
                    <w:tc>
                      <w:tcPr>
                        <w:tcW w:w="583" w:type="dxa"/>
                        <w:tcBorders>
                          <w:top w:val="single" w:sz="6" w:space="0" w:color="000000"/>
                          <w:left w:val="nil" w:sz="6" w:space="0" w:color="auto"/>
                          <w:bottom w:val="nil" w:sz="6" w:space="0" w:color="auto"/>
                          <w:right w:val="nil" w:sz="6" w:space="0" w:color="auto"/>
                        </w:tcBorders>
                      </w:tcPr>
                      <w:p>
                        <w:pPr>
                          <w:pStyle w:val="TableParagraph"/>
                          <w:spacing w:line="240" w:lineRule="auto" w:before="111"/>
                          <w:ind w:left="16"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1268" w:type="dxa"/>
                        <w:tcBorders>
                          <w:top w:val="single" w:sz="6" w:space="0" w:color="000000"/>
                          <w:left w:val="nil" w:sz="6" w:space="0" w:color="auto"/>
                          <w:bottom w:val="nil" w:sz="6" w:space="0" w:color="auto"/>
                          <w:right w:val="nil" w:sz="6" w:space="0" w:color="auto"/>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pacing w:val="-3"/>
                            <w:sz w:val="18"/>
                          </w:rPr>
                          <w:t>150,000,000.00</w:t>
                        </w:r>
                        <w:r>
                          <w:rPr>
                            <w:rFonts w:ascii="Times New Roman"/>
                            <w:sz w:val="18"/>
                          </w:rPr>
                        </w:r>
                      </w:p>
                    </w:tc>
                    <w:tc>
                      <w:tcPr>
                        <w:tcW w:w="199" w:type="dxa"/>
                        <w:tcBorders>
                          <w:top w:val="nil" w:sz="6" w:space="0" w:color="auto"/>
                          <w:left w:val="nil" w:sz="6" w:space="0" w:color="auto"/>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nil" w:sz="6" w:space="0" w:color="auto"/>
                        </w:tcBorders>
                      </w:tcPr>
                      <w:p>
                        <w:pPr>
                          <w:pStyle w:val="TableParagraph"/>
                          <w:spacing w:line="240" w:lineRule="auto" w:before="111"/>
                          <w:ind w:left="6"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60" w:type="dxa"/>
                        <w:tcBorders>
                          <w:top w:val="single" w:sz="6" w:space="0" w:color="000000"/>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433" w:type="dxa"/>
                        <w:tcBorders>
                          <w:top w:val="single" w:sz="6" w:space="0" w:color="000000"/>
                          <w:left w:val="nil" w:sz="6" w:space="0" w:color="auto"/>
                          <w:bottom w:val="nil" w:sz="6" w:space="0" w:color="auto"/>
                          <w:right w:val="nil" w:sz="6" w:space="0" w:color="auto"/>
                        </w:tcBorders>
                      </w:tcPr>
                      <w:p>
                        <w:pPr>
                          <w:pStyle w:val="TableParagraph"/>
                          <w:spacing w:line="240" w:lineRule="auto" w:before="111"/>
                          <w:ind w:left="16"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60" w:type="dxa"/>
                        <w:tcBorders>
                          <w:top w:val="single" w:sz="6"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58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7" w:right="0"/>
                          <w:jc w:val="left"/>
                          <w:rPr>
                            <w:rFonts w:ascii="Times New Roman" w:hAnsi="Times New Roman" w:cs="Times New Roman" w:eastAsia="Times New Roman" w:hint="default"/>
                            <w:sz w:val="18"/>
                            <w:szCs w:val="18"/>
                          </w:rPr>
                        </w:pPr>
                        <w:r>
                          <w:rPr>
                            <w:rFonts w:ascii="Times New Roman"/>
                            <w:spacing w:val="-3"/>
                            <w:sz w:val="18"/>
                          </w:rPr>
                          <w:t>RMB</w:t>
                        </w:r>
                        <w:r>
                          <w:rPr>
                            <w:rFonts w:ascii="Times New Roman"/>
                            <w:sz w:val="18"/>
                          </w:rPr>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73" w:right="0"/>
                          <w:jc w:val="left"/>
                          <w:rPr>
                            <w:rFonts w:ascii="Times New Roman" w:hAnsi="Times New Roman" w:cs="Times New Roman" w:eastAsia="Times New Roman" w:hint="default"/>
                            <w:sz w:val="18"/>
                            <w:szCs w:val="18"/>
                          </w:rPr>
                        </w:pPr>
                        <w:r>
                          <w:rPr>
                            <w:rFonts w:ascii="Times New Roman"/>
                            <w:spacing w:val="-3"/>
                            <w:sz w:val="18"/>
                          </w:rPr>
                          <w:t>150,000,000.00</w:t>
                        </w:r>
                        <w:r>
                          <w:rPr>
                            <w:rFonts w:ascii="Times New Roman"/>
                            <w:sz w:val="18"/>
                          </w:rPr>
                        </w:r>
                      </w:p>
                    </w:tc>
                  </w:tr>
                </w:tbl>
                <w:p>
                  <w:pPr/>
                </w:p>
              </w:txbxContent>
            </v:textbox>
            <w10:wrap type="none"/>
          </v:shape>
        </w:pict>
      </w:r>
      <w:r>
        <w:rPr>
          <w:rFonts w:ascii="Times New Roman"/>
          <w:sz w:val="18"/>
        </w:rPr>
        <w:t>-</w:t>
        <w:tab/>
        <w:t>-</w:t>
      </w:r>
    </w:p>
    <w:p>
      <w:pPr>
        <w:pStyle w:val="BodyText"/>
        <w:spacing w:line="240" w:lineRule="auto" w:before="82"/>
        <w:ind w:left="647" w:right="214"/>
        <w:jc w:val="left"/>
      </w:pPr>
      <w:r>
        <w:rPr/>
        <w:t>(3) 存在控制关系的关联方所持股份及其变化</w:t>
      </w:r>
    </w:p>
    <w:p>
      <w:pPr>
        <w:spacing w:line="240" w:lineRule="auto" w:before="4"/>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2258"/>
        <w:gridCol w:w="1404"/>
        <w:gridCol w:w="2349"/>
        <w:gridCol w:w="1338"/>
        <w:gridCol w:w="899"/>
        <w:gridCol w:w="1390"/>
      </w:tblGrid>
      <w:tr>
        <w:trPr>
          <w:trHeight w:val="252" w:hRule="exact"/>
        </w:trPr>
        <w:tc>
          <w:tcPr>
            <w:tcW w:w="2258"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nil" w:sz="6" w:space="0" w:color="auto"/>
              <w:left w:val="nil" w:sz="6" w:space="0" w:color="auto"/>
              <w:bottom w:val="nil" w:sz="6" w:space="0" w:color="auto"/>
              <w:right w:val="nil" w:sz="6" w:space="0" w:color="auto"/>
            </w:tcBorders>
          </w:tcPr>
          <w:p>
            <w:pPr/>
          </w:p>
        </w:tc>
        <w:tc>
          <w:tcPr>
            <w:tcW w:w="2349" w:type="dxa"/>
            <w:tcBorders>
              <w:top w:val="nil" w:sz="6" w:space="0" w:color="auto"/>
              <w:left w:val="nil" w:sz="6" w:space="0" w:color="auto"/>
              <w:bottom w:val="single" w:sz="8" w:space="0" w:color="000000"/>
              <w:right w:val="nil" w:sz="6" w:space="0" w:color="auto"/>
            </w:tcBorders>
          </w:tcPr>
          <w:p>
            <w:pPr>
              <w:pStyle w:val="TableParagraph"/>
              <w:spacing w:line="194" w:lineRule="exact"/>
              <w:ind w:left="772" w:right="0"/>
              <w:jc w:val="left"/>
              <w:rPr>
                <w:rFonts w:ascii="Times New Roman" w:hAnsi="Times New Roman" w:cs="Times New Roman" w:eastAsia="Times New Roman" w:hint="default"/>
                <w:sz w:val="18"/>
                <w:szCs w:val="18"/>
              </w:rPr>
            </w:pPr>
            <w:r>
              <w:rPr>
                <w:rFonts w:ascii="Times New Roman"/>
                <w:sz w:val="18"/>
              </w:rPr>
              <w:t>2007.12.31</w:t>
            </w:r>
          </w:p>
        </w:tc>
        <w:tc>
          <w:tcPr>
            <w:tcW w:w="1338" w:type="dxa"/>
            <w:tcBorders>
              <w:top w:val="nil" w:sz="6" w:space="0" w:color="auto"/>
              <w:left w:val="nil" w:sz="6" w:space="0" w:color="auto"/>
              <w:bottom w:val="nil" w:sz="6" w:space="0" w:color="auto"/>
              <w:right w:val="nil" w:sz="6" w:space="0" w:color="auto"/>
            </w:tcBorders>
          </w:tcPr>
          <w:p>
            <w:pPr/>
          </w:p>
        </w:tc>
        <w:tc>
          <w:tcPr>
            <w:tcW w:w="2288" w:type="dxa"/>
            <w:gridSpan w:val="2"/>
            <w:tcBorders>
              <w:top w:val="nil" w:sz="6" w:space="0" w:color="auto"/>
              <w:left w:val="nil" w:sz="6" w:space="0" w:color="auto"/>
              <w:bottom w:val="single" w:sz="8" w:space="0" w:color="000000"/>
              <w:right w:val="nil" w:sz="6" w:space="0" w:color="auto"/>
            </w:tcBorders>
          </w:tcPr>
          <w:p>
            <w:pPr>
              <w:pStyle w:val="TableParagraph"/>
              <w:spacing w:line="194" w:lineRule="exact"/>
              <w:ind w:left="742" w:right="0"/>
              <w:jc w:val="left"/>
              <w:rPr>
                <w:rFonts w:ascii="Times New Roman" w:hAnsi="Times New Roman" w:cs="Times New Roman" w:eastAsia="Times New Roman" w:hint="default"/>
                <w:sz w:val="18"/>
                <w:szCs w:val="18"/>
              </w:rPr>
            </w:pPr>
            <w:r>
              <w:rPr>
                <w:rFonts w:ascii="Times New Roman"/>
                <w:sz w:val="18"/>
              </w:rPr>
              <w:t>2006.12.31</w:t>
            </w:r>
          </w:p>
        </w:tc>
      </w:tr>
      <w:tr>
        <w:trPr>
          <w:trHeight w:val="425" w:hRule="exact"/>
        </w:trPr>
        <w:tc>
          <w:tcPr>
            <w:tcW w:w="225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1404" w:type="dxa"/>
            <w:tcBorders>
              <w:top w:val="nil" w:sz="6" w:space="0" w:color="auto"/>
              <w:left w:val="nil" w:sz="6" w:space="0" w:color="auto"/>
              <w:bottom w:val="nil" w:sz="6" w:space="0" w:color="auto"/>
              <w:right w:val="nil" w:sz="6" w:space="0" w:color="auto"/>
            </w:tcBorders>
          </w:tcPr>
          <w:p>
            <w:pPr/>
          </w:p>
        </w:tc>
        <w:tc>
          <w:tcPr>
            <w:tcW w:w="2349" w:type="dxa"/>
            <w:tcBorders>
              <w:top w:val="single" w:sz="8" w:space="0" w:color="000000"/>
              <w:left w:val="nil" w:sz="6" w:space="0" w:color="auto"/>
              <w:bottom w:val="nil" w:sz="6" w:space="0" w:color="auto"/>
              <w:right w:val="nil" w:sz="6" w:space="0" w:color="auto"/>
            </w:tcBorders>
          </w:tcPr>
          <w:p>
            <w:pPr>
              <w:pStyle w:val="TableParagraph"/>
              <w:tabs>
                <w:tab w:pos="1030" w:val="left" w:leader="none"/>
              </w:tabs>
              <w:spacing w:line="240" w:lineRule="auto" w:before="93"/>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11,518,037.00</w:t>
            </w:r>
          </w:p>
        </w:tc>
        <w:tc>
          <w:tcPr>
            <w:tcW w:w="1338" w:type="dxa"/>
            <w:tcBorders>
              <w:top w:val="nil" w:sz="6" w:space="0" w:color="auto"/>
              <w:left w:val="nil" w:sz="6" w:space="0" w:color="auto"/>
              <w:bottom w:val="nil" w:sz="6" w:space="0" w:color="auto"/>
              <w:right w:val="nil" w:sz="6" w:space="0" w:color="auto"/>
            </w:tcBorders>
          </w:tcPr>
          <w:p>
            <w:pPr/>
          </w:p>
        </w:tc>
        <w:tc>
          <w:tcPr>
            <w:tcW w:w="899"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left="138" w:right="0"/>
              <w:jc w:val="left"/>
              <w:rPr>
                <w:rFonts w:ascii="Times New Roman" w:hAnsi="Times New Roman" w:cs="Times New Roman" w:eastAsia="Times New Roman" w:hint="default"/>
                <w:sz w:val="18"/>
                <w:szCs w:val="18"/>
              </w:rPr>
            </w:pPr>
            <w:r>
              <w:rPr>
                <w:rFonts w:ascii="Times New Roman"/>
                <w:sz w:val="18"/>
              </w:rPr>
              <w:t>RMB</w:t>
            </w:r>
          </w:p>
        </w:tc>
        <w:tc>
          <w:tcPr>
            <w:tcW w:w="1390" w:type="dxa"/>
            <w:tcBorders>
              <w:top w:val="single" w:sz="8" w:space="0" w:color="000000"/>
              <w:left w:val="nil" w:sz="6" w:space="0" w:color="auto"/>
              <w:bottom w:val="nil" w:sz="6" w:space="0" w:color="auto"/>
              <w:right w:val="nil" w:sz="6" w:space="0" w:color="auto"/>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11,518,037.00</w:t>
            </w:r>
          </w:p>
        </w:tc>
      </w:tr>
      <w:tr>
        <w:trPr>
          <w:trHeight w:val="298"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left"/>
              <w:rPr>
                <w:rFonts w:ascii="宋体" w:hAnsi="宋体" w:cs="宋体" w:eastAsia="宋体" w:hint="default"/>
                <w:sz w:val="18"/>
                <w:szCs w:val="18"/>
              </w:rPr>
            </w:pPr>
            <w:r>
              <w:rPr>
                <w:rFonts w:ascii="宋体" w:hAnsi="宋体" w:cs="宋体" w:eastAsia="宋体" w:hint="default"/>
                <w:sz w:val="18"/>
                <w:szCs w:val="18"/>
              </w:rPr>
              <w:t>左  强</w:t>
            </w:r>
          </w:p>
        </w:tc>
        <w:tc>
          <w:tcPr>
            <w:tcW w:w="1404" w:type="dxa"/>
            <w:tcBorders>
              <w:top w:val="nil" w:sz="6" w:space="0" w:color="auto"/>
              <w:left w:val="nil" w:sz="6" w:space="0" w:color="auto"/>
              <w:bottom w:val="nil" w:sz="6" w:space="0" w:color="auto"/>
              <w:right w:val="nil" w:sz="6" w:space="0" w:color="auto"/>
            </w:tcBorders>
          </w:tcPr>
          <w:p>
            <w:pPr/>
          </w:p>
        </w:tc>
        <w:tc>
          <w:tcPr>
            <w:tcW w:w="2349" w:type="dxa"/>
            <w:tcBorders>
              <w:top w:val="nil" w:sz="6" w:space="0" w:color="auto"/>
              <w:left w:val="nil" w:sz="6" w:space="0" w:color="auto"/>
              <w:bottom w:val="nil" w:sz="6" w:space="0" w:color="auto"/>
              <w:right w:val="nil" w:sz="6" w:space="0" w:color="auto"/>
            </w:tcBorders>
          </w:tcPr>
          <w:p>
            <w:pPr>
              <w:pStyle w:val="TableParagraph"/>
              <w:tabs>
                <w:tab w:pos="1120" w:val="left" w:leader="none"/>
              </w:tabs>
              <w:spacing w:line="240" w:lineRule="auto" w:before="59"/>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9,728,435.00</w:t>
            </w:r>
          </w:p>
        </w:tc>
        <w:tc>
          <w:tcPr>
            <w:tcW w:w="1338"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8" w:right="0"/>
              <w:jc w:val="left"/>
              <w:rPr>
                <w:rFonts w:ascii="Times New Roman" w:hAnsi="Times New Roman" w:cs="Times New Roman" w:eastAsia="Times New Roman" w:hint="default"/>
                <w:sz w:val="18"/>
                <w:szCs w:val="18"/>
              </w:rPr>
            </w:pPr>
            <w:r>
              <w:rPr>
                <w:rFonts w:ascii="Times New Roman"/>
                <w:sz w:val="18"/>
              </w:rPr>
              <w:t>RMB</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9,728,435.00</w:t>
            </w:r>
          </w:p>
        </w:tc>
      </w:tr>
    </w:tbl>
    <w:p>
      <w:pPr>
        <w:spacing w:line="398" w:lineRule="auto" w:before="68"/>
        <w:ind w:left="647" w:right="3619" w:firstLine="1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14"/>
          <w:sz w:val="24"/>
          <w:szCs w:val="24"/>
        </w:rPr>
        <w:t> </w:t>
      </w:r>
      <w:r>
        <w:rPr>
          <w:rFonts w:ascii="宋体" w:hAnsi="宋体" w:cs="宋体" w:eastAsia="宋体" w:hint="default"/>
          <w:b/>
          <w:bCs/>
          <w:spacing w:val="8"/>
          <w:sz w:val="24"/>
          <w:szCs w:val="24"/>
        </w:rPr>
        <w:t>关联方交易</w:t>
      </w:r>
      <w:r>
        <w:rPr>
          <w:rFonts w:ascii="宋体" w:hAnsi="宋体" w:cs="宋体" w:eastAsia="宋体" w:hint="default"/>
          <w:b/>
          <w:bCs/>
          <w:spacing w:val="8"/>
          <w:w w:val="99"/>
          <w:sz w:val="24"/>
          <w:szCs w:val="24"/>
        </w:rPr>
        <w:t> </w:t>
      </w:r>
      <w:r>
        <w:rPr>
          <w:rFonts w:ascii="宋体" w:hAnsi="宋体" w:cs="宋体" w:eastAsia="宋体" w:hint="default"/>
          <w:sz w:val="24"/>
          <w:szCs w:val="24"/>
        </w:rPr>
        <w:t>本公司及其子公司二零零七年度未发生关联方交易。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黑体" w:hAnsi="黑体" w:cs="黑体" w:eastAsia="黑体" w:hint="default"/>
          <w:b/>
          <w:bCs/>
          <w:spacing w:val="4"/>
          <w:sz w:val="24"/>
          <w:szCs w:val="24"/>
        </w:rPr>
        <w:t>十、</w:t>
      </w:r>
      <w:r>
        <w:rPr>
          <w:rFonts w:ascii="黑体" w:hAnsi="黑体" w:cs="黑体" w:eastAsia="黑体" w:hint="default"/>
          <w:b/>
          <w:bCs/>
          <w:spacing w:val="15"/>
          <w:sz w:val="24"/>
          <w:szCs w:val="24"/>
        </w:rPr>
        <w:t> </w:t>
      </w:r>
      <w:r>
        <w:rPr>
          <w:rFonts w:ascii="黑体" w:hAnsi="黑体" w:cs="黑体" w:eastAsia="黑体" w:hint="default"/>
          <w:b/>
          <w:bCs/>
          <w:spacing w:val="8"/>
          <w:sz w:val="24"/>
          <w:szCs w:val="24"/>
        </w:rPr>
        <w:t>其他重大事项</w:t>
      </w:r>
      <w:r>
        <w:rPr>
          <w:rFonts w:ascii="黑体" w:hAnsi="黑体" w:cs="黑体" w:eastAsia="黑体" w:hint="default"/>
          <w:b/>
          <w:bCs/>
          <w:spacing w:val="8"/>
          <w:w w:val="99"/>
          <w:sz w:val="24"/>
          <w:szCs w:val="24"/>
        </w:rPr>
        <w:t> </w:t>
      </w:r>
      <w:r>
        <w:rPr>
          <w:rFonts w:ascii="宋体" w:hAnsi="宋体" w:cs="宋体" w:eastAsia="宋体" w:hint="default"/>
          <w:sz w:val="24"/>
          <w:szCs w:val="24"/>
        </w:rPr>
        <w:t>本公司及其子公司无需要披露的其他重大事项。 </w:t>
      </w:r>
      <w:r>
        <w:rPr>
          <w:rFonts w:ascii="黑体" w:hAnsi="黑体" w:cs="黑体" w:eastAsia="黑体" w:hint="default"/>
          <w:b/>
          <w:bCs/>
          <w:spacing w:val="5"/>
          <w:sz w:val="24"/>
          <w:szCs w:val="24"/>
        </w:rPr>
        <w:t>十一、</w:t>
      </w:r>
      <w:r>
        <w:rPr>
          <w:rFonts w:ascii="黑体" w:hAnsi="黑体" w:cs="黑体" w:eastAsia="黑体" w:hint="default"/>
          <w:b/>
          <w:bCs/>
          <w:spacing w:val="15"/>
          <w:sz w:val="24"/>
          <w:szCs w:val="24"/>
        </w:rPr>
        <w:t> </w:t>
      </w:r>
      <w:r>
        <w:rPr>
          <w:rFonts w:ascii="黑体" w:hAnsi="黑体" w:cs="黑体" w:eastAsia="黑体" w:hint="default"/>
          <w:b/>
          <w:bCs/>
          <w:spacing w:val="8"/>
          <w:sz w:val="24"/>
          <w:szCs w:val="24"/>
        </w:rPr>
        <w:t>或有事项</w:t>
      </w:r>
      <w:r>
        <w:rPr>
          <w:rFonts w:ascii="黑体" w:hAnsi="黑体" w:cs="黑体" w:eastAsia="黑体" w:hint="default"/>
          <w:b/>
          <w:bCs/>
          <w:spacing w:val="8"/>
          <w:w w:val="99"/>
          <w:sz w:val="24"/>
          <w:szCs w:val="24"/>
        </w:rPr>
        <w:t> </w:t>
      </w:r>
      <w:r>
        <w:rPr>
          <w:rFonts w:ascii="宋体" w:hAnsi="宋体" w:cs="宋体" w:eastAsia="宋体" w:hint="default"/>
          <w:sz w:val="24"/>
          <w:szCs w:val="24"/>
        </w:rPr>
        <w:t>本公司及其子公司无需要披露的或有事项。</w:t>
      </w:r>
    </w:p>
    <w:p>
      <w:pPr>
        <w:spacing w:line="403" w:lineRule="auto" w:before="54"/>
        <w:ind w:left="647" w:right="4797" w:firstLine="4"/>
        <w:jc w:val="left"/>
        <w:rPr>
          <w:rFonts w:ascii="黑体" w:hAnsi="黑体" w:cs="黑体" w:eastAsia="黑体" w:hint="default"/>
          <w:sz w:val="24"/>
          <w:szCs w:val="24"/>
        </w:rPr>
      </w:pPr>
      <w:r>
        <w:rPr>
          <w:rFonts w:ascii="黑体" w:hAnsi="黑体" w:cs="黑体" w:eastAsia="黑体" w:hint="default"/>
          <w:b/>
          <w:bCs/>
          <w:spacing w:val="5"/>
          <w:sz w:val="24"/>
          <w:szCs w:val="24"/>
        </w:rPr>
        <w:t>十二、</w:t>
      </w:r>
      <w:r>
        <w:rPr>
          <w:rFonts w:ascii="黑体" w:hAnsi="黑体" w:cs="黑体" w:eastAsia="黑体" w:hint="default"/>
          <w:b/>
          <w:bCs/>
          <w:spacing w:val="15"/>
          <w:sz w:val="24"/>
          <w:szCs w:val="24"/>
        </w:rPr>
        <w:t> </w:t>
      </w:r>
      <w:r>
        <w:rPr>
          <w:rFonts w:ascii="黑体" w:hAnsi="黑体" w:cs="黑体" w:eastAsia="黑体" w:hint="default"/>
          <w:b/>
          <w:bCs/>
          <w:spacing w:val="8"/>
          <w:sz w:val="24"/>
          <w:szCs w:val="24"/>
        </w:rPr>
        <w:t>承诺事项</w:t>
      </w:r>
      <w:r>
        <w:rPr>
          <w:rFonts w:ascii="黑体" w:hAnsi="黑体" w:cs="黑体" w:eastAsia="黑体" w:hint="default"/>
          <w:b/>
          <w:bCs/>
          <w:spacing w:val="8"/>
          <w:w w:val="99"/>
          <w:sz w:val="24"/>
          <w:szCs w:val="24"/>
        </w:rPr>
        <w:t> </w:t>
      </w:r>
      <w:r>
        <w:rPr>
          <w:rFonts w:ascii="宋体" w:hAnsi="宋体" w:cs="宋体" w:eastAsia="宋体" w:hint="default"/>
          <w:sz w:val="24"/>
          <w:szCs w:val="24"/>
        </w:rPr>
        <w:t>本公司及其子公司无需要披露的承诺事项。 </w:t>
      </w:r>
      <w:r>
        <w:rPr>
          <w:rFonts w:ascii="黑体" w:hAnsi="黑体" w:cs="黑体" w:eastAsia="黑体" w:hint="default"/>
          <w:b/>
          <w:bCs/>
          <w:spacing w:val="5"/>
          <w:sz w:val="24"/>
          <w:szCs w:val="24"/>
        </w:rPr>
        <w:t>十三、 </w:t>
      </w:r>
      <w:r>
        <w:rPr>
          <w:rFonts w:ascii="黑体" w:hAnsi="黑体" w:cs="黑体" w:eastAsia="黑体" w:hint="default"/>
          <w:b/>
          <w:bCs/>
          <w:spacing w:val="8"/>
          <w:sz w:val="24"/>
          <w:szCs w:val="24"/>
        </w:rPr>
        <w:t>资产负债表日后事项</w:t>
      </w:r>
      <w:r>
        <w:rPr>
          <w:rFonts w:ascii="黑体" w:hAnsi="黑体" w:cs="黑体" w:eastAsia="黑体" w:hint="default"/>
          <w:sz w:val="24"/>
          <w:szCs w:val="24"/>
        </w:rPr>
      </w:r>
    </w:p>
    <w:p>
      <w:pPr>
        <w:pStyle w:val="BodyText"/>
        <w:spacing w:line="343" w:lineRule="auto" w:before="89"/>
        <w:ind w:left="154" w:right="133" w:firstLine="480"/>
        <w:jc w:val="left"/>
      </w:pPr>
      <w:r>
        <w:rPr>
          <w:rFonts w:ascii="Times New Roman" w:hAnsi="Times New Roman" w:cs="Times New Roman" w:eastAsia="Times New Roman" w:hint="default"/>
        </w:rPr>
        <w:t>(1)</w:t>
      </w:r>
      <w:r>
        <w:rPr/>
        <w:t>二零零八年二月二十六日国家发展和改革委员会、信息产业部、商务部、国家税务总</w:t>
      </w:r>
      <w:r>
        <w:rPr>
          <w:spacing w:val="-1"/>
          <w:w w:val="99"/>
        </w:rPr>
        <w:t> </w:t>
      </w:r>
      <w:r>
        <w:rPr/>
        <w:t>局以发改高技</w:t>
      </w:r>
      <w:r>
        <w:rPr>
          <w:rFonts w:ascii="Times New Roman" w:hAnsi="Times New Roman" w:cs="Times New Roman" w:eastAsia="Times New Roman" w:hint="default"/>
        </w:rPr>
        <w:t>[2008]513 </w:t>
      </w:r>
      <w:r>
        <w:rPr>
          <w:spacing w:val="-3"/>
        </w:rPr>
        <w:t>号联合下发了“关于发布二零零七年度国家规划布局内重点软件企业</w:t>
      </w:r>
      <w:r>
        <w:rPr>
          <w:spacing w:val="-103"/>
        </w:rPr>
        <w:t> </w:t>
      </w:r>
      <w:r>
        <w:rPr>
          <w:spacing w:val="-103"/>
        </w:rPr>
      </w:r>
      <w:r>
        <w:rPr>
          <w:spacing w:val="-3"/>
          <w:w w:val="99"/>
        </w:rPr>
        <w:t>名单的通知”，通知规定国家规划布局内的重点软件企业二零零七年当年未享受免税优惠的，</w:t>
      </w:r>
      <w:r>
        <w:rPr>
          <w:spacing w:val="-117"/>
          <w:w w:val="99"/>
        </w:rPr>
        <w:t> </w:t>
      </w:r>
      <w:r>
        <w:rPr>
          <w:spacing w:val="-117"/>
          <w:w w:val="99"/>
        </w:rPr>
      </w:r>
      <w:r>
        <w:rPr/>
        <w:t>减按</w:t>
      </w:r>
      <w:r>
        <w:rPr>
          <w:spacing w:val="-43"/>
        </w:rPr>
        <w:t> </w:t>
      </w:r>
      <w:r>
        <w:rPr>
          <w:rFonts w:ascii="Times New Roman" w:hAnsi="Times New Roman" w:cs="Times New Roman" w:eastAsia="Times New Roman" w:hint="default"/>
        </w:rPr>
        <w:t>10%</w:t>
      </w:r>
      <w:r>
        <w:rPr/>
        <w:t>的税率征收企业所得税。本公司被认定为二零零七年度国家规划布局内重点软件企</w:t>
      </w:r>
      <w:r>
        <w:rPr>
          <w:w w:val="99"/>
        </w:rPr>
        <w:t> </w:t>
      </w:r>
      <w:r>
        <w:rPr/>
        <w:t>业。</w:t>
      </w:r>
    </w:p>
    <w:p>
      <w:pPr>
        <w:pStyle w:val="BodyText"/>
        <w:spacing w:line="240" w:lineRule="auto" w:before="149"/>
        <w:ind w:left="634" w:right="94"/>
        <w:jc w:val="left"/>
      </w:pPr>
      <w:r>
        <w:rPr>
          <w:rFonts w:ascii="Times New Roman" w:hAnsi="Times New Roman" w:cs="Times New Roman" w:eastAsia="Times New Roman" w:hint="default"/>
        </w:rPr>
        <w:t>(2)</w:t>
      </w:r>
      <w:r>
        <w:rPr/>
        <w:t>本公司经董事会同意，按已审计利润每</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股派送红股</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股，并派送现金</w:t>
      </w:r>
      <w:r>
        <w:rPr>
          <w:spacing w:val="-66"/>
        </w:rPr>
        <w:t> </w:t>
      </w:r>
      <w:r>
        <w:rPr>
          <w:rFonts w:ascii="Times New Roman" w:hAnsi="Times New Roman" w:cs="Times New Roman" w:eastAsia="Times New Roman" w:hint="default"/>
        </w:rPr>
        <w:t>0.50</w:t>
      </w:r>
      <w:r>
        <w:rPr/>
        <w:t>（含税）</w:t>
      </w:r>
    </w:p>
    <w:p>
      <w:pPr>
        <w:pStyle w:val="BodyText"/>
        <w:spacing w:line="240" w:lineRule="auto" w:before="134"/>
        <w:ind w:left="154" w:right="0"/>
        <w:jc w:val="left"/>
      </w:pPr>
      <w:r>
        <w:rPr/>
        <w:t>人民币元</w:t>
      </w:r>
      <w:r>
        <w:rPr>
          <w:spacing w:val="-101"/>
        </w:rPr>
        <w:t>；</w:t>
      </w:r>
      <w:r>
        <w:rPr/>
        <w:t>同时将资本公积以每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6 </w:t>
      </w:r>
      <w:r>
        <w:rPr/>
        <w:t>股的方式增加股本</w:t>
      </w:r>
      <w:r>
        <w:rPr>
          <w:spacing w:val="-101"/>
        </w:rPr>
        <w:t>。</w:t>
      </w:r>
      <w:r>
        <w:rPr/>
        <w:t>该等事项尚经股东大会批准。</w:t>
      </w:r>
    </w:p>
    <w:p>
      <w:pPr>
        <w:spacing w:after="0" w:line="240" w:lineRule="auto"/>
        <w:jc w:val="left"/>
        <w:sectPr>
          <w:pgSz w:w="11910" w:h="16840"/>
          <w:pgMar w:header="877" w:footer="1022" w:top="1060" w:bottom="1220" w:left="980" w:right="900"/>
        </w:sectPr>
      </w:pPr>
    </w:p>
    <w:p>
      <w:pPr>
        <w:spacing w:line="240" w:lineRule="auto" w:before="7"/>
        <w:rPr>
          <w:rFonts w:ascii="宋体" w:hAnsi="宋体" w:cs="宋体" w:eastAsia="宋体" w:hint="default"/>
          <w:sz w:val="23"/>
          <w:szCs w:val="23"/>
        </w:rPr>
      </w:pPr>
    </w:p>
    <w:p>
      <w:pPr>
        <w:spacing w:line="357" w:lineRule="auto" w:before="26"/>
        <w:ind w:left="633" w:right="1071" w:firstLine="18"/>
        <w:jc w:val="left"/>
        <w:rPr>
          <w:rFonts w:ascii="黑体" w:hAnsi="黑体" w:cs="黑体" w:eastAsia="黑体" w:hint="default"/>
          <w:sz w:val="24"/>
          <w:szCs w:val="24"/>
        </w:rPr>
      </w:pPr>
      <w:r>
        <w:rPr>
          <w:rFonts w:ascii="黑体" w:hAnsi="黑体" w:cs="黑体" w:eastAsia="黑体" w:hint="default"/>
          <w:b/>
          <w:bCs/>
          <w:spacing w:val="5"/>
          <w:sz w:val="24"/>
          <w:szCs w:val="24"/>
        </w:rPr>
        <w:t>十四、</w:t>
      </w:r>
      <w:r>
        <w:rPr>
          <w:rFonts w:ascii="黑体" w:hAnsi="黑体" w:cs="黑体" w:eastAsia="黑体" w:hint="default"/>
          <w:b/>
          <w:bCs/>
          <w:spacing w:val="15"/>
          <w:sz w:val="24"/>
          <w:szCs w:val="24"/>
        </w:rPr>
        <w:t> </w:t>
      </w:r>
      <w:r>
        <w:rPr>
          <w:rFonts w:ascii="黑体" w:hAnsi="黑体" w:cs="黑体" w:eastAsia="黑体" w:hint="default"/>
          <w:b/>
          <w:bCs/>
          <w:spacing w:val="8"/>
          <w:sz w:val="24"/>
          <w:szCs w:val="24"/>
        </w:rPr>
        <w:t>对比数据</w:t>
      </w:r>
      <w:r>
        <w:rPr>
          <w:rFonts w:ascii="黑体" w:hAnsi="黑体" w:cs="黑体" w:eastAsia="黑体" w:hint="default"/>
          <w:b/>
          <w:bCs/>
          <w:spacing w:val="8"/>
          <w:w w:val="99"/>
          <w:sz w:val="24"/>
          <w:szCs w:val="24"/>
        </w:rPr>
        <w:t> </w:t>
      </w:r>
      <w:r>
        <w:rPr>
          <w:rFonts w:ascii="宋体" w:hAnsi="宋体" w:cs="宋体" w:eastAsia="宋体" w:hint="default"/>
          <w:sz w:val="24"/>
          <w:szCs w:val="24"/>
        </w:rPr>
        <w:t>为符合一贯性原则</w:t>
      </w:r>
      <w:r>
        <w:rPr>
          <w:rFonts w:ascii="Times New Roman" w:hAnsi="Times New Roman" w:cs="Times New Roman" w:eastAsia="Times New Roman" w:hint="default"/>
          <w:sz w:val="24"/>
          <w:szCs w:val="24"/>
        </w:rPr>
        <w:t>,</w:t>
      </w:r>
      <w:r>
        <w:rPr>
          <w:rFonts w:ascii="宋体" w:hAnsi="宋体" w:cs="宋体" w:eastAsia="宋体" w:hint="default"/>
          <w:sz w:val="24"/>
          <w:szCs w:val="24"/>
        </w:rPr>
        <w:t>对财务报表的某些上年度之比较数据已作适当重分类调整。 </w:t>
      </w:r>
      <w:r>
        <w:rPr>
          <w:rFonts w:ascii="黑体" w:hAnsi="黑体" w:cs="黑体" w:eastAsia="黑体" w:hint="default"/>
          <w:b/>
          <w:bCs/>
          <w:spacing w:val="5"/>
          <w:sz w:val="24"/>
          <w:szCs w:val="24"/>
        </w:rPr>
        <w:t>十五、</w:t>
      </w:r>
      <w:r>
        <w:rPr>
          <w:rFonts w:ascii="黑体" w:hAnsi="黑体" w:cs="黑体" w:eastAsia="黑体" w:hint="default"/>
          <w:b/>
          <w:bCs/>
          <w:spacing w:val="10"/>
          <w:sz w:val="24"/>
          <w:szCs w:val="24"/>
        </w:rPr>
        <w:t> </w:t>
      </w:r>
      <w:r>
        <w:rPr>
          <w:rFonts w:ascii="黑体" w:hAnsi="黑体" w:cs="黑体" w:eastAsia="黑体" w:hint="default"/>
          <w:b/>
          <w:bCs/>
          <w:spacing w:val="8"/>
          <w:sz w:val="24"/>
          <w:szCs w:val="24"/>
        </w:rPr>
        <w:t>补充资料</w:t>
      </w:r>
      <w:r>
        <w:rPr>
          <w:rFonts w:ascii="黑体" w:hAnsi="黑体" w:cs="黑体" w:eastAsia="黑体" w:hint="default"/>
          <w:sz w:val="24"/>
          <w:szCs w:val="24"/>
        </w:rPr>
      </w:r>
    </w:p>
    <w:p>
      <w:pPr>
        <w:pStyle w:val="Heading4"/>
        <w:tabs>
          <w:tab w:pos="1383" w:val="left" w:leader="none"/>
        </w:tabs>
        <w:spacing w:line="321" w:lineRule="exact" w:before="0"/>
        <w:ind w:left="663" w:right="0"/>
        <w:jc w:val="left"/>
        <w:rPr>
          <w:b w:val="0"/>
          <w:bCs w:val="0"/>
        </w:rPr>
      </w:pPr>
      <w:r>
        <w:rPr>
          <w:rFonts w:ascii="Times New Roman" w:hAnsi="Times New Roman" w:cs="Times New Roman" w:eastAsia="Times New Roman" w:hint="default"/>
        </w:rPr>
        <w:t>1</w:t>
      </w:r>
      <w:r>
        <w:rPr/>
        <w:t>．</w:t>
        <w:tab/>
      </w:r>
      <w:r>
        <w:rPr>
          <w:spacing w:val="8"/>
        </w:rPr>
        <w:t>全面摊薄和加权平均计算的净资产收益率和每股收益：</w:t>
      </w:r>
      <w:r>
        <w:rPr>
          <w:b w:val="0"/>
          <w:bCs w:val="0"/>
        </w:rPr>
      </w:r>
    </w:p>
    <w:p>
      <w:pPr>
        <w:spacing w:line="240" w:lineRule="auto" w:before="13"/>
        <w:rPr>
          <w:rFonts w:ascii="宋体" w:hAnsi="宋体" w:cs="宋体" w:eastAsia="宋体" w:hint="default"/>
          <w:b/>
          <w:bCs/>
          <w:sz w:val="10"/>
          <w:szCs w:val="10"/>
        </w:rPr>
      </w:pPr>
    </w:p>
    <w:tbl>
      <w:tblPr>
        <w:tblW w:w="0" w:type="auto"/>
        <w:jc w:val="left"/>
        <w:tblInd w:w="139" w:type="dxa"/>
        <w:tblLayout w:type="fixed"/>
        <w:tblCellMar>
          <w:top w:w="0" w:type="dxa"/>
          <w:left w:w="0" w:type="dxa"/>
          <w:bottom w:w="0" w:type="dxa"/>
          <w:right w:w="0" w:type="dxa"/>
        </w:tblCellMar>
        <w:tblLook w:val="01E0"/>
      </w:tblPr>
      <w:tblGrid>
        <w:gridCol w:w="1351"/>
        <w:gridCol w:w="1421"/>
        <w:gridCol w:w="1129"/>
        <w:gridCol w:w="722"/>
        <w:gridCol w:w="1382"/>
        <w:gridCol w:w="1036"/>
        <w:gridCol w:w="934"/>
        <w:gridCol w:w="120"/>
        <w:gridCol w:w="1557"/>
      </w:tblGrid>
      <w:tr>
        <w:trPr>
          <w:trHeight w:val="251" w:hRule="exact"/>
        </w:trPr>
        <w:tc>
          <w:tcPr>
            <w:tcW w:w="1351" w:type="dxa"/>
            <w:vMerge w:val="restart"/>
            <w:tcBorders>
              <w:top w:val="nil" w:sz="6" w:space="0" w:color="auto"/>
              <w:left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6745" w:type="dxa"/>
            <w:gridSpan w:val="7"/>
            <w:tcBorders>
              <w:top w:val="nil" w:sz="6" w:space="0" w:color="auto"/>
              <w:left w:val="nil" w:sz="6" w:space="0" w:color="auto"/>
              <w:bottom w:val="single" w:sz="4" w:space="0" w:color="000000"/>
              <w:right w:val="nil" w:sz="6" w:space="0" w:color="auto"/>
            </w:tcBorders>
          </w:tcPr>
          <w:p>
            <w:pPr>
              <w:pStyle w:val="TableParagraph"/>
              <w:tabs>
                <w:tab w:pos="6128" w:val="left" w:leader="none"/>
              </w:tabs>
              <w:spacing w:line="180" w:lineRule="exact"/>
              <w:ind w:left="1707" w:right="0"/>
              <w:jc w:val="left"/>
              <w:rPr>
                <w:rFonts w:ascii="宋体" w:hAnsi="宋体" w:cs="宋体" w:eastAsia="宋体" w:hint="default"/>
                <w:sz w:val="18"/>
                <w:szCs w:val="18"/>
              </w:rPr>
            </w:pPr>
            <w:r>
              <w:rPr>
                <w:rFonts w:ascii="宋体" w:hAnsi="宋体" w:cs="宋体" w:eastAsia="宋体" w:hint="default"/>
                <w:sz w:val="18"/>
                <w:szCs w:val="18"/>
              </w:rPr>
              <w:t>净资产收益率％</w:t>
              <w:tab/>
              <w:t>每股收</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180" w:lineRule="exact"/>
              <w:ind w:left="-77"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323" w:hRule="exact"/>
        </w:trPr>
        <w:tc>
          <w:tcPr>
            <w:tcW w:w="1351" w:type="dxa"/>
            <w:vMerge/>
            <w:tcBorders>
              <w:left w:val="nil" w:sz="6" w:space="0" w:color="auto"/>
              <w:right w:val="nil" w:sz="6" w:space="0" w:color="auto"/>
            </w:tcBorders>
          </w:tcPr>
          <w:p>
            <w:pPr/>
          </w:p>
        </w:tc>
        <w:tc>
          <w:tcPr>
            <w:tcW w:w="3272" w:type="dxa"/>
            <w:gridSpan w:val="3"/>
            <w:tcBorders>
              <w:top w:val="single" w:sz="4" w:space="0" w:color="000000"/>
              <w:left w:val="nil" w:sz="6" w:space="0" w:color="auto"/>
              <w:bottom w:val="single" w:sz="4" w:space="0" w:color="000000"/>
              <w:right w:val="nil" w:sz="6" w:space="0" w:color="auto"/>
            </w:tcBorders>
          </w:tcPr>
          <w:p>
            <w:pPr>
              <w:pStyle w:val="TableParagraph"/>
              <w:tabs>
                <w:tab w:pos="3126" w:val="left" w:leader="none"/>
              </w:tabs>
              <w:spacing w:line="240" w:lineRule="auto" w:before="10"/>
              <w:ind w:left="916" w:right="-35"/>
              <w:jc w:val="left"/>
              <w:rPr>
                <w:rFonts w:ascii="宋体" w:hAnsi="宋体" w:cs="宋体" w:eastAsia="宋体" w:hint="default"/>
                <w:sz w:val="18"/>
                <w:szCs w:val="18"/>
              </w:rPr>
            </w:pPr>
            <w:r>
              <w:rPr>
                <w:rFonts w:ascii="宋体" w:hAnsi="宋体" w:cs="宋体" w:eastAsia="宋体" w:hint="default"/>
                <w:sz w:val="18"/>
                <w:szCs w:val="18"/>
              </w:rPr>
              <w:t>全面摊薄</w:t>
              <w:tab/>
              <w:t>加</w:t>
            </w: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权平均</w:t>
            </w:r>
          </w:p>
        </w:tc>
        <w:tc>
          <w:tcPr>
            <w:tcW w:w="2090"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0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2" w:hRule="exact"/>
        </w:trPr>
        <w:tc>
          <w:tcPr>
            <w:tcW w:w="1351" w:type="dxa"/>
            <w:vMerge/>
            <w:tcBorders>
              <w:left w:val="nil" w:sz="6" w:space="0" w:color="auto"/>
              <w:bottom w:val="single" w:sz="4" w:space="0" w:color="000000"/>
              <w:right w:val="nil" w:sz="6" w:space="0" w:color="auto"/>
            </w:tcBorders>
          </w:tcPr>
          <w:p>
            <w:pP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33" w:right="0"/>
              <w:jc w:val="left"/>
              <w:rPr>
                <w:rFonts w:ascii="Times New Roman" w:hAnsi="Times New Roman" w:cs="Times New Roman" w:eastAsia="Times New Roman" w:hint="default"/>
                <w:sz w:val="18"/>
                <w:szCs w:val="18"/>
              </w:rPr>
            </w:pPr>
            <w:r>
              <w:rPr>
                <w:rFonts w:ascii="Times New Roman"/>
                <w:sz w:val="18"/>
              </w:rPr>
              <w:t>2007</w:t>
            </w:r>
          </w:p>
        </w:tc>
        <w:tc>
          <w:tcPr>
            <w:tcW w:w="1129"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58" w:right="0"/>
              <w:jc w:val="left"/>
              <w:rPr>
                <w:rFonts w:ascii="Times New Roman" w:hAnsi="Times New Roman" w:cs="Times New Roman" w:eastAsia="Times New Roman" w:hint="default"/>
                <w:sz w:val="18"/>
                <w:szCs w:val="18"/>
              </w:rPr>
            </w:pPr>
            <w:r>
              <w:rPr>
                <w:rFonts w:ascii="Times New Roman"/>
                <w:sz w:val="18"/>
              </w:rPr>
              <w:t>2006</w:t>
            </w:r>
          </w:p>
        </w:tc>
        <w:tc>
          <w:tcPr>
            <w:tcW w:w="72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2007</w:t>
            </w: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94" w:right="0"/>
              <w:jc w:val="left"/>
              <w:rPr>
                <w:rFonts w:ascii="Times New Roman" w:hAnsi="Times New Roman" w:cs="Times New Roman" w:eastAsia="Times New Roman" w:hint="default"/>
                <w:sz w:val="18"/>
                <w:szCs w:val="18"/>
              </w:rPr>
            </w:pPr>
            <w:r>
              <w:rPr>
                <w:rFonts w:ascii="Times New Roman"/>
                <w:sz w:val="18"/>
              </w:rPr>
              <w:t>2006</w:t>
            </w:r>
          </w:p>
        </w:tc>
        <w:tc>
          <w:tcPr>
            <w:tcW w:w="103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43" w:right="0"/>
              <w:jc w:val="left"/>
              <w:rPr>
                <w:rFonts w:ascii="Times New Roman" w:hAnsi="Times New Roman" w:cs="Times New Roman" w:eastAsia="Times New Roman" w:hint="default"/>
                <w:sz w:val="18"/>
                <w:szCs w:val="18"/>
              </w:rPr>
            </w:pPr>
            <w:r>
              <w:rPr>
                <w:rFonts w:ascii="Times New Roman"/>
                <w:sz w:val="18"/>
              </w:rPr>
              <w:t>2007</w:t>
            </w:r>
          </w:p>
        </w:tc>
        <w:tc>
          <w:tcPr>
            <w:tcW w:w="93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12" w:right="0"/>
              <w:jc w:val="left"/>
              <w:rPr>
                <w:rFonts w:ascii="Times New Roman" w:hAnsi="Times New Roman" w:cs="Times New Roman" w:eastAsia="Times New Roman" w:hint="default"/>
                <w:sz w:val="18"/>
                <w:szCs w:val="18"/>
              </w:rPr>
            </w:pPr>
            <w:r>
              <w:rPr>
                <w:rFonts w:ascii="Times New Roman"/>
                <w:sz w:val="18"/>
              </w:rPr>
              <w:t>2006</w:t>
            </w:r>
          </w:p>
        </w:tc>
        <w:tc>
          <w:tcPr>
            <w:tcW w:w="120" w:type="dxa"/>
            <w:tcBorders>
              <w:top w:val="single" w:sz="4" w:space="0" w:color="000000"/>
              <w:left w:val="nil" w:sz="6" w:space="0" w:color="auto"/>
              <w:bottom w:val="single" w:sz="4" w:space="0" w:color="000000"/>
              <w:right w:val="nil" w:sz="6" w:space="0" w:color="auto"/>
            </w:tcBorders>
          </w:tcPr>
          <w:p>
            <w:pPr/>
          </w:p>
        </w:tc>
        <w:tc>
          <w:tcPr>
            <w:tcW w:w="1557" w:type="dxa"/>
            <w:tcBorders>
              <w:top w:val="single" w:sz="4" w:space="0" w:color="000000"/>
              <w:left w:val="nil" w:sz="6" w:space="0" w:color="auto"/>
              <w:bottom w:val="single" w:sz="4" w:space="0" w:color="000000"/>
              <w:right w:val="nil" w:sz="6" w:space="0" w:color="auto"/>
            </w:tcBorders>
          </w:tcPr>
          <w:p>
            <w:pPr>
              <w:pStyle w:val="TableParagraph"/>
              <w:tabs>
                <w:tab w:pos="1038" w:val="left" w:leader="none"/>
              </w:tabs>
              <w:spacing w:line="240" w:lineRule="auto" w:before="50"/>
              <w:ind w:left="95" w:right="0"/>
              <w:jc w:val="left"/>
              <w:rPr>
                <w:rFonts w:ascii="Times New Roman" w:hAnsi="Times New Roman" w:cs="Times New Roman" w:eastAsia="Times New Roman" w:hint="default"/>
                <w:sz w:val="18"/>
                <w:szCs w:val="18"/>
              </w:rPr>
            </w:pPr>
            <w:r>
              <w:rPr>
                <w:rFonts w:ascii="Times New Roman"/>
                <w:sz w:val="18"/>
              </w:rPr>
              <w:t>2007</w:t>
              <w:tab/>
              <w:t>2006</w:t>
            </w:r>
          </w:p>
        </w:tc>
      </w:tr>
      <w:tr>
        <w:trPr>
          <w:trHeight w:val="629" w:hRule="exact"/>
        </w:trPr>
        <w:tc>
          <w:tcPr>
            <w:tcW w:w="1351" w:type="dxa"/>
            <w:tcBorders>
              <w:top w:val="single" w:sz="4" w:space="0" w:color="000000"/>
              <w:left w:val="nil" w:sz="6" w:space="0" w:color="auto"/>
              <w:bottom w:val="nil" w:sz="6" w:space="0" w:color="auto"/>
              <w:right w:val="nil" w:sz="6" w:space="0" w:color="auto"/>
            </w:tcBorders>
          </w:tcPr>
          <w:p>
            <w:pPr>
              <w:pStyle w:val="TableParagraph"/>
              <w:spacing w:line="316" w:lineRule="auto" w:before="10"/>
              <w:ind w:left="14" w:right="0"/>
              <w:jc w:val="left"/>
              <w:rPr>
                <w:rFonts w:ascii="宋体" w:hAnsi="宋体" w:cs="宋体" w:eastAsia="宋体" w:hint="default"/>
                <w:sz w:val="18"/>
                <w:szCs w:val="18"/>
              </w:rPr>
            </w:pPr>
            <w:r>
              <w:rPr>
                <w:rFonts w:ascii="宋体" w:hAnsi="宋体" w:cs="宋体" w:eastAsia="宋体" w:hint="default"/>
                <w:spacing w:val="10"/>
                <w:sz w:val="18"/>
                <w:szCs w:val="18"/>
              </w:rPr>
              <w:t>归属于公司普通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股股东的净利润</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16.08%</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34.08%</w:t>
            </w:r>
          </w:p>
        </w:tc>
        <w:tc>
          <w:tcPr>
            <w:tcW w:w="7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20.58</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tabs>
                <w:tab w:pos="583" w:val="left" w:leader="none"/>
              </w:tabs>
              <w:spacing w:line="240" w:lineRule="auto"/>
              <w:ind w:left="-5" w:right="0"/>
              <w:jc w:val="left"/>
              <w:rPr>
                <w:rFonts w:ascii="Times New Roman" w:hAnsi="Times New Roman" w:cs="Times New Roman" w:eastAsia="Times New Roman" w:hint="default"/>
                <w:sz w:val="18"/>
                <w:szCs w:val="18"/>
              </w:rPr>
            </w:pPr>
            <w:r>
              <w:rPr>
                <w:rFonts w:ascii="Times New Roman"/>
                <w:sz w:val="18"/>
              </w:rPr>
              <w:t>%</w:t>
              <w:tab/>
              <w:t>39.19%</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1.39</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3"/>
              <w:jc w:val="right"/>
              <w:rPr>
                <w:rFonts w:ascii="Times New Roman" w:hAnsi="Times New Roman" w:cs="Times New Roman" w:eastAsia="Times New Roman" w:hint="default"/>
                <w:sz w:val="18"/>
                <w:szCs w:val="18"/>
              </w:rPr>
            </w:pPr>
            <w:r>
              <w:rPr>
                <w:rFonts w:ascii="Times New Roman"/>
                <w:sz w:val="18"/>
              </w:rPr>
              <w:t>1.06</w:t>
            </w:r>
          </w:p>
        </w:tc>
        <w:tc>
          <w:tcPr>
            <w:tcW w:w="120" w:type="dxa"/>
            <w:tcBorders>
              <w:top w:val="single" w:sz="4" w:space="0" w:color="000000"/>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tabs>
                <w:tab w:pos="940" w:val="left" w:leader="none"/>
              </w:tabs>
              <w:spacing w:line="240" w:lineRule="auto"/>
              <w:ind w:right="0"/>
              <w:jc w:val="right"/>
              <w:rPr>
                <w:rFonts w:ascii="Times New Roman" w:hAnsi="Times New Roman" w:cs="Times New Roman" w:eastAsia="Times New Roman" w:hint="default"/>
                <w:sz w:val="18"/>
                <w:szCs w:val="18"/>
              </w:rPr>
            </w:pPr>
            <w:r>
              <w:rPr>
                <w:rFonts w:ascii="Times New Roman"/>
                <w:sz w:val="18"/>
              </w:rPr>
              <w:t>1.39</w:t>
              <w:tab/>
              <w:t>1.06</w:t>
            </w:r>
          </w:p>
        </w:tc>
      </w:tr>
      <w:tr>
        <w:trPr>
          <w:trHeight w:val="1264" w:hRule="exact"/>
        </w:trPr>
        <w:tc>
          <w:tcPr>
            <w:tcW w:w="1351" w:type="dxa"/>
            <w:tcBorders>
              <w:top w:val="nil" w:sz="6" w:space="0" w:color="auto"/>
              <w:left w:val="nil" w:sz="6" w:space="0" w:color="auto"/>
              <w:bottom w:val="single" w:sz="12" w:space="0" w:color="000000"/>
              <w:right w:val="nil" w:sz="6" w:space="0" w:color="auto"/>
            </w:tcBorders>
          </w:tcPr>
          <w:p>
            <w:pPr>
              <w:pStyle w:val="TableParagraph"/>
              <w:spacing w:line="316" w:lineRule="auto" w:before="10"/>
              <w:ind w:left="14" w:right="0"/>
              <w:jc w:val="both"/>
              <w:rPr>
                <w:rFonts w:ascii="宋体" w:hAnsi="宋体" w:cs="宋体" w:eastAsia="宋体" w:hint="default"/>
                <w:sz w:val="18"/>
                <w:szCs w:val="18"/>
              </w:rPr>
            </w:pPr>
            <w:r>
              <w:rPr>
                <w:rFonts w:ascii="宋体" w:hAnsi="宋体" w:cs="宋体" w:eastAsia="宋体" w:hint="default"/>
                <w:spacing w:val="10"/>
                <w:sz w:val="18"/>
                <w:szCs w:val="18"/>
              </w:rPr>
              <w:t>扣除非经常性损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益后归属于公司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普通股股东的净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14.08%</w:t>
            </w:r>
          </w:p>
        </w:tc>
        <w:tc>
          <w:tcPr>
            <w:tcW w:w="112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34.03%</w:t>
            </w:r>
          </w:p>
        </w:tc>
        <w:tc>
          <w:tcPr>
            <w:tcW w:w="72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18.01</w:t>
            </w:r>
          </w:p>
        </w:tc>
        <w:tc>
          <w:tcPr>
            <w:tcW w:w="138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tabs>
                <w:tab w:pos="583" w:val="left" w:leader="none"/>
              </w:tabs>
              <w:spacing w:line="240" w:lineRule="auto"/>
              <w:ind w:left="-5" w:right="0"/>
              <w:jc w:val="left"/>
              <w:rPr>
                <w:rFonts w:ascii="Times New Roman" w:hAnsi="Times New Roman" w:cs="Times New Roman" w:eastAsia="Times New Roman" w:hint="default"/>
                <w:sz w:val="18"/>
                <w:szCs w:val="18"/>
              </w:rPr>
            </w:pPr>
            <w:r>
              <w:rPr>
                <w:rFonts w:ascii="Times New Roman"/>
                <w:sz w:val="18"/>
              </w:rPr>
              <w:t>%</w:t>
              <w:tab/>
              <w:t>39.13%</w:t>
            </w:r>
          </w:p>
        </w:tc>
        <w:tc>
          <w:tcPr>
            <w:tcW w:w="1036"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1.22</w:t>
            </w:r>
          </w:p>
        </w:tc>
        <w:tc>
          <w:tcPr>
            <w:tcW w:w="93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3"/>
              <w:jc w:val="right"/>
              <w:rPr>
                <w:rFonts w:ascii="Times New Roman" w:hAnsi="Times New Roman" w:cs="Times New Roman" w:eastAsia="Times New Roman" w:hint="default"/>
                <w:sz w:val="18"/>
                <w:szCs w:val="18"/>
              </w:rPr>
            </w:pPr>
            <w:r>
              <w:rPr>
                <w:rFonts w:ascii="Times New Roman"/>
                <w:sz w:val="18"/>
              </w:rPr>
              <w:t>1.06</w:t>
            </w:r>
          </w:p>
        </w:tc>
        <w:tc>
          <w:tcPr>
            <w:tcW w:w="120" w:type="dxa"/>
            <w:tcBorders>
              <w:top w:val="nil" w:sz="6" w:space="0" w:color="auto"/>
              <w:left w:val="nil" w:sz="6" w:space="0" w:color="auto"/>
              <w:bottom w:val="single" w:sz="12" w:space="0" w:color="000000"/>
              <w:right w:val="nil" w:sz="6" w:space="0" w:color="auto"/>
            </w:tcBorders>
          </w:tcPr>
          <w:p>
            <w:pPr/>
          </w:p>
        </w:tc>
        <w:tc>
          <w:tcPr>
            <w:tcW w:w="1557"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tabs>
                <w:tab w:pos="940" w:val="left" w:leader="none"/>
              </w:tabs>
              <w:spacing w:line="240" w:lineRule="auto"/>
              <w:ind w:right="0"/>
              <w:jc w:val="right"/>
              <w:rPr>
                <w:rFonts w:ascii="Times New Roman" w:hAnsi="Times New Roman" w:cs="Times New Roman" w:eastAsia="Times New Roman" w:hint="default"/>
                <w:sz w:val="18"/>
                <w:szCs w:val="18"/>
              </w:rPr>
            </w:pPr>
            <w:r>
              <w:rPr>
                <w:rFonts w:ascii="Times New Roman"/>
                <w:sz w:val="18"/>
              </w:rPr>
              <w:t>1.22</w:t>
              <w:tab/>
              <w:t>1.06</w:t>
            </w:r>
          </w:p>
        </w:tc>
      </w:tr>
    </w:tbl>
    <w:p>
      <w:pPr>
        <w:spacing w:line="240" w:lineRule="auto" w:before="13"/>
        <w:rPr>
          <w:rFonts w:ascii="宋体" w:hAnsi="宋体" w:cs="宋体" w:eastAsia="宋体" w:hint="default"/>
          <w:b/>
          <w:bCs/>
          <w:sz w:val="7"/>
          <w:szCs w:val="7"/>
        </w:rPr>
      </w:pPr>
    </w:p>
    <w:p>
      <w:pPr>
        <w:pStyle w:val="BodyText"/>
        <w:spacing w:line="240" w:lineRule="auto" w:before="26"/>
        <w:ind w:left="634" w:right="0"/>
        <w:jc w:val="left"/>
      </w:pPr>
      <w:r>
        <w:rPr/>
        <w:t>计算方法：</w:t>
      </w:r>
    </w:p>
    <w:p>
      <w:pPr>
        <w:pStyle w:val="BodyText"/>
        <w:spacing w:line="345" w:lineRule="auto" w:before="166"/>
        <w:ind w:left="634" w:right="4585"/>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全面摊薄净资产收益率的计算公式如下：</w:t>
      </w:r>
      <w:r>
        <w:rPr>
          <w:spacing w:val="-1"/>
          <w:w w:val="99"/>
        </w:rPr>
        <w:t> </w:t>
      </w:r>
      <w:r>
        <w:rPr/>
        <w:t>全面摊薄净资产收益率</w:t>
      </w:r>
      <w:r>
        <w:rPr>
          <w:rFonts w:ascii="Times New Roman" w:hAnsi="Times New Roman" w:cs="Times New Roman" w:eastAsia="Times New Roman" w:hint="default"/>
        </w:rPr>
        <w:t>=P÷E</w:t>
      </w:r>
    </w:p>
    <w:p>
      <w:pPr>
        <w:pStyle w:val="BodyText"/>
        <w:spacing w:line="259" w:lineRule="auto" w:before="31"/>
        <w:ind w:left="154" w:right="146" w:firstLine="480"/>
        <w:jc w:val="both"/>
      </w:pPr>
      <w:r>
        <w:rPr>
          <w:rFonts w:ascii="Times New Roman" w:hAnsi="Times New Roman" w:cs="Times New Roman" w:eastAsia="Times New Roman" w:hint="default"/>
        </w:rPr>
        <w:t>P</w:t>
      </w:r>
      <w:r>
        <w:rPr>
          <w:rFonts w:ascii="Times New Roman" w:hAnsi="Times New Roman" w:cs="Times New Roman" w:eastAsia="Times New Roman" w:hint="default"/>
          <w:spacing w:val="58"/>
        </w:rPr>
        <w:t> </w:t>
      </w:r>
      <w:r>
        <w:rPr/>
        <w:t>为归属于公司普通股股东的净利润或扣除非经常性损益后归属于公司普通股股东的净 利润；</w:t>
      </w:r>
      <w:r>
        <w:rPr>
          <w:rFonts w:ascii="Times New Roman" w:hAnsi="Times New Roman" w:cs="Times New Roman" w:eastAsia="Times New Roman" w:hint="default"/>
        </w:rPr>
        <w:t>E</w:t>
      </w:r>
      <w:r>
        <w:rPr>
          <w:rFonts w:ascii="Times New Roman" w:hAnsi="Times New Roman" w:cs="Times New Roman" w:eastAsia="Times New Roman" w:hint="default"/>
          <w:spacing w:val="-1"/>
        </w:rPr>
        <w:t> </w:t>
      </w:r>
      <w:r>
        <w:rPr/>
        <w:t>为归属于公司普通股股东的期末净资产。</w:t>
      </w:r>
    </w:p>
    <w:p>
      <w:pPr>
        <w:pStyle w:val="BodyText"/>
        <w:spacing w:line="345" w:lineRule="auto" w:before="126"/>
        <w:ind w:left="634" w:right="1539"/>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59"/>
        </w:rPr>
        <w:t> </w:t>
      </w:r>
      <w:r>
        <w:rPr/>
        <w:t>加权平均净资产收益率的计算公式如下：</w:t>
      </w:r>
      <w:r>
        <w:rPr>
          <w:spacing w:val="-1"/>
          <w:w w:val="99"/>
        </w:rPr>
        <w:t> </w:t>
      </w:r>
      <w:r>
        <w:rPr/>
        <w:t>加权平均净资产收益率</w:t>
      </w:r>
      <w:r>
        <w:rPr>
          <w:rFonts w:ascii="Times New Roman" w:hAnsi="Times New Roman" w:cs="Times New Roman" w:eastAsia="Times New Roman" w:hint="default"/>
        </w:rPr>
        <w:t>=P/(E0+NP÷2+Ei×Mi÷M0</w:t>
      </w:r>
      <w:r>
        <w:rPr/>
        <w:t>－</w:t>
      </w:r>
      <w:r>
        <w:rPr>
          <w:rFonts w:ascii="Times New Roman" w:hAnsi="Times New Roman" w:cs="Times New Roman" w:eastAsia="Times New Roman" w:hint="default"/>
        </w:rPr>
        <w:t>Ej×Mj÷M0±Ek×Mk÷M0)</w:t>
      </w:r>
    </w:p>
    <w:p>
      <w:pPr>
        <w:pStyle w:val="BodyText"/>
        <w:spacing w:line="259" w:lineRule="auto" w:before="31"/>
        <w:ind w:left="154" w:right="146" w:firstLine="480"/>
        <w:jc w:val="both"/>
      </w:pPr>
      <w:r>
        <w:rPr>
          <w:rFonts w:ascii="Times New Roman" w:hAnsi="Times New Roman" w:cs="Times New Roman" w:eastAsia="Times New Roman" w:hint="default"/>
        </w:rPr>
        <w:t>P</w:t>
      </w:r>
      <w:r>
        <w:rPr>
          <w:rFonts w:ascii="Times New Roman" w:hAnsi="Times New Roman" w:cs="Times New Roman" w:eastAsia="Times New Roman" w:hint="default"/>
          <w:spacing w:val="58"/>
        </w:rPr>
        <w:t> </w:t>
      </w:r>
      <w:r>
        <w:rPr/>
        <w:t>分别对应归属于公司普通股股东的净利润、扣除非经常性损益后归属于公司普通股股 东的净利润；</w:t>
      </w:r>
      <w:r>
        <w:rPr>
          <w:rFonts w:ascii="Times New Roman" w:hAnsi="Times New Roman" w:cs="Times New Roman" w:eastAsia="Times New Roman" w:hint="default"/>
        </w:rPr>
        <w:t>NP </w:t>
      </w:r>
      <w:r>
        <w:rPr/>
        <w:t>为归属于公司普通股股东的净利润；</w:t>
      </w:r>
      <w:r>
        <w:rPr>
          <w:rFonts w:ascii="Times New Roman" w:hAnsi="Times New Roman" w:cs="Times New Roman" w:eastAsia="Times New Roman" w:hint="default"/>
        </w:rPr>
        <w:t>EO</w:t>
      </w:r>
      <w:r>
        <w:rPr>
          <w:rFonts w:ascii="Times New Roman" w:hAnsi="Times New Roman" w:cs="Times New Roman" w:eastAsia="Times New Roman" w:hint="default"/>
          <w:spacing w:val="8"/>
        </w:rPr>
        <w:t> </w:t>
      </w:r>
      <w:r>
        <w:rPr/>
        <w:t>为归属于公司普通股东的期初净资 </w:t>
      </w:r>
      <w:r>
        <w:rPr>
          <w:spacing w:val="-3"/>
        </w:rPr>
        <w:t>产；</w:t>
      </w:r>
      <w:r>
        <w:rPr>
          <w:rFonts w:ascii="Times New Roman" w:hAnsi="Times New Roman" w:cs="Times New Roman" w:eastAsia="Times New Roman" w:hint="default"/>
          <w:spacing w:val="-3"/>
        </w:rPr>
        <w:t>Ei </w:t>
      </w:r>
      <w:r>
        <w:rPr/>
        <w:t>为报告期发行新股或债转股等新增的、归属于公司普通股股东的净资产；</w:t>
      </w:r>
      <w:r>
        <w:rPr>
          <w:rFonts w:ascii="Times New Roman" w:hAnsi="Times New Roman" w:cs="Times New Roman" w:eastAsia="Times New Roman" w:hint="default"/>
        </w:rPr>
        <w:t>Ej</w:t>
      </w:r>
      <w:r>
        <w:rPr>
          <w:rFonts w:ascii="Times New Roman" w:hAnsi="Times New Roman" w:cs="Times New Roman" w:eastAsia="Times New Roman" w:hint="default"/>
          <w:spacing w:val="-15"/>
        </w:rPr>
        <w:t> </w:t>
      </w:r>
      <w:r>
        <w:rPr/>
        <w:t>为报告期 回购或现金分红等减少的、归属于公司普通股股东的净资产；</w:t>
      </w:r>
      <w:r>
        <w:rPr>
          <w:rFonts w:ascii="Times New Roman" w:hAnsi="Times New Roman" w:cs="Times New Roman" w:eastAsia="Times New Roman" w:hint="default"/>
        </w:rPr>
        <w:t>MO </w:t>
      </w:r>
      <w:r>
        <w:rPr/>
        <w:t>为报告期月份数；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31"/>
        </w:rPr>
        <w:t> </w:t>
      </w:r>
      <w:r>
        <w:rPr/>
        <w:t>为新</w:t>
      </w:r>
      <w:r>
        <w:rPr>
          <w:spacing w:val="-2"/>
        </w:rPr>
        <w:t> </w:t>
      </w:r>
      <w:r>
        <w:rPr>
          <w:spacing w:val="-3"/>
        </w:rPr>
        <w:t>增净资产下一月份起至报告期期末的月份数；</w:t>
      </w:r>
      <w:r>
        <w:rPr>
          <w:rFonts w:ascii="Times New Roman" w:hAnsi="Times New Roman" w:cs="Times New Roman" w:eastAsia="Times New Roman" w:hint="default"/>
          <w:spacing w:val="-3"/>
        </w:rPr>
        <w:t>Mj</w:t>
      </w:r>
      <w:r>
        <w:rPr>
          <w:rFonts w:ascii="Times New Roman" w:hAnsi="Times New Roman" w:cs="Times New Roman" w:eastAsia="Times New Roman" w:hint="default"/>
          <w:spacing w:val="-11"/>
        </w:rPr>
        <w:t> </w:t>
      </w:r>
      <w:r>
        <w:rPr/>
        <w:t>为减少净资产下一月份起至报告期期末的月</w:t>
      </w:r>
      <w:r>
        <w:rPr>
          <w:spacing w:val="-1"/>
        </w:rPr>
        <w:t> </w:t>
      </w:r>
      <w:r>
        <w:rPr/>
        <w:t>份数；</w:t>
      </w:r>
      <w:r>
        <w:rPr>
          <w:rFonts w:ascii="Times New Roman" w:hAnsi="Times New Roman" w:cs="Times New Roman" w:eastAsia="Times New Roman" w:hint="default"/>
        </w:rPr>
        <w:t>Ek </w:t>
      </w:r>
      <w:r>
        <w:rPr/>
        <w:t>为因其他交易或事项引起的净资产增减变动；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37"/>
        </w:rPr>
        <w:t> </w:t>
      </w:r>
      <w:r>
        <w:rPr/>
        <w:t>为发生其他净资产增减变动下一 月份起至报告期期末的份数。</w:t>
      </w:r>
    </w:p>
    <w:p>
      <w:pPr>
        <w:pStyle w:val="BodyText"/>
        <w:spacing w:line="240" w:lineRule="auto" w:before="146"/>
        <w:ind w:left="7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基本每股收益的计算公式如下：</w:t>
      </w:r>
    </w:p>
    <w:p>
      <w:pPr>
        <w:spacing w:line="240" w:lineRule="auto" w:before="6"/>
        <w:rPr>
          <w:rFonts w:ascii="宋体" w:hAnsi="宋体" w:cs="宋体" w:eastAsia="宋体" w:hint="default"/>
          <w:sz w:val="17"/>
          <w:szCs w:val="17"/>
        </w:rPr>
      </w:pPr>
    </w:p>
    <w:p>
      <w:pPr>
        <w:pStyle w:val="BodyText"/>
        <w:spacing w:line="316" w:lineRule="auto"/>
        <w:ind w:left="634" w:right="5349"/>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=P÷S</w:t>
      </w:r>
      <w:r>
        <w:rPr>
          <w:rFonts w:ascii="Times New Roman" w:hAnsi="Times New Roman" w:cs="Times New Roman" w:eastAsia="Times New Roman" w:hint="default"/>
          <w:w w:val="99"/>
        </w:rPr>
        <w:t> </w:t>
      </w:r>
      <w:r>
        <w:rPr>
          <w:rFonts w:ascii="Times New Roman" w:hAnsi="Times New Roman" w:cs="Times New Roman" w:eastAsia="Times New Roman" w:hint="default"/>
        </w:rPr>
        <w:t>S=S0+S1+Si×Mi÷M0</w:t>
      </w:r>
      <w:r>
        <w:rPr/>
        <w:t>－</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pStyle w:val="BodyText"/>
        <w:spacing w:line="316" w:lineRule="auto" w:before="23"/>
        <w:ind w:left="154" w:right="144" w:firstLine="494"/>
        <w:jc w:val="both"/>
      </w:pPr>
      <w:r>
        <w:rPr>
          <w:rFonts w:ascii="Times New Roman" w:hAnsi="Times New Roman" w:cs="Times New Roman" w:eastAsia="Times New Roman" w:hint="default"/>
        </w:rPr>
        <w:t>P</w:t>
      </w:r>
      <w:r>
        <w:rPr>
          <w:rFonts w:ascii="Times New Roman" w:hAnsi="Times New Roman" w:cs="Times New Roman" w:eastAsia="Times New Roman" w:hint="default"/>
          <w:spacing w:val="17"/>
        </w:rPr>
        <w:t> </w:t>
      </w:r>
      <w:r>
        <w:rPr>
          <w:spacing w:val="6"/>
        </w:rPr>
        <w:t>为归属于公司普通股股东的净利润或扣除非经常性损益后归属于普通股股东的净利</w:t>
      </w:r>
      <w:r>
        <w:rPr>
          <w:spacing w:val="7"/>
        </w:rPr>
        <w:t> </w:t>
      </w:r>
      <w:r>
        <w:rPr>
          <w:spacing w:val="-7"/>
        </w:rPr>
        <w:t>润；</w:t>
      </w:r>
      <w:r>
        <w:rPr>
          <w:rFonts w:ascii="Times New Roman" w:hAnsi="Times New Roman" w:cs="Times New Roman" w:eastAsia="Times New Roman" w:hint="default"/>
          <w:spacing w:val="-7"/>
        </w:rPr>
        <w:t>S </w:t>
      </w:r>
      <w:r>
        <w:rPr/>
        <w:t>为发行在外的普通股加权平均数；</w:t>
      </w:r>
      <w:r>
        <w:rPr>
          <w:rFonts w:ascii="Times New Roman" w:hAnsi="Times New Roman" w:cs="Times New Roman" w:eastAsia="Times New Roman" w:hint="default"/>
        </w:rPr>
        <w:t>S0 </w:t>
      </w:r>
      <w:r>
        <w:rPr>
          <w:spacing w:val="-3"/>
        </w:rPr>
        <w:t>为期初股份总数；</w:t>
      </w:r>
      <w:r>
        <w:rPr>
          <w:rFonts w:ascii="Times New Roman" w:hAnsi="Times New Roman" w:cs="Times New Roman" w:eastAsia="Times New Roman" w:hint="default"/>
          <w:spacing w:val="-3"/>
        </w:rPr>
        <w:t>S1</w:t>
      </w:r>
      <w:r>
        <w:rPr>
          <w:rFonts w:ascii="Times New Roman" w:hAnsi="Times New Roman" w:cs="Times New Roman" w:eastAsia="Times New Roman" w:hint="default"/>
          <w:spacing w:val="-7"/>
        </w:rPr>
        <w:t> </w:t>
      </w:r>
      <w:r>
        <w:rPr/>
        <w:t>为报告期因公积金转增股本 或股票股利分配等增加股份数；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6"/>
        </w:rPr>
        <w:t> </w:t>
      </w:r>
      <w:r>
        <w:rPr/>
        <w:t>为报告期 因回购等减少股份数；</w:t>
      </w:r>
      <w:r>
        <w:rPr>
          <w:rFonts w:ascii="Times New Roman" w:hAnsi="Times New Roman" w:cs="Times New Roman" w:eastAsia="Times New Roman" w:hint="default"/>
        </w:rPr>
        <w:t>Sk</w:t>
      </w:r>
      <w:r>
        <w:rPr>
          <w:rFonts w:ascii="Times New Roman" w:hAnsi="Times New Roman" w:cs="Times New Roman" w:eastAsia="Times New Roman" w:hint="default"/>
          <w:spacing w:val="-18"/>
        </w:rPr>
        <w:t> </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18"/>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8"/>
        </w:rPr>
        <w:t> </w:t>
      </w:r>
      <w:r>
        <w:rPr/>
        <w:t>为增加股份下一月份起至</w:t>
      </w:r>
    </w:p>
    <w:p>
      <w:pPr>
        <w:spacing w:after="0" w:line="316" w:lineRule="auto"/>
        <w:jc w:val="both"/>
        <w:sectPr>
          <w:pgSz w:w="11910" w:h="16840"/>
          <w:pgMar w:header="877" w:footer="1022" w:top="1060" w:bottom="1220" w:left="980" w:right="980"/>
        </w:sectPr>
      </w:pPr>
    </w:p>
    <w:p>
      <w:pPr>
        <w:spacing w:line="240" w:lineRule="auto" w:before="0"/>
        <w:rPr>
          <w:rFonts w:ascii="宋体" w:hAnsi="宋体" w:cs="宋体" w:eastAsia="宋体" w:hint="default"/>
          <w:sz w:val="20"/>
          <w:szCs w:val="20"/>
        </w:rPr>
      </w:pPr>
    </w:p>
    <w:p>
      <w:pPr>
        <w:pStyle w:val="BodyText"/>
        <w:spacing w:line="240" w:lineRule="auto" w:before="200"/>
        <w:ind w:left="154" w:right="0"/>
        <w:jc w:val="left"/>
      </w:pPr>
      <w:r>
        <w:rPr/>
        <w:t>报告期期末的月份数；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21"/>
        </w:rPr>
        <w:t> </w:t>
      </w:r>
      <w:r>
        <w:rPr/>
        <w:t>为减少股份下一月份起至报告期期末的月份数。</w:t>
      </w:r>
    </w:p>
    <w:p>
      <w:pPr>
        <w:pStyle w:val="BodyText"/>
        <w:spacing w:line="240" w:lineRule="auto" w:before="108"/>
        <w:ind w:left="63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稀释每股收益的计算公式如下：</w:t>
      </w:r>
    </w:p>
    <w:p>
      <w:pPr>
        <w:pStyle w:val="BodyText"/>
        <w:spacing w:line="319" w:lineRule="auto" w:before="107"/>
        <w:ind w:right="129" w:firstLine="518"/>
        <w:jc w:val="both"/>
        <w:rPr>
          <w:rFonts w:ascii="Times New Roman" w:hAnsi="Times New Roman" w:cs="Times New Roman" w:eastAsia="Times New Roman" w:hint="default"/>
        </w:rPr>
      </w:pPr>
      <w:r>
        <w:rPr>
          <w:spacing w:val="15"/>
        </w:rPr>
        <w:t>稀释每股收益</w:t>
      </w:r>
      <w:r>
        <w:rPr>
          <w:rFonts w:ascii="Times New Roman" w:hAnsi="Times New Roman" w:cs="Times New Roman" w:eastAsia="Times New Roman" w:hint="default"/>
          <w:spacing w:val="15"/>
        </w:rPr>
        <w:t>=[P+(</w:t>
      </w:r>
      <w:r>
        <w:rPr>
          <w:spacing w:val="15"/>
        </w:rPr>
        <w:t>已确认为费用的稀释性潜在普通股利息－转换费用</w:t>
      </w:r>
      <w:r>
        <w:rPr>
          <w:rFonts w:ascii="Times New Roman" w:hAnsi="Times New Roman" w:cs="Times New Roman" w:eastAsia="Times New Roman" w:hint="default"/>
          <w:spacing w:val="15"/>
        </w:rPr>
        <w:t>)×(1-</w:t>
      </w:r>
      <w:r>
        <w:rPr>
          <w:spacing w:val="15"/>
        </w:rPr>
        <w:t>所得税</w:t>
      </w:r>
      <w:r>
        <w:rPr>
          <w:spacing w:val="19"/>
        </w:rPr>
        <w:t> </w:t>
      </w:r>
      <w:r>
        <w:rPr/>
        <w:t>率</w:t>
      </w:r>
      <w:r>
        <w:rPr>
          <w:rFonts w:ascii="Times New Roman" w:hAnsi="Times New Roman" w:cs="Times New Roman" w:eastAsia="Times New Roman" w:hint="default"/>
        </w:rPr>
        <w:t>)]/(S0+S1+Si×Mi÷M0</w:t>
      </w:r>
      <w:r>
        <w:rPr/>
        <w:t>－</w:t>
      </w:r>
      <w:r>
        <w:rPr>
          <w:rFonts w:ascii="Times New Roman" w:hAnsi="Times New Roman" w:cs="Times New Roman" w:eastAsia="Times New Roman" w:hint="default"/>
        </w:rPr>
        <w:t>Sj×Mj÷M0—Sk+</w:t>
      </w:r>
      <w:r>
        <w:rPr/>
        <w:t>认股权证、股份期权、可转换债券等增加的普通股 加权平均数</w:t>
      </w:r>
      <w:r>
        <w:rPr>
          <w:rFonts w:ascii="Times New Roman" w:hAnsi="Times New Roman" w:cs="Times New Roman" w:eastAsia="Times New Roman" w:hint="default"/>
        </w:rPr>
        <w:t>)</w:t>
      </w:r>
    </w:p>
    <w:p>
      <w:pPr>
        <w:pStyle w:val="BodyText"/>
        <w:spacing w:line="326" w:lineRule="auto" w:before="19"/>
        <w:ind w:right="147" w:firstLine="482"/>
        <w:jc w:val="both"/>
      </w:pPr>
      <w:r>
        <w:rPr>
          <w:rFonts w:ascii="Times New Roman" w:hAnsi="Times New Roman" w:cs="Times New Roman" w:eastAsia="Times New Roman" w:hint="default"/>
        </w:rPr>
        <w:t>P</w:t>
      </w:r>
      <w:r>
        <w:rPr>
          <w:rFonts w:ascii="Times New Roman" w:hAnsi="Times New Roman" w:cs="Times New Roman" w:eastAsia="Times New Roman" w:hint="default"/>
          <w:spacing w:val="57"/>
        </w:rPr>
        <w:t> </w:t>
      </w:r>
      <w:r>
        <w:rPr/>
        <w:t>为归属于公司普通股股东的净利润或扣除非经常性损益后归属于公司普通股股东的净 利润。本公司在计算稀释每股收益时，考虑所有稀释性潜在普通股的影响，直至稀释每股收</w:t>
      </w:r>
      <w:r>
        <w:rPr>
          <w:spacing w:val="-83"/>
        </w:rPr>
        <w:t> </w:t>
      </w:r>
      <w:r>
        <w:rPr>
          <w:spacing w:val="-83"/>
        </w:rPr>
      </w:r>
      <w:r>
        <w:rPr/>
        <w:t>益达到最小。</w:t>
      </w:r>
    </w:p>
    <w:p>
      <w:pPr>
        <w:spacing w:line="240" w:lineRule="auto" w:before="5"/>
        <w:rPr>
          <w:rFonts w:ascii="宋体" w:hAnsi="宋体" w:cs="宋体" w:eastAsia="宋体" w:hint="default"/>
          <w:sz w:val="21"/>
          <w:szCs w:val="21"/>
        </w:rPr>
      </w:pPr>
    </w:p>
    <w:p>
      <w:pPr>
        <w:pStyle w:val="Heading4"/>
        <w:spacing w:line="240" w:lineRule="auto" w:before="0"/>
        <w:ind w:left="753" w:right="0"/>
        <w:jc w:val="left"/>
        <w:rPr>
          <w:b w:val="0"/>
          <w:bCs w:val="0"/>
        </w:rPr>
      </w:pPr>
      <w:r>
        <w:rPr>
          <w:rFonts w:ascii="Times New Roman" w:hAnsi="Times New Roman" w:cs="Times New Roman" w:eastAsia="Times New Roman" w:hint="default"/>
        </w:rPr>
        <w:t>2</w:t>
      </w:r>
      <w:r>
        <w:rPr/>
        <w:t>．</w:t>
      </w:r>
      <w:r>
        <w:rPr>
          <w:spacing w:val="3"/>
        </w:rPr>
        <w:t> </w:t>
      </w:r>
      <w:r>
        <w:rPr>
          <w:spacing w:val="9"/>
        </w:rPr>
        <w:t>本公司非经营性损益发生情况：</w:t>
      </w:r>
      <w:r>
        <w:rPr>
          <w:b w:val="0"/>
          <w:bCs w:val="0"/>
        </w:rPr>
      </w:r>
    </w:p>
    <w:p>
      <w:pPr>
        <w:spacing w:line="240" w:lineRule="auto" w:before="13"/>
        <w:rPr>
          <w:rFonts w:ascii="宋体" w:hAnsi="宋体" w:cs="宋体" w:eastAsia="宋体" w:hint="default"/>
          <w:b/>
          <w:bCs/>
          <w:sz w:val="28"/>
          <w:szCs w:val="28"/>
        </w:rPr>
      </w:pPr>
    </w:p>
    <w:tbl>
      <w:tblPr>
        <w:tblW w:w="0" w:type="auto"/>
        <w:jc w:val="left"/>
        <w:tblInd w:w="474" w:type="dxa"/>
        <w:tblLayout w:type="fixed"/>
        <w:tblCellMar>
          <w:top w:w="0" w:type="dxa"/>
          <w:left w:w="0" w:type="dxa"/>
          <w:bottom w:w="0" w:type="dxa"/>
          <w:right w:w="0" w:type="dxa"/>
        </w:tblCellMar>
        <w:tblLook w:val="01E0"/>
      </w:tblPr>
      <w:tblGrid>
        <w:gridCol w:w="6726"/>
        <w:gridCol w:w="385"/>
        <w:gridCol w:w="1878"/>
      </w:tblGrid>
      <w:tr>
        <w:trPr>
          <w:trHeight w:val="264" w:hRule="exact"/>
        </w:trPr>
        <w:tc>
          <w:tcPr>
            <w:tcW w:w="6726" w:type="dxa"/>
            <w:tcBorders>
              <w:top w:val="nil" w:sz="6" w:space="0" w:color="auto"/>
              <w:left w:val="nil" w:sz="6" w:space="0" w:color="auto"/>
              <w:bottom w:val="single" w:sz="4" w:space="0" w:color="000000"/>
              <w:right w:val="nil" w:sz="6" w:space="0" w:color="auto"/>
            </w:tcBorders>
          </w:tcPr>
          <w:p>
            <w:pPr>
              <w:pStyle w:val="TableParagraph"/>
              <w:tabs>
                <w:tab w:pos="457" w:val="left" w:leader="none"/>
              </w:tabs>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4" w:space="0" w:color="000000"/>
              <w:right w:val="nil" w:sz="6" w:space="0" w:color="auto"/>
            </w:tcBorders>
          </w:tcPr>
          <w:p>
            <w:pPr>
              <w:pStyle w:val="TableParagraph"/>
              <w:tabs>
                <w:tab w:pos="1127" w:val="left" w:leader="none"/>
              </w:tabs>
              <w:spacing w:line="180" w:lineRule="exact"/>
              <w:ind w:left="588" w:right="0"/>
              <w:jc w:val="left"/>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69" w:hRule="exact"/>
        </w:trPr>
        <w:tc>
          <w:tcPr>
            <w:tcW w:w="672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、非流动资产处置损益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single" w:sz="4" w:space="0" w:color="000000"/>
              <w:left w:val="nil" w:sz="6" w:space="0" w:color="auto"/>
              <w:bottom w:val="nil" w:sz="6" w:space="0" w:color="auto"/>
              <w:right w:val="nil" w:sz="6" w:space="0" w:color="auto"/>
            </w:tcBorders>
          </w:tcPr>
          <w:p>
            <w:pPr>
              <w:pStyle w:val="TableParagraph"/>
              <w:tabs>
                <w:tab w:pos="1030" w:val="left" w:leader="none"/>
              </w:tabs>
              <w:spacing w:line="240" w:lineRule="auto" w:before="78"/>
              <w:ind w:right="1"/>
              <w:jc w:val="right"/>
              <w:rPr>
                <w:rFonts w:ascii="Times New Roman" w:hAnsi="Times New Roman" w:cs="Times New Roman" w:eastAsia="Times New Roman" w:hint="default"/>
                <w:sz w:val="18"/>
                <w:szCs w:val="18"/>
              </w:rPr>
            </w:pPr>
            <w:r>
              <w:rPr>
                <w:rFonts w:ascii="Times New Roman"/>
                <w:w w:val="95"/>
                <w:sz w:val="18"/>
              </w:rPr>
              <w:t>RMB</w:t>
              <w:tab/>
              <w:t>630,941.86</w:t>
            </w:r>
            <w:r>
              <w:rPr>
                <w:rFonts w:ascii="Times New Roman"/>
                <w:sz w:val="18"/>
              </w:rPr>
            </w:r>
          </w:p>
        </w:tc>
      </w:tr>
      <w:tr>
        <w:trPr>
          <w:trHeight w:val="374"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、越权审批或无正式批准文件的税收返还、减免</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、计入当期损益的政府补助</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10,235,000.00</w:t>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、计入当期损益的对非金融企业收取的资金占用费</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、企业合并的合并成本小于合并时应享有被合并单位可辨认净资产公允价值产生的损益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6</w:t>
            </w:r>
            <w:r>
              <w:rPr>
                <w:rFonts w:ascii="宋体" w:hAnsi="宋体" w:cs="宋体" w:eastAsia="宋体" w:hint="default"/>
                <w:spacing w:val="-12"/>
                <w:sz w:val="18"/>
                <w:szCs w:val="18"/>
              </w:rPr>
              <w:t>、非货币性资产交换损益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7</w:t>
            </w:r>
            <w:r>
              <w:rPr>
                <w:rFonts w:ascii="宋体" w:hAnsi="宋体" w:cs="宋体" w:eastAsia="宋体" w:hint="default"/>
                <w:spacing w:val="-12"/>
                <w:sz w:val="18"/>
                <w:szCs w:val="18"/>
              </w:rPr>
              <w:t>、委托投资损益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8</w:t>
            </w:r>
            <w:r>
              <w:rPr>
                <w:rFonts w:ascii="宋体" w:hAnsi="宋体" w:cs="宋体" w:eastAsia="宋体" w:hint="default"/>
                <w:spacing w:val="-12"/>
                <w:sz w:val="18"/>
                <w:szCs w:val="18"/>
              </w:rPr>
              <w:t>、因不可抗力因素，如遭受自然灾害而计提的各项资产减值准备</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9</w:t>
            </w:r>
            <w:r>
              <w:rPr>
                <w:rFonts w:ascii="宋体" w:hAnsi="宋体" w:cs="宋体" w:eastAsia="宋体" w:hint="default"/>
                <w:spacing w:val="-12"/>
                <w:sz w:val="18"/>
                <w:szCs w:val="18"/>
              </w:rPr>
              <w:t>、债务重组损益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10</w:t>
            </w:r>
            <w:r>
              <w:rPr>
                <w:rFonts w:ascii="宋体" w:hAnsi="宋体" w:cs="宋体" w:eastAsia="宋体" w:hint="default"/>
                <w:spacing w:val="-11"/>
                <w:sz w:val="18"/>
                <w:szCs w:val="18"/>
              </w:rPr>
              <w:t>、企业重组费用</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如安置职工的支出、整合费用等</w:t>
            </w:r>
            <w:r>
              <w:rPr>
                <w:rFonts w:ascii="Times New Roman" w:hAnsi="Times New Roman" w:cs="Times New Roman" w:eastAsia="Times New Roman" w:hint="default"/>
                <w:spacing w:val="-11"/>
                <w:sz w:val="18"/>
                <w:szCs w:val="18"/>
              </w:rPr>
              <w:t>)</w:t>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11</w:t>
            </w:r>
            <w:r>
              <w:rPr>
                <w:rFonts w:ascii="宋体" w:hAnsi="宋体" w:cs="宋体" w:eastAsia="宋体" w:hint="default"/>
                <w:spacing w:val="-12"/>
                <w:sz w:val="18"/>
                <w:szCs w:val="18"/>
              </w:rPr>
              <w:t>、交易价格显失公允的交易产生的超过公允价值部分的损益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12</w:t>
            </w:r>
            <w:r>
              <w:rPr>
                <w:rFonts w:ascii="宋体" w:hAnsi="宋体" w:cs="宋体" w:eastAsia="宋体" w:hint="default"/>
                <w:spacing w:val="-12"/>
                <w:sz w:val="18"/>
                <w:szCs w:val="18"/>
              </w:rPr>
              <w:t>、同一控制下企业合并产生的子公司期初至合并日的当期净损益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13</w:t>
            </w:r>
            <w:r>
              <w:rPr>
                <w:rFonts w:ascii="宋体" w:hAnsi="宋体" w:cs="宋体" w:eastAsia="宋体" w:hint="default"/>
                <w:spacing w:val="-12"/>
                <w:sz w:val="18"/>
                <w:szCs w:val="18"/>
              </w:rPr>
              <w:t>、与公司主营业务无关的预计负债产生的损益</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14</w:t>
            </w:r>
            <w:r>
              <w:rPr>
                <w:rFonts w:ascii="宋体" w:hAnsi="宋体" w:cs="宋体" w:eastAsia="宋体" w:hint="default"/>
                <w:spacing w:val="-12"/>
                <w:sz w:val="18"/>
                <w:szCs w:val="18"/>
              </w:rPr>
              <w:t>、除上述项目之外的其他营业外收支净额</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Times New Roman" w:hAnsi="Times New Roman" w:cs="Times New Roman" w:eastAsia="Times New Roman" w:hint="default"/>
                <w:sz w:val="18"/>
                <w:szCs w:val="18"/>
              </w:rPr>
            </w:pPr>
            <w:r>
              <w:rPr>
                <w:rFonts w:ascii="Times New Roman"/>
                <w:sz w:val="18"/>
              </w:rPr>
              <w:t>25,058.13</w:t>
            </w:r>
          </w:p>
        </w:tc>
      </w:tr>
      <w:tr>
        <w:trPr>
          <w:trHeight w:val="371"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15</w:t>
            </w:r>
            <w:r>
              <w:rPr>
                <w:rFonts w:ascii="宋体" w:hAnsi="宋体" w:cs="宋体" w:eastAsia="宋体" w:hint="default"/>
                <w:spacing w:val="-11"/>
                <w:sz w:val="18"/>
                <w:szCs w:val="18"/>
              </w:rPr>
              <w:t>、中国证监会认定其他非经常性损益项目</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w:t>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5"/>
                <w:sz w:val="18"/>
              </w:rPr>
              <w:t>502,314.82</w:t>
            </w:r>
            <w:r>
              <w:rPr>
                <w:rFonts w:ascii="Times New Roman"/>
                <w:sz w:val="18"/>
              </w:rPr>
            </w:r>
          </w:p>
        </w:tc>
      </w:tr>
      <w:tr>
        <w:trPr>
          <w:trHeight w:val="373"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18"/>
                <w:szCs w:val="18"/>
              </w:rPr>
            </w:pPr>
            <w:r>
              <w:rPr>
                <w:rFonts w:ascii="宋体" w:hAnsi="宋体" w:cs="宋体" w:eastAsia="宋体" w:hint="default"/>
                <w:spacing w:val="-12"/>
                <w:sz w:val="18"/>
                <w:szCs w:val="18"/>
              </w:rPr>
              <w:t>扣除所得税前非经常性损益合计</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pacing w:val="-1"/>
                <w:sz w:val="18"/>
              </w:rPr>
              <w:t>11,393,314.81</w:t>
            </w:r>
          </w:p>
        </w:tc>
      </w:tr>
      <w:tr>
        <w:trPr>
          <w:trHeight w:val="402"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8" w:right="0"/>
              <w:jc w:val="left"/>
              <w:rPr>
                <w:rFonts w:ascii="宋体" w:hAnsi="宋体" w:cs="宋体" w:eastAsia="宋体" w:hint="default"/>
                <w:sz w:val="18"/>
                <w:szCs w:val="18"/>
              </w:rPr>
            </w:pPr>
            <w:r>
              <w:rPr>
                <w:rFonts w:ascii="宋体" w:hAnsi="宋体" w:cs="宋体" w:eastAsia="宋体" w:hint="default"/>
                <w:spacing w:val="-12"/>
                <w:sz w:val="18"/>
                <w:szCs w:val="18"/>
              </w:rPr>
              <w:t>减：所得税影响金额</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right="1"/>
              <w:jc w:val="right"/>
              <w:rPr>
                <w:rFonts w:ascii="Times New Roman" w:hAnsi="Times New Roman" w:cs="Times New Roman" w:eastAsia="Times New Roman" w:hint="default"/>
                <w:sz w:val="18"/>
                <w:szCs w:val="18"/>
              </w:rPr>
            </w:pPr>
            <w:r>
              <w:rPr>
                <w:rFonts w:ascii="Times New Roman"/>
                <w:spacing w:val="-1"/>
                <w:sz w:val="18"/>
              </w:rPr>
              <w:t>1,005,521.71</w:t>
            </w:r>
          </w:p>
        </w:tc>
      </w:tr>
      <w:tr>
        <w:trPr>
          <w:trHeight w:val="413" w:hRule="exact"/>
        </w:trPr>
        <w:tc>
          <w:tcPr>
            <w:tcW w:w="67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8"/>
                <w:szCs w:val="18"/>
              </w:rPr>
            </w:pPr>
            <w:r>
              <w:rPr>
                <w:rFonts w:ascii="宋体" w:hAnsi="宋体" w:cs="宋体" w:eastAsia="宋体" w:hint="default"/>
                <w:spacing w:val="-12"/>
                <w:sz w:val="18"/>
                <w:szCs w:val="18"/>
              </w:rPr>
              <w:t>扣除所得税后非经常性损益合计</w:t>
            </w:r>
            <w:r>
              <w:rPr>
                <w:rFonts w:ascii="宋体" w:hAnsi="宋体" w:cs="宋体" w:eastAsia="宋体" w:hint="default"/>
                <w:sz w:val="18"/>
                <w:szCs w:val="18"/>
              </w:rPr>
            </w:r>
          </w:p>
        </w:tc>
        <w:tc>
          <w:tcPr>
            <w:tcW w:w="385" w:type="dxa"/>
            <w:tcBorders>
              <w:top w:val="nil" w:sz="6" w:space="0" w:color="auto"/>
              <w:left w:val="nil" w:sz="6" w:space="0" w:color="auto"/>
              <w:bottom w:val="nil" w:sz="6" w:space="0" w:color="auto"/>
              <w:right w:val="nil" w:sz="6" w:space="0" w:color="auto"/>
            </w:tcBorders>
          </w:tcPr>
          <w:p>
            <w:pPr/>
          </w:p>
        </w:tc>
        <w:tc>
          <w:tcPr>
            <w:tcW w:w="1878" w:type="dxa"/>
            <w:tcBorders>
              <w:top w:val="single" w:sz="4" w:space="0" w:color="000000"/>
              <w:left w:val="nil" w:sz="6" w:space="0" w:color="auto"/>
              <w:bottom w:val="single" w:sz="12" w:space="0" w:color="000000"/>
              <w:right w:val="nil" w:sz="6" w:space="0" w:color="auto"/>
            </w:tcBorders>
          </w:tcPr>
          <w:p>
            <w:pPr>
              <w:pStyle w:val="TableParagraph"/>
              <w:tabs>
                <w:tab w:pos="760" w:val="left" w:leader="none"/>
              </w:tabs>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RMB</w:t>
              <w:tab/>
              <w:t>10,387,793.10</w:t>
            </w:r>
            <w:r>
              <w:rPr>
                <w:rFonts w:ascii="Times New Roman"/>
                <w:sz w:val="18"/>
              </w:rPr>
            </w:r>
          </w:p>
        </w:tc>
      </w:tr>
    </w:tbl>
    <w:p>
      <w:pPr>
        <w:spacing w:line="240" w:lineRule="auto" w:before="13"/>
        <w:rPr>
          <w:rFonts w:ascii="宋体" w:hAnsi="宋体" w:cs="宋体" w:eastAsia="宋体" w:hint="default"/>
          <w:b/>
          <w:bCs/>
          <w:sz w:val="10"/>
          <w:szCs w:val="10"/>
        </w:rPr>
      </w:pPr>
    </w:p>
    <w:p>
      <w:pPr>
        <w:pStyle w:val="BodyText"/>
        <w:spacing w:line="240" w:lineRule="auto" w:before="26"/>
        <w:ind w:left="649"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39"/>
        </w:rPr>
        <w:t> </w:t>
      </w:r>
      <w:r>
        <w:rPr>
          <w:spacing w:val="7"/>
        </w:rPr>
        <w:t>系本年度转入管理费用的以前年度计提尚未使用的应付福利费余额。</w:t>
      </w:r>
      <w:r>
        <w:rPr/>
      </w:r>
    </w:p>
    <w:p>
      <w:pPr>
        <w:spacing w:line="240" w:lineRule="auto" w:before="5"/>
        <w:rPr>
          <w:rFonts w:ascii="宋体" w:hAnsi="宋体" w:cs="宋体" w:eastAsia="宋体" w:hint="default"/>
          <w:sz w:val="17"/>
          <w:szCs w:val="17"/>
        </w:rPr>
      </w:pPr>
    </w:p>
    <w:p>
      <w:pPr>
        <w:pStyle w:val="Heading4"/>
        <w:spacing w:line="240" w:lineRule="auto" w:before="0"/>
        <w:ind w:left="651" w:right="0"/>
        <w:jc w:val="left"/>
        <w:rPr>
          <w:b w:val="0"/>
          <w:bCs w:val="0"/>
        </w:rPr>
      </w:pPr>
      <w:r>
        <w:rPr>
          <w:rFonts w:ascii="Times New Roman" w:hAnsi="Times New Roman" w:cs="Times New Roman" w:eastAsia="Times New Roman" w:hint="default"/>
          <w:spacing w:val="8"/>
        </w:rPr>
        <w:t>3</w:t>
      </w:r>
      <w:r>
        <w:rPr>
          <w:spacing w:val="8"/>
        </w:rPr>
        <w:t>．新旧会计准则股东权益差异调节表对比披露表</w:t>
      </w:r>
      <w:r>
        <w:rPr>
          <w:b w:val="0"/>
          <w:bCs w:val="0"/>
        </w:rPr>
      </w:r>
    </w:p>
    <w:p>
      <w:pPr>
        <w:spacing w:line="240" w:lineRule="auto" w:before="13"/>
        <w:rPr>
          <w:rFonts w:ascii="宋体" w:hAnsi="宋体" w:cs="宋体" w:eastAsia="宋体" w:hint="default"/>
          <w:b/>
          <w:bCs/>
          <w:sz w:val="19"/>
          <w:szCs w:val="19"/>
        </w:rPr>
      </w:pPr>
    </w:p>
    <w:tbl>
      <w:tblPr>
        <w:tblW w:w="0" w:type="auto"/>
        <w:jc w:val="left"/>
        <w:tblInd w:w="153" w:type="dxa"/>
        <w:tblLayout w:type="fixed"/>
        <w:tblCellMar>
          <w:top w:w="0" w:type="dxa"/>
          <w:left w:w="0" w:type="dxa"/>
          <w:bottom w:w="0" w:type="dxa"/>
          <w:right w:w="0" w:type="dxa"/>
        </w:tblCellMar>
        <w:tblLook w:val="01E0"/>
      </w:tblPr>
      <w:tblGrid>
        <w:gridCol w:w="3966"/>
        <w:gridCol w:w="2765"/>
        <w:gridCol w:w="1692"/>
        <w:gridCol w:w="1214"/>
      </w:tblGrid>
      <w:tr>
        <w:trPr>
          <w:trHeight w:val="307" w:hRule="exact"/>
        </w:trPr>
        <w:tc>
          <w:tcPr>
            <w:tcW w:w="3966" w:type="dxa"/>
            <w:tcBorders>
              <w:top w:val="nil" w:sz="6" w:space="0" w:color="auto"/>
              <w:left w:val="nil" w:sz="6" w:space="0" w:color="auto"/>
              <w:bottom w:val="single" w:sz="4" w:space="0" w:color="000000"/>
              <w:right w:val="nil" w:sz="6" w:space="0" w:color="auto"/>
            </w:tcBorders>
          </w:tcPr>
          <w:p>
            <w:pPr>
              <w:pStyle w:val="TableParagraph"/>
              <w:tabs>
                <w:tab w:pos="1076" w:val="left" w:leader="none"/>
              </w:tabs>
              <w:spacing w:line="180" w:lineRule="exact"/>
              <w:ind w:left="69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65" w:type="dxa"/>
            <w:tcBorders>
              <w:top w:val="nil" w:sz="6" w:space="0" w:color="auto"/>
              <w:left w:val="nil" w:sz="6" w:space="0" w:color="auto"/>
              <w:bottom w:val="single" w:sz="4" w:space="0" w:color="000000"/>
              <w:right w:val="nil" w:sz="6" w:space="0" w:color="auto"/>
            </w:tcBorders>
          </w:tcPr>
          <w:p>
            <w:pPr>
              <w:pStyle w:val="TableParagraph"/>
              <w:spacing w:line="194" w:lineRule="exact"/>
              <w:ind w:left="100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年报披露数</w:t>
            </w:r>
            <w:r>
              <w:rPr>
                <w:rFonts w:ascii="宋体" w:hAnsi="宋体" w:cs="宋体" w:eastAsia="宋体" w:hint="default"/>
                <w:sz w:val="18"/>
                <w:szCs w:val="18"/>
              </w:rPr>
            </w:r>
          </w:p>
        </w:tc>
        <w:tc>
          <w:tcPr>
            <w:tcW w:w="1692" w:type="dxa"/>
            <w:tcBorders>
              <w:top w:val="nil" w:sz="6" w:space="0" w:color="auto"/>
              <w:left w:val="nil" w:sz="6" w:space="0" w:color="auto"/>
              <w:bottom w:val="single" w:sz="4" w:space="0" w:color="000000"/>
              <w:right w:val="nil" w:sz="6" w:space="0" w:color="auto"/>
            </w:tcBorders>
          </w:tcPr>
          <w:p>
            <w:pPr>
              <w:pStyle w:val="TableParagraph"/>
              <w:spacing w:line="194"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2006</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年报披露数</w:t>
            </w:r>
            <w:r>
              <w:rPr>
                <w:rFonts w:ascii="宋体" w:hAnsi="宋体" w:cs="宋体" w:eastAsia="宋体" w:hint="default"/>
                <w:sz w:val="18"/>
                <w:szCs w:val="18"/>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180" w:lineRule="exact"/>
              <w:ind w:right="7"/>
              <w:jc w:val="center"/>
              <w:rPr>
                <w:rFonts w:ascii="宋体" w:hAnsi="宋体" w:cs="宋体" w:eastAsia="宋体" w:hint="default"/>
                <w:sz w:val="18"/>
                <w:szCs w:val="18"/>
              </w:rPr>
            </w:pPr>
            <w:r>
              <w:rPr>
                <w:rFonts w:ascii="宋体" w:hAnsi="宋体" w:cs="宋体" w:eastAsia="宋体" w:hint="default"/>
                <w:spacing w:val="7"/>
                <w:sz w:val="18"/>
                <w:szCs w:val="18"/>
              </w:rPr>
              <w:t>差异</w:t>
            </w:r>
            <w:r>
              <w:rPr>
                <w:rFonts w:ascii="宋体" w:hAnsi="宋体" w:cs="宋体" w:eastAsia="宋体" w:hint="default"/>
                <w:sz w:val="18"/>
                <w:szCs w:val="18"/>
              </w:rPr>
            </w:r>
          </w:p>
        </w:tc>
      </w:tr>
      <w:tr>
        <w:trPr>
          <w:trHeight w:val="312" w:hRule="exact"/>
        </w:trPr>
        <w:tc>
          <w:tcPr>
            <w:tcW w:w="396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11"/>
                <w:sz w:val="18"/>
                <w:szCs w:val="18"/>
              </w:rPr>
              <w:t>日股东权益</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原会计准则</w:t>
            </w:r>
            <w:r>
              <w:rPr>
                <w:rFonts w:ascii="Times New Roman" w:hAnsi="Times New Roman" w:cs="Times New Roman" w:eastAsia="Times New Roman" w:hint="default"/>
                <w:spacing w:val="-11"/>
                <w:sz w:val="18"/>
                <w:szCs w:val="18"/>
              </w:rPr>
              <w:t>)</w:t>
            </w:r>
          </w:p>
        </w:tc>
        <w:tc>
          <w:tcPr>
            <w:tcW w:w="276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54" w:right="0"/>
              <w:jc w:val="left"/>
              <w:rPr>
                <w:rFonts w:ascii="Times New Roman" w:hAnsi="Times New Roman" w:cs="Times New Roman" w:eastAsia="Times New Roman" w:hint="default"/>
                <w:sz w:val="18"/>
                <w:szCs w:val="18"/>
              </w:rPr>
            </w:pPr>
            <w:r>
              <w:rPr>
                <w:rFonts w:ascii="Times New Roman"/>
                <w:sz w:val="18"/>
              </w:rPr>
              <w:t>RMB  </w:t>
            </w:r>
            <w:r>
              <w:rPr>
                <w:rFonts w:ascii="Times New Roman"/>
                <w:spacing w:val="44"/>
                <w:sz w:val="18"/>
              </w:rPr>
              <w:t> </w:t>
            </w:r>
            <w:r>
              <w:rPr>
                <w:rFonts w:ascii="Times New Roman"/>
                <w:sz w:val="18"/>
              </w:rPr>
              <w:t>148,146,973.93</w:t>
            </w: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RMB148,146,973.93</w:t>
            </w:r>
          </w:p>
        </w:tc>
        <w:tc>
          <w:tcPr>
            <w:tcW w:w="1214" w:type="dxa"/>
            <w:tcBorders>
              <w:top w:val="single" w:sz="4" w:space="0" w:color="000000"/>
              <w:left w:val="nil" w:sz="6" w:space="0" w:color="auto"/>
              <w:bottom w:val="nil" w:sz="6" w:space="0" w:color="auto"/>
              <w:right w:val="nil" w:sz="6" w:space="0" w:color="auto"/>
            </w:tcBorders>
          </w:tcPr>
          <w:p>
            <w:pPr>
              <w:pStyle w:val="TableParagraph"/>
              <w:tabs>
                <w:tab w:pos="1154" w:val="left" w:leader="none"/>
              </w:tabs>
              <w:spacing w:line="240" w:lineRule="auto" w:before="102"/>
              <w:ind w:left="34" w:right="0"/>
              <w:jc w:val="center"/>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22" w:top="1060" w:bottom="1220" w:left="980" w:right="98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tbl>
      <w:tblPr>
        <w:tblW w:w="0" w:type="auto"/>
        <w:jc w:val="left"/>
        <w:tblInd w:w="113" w:type="dxa"/>
        <w:tblLayout w:type="fixed"/>
        <w:tblCellMar>
          <w:top w:w="0" w:type="dxa"/>
          <w:left w:w="0" w:type="dxa"/>
          <w:bottom w:w="0" w:type="dxa"/>
          <w:right w:w="0" w:type="dxa"/>
        </w:tblCellMar>
        <w:tblLook w:val="01E0"/>
      </w:tblPr>
      <w:tblGrid>
        <w:gridCol w:w="4881"/>
        <w:gridCol w:w="2064"/>
        <w:gridCol w:w="1679"/>
        <w:gridCol w:w="1214"/>
      </w:tblGrid>
      <w:tr>
        <w:trPr>
          <w:trHeight w:val="307"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194" w:lineRule="exact"/>
              <w:ind w:left="355"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合并范围变化影响</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191" w:lineRule="exact"/>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191" w:lineRule="exact"/>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长期股权投资差额影响</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4"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11" w:right="0"/>
              <w:jc w:val="left"/>
              <w:rPr>
                <w:rFonts w:ascii="宋体" w:hAnsi="宋体" w:cs="宋体" w:eastAsia="宋体" w:hint="default"/>
                <w:sz w:val="18"/>
                <w:szCs w:val="18"/>
              </w:rPr>
            </w:pPr>
            <w:r>
              <w:rPr>
                <w:rFonts w:ascii="宋体" w:hAnsi="宋体" w:cs="宋体" w:eastAsia="宋体" w:hint="default"/>
                <w:spacing w:val="-12"/>
                <w:sz w:val="18"/>
                <w:szCs w:val="18"/>
              </w:rPr>
              <w:t>其中：同一控制下企业合并长期股权投资差额</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01" w:right="0"/>
              <w:jc w:val="left"/>
              <w:rPr>
                <w:rFonts w:ascii="宋体" w:hAnsi="宋体" w:cs="宋体" w:eastAsia="宋体" w:hint="default"/>
                <w:sz w:val="18"/>
                <w:szCs w:val="18"/>
              </w:rPr>
            </w:pPr>
            <w:r>
              <w:rPr>
                <w:rFonts w:ascii="宋体" w:hAnsi="宋体" w:cs="宋体" w:eastAsia="宋体" w:hint="default"/>
                <w:spacing w:val="-12"/>
                <w:sz w:val="18"/>
                <w:szCs w:val="18"/>
              </w:rPr>
              <w:t>其他采用权益法核算的长期股权投资贷方差额</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5"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公允价值变动影响</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4"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11" w:right="0"/>
              <w:jc w:val="left"/>
              <w:rPr>
                <w:rFonts w:ascii="宋体" w:hAnsi="宋体" w:cs="宋体" w:eastAsia="宋体" w:hint="default"/>
                <w:sz w:val="18"/>
                <w:szCs w:val="18"/>
              </w:rPr>
            </w:pPr>
            <w:r>
              <w:rPr>
                <w:rFonts w:ascii="宋体" w:hAnsi="宋体" w:cs="宋体" w:eastAsia="宋体" w:hint="default"/>
                <w:spacing w:val="-12"/>
                <w:sz w:val="18"/>
                <w:szCs w:val="18"/>
              </w:rPr>
              <w:t>其中：交易性金融工具</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79" w:right="0"/>
              <w:jc w:val="left"/>
              <w:rPr>
                <w:rFonts w:ascii="宋体" w:hAnsi="宋体" w:cs="宋体" w:eastAsia="宋体" w:hint="default"/>
                <w:sz w:val="18"/>
                <w:szCs w:val="18"/>
              </w:rPr>
            </w:pPr>
            <w:r>
              <w:rPr>
                <w:rFonts w:ascii="宋体" w:hAnsi="宋体" w:cs="宋体" w:eastAsia="宋体" w:hint="default"/>
                <w:spacing w:val="-12"/>
                <w:sz w:val="18"/>
                <w:szCs w:val="18"/>
              </w:rPr>
              <w:t>投资性房地产</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5"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金融工具分拆影响</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预计负债影响</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4"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11" w:right="0"/>
              <w:jc w:val="left"/>
              <w:rPr>
                <w:rFonts w:ascii="宋体" w:hAnsi="宋体" w:cs="宋体" w:eastAsia="宋体" w:hint="default"/>
                <w:sz w:val="18"/>
                <w:szCs w:val="18"/>
              </w:rPr>
            </w:pPr>
            <w:r>
              <w:rPr>
                <w:rFonts w:ascii="宋体" w:hAnsi="宋体" w:cs="宋体" w:eastAsia="宋体" w:hint="default"/>
                <w:spacing w:val="-12"/>
                <w:sz w:val="18"/>
                <w:szCs w:val="18"/>
              </w:rPr>
              <w:t>其中：预计弃置费用</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79" w:right="0"/>
              <w:jc w:val="left"/>
              <w:rPr>
                <w:rFonts w:ascii="宋体" w:hAnsi="宋体" w:cs="宋体" w:eastAsia="宋体" w:hint="default"/>
                <w:sz w:val="18"/>
                <w:szCs w:val="18"/>
              </w:rPr>
            </w:pPr>
            <w:r>
              <w:rPr>
                <w:rFonts w:ascii="宋体" w:hAnsi="宋体" w:cs="宋体" w:eastAsia="宋体" w:hint="default"/>
                <w:spacing w:val="-12"/>
                <w:sz w:val="18"/>
                <w:szCs w:val="18"/>
              </w:rPr>
              <w:t>预计辞退福利</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79" w:right="0"/>
              <w:jc w:val="left"/>
              <w:rPr>
                <w:rFonts w:ascii="宋体" w:hAnsi="宋体" w:cs="宋体" w:eastAsia="宋体" w:hint="default"/>
                <w:sz w:val="18"/>
                <w:szCs w:val="18"/>
              </w:rPr>
            </w:pPr>
            <w:r>
              <w:rPr>
                <w:rFonts w:ascii="宋体" w:hAnsi="宋体" w:cs="宋体" w:eastAsia="宋体" w:hint="default"/>
                <w:spacing w:val="-12"/>
                <w:sz w:val="18"/>
                <w:szCs w:val="18"/>
              </w:rPr>
              <w:t>债务重组义务</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5"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所得税影响</w:t>
            </w:r>
            <w:r>
              <w:rPr>
                <w:rFonts w:ascii="宋体" w:hAnsi="宋体" w:cs="宋体" w:eastAsia="宋体" w:hint="default"/>
                <w:sz w:val="18"/>
                <w:szCs w:val="18"/>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8"/>
              <w:jc w:val="right"/>
              <w:rPr>
                <w:rFonts w:ascii="Times New Roman" w:hAnsi="Times New Roman" w:cs="Times New Roman" w:eastAsia="Times New Roman" w:hint="default"/>
                <w:sz w:val="18"/>
                <w:szCs w:val="18"/>
              </w:rPr>
            </w:pPr>
            <w:r>
              <w:rPr>
                <w:rFonts w:ascii="Times New Roman"/>
                <w:sz w:val="18"/>
              </w:rPr>
              <w:t>730,816.63</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
              <w:jc w:val="right"/>
              <w:rPr>
                <w:rFonts w:ascii="Times New Roman" w:hAnsi="Times New Roman" w:cs="Times New Roman" w:eastAsia="Times New Roman" w:hint="default"/>
                <w:sz w:val="18"/>
                <w:szCs w:val="18"/>
              </w:rPr>
            </w:pPr>
            <w:r>
              <w:rPr>
                <w:rFonts w:ascii="Times New Roman"/>
                <w:sz w:val="18"/>
              </w:rPr>
              <w:t>730,816.63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其他</w:t>
            </w:r>
            <w:r>
              <w:rPr>
                <w:rFonts w:ascii="宋体" w:hAnsi="宋体" w:cs="宋体" w:eastAsia="宋体" w:hint="default"/>
                <w:sz w:val="18"/>
                <w:szCs w:val="18"/>
              </w:rPr>
            </w: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3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12"/>
                <w:sz w:val="18"/>
                <w:szCs w:val="18"/>
              </w:rPr>
              <w:t>日按新会计准则核算的金额</w:t>
            </w:r>
            <w:r>
              <w:rPr>
                <w:rFonts w:ascii="宋体" w:hAnsi="宋体" w:cs="宋体" w:eastAsia="宋体" w:hint="default"/>
                <w:sz w:val="18"/>
                <w:szCs w:val="18"/>
              </w:rPr>
            </w:r>
          </w:p>
        </w:tc>
        <w:tc>
          <w:tcPr>
            <w:tcW w:w="20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RMB  </w:t>
            </w:r>
            <w:r>
              <w:rPr>
                <w:rFonts w:ascii="Times New Roman"/>
                <w:spacing w:val="44"/>
                <w:sz w:val="18"/>
              </w:rPr>
              <w:t> </w:t>
            </w:r>
            <w:r>
              <w:rPr>
                <w:rFonts w:ascii="Times New Roman"/>
                <w:sz w:val="18"/>
              </w:rPr>
              <w:t>148,877,790.56</w:t>
            </w:r>
          </w:p>
        </w:tc>
        <w:tc>
          <w:tcPr>
            <w:tcW w:w="16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pacing w:val="-1"/>
                <w:sz w:val="18"/>
              </w:rPr>
              <w:t>RMB148,877,790.56</w:t>
            </w:r>
          </w:p>
        </w:tc>
        <w:tc>
          <w:tcPr>
            <w:tcW w:w="1214" w:type="dxa"/>
            <w:tcBorders>
              <w:top w:val="single" w:sz="4" w:space="0" w:color="000000"/>
              <w:left w:val="nil" w:sz="6" w:space="0" w:color="auto"/>
              <w:bottom w:val="single" w:sz="12" w:space="0" w:color="000000"/>
              <w:right w:val="nil" w:sz="6" w:space="0" w:color="auto"/>
            </w:tcBorders>
          </w:tcPr>
          <w:p>
            <w:pPr>
              <w:pStyle w:val="TableParagraph"/>
              <w:tabs>
                <w:tab w:pos="1120" w:val="left" w:leader="none"/>
              </w:tabs>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r>
    </w:tbl>
    <w:p>
      <w:pPr>
        <w:spacing w:line="240" w:lineRule="auto" w:before="0"/>
        <w:rPr>
          <w:rFonts w:ascii="宋体" w:hAnsi="宋体" w:cs="宋体" w:eastAsia="宋体" w:hint="default"/>
          <w:b/>
          <w:bCs/>
          <w:sz w:val="14"/>
          <w:szCs w:val="14"/>
        </w:rPr>
      </w:pPr>
    </w:p>
    <w:p>
      <w:pPr>
        <w:pStyle w:val="Heading4"/>
        <w:spacing w:line="240" w:lineRule="auto"/>
        <w:ind w:left="811" w:right="1410"/>
        <w:jc w:val="left"/>
        <w:rPr>
          <w:b w:val="0"/>
          <w:bCs w:val="0"/>
        </w:rPr>
      </w:pPr>
      <w:r>
        <w:rPr>
          <w:rFonts w:ascii="Times New Roman" w:hAnsi="Times New Roman" w:cs="Times New Roman" w:eastAsia="Times New Roman" w:hint="default"/>
          <w:spacing w:val="8"/>
        </w:rPr>
        <w:t>4</w:t>
      </w:r>
      <w:r>
        <w:rPr>
          <w:spacing w:val="8"/>
        </w:rPr>
        <w:t>．二零零六年度新旧会计准则利润表调整项目表</w:t>
      </w:r>
      <w:r>
        <w:rPr>
          <w:b w:val="0"/>
          <w:bCs w:val="0"/>
        </w:rPr>
      </w:r>
    </w:p>
    <w:p>
      <w:pPr>
        <w:spacing w:line="240" w:lineRule="auto" w:before="3"/>
        <w:rPr>
          <w:rFonts w:ascii="宋体" w:hAnsi="宋体" w:cs="宋体" w:eastAsia="宋体" w:hint="default"/>
          <w:b/>
          <w:bCs/>
          <w:sz w:val="21"/>
          <w:szCs w:val="21"/>
        </w:rPr>
      </w:pPr>
    </w:p>
    <w:tbl>
      <w:tblPr>
        <w:tblW w:w="0" w:type="auto"/>
        <w:jc w:val="left"/>
        <w:tblInd w:w="313" w:type="dxa"/>
        <w:tblLayout w:type="fixed"/>
        <w:tblCellMar>
          <w:top w:w="0" w:type="dxa"/>
          <w:left w:w="0" w:type="dxa"/>
          <w:bottom w:w="0" w:type="dxa"/>
          <w:right w:w="0" w:type="dxa"/>
        </w:tblCellMar>
        <w:tblLook w:val="01E0"/>
      </w:tblPr>
      <w:tblGrid>
        <w:gridCol w:w="2405"/>
        <w:gridCol w:w="1120"/>
        <w:gridCol w:w="2456"/>
        <w:gridCol w:w="998"/>
        <w:gridCol w:w="2660"/>
      </w:tblGrid>
      <w:tr>
        <w:trPr>
          <w:trHeight w:val="325" w:hRule="exact"/>
        </w:trPr>
        <w:tc>
          <w:tcPr>
            <w:tcW w:w="2405" w:type="dxa"/>
            <w:tcBorders>
              <w:top w:val="nil" w:sz="6" w:space="0" w:color="auto"/>
              <w:left w:val="nil" w:sz="6" w:space="0" w:color="auto"/>
              <w:bottom w:val="single" w:sz="4" w:space="0" w:color="000000"/>
              <w:right w:val="nil" w:sz="6" w:space="0" w:color="auto"/>
            </w:tcBorders>
          </w:tcPr>
          <w:p>
            <w:pPr>
              <w:pStyle w:val="TableParagraph"/>
              <w:tabs>
                <w:tab w:pos="383"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调整前</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调整后</w:t>
            </w:r>
          </w:p>
        </w:tc>
      </w:tr>
      <w:tr>
        <w:trPr>
          <w:trHeight w:val="461" w:hRule="exact"/>
        </w:trPr>
        <w:tc>
          <w:tcPr>
            <w:tcW w:w="240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pacing w:val="7"/>
                <w:sz w:val="18"/>
                <w:szCs w:val="18"/>
              </w:rPr>
              <w:t>营业收入</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nil" w:sz="6" w:space="0" w:color="auto"/>
              <w:right w:val="nil" w:sz="6" w:space="0" w:color="auto"/>
            </w:tcBorders>
          </w:tcPr>
          <w:p>
            <w:pPr>
              <w:pStyle w:val="TableParagraph"/>
              <w:tabs>
                <w:tab w:pos="1030" w:val="left" w:leader="none"/>
              </w:tabs>
              <w:spacing w:line="240" w:lineRule="auto" w:before="119"/>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234,493,689.51</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single" w:sz="4" w:space="0" w:color="000000"/>
              <w:left w:val="nil" w:sz="6" w:space="0" w:color="auto"/>
              <w:bottom w:val="nil" w:sz="6" w:space="0" w:color="auto"/>
              <w:right w:val="nil" w:sz="6" w:space="0" w:color="auto"/>
            </w:tcBorders>
          </w:tcPr>
          <w:p>
            <w:pPr>
              <w:pStyle w:val="TableParagraph"/>
              <w:tabs>
                <w:tab w:pos="1210" w:val="left" w:leader="none"/>
              </w:tabs>
              <w:spacing w:line="240" w:lineRule="auto" w:before="119"/>
              <w:ind w:right="0"/>
              <w:jc w:val="right"/>
              <w:rPr>
                <w:rFonts w:ascii="Times New Roman" w:hAnsi="Times New Roman" w:cs="Times New Roman" w:eastAsia="Times New Roman" w:hint="default"/>
                <w:sz w:val="18"/>
                <w:szCs w:val="18"/>
              </w:rPr>
            </w:pPr>
            <w:r>
              <w:rPr>
                <w:rFonts w:ascii="Times New Roman"/>
                <w:spacing w:val="-1"/>
                <w:sz w:val="18"/>
              </w:rPr>
              <w:t>RMB</w:t>
              <w:tab/>
              <w:t>241,375,439.23</w:t>
            </w:r>
          </w:p>
        </w:tc>
      </w:tr>
      <w:tr>
        <w:trPr>
          <w:trHeight w:val="458"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left"/>
              <w:rPr>
                <w:rFonts w:ascii="宋体" w:hAnsi="宋体" w:cs="宋体" w:eastAsia="宋体" w:hint="default"/>
                <w:sz w:val="18"/>
                <w:szCs w:val="18"/>
              </w:rPr>
            </w:pPr>
            <w:r>
              <w:rPr>
                <w:rFonts w:ascii="宋体" w:hAnsi="宋体" w:cs="宋体" w:eastAsia="宋体" w:hint="default"/>
                <w:spacing w:val="7"/>
                <w:sz w:val="18"/>
                <w:szCs w:val="18"/>
              </w:rPr>
              <w:t>营业成本</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99,618,905.37</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102,997,999.41</w:t>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pacing w:val="7"/>
                <w:sz w:val="18"/>
                <w:szCs w:val="18"/>
              </w:rPr>
              <w:t>其他业务利润</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3,502,655.68</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pacing w:val="7"/>
                <w:sz w:val="18"/>
                <w:szCs w:val="18"/>
              </w:rPr>
              <w:t>管理费用</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52,510,350.24</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50,024,115.13</w:t>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pacing w:val="7"/>
                <w:sz w:val="18"/>
                <w:szCs w:val="18"/>
              </w:rPr>
              <w:t>资产减值损失</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
              <w:jc w:val="right"/>
              <w:rPr>
                <w:rFonts w:ascii="Times New Roman" w:hAnsi="Times New Roman" w:cs="Times New Roman" w:eastAsia="Times New Roman" w:hint="default"/>
                <w:sz w:val="18"/>
                <w:szCs w:val="18"/>
              </w:rPr>
            </w:pPr>
            <w:r>
              <w:rPr>
                <w:rFonts w:ascii="Times New Roman"/>
                <w:spacing w:val="-1"/>
                <w:sz w:val="18"/>
              </w:rPr>
              <w:t>2,486,235.11</w:t>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pacing w:val="7"/>
                <w:sz w:val="18"/>
                <w:szCs w:val="18"/>
              </w:rPr>
              <w:t>补贴收入</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16,343,165.60</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pacing w:val="6"/>
                <w:sz w:val="18"/>
                <w:szCs w:val="18"/>
              </w:rPr>
              <w:t>营业外收入</w:t>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z w:val="18"/>
              </w:rPr>
              <w:t>3,697.24</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16,346,862.84</w:t>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pacing w:val="5"/>
                <w:sz w:val="18"/>
                <w:szCs w:val="18"/>
              </w:rPr>
              <w:t>所得税</w:t>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Times New Roman" w:hAnsi="Times New Roman" w:cs="Times New Roman" w:eastAsia="Times New Roman" w:hint="default"/>
                <w:sz w:val="18"/>
                <w:szCs w:val="18"/>
              </w:rPr>
            </w:pPr>
            <w:r>
              <w:rPr>
                <w:rFonts w:ascii="Times New Roman"/>
                <w:spacing w:val="-1"/>
                <w:sz w:val="18"/>
              </w:rPr>
              <w:t>3,162,809.82</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
              <w:jc w:val="right"/>
              <w:rPr>
                <w:rFonts w:ascii="Times New Roman" w:hAnsi="Times New Roman" w:cs="Times New Roman" w:eastAsia="Times New Roman" w:hint="default"/>
                <w:sz w:val="18"/>
                <w:szCs w:val="18"/>
              </w:rPr>
            </w:pPr>
            <w:r>
              <w:rPr>
                <w:rFonts w:ascii="Times New Roman"/>
                <w:spacing w:val="-1"/>
                <w:sz w:val="18"/>
              </w:rPr>
              <w:t>2,949,928.68</w:t>
            </w:r>
          </w:p>
        </w:tc>
      </w:tr>
      <w:tr>
        <w:trPr>
          <w:trHeight w:val="460"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pacing w:val="7"/>
                <w:sz w:val="18"/>
                <w:szCs w:val="18"/>
              </w:rPr>
              <w:t>未确认投资损失</w:t>
            </w:r>
            <w:r>
              <w:rPr>
                <w:rFonts w:ascii="宋体" w:hAnsi="宋体" w:cs="宋体" w:eastAsia="宋体" w:hint="default"/>
                <w:sz w:val="18"/>
                <w:szCs w:val="18"/>
              </w:rPr>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(118,141.00)</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pacing w:val="5"/>
                <w:sz w:val="18"/>
                <w:szCs w:val="18"/>
              </w:rPr>
              <w:t>净利润</w:t>
            </w:r>
          </w:p>
        </w:tc>
        <w:tc>
          <w:tcPr>
            <w:tcW w:w="112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tabs>
                <w:tab w:pos="1120" w:val="left" w:leader="none"/>
              </w:tabs>
              <w:spacing w:line="240" w:lineRule="auto" w:before="120"/>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50,412,655.92</w:t>
            </w:r>
          </w:p>
        </w:tc>
        <w:tc>
          <w:tcPr>
            <w:tcW w:w="99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tabs>
                <w:tab w:pos="1300" w:val="left" w:leader="none"/>
              </w:tabs>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RMB</w:t>
              <w:tab/>
              <w:t>50,743,678.06</w:t>
            </w:r>
          </w:p>
        </w:tc>
      </w:tr>
    </w:tbl>
    <w:p>
      <w:pPr>
        <w:spacing w:line="240" w:lineRule="auto" w:before="1"/>
        <w:rPr>
          <w:rFonts w:ascii="宋体" w:hAnsi="宋体" w:cs="宋体" w:eastAsia="宋体" w:hint="default"/>
          <w:b/>
          <w:bCs/>
          <w:sz w:val="18"/>
          <w:szCs w:val="18"/>
        </w:rPr>
      </w:pPr>
    </w:p>
    <w:p>
      <w:pPr>
        <w:pStyle w:val="Heading4"/>
        <w:spacing w:line="240" w:lineRule="auto"/>
        <w:ind w:left="811" w:right="1410"/>
        <w:jc w:val="left"/>
        <w:rPr>
          <w:b w:val="0"/>
          <w:bCs w:val="0"/>
        </w:rPr>
      </w:pPr>
      <w:r>
        <w:rPr>
          <w:rFonts w:ascii="Times New Roman" w:hAnsi="Times New Roman" w:cs="Times New Roman" w:eastAsia="Times New Roman" w:hint="default"/>
          <w:spacing w:val="8"/>
        </w:rPr>
        <w:t>5</w:t>
      </w:r>
      <w:r>
        <w:rPr>
          <w:spacing w:val="8"/>
        </w:rPr>
        <w:t>．二零零六年度新旧会计准则净利润差异调节表</w:t>
      </w:r>
      <w:r>
        <w:rPr>
          <w:b w:val="0"/>
          <w:bCs w:val="0"/>
        </w:rPr>
      </w:r>
    </w:p>
    <w:p>
      <w:pPr>
        <w:spacing w:line="240" w:lineRule="auto" w:before="8"/>
        <w:rPr>
          <w:rFonts w:ascii="宋体" w:hAnsi="宋体" w:cs="宋体" w:eastAsia="宋体" w:hint="default"/>
          <w:b/>
          <w:bCs/>
          <w:sz w:val="16"/>
          <w:szCs w:val="16"/>
        </w:rPr>
      </w:pPr>
    </w:p>
    <w:tbl>
      <w:tblPr>
        <w:tblW w:w="0" w:type="auto"/>
        <w:jc w:val="left"/>
        <w:tblInd w:w="313" w:type="dxa"/>
        <w:tblLayout w:type="fixed"/>
        <w:tblCellMar>
          <w:top w:w="0" w:type="dxa"/>
          <w:left w:w="0" w:type="dxa"/>
          <w:bottom w:w="0" w:type="dxa"/>
          <w:right w:w="0" w:type="dxa"/>
        </w:tblCellMar>
        <w:tblLook w:val="01E0"/>
      </w:tblPr>
      <w:tblGrid>
        <w:gridCol w:w="5033"/>
        <w:gridCol w:w="1664"/>
        <w:gridCol w:w="2941"/>
      </w:tblGrid>
      <w:tr>
        <w:trPr>
          <w:trHeight w:val="265" w:hRule="exact"/>
        </w:trPr>
        <w:tc>
          <w:tcPr>
            <w:tcW w:w="5033"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64"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single" w:sz="4" w:space="0" w:color="000000"/>
              <w:right w:val="nil" w:sz="6" w:space="0" w:color="auto"/>
            </w:tcBorders>
          </w:tcPr>
          <w:p>
            <w:pPr>
              <w:pStyle w:val="TableParagraph"/>
              <w:tabs>
                <w:tab w:pos="545" w:val="left" w:leader="none"/>
              </w:tabs>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8" w:hRule="exact"/>
        </w:trPr>
        <w:tc>
          <w:tcPr>
            <w:tcW w:w="503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原会计准则</w:t>
            </w:r>
            <w:r>
              <w:rPr>
                <w:rFonts w:ascii="Times New Roman" w:hAnsi="Times New Roman" w:cs="Times New Roman" w:eastAsia="Times New Roman" w:hint="default"/>
                <w:sz w:val="18"/>
                <w:szCs w:val="18"/>
              </w:rPr>
              <w:t>)</w:t>
            </w:r>
          </w:p>
        </w:tc>
        <w:tc>
          <w:tcPr>
            <w:tcW w:w="1664" w:type="dxa"/>
            <w:tcBorders>
              <w:top w:val="nil" w:sz="6" w:space="0" w:color="auto"/>
              <w:left w:val="nil" w:sz="6" w:space="0" w:color="auto"/>
              <w:bottom w:val="nil" w:sz="6" w:space="0" w:color="auto"/>
              <w:right w:val="nil" w:sz="6" w:space="0" w:color="auto"/>
            </w:tcBorders>
          </w:tcPr>
          <w:p>
            <w:pPr/>
          </w:p>
        </w:tc>
        <w:tc>
          <w:tcPr>
            <w:tcW w:w="2941" w:type="dxa"/>
            <w:tcBorders>
              <w:top w:val="single" w:sz="4" w:space="0" w:color="000000"/>
              <w:left w:val="nil" w:sz="6" w:space="0" w:color="auto"/>
              <w:bottom w:val="nil" w:sz="6" w:space="0" w:color="auto"/>
              <w:right w:val="nil" w:sz="6" w:space="0" w:color="auto"/>
            </w:tcBorders>
          </w:tcPr>
          <w:p>
            <w:pPr>
              <w:pStyle w:val="TableParagraph"/>
              <w:tabs>
                <w:tab w:pos="1570" w:val="left" w:leader="none"/>
              </w:tabs>
              <w:spacing w:line="240" w:lineRule="auto" w:before="73"/>
              <w:ind w:right="0"/>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50,412,655.92</w:t>
            </w:r>
          </w:p>
        </w:tc>
      </w:tr>
      <w:tr>
        <w:trPr>
          <w:trHeight w:val="268" w:hRule="exact"/>
        </w:trPr>
        <w:tc>
          <w:tcPr>
            <w:tcW w:w="5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加：追溯调整项目影响合计数</w:t>
            </w:r>
          </w:p>
        </w:tc>
        <w:tc>
          <w:tcPr>
            <w:tcW w:w="1664"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z w:val="18"/>
              </w:rPr>
              <w:t>331,022.14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22" w:top="1060" w:bottom="1220" w:left="820" w:right="980"/>
        </w:sectPr>
      </w:pP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6727"/>
        <w:gridCol w:w="2971"/>
      </w:tblGrid>
      <w:tr>
        <w:trPr>
          <w:trHeight w:val="678" w:hRule="exact"/>
        </w:trPr>
        <w:tc>
          <w:tcPr>
            <w:tcW w:w="6727"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7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30"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3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3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
              <w:jc w:val="right"/>
              <w:rPr>
                <w:rFonts w:ascii="Times New Roman" w:hAnsi="Times New Roman" w:cs="Times New Roman" w:eastAsia="Times New Roman" w:hint="default"/>
                <w:sz w:val="18"/>
                <w:szCs w:val="18"/>
              </w:rPr>
            </w:pPr>
            <w:r>
              <w:rPr>
                <w:rFonts w:ascii="Times New Roman"/>
                <w:sz w:val="18"/>
              </w:rPr>
              <w:t>212,881.14</w:t>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118,141.00</w:t>
            </w:r>
          </w:p>
        </w:tc>
      </w:tr>
      <w:tr>
        <w:trPr>
          <w:trHeight w:val="334"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减：追溯调整项目影响少数股东损益</w:t>
            </w:r>
          </w:p>
        </w:tc>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年度归属于母公司股东的净利润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新会计准则</w:t>
            </w:r>
            <w:r>
              <w:rPr>
                <w:rFonts w:ascii="Times New Roman" w:hAnsi="Times New Roman" w:cs="Times New Roman" w:eastAsia="Times New Roman" w:hint="default"/>
                <w:sz w:val="18"/>
                <w:szCs w:val="18"/>
              </w:rPr>
              <w:t>)</w:t>
            </w:r>
          </w:p>
        </w:tc>
        <w:tc>
          <w:tcPr>
            <w:tcW w:w="2971"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50,743,678.06</w:t>
            </w:r>
          </w:p>
        </w:tc>
      </w:tr>
      <w:tr>
        <w:trPr>
          <w:trHeight w:val="342"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0" w:right="0"/>
              <w:jc w:val="left"/>
              <w:rPr>
                <w:rFonts w:ascii="宋体" w:hAnsi="宋体" w:cs="宋体" w:eastAsia="宋体" w:hint="default"/>
                <w:sz w:val="18"/>
                <w:szCs w:val="18"/>
              </w:rPr>
            </w:pPr>
            <w:r>
              <w:rPr>
                <w:rFonts w:ascii="宋体" w:hAnsi="宋体" w:cs="宋体" w:eastAsia="宋体" w:hint="default"/>
                <w:sz w:val="18"/>
                <w:szCs w:val="18"/>
              </w:rPr>
              <w:t>假定全面执行新会计准则和备考信息</w:t>
            </w:r>
          </w:p>
        </w:tc>
        <w:tc>
          <w:tcPr>
            <w:tcW w:w="297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加：其他项目影响合计数</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0" w:right="0"/>
              <w:jc w:val="left"/>
              <w:rPr>
                <w:rFonts w:ascii="宋体" w:hAnsi="宋体" w:cs="宋体" w:eastAsia="宋体" w:hint="default"/>
                <w:sz w:val="18"/>
                <w:szCs w:val="18"/>
              </w:rPr>
            </w:pPr>
            <w:r>
              <w:rPr>
                <w:rFonts w:ascii="宋体" w:hAnsi="宋体" w:cs="宋体" w:eastAsia="宋体" w:hint="default"/>
                <w:sz w:val="18"/>
                <w:szCs w:val="18"/>
              </w:rPr>
              <w:t>其中：开发费用</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3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3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加：追溯调整项目影响少数股东损益</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加：原年度财务报表列示的少数股东损益</w:t>
            </w:r>
          </w:p>
        </w:tc>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47,198.59</w:t>
            </w:r>
          </w:p>
        </w:tc>
      </w:tr>
      <w:tr>
        <w:trPr>
          <w:trHeight w:val="350" w:hRule="exact"/>
        </w:trPr>
        <w:tc>
          <w:tcPr>
            <w:tcW w:w="67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年度模拟净利润</w:t>
            </w:r>
          </w:p>
        </w:tc>
        <w:tc>
          <w:tcPr>
            <w:tcW w:w="2971" w:type="dxa"/>
            <w:tcBorders>
              <w:top w:val="single" w:sz="4" w:space="0" w:color="000000"/>
              <w:left w:val="nil" w:sz="6" w:space="0" w:color="auto"/>
              <w:bottom w:val="single" w:sz="12" w:space="0" w:color="000000"/>
              <w:right w:val="nil" w:sz="6" w:space="0" w:color="auto"/>
            </w:tcBorders>
          </w:tcPr>
          <w:p>
            <w:pPr>
              <w:pStyle w:val="TableParagraph"/>
              <w:tabs>
                <w:tab w:pos="1480" w:val="left" w:leader="none"/>
              </w:tabs>
              <w:spacing w:line="240" w:lineRule="auto" w:before="73"/>
              <w:ind w:right="27"/>
              <w:jc w:val="right"/>
              <w:rPr>
                <w:rFonts w:ascii="Times New Roman" w:hAnsi="Times New Roman" w:cs="Times New Roman" w:eastAsia="Times New Roman" w:hint="default"/>
                <w:sz w:val="18"/>
                <w:szCs w:val="18"/>
              </w:rPr>
            </w:pPr>
            <w:r>
              <w:rPr>
                <w:rFonts w:ascii="Times New Roman"/>
                <w:w w:val="95"/>
                <w:sz w:val="18"/>
              </w:rPr>
              <w:t>RMB</w:t>
              <w:tab/>
            </w:r>
            <w:r>
              <w:rPr>
                <w:rFonts w:ascii="Times New Roman"/>
                <w:spacing w:val="-1"/>
                <w:sz w:val="18"/>
              </w:rPr>
              <w:t>50,790,876.65</w:t>
            </w:r>
          </w:p>
        </w:tc>
      </w:tr>
    </w:tbl>
    <w:p>
      <w:pPr>
        <w:spacing w:line="240" w:lineRule="auto" w:before="13"/>
        <w:rPr>
          <w:rFonts w:ascii="宋体" w:hAnsi="宋体" w:cs="宋体" w:eastAsia="宋体" w:hint="default"/>
          <w:b/>
          <w:bCs/>
          <w:sz w:val="7"/>
          <w:szCs w:val="7"/>
        </w:rPr>
      </w:pPr>
    </w:p>
    <w:p>
      <w:pPr>
        <w:pStyle w:val="Heading4"/>
        <w:spacing w:line="240" w:lineRule="auto"/>
        <w:ind w:left="644" w:right="0"/>
        <w:jc w:val="left"/>
        <w:rPr>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54"/>
        </w:rPr>
        <w:t> </w:t>
      </w:r>
      <w:r>
        <w:rPr>
          <w:spacing w:val="8"/>
        </w:rPr>
        <w:t>年度间变动幅度较大的合并会计报表项目及其说明</w:t>
      </w:r>
      <w:r>
        <w:rPr>
          <w:b w:val="0"/>
          <w:bCs w:val="0"/>
        </w:rPr>
      </w:r>
    </w:p>
    <w:p>
      <w:pPr>
        <w:pStyle w:val="BodyText"/>
        <w:spacing w:line="240" w:lineRule="auto" w:before="147"/>
        <w:ind w:left="629" w:right="6016"/>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8"/>
        </w:rPr>
        <w:t>资产负债表科目</w:t>
      </w:r>
      <w:r>
        <w:rPr/>
      </w:r>
    </w:p>
    <w:p>
      <w:pPr>
        <w:spacing w:line="240" w:lineRule="auto" w:before="12"/>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62"/>
        <w:gridCol w:w="156"/>
        <w:gridCol w:w="589"/>
        <w:gridCol w:w="1721"/>
        <w:gridCol w:w="138"/>
        <w:gridCol w:w="694"/>
        <w:gridCol w:w="1316"/>
        <w:gridCol w:w="139"/>
        <w:gridCol w:w="717"/>
        <w:gridCol w:w="1428"/>
        <w:gridCol w:w="140"/>
        <w:gridCol w:w="1561"/>
      </w:tblGrid>
      <w:tr>
        <w:trPr>
          <w:trHeight w:val="289" w:hRule="exact"/>
        </w:trPr>
        <w:tc>
          <w:tcPr>
            <w:tcW w:w="1062" w:type="dxa"/>
            <w:tcBorders>
              <w:top w:val="nil" w:sz="6" w:space="0" w:color="auto"/>
              <w:left w:val="nil" w:sz="6" w:space="0" w:color="auto"/>
              <w:bottom w:val="single" w:sz="4" w:space="0" w:color="000000"/>
              <w:right w:val="nil" w:sz="6" w:space="0" w:color="auto"/>
            </w:tcBorders>
          </w:tcPr>
          <w:p>
            <w:pPr>
              <w:pStyle w:val="TableParagraph"/>
              <w:spacing w:line="180"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科目</w:t>
            </w:r>
            <w:r>
              <w:rPr>
                <w:rFonts w:ascii="宋体" w:hAnsi="宋体" w:cs="宋体" w:eastAsia="宋体" w:hint="default"/>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single" w:sz="4" w:space="0" w:color="000000"/>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195" w:lineRule="exact"/>
              <w:ind w:left="166" w:right="0"/>
              <w:jc w:val="left"/>
              <w:rPr>
                <w:rFonts w:ascii="Times New Roman" w:hAnsi="Times New Roman" w:cs="Times New Roman" w:eastAsia="Times New Roman" w:hint="default"/>
                <w:sz w:val="18"/>
                <w:szCs w:val="18"/>
              </w:rPr>
            </w:pPr>
            <w:r>
              <w:rPr>
                <w:rFonts w:ascii="Times New Roman"/>
                <w:b/>
                <w:sz w:val="18"/>
              </w:rPr>
              <w:t>2007.12.31</w:t>
            </w:r>
            <w:r>
              <w:rPr>
                <w:rFonts w:ascii="Times New Roman"/>
                <w:sz w:val="18"/>
              </w:rPr>
            </w:r>
          </w:p>
        </w:tc>
        <w:tc>
          <w:tcPr>
            <w:tcW w:w="2148" w:type="dxa"/>
            <w:gridSpan w:val="3"/>
            <w:tcBorders>
              <w:top w:val="nil" w:sz="6" w:space="0" w:color="auto"/>
              <w:left w:val="nil" w:sz="6" w:space="0" w:color="auto"/>
              <w:bottom w:val="single" w:sz="4" w:space="0" w:color="000000"/>
              <w:right w:val="nil" w:sz="6" w:space="0" w:color="auto"/>
            </w:tcBorders>
          </w:tcPr>
          <w:p>
            <w:pPr>
              <w:pStyle w:val="TableParagraph"/>
              <w:spacing w:line="195" w:lineRule="exact"/>
              <w:ind w:left="743" w:right="0"/>
              <w:jc w:val="left"/>
              <w:rPr>
                <w:rFonts w:ascii="Times New Roman" w:hAnsi="Times New Roman" w:cs="Times New Roman" w:eastAsia="Times New Roman" w:hint="default"/>
                <w:sz w:val="18"/>
                <w:szCs w:val="18"/>
              </w:rPr>
            </w:pPr>
            <w:r>
              <w:rPr>
                <w:rFonts w:ascii="Times New Roman"/>
                <w:b/>
                <w:sz w:val="18"/>
              </w:rPr>
              <w:t>2006.12.31</w:t>
            </w:r>
            <w:r>
              <w:rPr>
                <w:rFonts w:ascii="Times New Roman"/>
                <w:sz w:val="18"/>
              </w:rPr>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single" w:sz="4" w:space="0" w:color="000000"/>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180" w:lineRule="exact"/>
              <w:ind w:left="92" w:right="0"/>
              <w:jc w:val="left"/>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180" w:lineRule="exact"/>
              <w:ind w:left="515" w:right="0"/>
              <w:jc w:val="left"/>
              <w:rPr>
                <w:rFonts w:ascii="宋体" w:hAnsi="宋体" w:cs="宋体" w:eastAsia="宋体" w:hint="default"/>
                <w:sz w:val="18"/>
                <w:szCs w:val="18"/>
              </w:rPr>
            </w:pPr>
            <w:r>
              <w:rPr>
                <w:rFonts w:ascii="宋体" w:hAnsi="宋体" w:cs="宋体" w:eastAsia="宋体" w:hint="default"/>
                <w:b/>
                <w:bCs/>
                <w:sz w:val="18"/>
                <w:szCs w:val="18"/>
              </w:rPr>
              <w:t>变动率</w:t>
            </w:r>
            <w:r>
              <w:rPr>
                <w:rFonts w:ascii="宋体" w:hAnsi="宋体" w:cs="宋体" w:eastAsia="宋体" w:hint="default"/>
                <w:sz w:val="18"/>
                <w:szCs w:val="18"/>
              </w:rPr>
            </w:r>
          </w:p>
        </w:tc>
      </w:tr>
      <w:tr>
        <w:trPr>
          <w:trHeight w:val="415" w:hRule="exact"/>
        </w:trPr>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2" w:right="0"/>
              <w:jc w:val="left"/>
              <w:rPr>
                <w:rFonts w:ascii="Times New Roman" w:hAnsi="Times New Roman" w:cs="Times New Roman" w:eastAsia="Times New Roman" w:hint="default"/>
                <w:sz w:val="18"/>
                <w:szCs w:val="18"/>
              </w:rPr>
            </w:pPr>
            <w:r>
              <w:rPr>
                <w:rFonts w:ascii="Times New Roman"/>
                <w:sz w:val="18"/>
              </w:rPr>
              <w:t>RMB</w:t>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pacing w:val="-1"/>
                <w:sz w:val="18"/>
              </w:rPr>
              <w:t>293,940,873.56</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RMB</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pacing w:val="-1"/>
                <w:sz w:val="18"/>
              </w:rPr>
              <w:t>50,231,007.85</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2" w:right="0"/>
              <w:jc w:val="left"/>
              <w:rPr>
                <w:rFonts w:ascii="Times New Roman" w:hAnsi="Times New Roman" w:cs="Times New Roman" w:eastAsia="Times New Roman" w:hint="default"/>
                <w:sz w:val="18"/>
                <w:szCs w:val="18"/>
              </w:rPr>
            </w:pPr>
            <w:r>
              <w:rPr>
                <w:rFonts w:ascii="Times New Roman"/>
                <w:sz w:val="18"/>
              </w:rPr>
              <w:t>RMB</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pacing w:val="-1"/>
                <w:sz w:val="18"/>
              </w:rPr>
              <w:t>243,709,865.71</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5"/>
              <w:jc w:val="right"/>
              <w:rPr>
                <w:rFonts w:ascii="Times New Roman" w:hAnsi="Times New Roman" w:cs="Times New Roman" w:eastAsia="Times New Roman" w:hint="default"/>
                <w:sz w:val="18"/>
                <w:szCs w:val="18"/>
              </w:rPr>
            </w:pPr>
            <w:r>
              <w:rPr>
                <w:rFonts w:ascii="Times New Roman"/>
                <w:w w:val="95"/>
                <w:sz w:val="18"/>
              </w:rPr>
              <w:t>485.18%</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24,801,922.90</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12,783,295.35</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12,018,627.55</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94.02%</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216,471,064.50</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105,775,938.65</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110,695,125.85</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104.65%</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45,071,991.00</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20,585,429.75</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24,486,561.25</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2"/>
                <w:sz w:val="18"/>
              </w:rPr>
              <w:t>118.95%</w:t>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79,619,962.17</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30,868,067.52</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48,751,894.65</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w w:val="95"/>
                <w:sz w:val="18"/>
              </w:rPr>
              <w:t>157.94%</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52,574,932.13</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28,079,874.81</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24,495,057.32</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w w:val="95"/>
                <w:sz w:val="18"/>
              </w:rPr>
              <w:t>87.23%</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11,960,387.51</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3,747,729.88</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8,212,657.63</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219.14%</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12,800,000.00</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(12,800,000.00)</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89,372,317.90</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1,170,000.00</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88,202,317.90</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7538.66%</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52,110,152.41</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36,347,896.52</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15,762,255.89</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w w:val="95"/>
                <w:sz w:val="18"/>
              </w:rPr>
              <w:t>43.36%</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z w:val="18"/>
              </w:rPr>
              <w:t>765,418.36</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5"/>
                <w:sz w:val="18"/>
              </w:rPr>
              <w:t>(765,418.36)</w:t>
            </w:r>
            <w:r>
              <w:rPr>
                <w:rFonts w:ascii="Times New Roman"/>
                <w:sz w:val="18"/>
              </w:rPr>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64,000,000.00</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48,000,000.00</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16,000,000.00</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w w:val="95"/>
                <w:sz w:val="18"/>
              </w:rPr>
              <w:t>33.33%</w:t>
            </w:r>
            <w:r>
              <w:rPr>
                <w:rFonts w:ascii="Times New Roman"/>
                <w:sz w:val="18"/>
              </w:rPr>
            </w:r>
          </w:p>
        </w:tc>
      </w:tr>
      <w:tr>
        <w:trPr>
          <w:trHeight w:val="297"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RMB</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272,626,390.14</w:t>
            </w:r>
          </w:p>
        </w:tc>
        <w:tc>
          <w:tcPr>
            <w:tcW w:w="138"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RMB</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2,741,307.14</w:t>
            </w:r>
          </w:p>
        </w:tc>
        <w:tc>
          <w:tcPr>
            <w:tcW w:w="139"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RMB</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269,885,083.00</w:t>
            </w:r>
          </w:p>
        </w:tc>
        <w:tc>
          <w:tcPr>
            <w:tcW w:w="14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5"/>
                <w:sz w:val="18"/>
              </w:rPr>
              <w:t>9845.12%</w:t>
            </w:r>
            <w:r>
              <w:rPr>
                <w:rFonts w:ascii="Times New Roman"/>
                <w:sz w:val="18"/>
              </w:rPr>
            </w:r>
          </w:p>
        </w:tc>
      </w:tr>
    </w:tbl>
    <w:p>
      <w:pPr>
        <w:spacing w:line="240" w:lineRule="auto" w:before="9"/>
        <w:rPr>
          <w:rFonts w:ascii="宋体" w:hAnsi="宋体" w:cs="宋体" w:eastAsia="宋体" w:hint="default"/>
          <w:sz w:val="8"/>
          <w:szCs w:val="8"/>
        </w:rPr>
      </w:pPr>
    </w:p>
    <w:p>
      <w:pPr>
        <w:pStyle w:val="BodyText"/>
        <w:spacing w:line="310" w:lineRule="exact" w:before="58"/>
        <w:ind w:left="134" w:right="0" w:firstLine="495"/>
        <w:jc w:val="left"/>
      </w:pPr>
      <w:r>
        <w:rPr>
          <w:spacing w:val="13"/>
        </w:rPr>
        <w:t>①货币资金的增加主要系由于本公司于二零零七年三月十六日向社会公开发行人民</w:t>
      </w:r>
      <w:r>
        <w:rPr>
          <w:spacing w:val="14"/>
        </w:rPr>
        <w:t> </w:t>
      </w:r>
      <w:r>
        <w:rPr>
          <w:spacing w:val="5"/>
        </w:rPr>
        <w:t>币普通股</w:t>
      </w:r>
      <w:r>
        <w:rPr>
          <w:rFonts w:ascii="Times New Roman" w:hAnsi="Times New Roman" w:cs="Times New Roman" w:eastAsia="Times New Roman" w:hint="default"/>
          <w:spacing w:val="5"/>
        </w:rPr>
        <w:t>(A </w:t>
      </w:r>
      <w:r>
        <w:rPr>
          <w:spacing w:val="6"/>
        </w:rPr>
        <w:t>股</w:t>
      </w:r>
      <w:r>
        <w:rPr>
          <w:rFonts w:ascii="Times New Roman" w:hAnsi="Times New Roman" w:cs="Times New Roman" w:eastAsia="Times New Roman" w:hint="default"/>
          <w:spacing w:val="6"/>
        </w:rPr>
        <w:t>)</w:t>
      </w:r>
      <w:r>
        <w:rPr>
          <w:spacing w:val="6"/>
        </w:rPr>
        <w:t>股票，收到募集资金 </w:t>
      </w:r>
      <w:r>
        <w:rPr>
          <w:rFonts w:ascii="Times New Roman" w:hAnsi="Times New Roman" w:cs="Times New Roman" w:eastAsia="Times New Roman" w:hint="default"/>
          <w:spacing w:val="3"/>
        </w:rPr>
        <w:t>302,400,000.00</w:t>
      </w:r>
      <w:r>
        <w:rPr>
          <w:rFonts w:ascii="Times New Roman" w:hAnsi="Times New Roman" w:cs="Times New Roman" w:eastAsia="Times New Roman" w:hint="default"/>
          <w:spacing w:val="-27"/>
        </w:rPr>
        <w:t> </w:t>
      </w:r>
      <w:r>
        <w:rPr>
          <w:spacing w:val="8"/>
        </w:rPr>
        <w:t>人民币元所致；</w:t>
      </w:r>
      <w:r>
        <w:rPr/>
      </w:r>
    </w:p>
    <w:p>
      <w:pPr>
        <w:pStyle w:val="BodyText"/>
        <w:spacing w:line="310" w:lineRule="exact" w:before="120"/>
        <w:ind w:left="133" w:right="0" w:firstLine="495"/>
        <w:jc w:val="left"/>
      </w:pPr>
      <w:r>
        <w:rPr>
          <w:spacing w:val="6"/>
        </w:rPr>
        <w:t>②应收票据、应收账款的增加主要系由于本公司主导产品市场需求增长，导致销售增</w:t>
      </w:r>
      <w:r>
        <w:rPr>
          <w:spacing w:val="8"/>
        </w:rPr>
        <w:t> 长所致；</w:t>
      </w:r>
      <w:r>
        <w:rPr/>
      </w:r>
    </w:p>
    <w:p>
      <w:pPr>
        <w:spacing w:after="0" w:line="310" w:lineRule="exact"/>
        <w:jc w:val="left"/>
        <w:sectPr>
          <w:pgSz w:w="11910" w:h="16840"/>
          <w:pgMar w:header="877" w:footer="1022" w:top="1060" w:bottom="1220" w:left="1000" w:right="10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310" w:lineRule="exact" w:before="58"/>
        <w:ind w:left="154" w:right="0" w:firstLine="495"/>
        <w:jc w:val="left"/>
      </w:pPr>
      <w:r>
        <w:rPr>
          <w:spacing w:val="6"/>
        </w:rPr>
        <w:t>③预付账款、应付票据、应付帐款、存货的增加主要系由于本公司主导产品市场需求</w:t>
      </w:r>
      <w:r>
        <w:rPr>
          <w:spacing w:val="8"/>
        </w:rPr>
        <w:t> 增长，导致销售和生产的增长所致；</w:t>
      </w:r>
      <w:r>
        <w:rPr/>
      </w:r>
    </w:p>
    <w:p>
      <w:pPr>
        <w:pStyle w:val="BodyText"/>
        <w:spacing w:line="310" w:lineRule="exact" w:before="122"/>
        <w:ind w:left="154" w:right="136" w:firstLine="495"/>
        <w:jc w:val="left"/>
      </w:pPr>
      <w:r>
        <w:rPr>
          <w:spacing w:val="7"/>
        </w:rPr>
        <w:t>④固定资产、在建工程的增加主要系由于本公司募集资金投资项目相关资产的购置和</w:t>
      </w:r>
      <w:r>
        <w:rPr>
          <w:spacing w:val="8"/>
        </w:rPr>
        <w:t> 建设所致；</w:t>
      </w:r>
      <w:r>
        <w:rPr/>
      </w:r>
    </w:p>
    <w:p>
      <w:pPr>
        <w:pStyle w:val="BodyText"/>
        <w:spacing w:line="240" w:lineRule="auto" w:before="89"/>
        <w:ind w:left="649" w:right="0"/>
        <w:jc w:val="left"/>
      </w:pPr>
      <w:r>
        <w:rPr>
          <w:spacing w:val="7"/>
        </w:rPr>
        <w:t>⑤短期借款、长期借款的减少主要系由于本公司偿还借款所致；</w:t>
      </w:r>
      <w:r>
        <w:rPr/>
      </w:r>
    </w:p>
    <w:p>
      <w:pPr>
        <w:pStyle w:val="BodyText"/>
        <w:spacing w:line="310" w:lineRule="exact" w:before="149"/>
        <w:ind w:left="154" w:right="136" w:firstLine="495"/>
        <w:jc w:val="left"/>
      </w:pPr>
      <w:r>
        <w:rPr>
          <w:spacing w:val="7"/>
        </w:rPr>
        <w:t>⑥股本、资本公积的增加主要系由于本公司于二零零七年三月十六日向社会公开发行</w:t>
      </w:r>
      <w:r>
        <w:rPr>
          <w:spacing w:val="8"/>
        </w:rPr>
        <w:t> </w:t>
      </w:r>
      <w:r>
        <w:rPr>
          <w:spacing w:val="5"/>
        </w:rPr>
        <w:t>人民币普通股</w:t>
      </w:r>
      <w:r>
        <w:rPr>
          <w:rFonts w:ascii="Times New Roman" w:hAnsi="Times New Roman" w:cs="Times New Roman" w:eastAsia="Times New Roman" w:hint="default"/>
          <w:spacing w:val="5"/>
        </w:rPr>
        <w:t>(A </w:t>
      </w:r>
      <w:r>
        <w:rPr>
          <w:spacing w:val="4"/>
        </w:rPr>
        <w:t>股</w:t>
      </w:r>
      <w:r>
        <w:rPr>
          <w:rFonts w:ascii="Times New Roman" w:hAnsi="Times New Roman" w:cs="Times New Roman" w:eastAsia="Times New Roman" w:hint="default"/>
          <w:spacing w:val="4"/>
        </w:rPr>
        <w:t>)</w:t>
      </w:r>
      <w:r>
        <w:rPr>
          <w:spacing w:val="4"/>
        </w:rPr>
        <w:t>股票 </w:t>
      </w:r>
      <w:r>
        <w:rPr>
          <w:rFonts w:ascii="Times New Roman" w:hAnsi="Times New Roman" w:cs="Times New Roman" w:eastAsia="Times New Roman" w:hint="default"/>
          <w:spacing w:val="2"/>
        </w:rPr>
        <w:t>16,000,000</w:t>
      </w:r>
      <w:r>
        <w:rPr>
          <w:rFonts w:ascii="Times New Roman" w:hAnsi="Times New Roman" w:cs="Times New Roman" w:eastAsia="Times New Roman" w:hint="default"/>
          <w:spacing w:val="-32"/>
        </w:rPr>
        <w:t> </w:t>
      </w:r>
      <w:r>
        <w:rPr>
          <w:spacing w:val="8"/>
        </w:rPr>
        <w:t>股所致。</w:t>
      </w:r>
      <w:r>
        <w:rPr/>
      </w:r>
    </w:p>
    <w:p>
      <w:pPr>
        <w:pStyle w:val="BodyText"/>
        <w:spacing w:line="240" w:lineRule="auto" w:before="178"/>
        <w:ind w:left="6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spacing w:val="8"/>
        </w:rPr>
        <w:t>利润表科目</w:t>
      </w:r>
      <w:r>
        <w:rPr/>
      </w:r>
    </w:p>
    <w:p>
      <w:pPr>
        <w:spacing w:line="240" w:lineRule="auto" w:before="12"/>
        <w:rPr>
          <w:rFonts w:ascii="宋体" w:hAnsi="宋体" w:cs="宋体" w:eastAsia="宋体"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1492"/>
        <w:gridCol w:w="128"/>
        <w:gridCol w:w="717"/>
        <w:gridCol w:w="1425"/>
        <w:gridCol w:w="113"/>
        <w:gridCol w:w="703"/>
        <w:gridCol w:w="1413"/>
        <w:gridCol w:w="112"/>
        <w:gridCol w:w="705"/>
        <w:gridCol w:w="1413"/>
        <w:gridCol w:w="113"/>
        <w:gridCol w:w="1327"/>
      </w:tblGrid>
      <w:tr>
        <w:trPr>
          <w:trHeight w:val="289" w:hRule="exact"/>
        </w:trPr>
        <w:tc>
          <w:tcPr>
            <w:tcW w:w="1492"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科目</w:t>
            </w:r>
            <w:r>
              <w:rPr>
                <w:rFonts w:ascii="宋体" w:hAnsi="宋体" w:cs="宋体" w:eastAsia="宋体" w:hint="default"/>
                <w:sz w:val="18"/>
                <w:szCs w:val="18"/>
              </w:rPr>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single" w:sz="4" w:space="0" w:color="000000"/>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195" w:lineRule="exact"/>
              <w:ind w:left="181" w:right="0"/>
              <w:jc w:val="left"/>
              <w:rPr>
                <w:rFonts w:ascii="Times New Roman" w:hAnsi="Times New Roman" w:cs="Times New Roman" w:eastAsia="Times New Roman" w:hint="default"/>
                <w:sz w:val="18"/>
                <w:szCs w:val="18"/>
              </w:rPr>
            </w:pPr>
            <w:r>
              <w:rPr>
                <w:rFonts w:ascii="Times New Roman"/>
                <w:b/>
                <w:sz w:val="18"/>
              </w:rPr>
              <w:t>2007</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Style w:val="TableParagraph"/>
              <w:spacing w:line="195" w:lineRule="exact"/>
              <w:ind w:left="180" w:right="0"/>
              <w:jc w:val="left"/>
              <w:rPr>
                <w:rFonts w:ascii="Times New Roman" w:hAnsi="Times New Roman" w:cs="Times New Roman" w:eastAsia="Times New Roman" w:hint="default"/>
                <w:sz w:val="18"/>
                <w:szCs w:val="18"/>
              </w:rPr>
            </w:pPr>
            <w:r>
              <w:rPr>
                <w:rFonts w:ascii="Times New Roman"/>
                <w:b/>
                <w:sz w:val="18"/>
              </w:rPr>
              <w:t>2006</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Style w:val="TableParagraph"/>
              <w:spacing w:line="180" w:lineRule="exact"/>
              <w:ind w:left="90" w:right="0"/>
              <w:jc w:val="left"/>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180" w:lineRule="exact"/>
              <w:ind w:left="399" w:right="0"/>
              <w:jc w:val="left"/>
              <w:rPr>
                <w:rFonts w:ascii="宋体" w:hAnsi="宋体" w:cs="宋体" w:eastAsia="宋体" w:hint="default"/>
                <w:sz w:val="18"/>
                <w:szCs w:val="18"/>
              </w:rPr>
            </w:pPr>
            <w:r>
              <w:rPr>
                <w:rFonts w:ascii="宋体" w:hAnsi="宋体" w:cs="宋体" w:eastAsia="宋体" w:hint="default"/>
                <w:b/>
                <w:bCs/>
                <w:sz w:val="18"/>
                <w:szCs w:val="18"/>
              </w:rPr>
              <w:t>变动率</w:t>
            </w:r>
            <w:r>
              <w:rPr>
                <w:rFonts w:ascii="宋体" w:hAnsi="宋体" w:cs="宋体" w:eastAsia="宋体" w:hint="default"/>
                <w:sz w:val="18"/>
                <w:szCs w:val="18"/>
              </w:rPr>
            </w:r>
          </w:p>
        </w:tc>
      </w:tr>
      <w:tr>
        <w:trPr>
          <w:trHeight w:val="415" w:hRule="exact"/>
        </w:trPr>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2" w:right="0"/>
              <w:jc w:val="left"/>
              <w:rPr>
                <w:rFonts w:ascii="Times New Roman" w:hAnsi="Times New Roman" w:cs="Times New Roman" w:eastAsia="Times New Roman" w:hint="default"/>
                <w:sz w:val="18"/>
                <w:szCs w:val="18"/>
              </w:rPr>
            </w:pPr>
            <w:r>
              <w:rPr>
                <w:rFonts w:ascii="Times New Roman"/>
                <w:sz w:val="18"/>
              </w:rPr>
              <w:t>RMB</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
              <w:jc w:val="right"/>
              <w:rPr>
                <w:rFonts w:ascii="Times New Roman" w:hAnsi="Times New Roman" w:cs="Times New Roman" w:eastAsia="Times New Roman" w:hint="default"/>
                <w:sz w:val="18"/>
                <w:szCs w:val="18"/>
              </w:rPr>
            </w:pPr>
            <w:r>
              <w:rPr>
                <w:rFonts w:ascii="Times New Roman"/>
                <w:spacing w:val="-1"/>
                <w:sz w:val="18"/>
              </w:rPr>
              <w:t>367,156,976.76</w:t>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RMB</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5"/>
              <w:jc w:val="right"/>
              <w:rPr>
                <w:rFonts w:ascii="Times New Roman" w:hAnsi="Times New Roman" w:cs="Times New Roman" w:eastAsia="Times New Roman" w:hint="default"/>
                <w:sz w:val="18"/>
                <w:szCs w:val="18"/>
              </w:rPr>
            </w:pPr>
            <w:r>
              <w:rPr>
                <w:rFonts w:ascii="Times New Roman"/>
                <w:spacing w:val="-1"/>
                <w:sz w:val="18"/>
              </w:rPr>
              <w:t>241,375,439.23</w:t>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2" w:right="0"/>
              <w:jc w:val="left"/>
              <w:rPr>
                <w:rFonts w:ascii="Times New Roman" w:hAnsi="Times New Roman" w:cs="Times New Roman" w:eastAsia="Times New Roman" w:hint="default"/>
                <w:sz w:val="18"/>
                <w:szCs w:val="18"/>
              </w:rPr>
            </w:pPr>
            <w:r>
              <w:rPr>
                <w:rFonts w:ascii="Times New Roman"/>
                <w:sz w:val="18"/>
              </w:rPr>
              <w:t>RMB</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
              <w:jc w:val="right"/>
              <w:rPr>
                <w:rFonts w:ascii="Times New Roman" w:hAnsi="Times New Roman" w:cs="Times New Roman" w:eastAsia="Times New Roman" w:hint="default"/>
                <w:sz w:val="18"/>
                <w:szCs w:val="18"/>
              </w:rPr>
            </w:pPr>
            <w:r>
              <w:rPr>
                <w:rFonts w:ascii="Times New Roman"/>
                <w:spacing w:val="-1"/>
                <w:sz w:val="18"/>
              </w:rPr>
              <w:t>125,781,537.53</w:t>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5"/>
              <w:jc w:val="right"/>
              <w:rPr>
                <w:rFonts w:ascii="Times New Roman" w:hAnsi="Times New Roman" w:cs="Times New Roman" w:eastAsia="Times New Roman" w:hint="default"/>
                <w:sz w:val="18"/>
                <w:szCs w:val="18"/>
              </w:rPr>
            </w:pPr>
            <w:r>
              <w:rPr>
                <w:rFonts w:ascii="Times New Roman"/>
                <w:spacing w:val="-2"/>
                <w:sz w:val="18"/>
              </w:rPr>
              <w:t>52.11%</w:t>
            </w:r>
          </w:p>
        </w:tc>
      </w:tr>
      <w:tr>
        <w:trPr>
          <w:trHeight w:val="407"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right"/>
              <w:rPr>
                <w:rFonts w:ascii="Times New Roman" w:hAnsi="Times New Roman" w:cs="Times New Roman" w:eastAsia="Times New Roman" w:hint="default"/>
                <w:sz w:val="18"/>
                <w:szCs w:val="18"/>
              </w:rPr>
            </w:pPr>
            <w:r>
              <w:rPr>
                <w:rFonts w:ascii="Times New Roman"/>
                <w:spacing w:val="-1"/>
                <w:sz w:val="18"/>
              </w:rPr>
              <w:t>177,622,451.27</w:t>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102,997,999.41</w:t>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74,624,451.86</w:t>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72.45%</w:t>
            </w:r>
            <w:r>
              <w:rPr>
                <w:rFonts w:ascii="Times New Roman"/>
                <w:sz w:val="18"/>
              </w:rPr>
            </w:r>
          </w:p>
        </w:tc>
      </w:tr>
      <w:tr>
        <w:trPr>
          <w:trHeight w:val="407"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82,468,258.57</w:t>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50,024,115.13</w:t>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32,444,143.44</w:t>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64.86%</w:t>
            </w:r>
            <w:r>
              <w:rPr>
                <w:rFonts w:ascii="Times New Roman"/>
                <w:sz w:val="18"/>
              </w:rPr>
            </w:r>
          </w:p>
        </w:tc>
      </w:tr>
      <w:tr>
        <w:trPr>
          <w:trHeight w:val="407"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(714,269.62)</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z w:val="18"/>
              </w:rPr>
              <w:t>936,484.10</w:t>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right"/>
              <w:rPr>
                <w:rFonts w:ascii="Times New Roman" w:hAnsi="Times New Roman" w:cs="Times New Roman" w:eastAsia="Times New Roman" w:hint="default"/>
                <w:sz w:val="18"/>
                <w:szCs w:val="18"/>
              </w:rPr>
            </w:pPr>
            <w:r>
              <w:rPr>
                <w:rFonts w:ascii="Times New Roman"/>
                <w:spacing w:val="-1"/>
                <w:sz w:val="18"/>
              </w:rPr>
              <w:t>(1,650,753.72)</w:t>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-176.27%</w:t>
            </w:r>
            <w:r>
              <w:rPr>
                <w:rFonts w:ascii="Times New Roman"/>
                <w:sz w:val="18"/>
              </w:rPr>
            </w:r>
          </w:p>
        </w:tc>
      </w:tr>
      <w:tr>
        <w:trPr>
          <w:trHeight w:val="407"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6,623,740.04</w:t>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2,486,235.11</w:t>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4,137,504.93</w:t>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166.42%</w:t>
            </w:r>
            <w:r>
              <w:rPr>
                <w:rFonts w:ascii="Times New Roman"/>
                <w:sz w:val="18"/>
              </w:rPr>
            </w:r>
          </w:p>
        </w:tc>
      </w:tr>
      <w:tr>
        <w:trPr>
          <w:trHeight w:val="297"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RMB</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35,260,768.62</w:t>
            </w:r>
          </w:p>
        </w:tc>
        <w:tc>
          <w:tcPr>
            <w:tcW w:w="11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RMB</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16,346,862.84</w:t>
            </w:r>
          </w:p>
        </w:tc>
        <w:tc>
          <w:tcPr>
            <w:tcW w:w="11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RMB</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18,913,905.78</w:t>
            </w:r>
          </w:p>
        </w:tc>
        <w:tc>
          <w:tcPr>
            <w:tcW w:w="113"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2"/>
                <w:sz w:val="18"/>
              </w:rPr>
              <w:t>115.70%</w:t>
            </w:r>
          </w:p>
        </w:tc>
      </w:tr>
    </w:tbl>
    <w:p>
      <w:pPr>
        <w:spacing w:line="240" w:lineRule="auto" w:before="8"/>
        <w:rPr>
          <w:rFonts w:ascii="宋体" w:hAnsi="宋体" w:cs="宋体" w:eastAsia="宋体" w:hint="default"/>
          <w:sz w:val="11"/>
          <w:szCs w:val="11"/>
        </w:rPr>
      </w:pPr>
    </w:p>
    <w:p>
      <w:pPr>
        <w:pStyle w:val="BodyText"/>
        <w:spacing w:line="310" w:lineRule="exact" w:before="58"/>
        <w:ind w:left="154" w:right="0" w:firstLine="495"/>
        <w:jc w:val="left"/>
      </w:pPr>
      <w:r>
        <w:rPr>
          <w:spacing w:val="6"/>
        </w:rPr>
        <w:t>①营业收入、营业成本的增加主要系由于本公司主导产品市场需求增长，导致销售增</w:t>
      </w:r>
      <w:r>
        <w:rPr>
          <w:spacing w:val="8"/>
        </w:rPr>
        <w:t> 长所致；</w:t>
      </w:r>
      <w:r>
        <w:rPr/>
      </w:r>
    </w:p>
    <w:p>
      <w:pPr>
        <w:pStyle w:val="BodyText"/>
        <w:spacing w:line="240" w:lineRule="auto" w:before="89"/>
        <w:ind w:left="649" w:right="0"/>
        <w:jc w:val="left"/>
      </w:pPr>
      <w:r>
        <w:rPr>
          <w:spacing w:val="7"/>
        </w:rPr>
        <w:t>②管理费用的增加主要系由于本公司主导产品系列化，增加研发支出所致；</w:t>
      </w:r>
      <w:r>
        <w:rPr/>
      </w:r>
    </w:p>
    <w:p>
      <w:pPr>
        <w:pStyle w:val="BodyText"/>
        <w:spacing w:line="312" w:lineRule="exact" w:before="147"/>
        <w:ind w:left="154" w:right="0" w:firstLine="495"/>
        <w:jc w:val="left"/>
      </w:pPr>
      <w:r>
        <w:rPr>
          <w:spacing w:val="6"/>
        </w:rPr>
        <w:t>③财务费用的减少主要系由于本公司收到募集资金，银行存款大幅增加，导致存款利</w:t>
      </w:r>
      <w:r>
        <w:rPr>
          <w:spacing w:val="8"/>
        </w:rPr>
        <w:t> </w:t>
      </w:r>
      <w:r>
        <w:rPr>
          <w:spacing w:val="7"/>
        </w:rPr>
        <w:t>息增加；以及偿还了借款，导致利息支出减少所致；</w:t>
      </w:r>
      <w:r>
        <w:rPr/>
      </w:r>
    </w:p>
    <w:p>
      <w:pPr>
        <w:pStyle w:val="BodyText"/>
        <w:spacing w:line="240" w:lineRule="auto" w:before="88"/>
        <w:ind w:left="649" w:right="0"/>
        <w:jc w:val="left"/>
      </w:pPr>
      <w:r>
        <w:rPr>
          <w:spacing w:val="7"/>
        </w:rPr>
        <w:t>④资产减值损失的增加主要系由于本公司应收账款增加所致；</w:t>
      </w:r>
      <w:r>
        <w:rPr/>
      </w:r>
    </w:p>
    <w:p>
      <w:pPr>
        <w:pStyle w:val="BodyText"/>
        <w:spacing w:line="511" w:lineRule="auto" w:before="116"/>
        <w:ind w:left="634" w:right="410" w:firstLine="15"/>
        <w:jc w:val="left"/>
      </w:pPr>
      <w:r>
        <w:rPr>
          <w:spacing w:val="7"/>
        </w:rPr>
        <w:t>⑤营业外收入增加主要系由于本公司将与费用相关的政府补助结转损益所致。</w:t>
      </w:r>
      <w:r>
        <w:rPr>
          <w:spacing w:val="-104"/>
        </w:rPr>
        <w:t> </w:t>
      </w:r>
      <w:r>
        <w:rPr>
          <w:spacing w:val="-104"/>
        </w:rPr>
      </w:r>
      <w:r>
        <w:rPr>
          <w:rFonts w:ascii="黑体" w:hAnsi="黑体" w:cs="黑体" w:eastAsia="黑体" w:hint="default"/>
          <w:b/>
          <w:bCs/>
          <w:spacing w:val="5"/>
        </w:rPr>
        <w:t>十六、</w:t>
      </w:r>
      <w:r>
        <w:rPr>
          <w:rFonts w:ascii="黑体" w:hAnsi="黑体" w:cs="黑体" w:eastAsia="黑体" w:hint="default"/>
          <w:b/>
          <w:bCs/>
          <w:spacing w:val="15"/>
        </w:rPr>
        <w:t> </w:t>
      </w:r>
      <w:r>
        <w:rPr>
          <w:rFonts w:ascii="黑体" w:hAnsi="黑体" w:cs="黑体" w:eastAsia="黑体" w:hint="default"/>
          <w:b/>
          <w:bCs/>
          <w:spacing w:val="8"/>
        </w:rPr>
        <w:t>合并会计报表之批准</w:t>
      </w:r>
      <w:r>
        <w:rPr>
          <w:rFonts w:ascii="黑体" w:hAnsi="黑体" w:cs="黑体" w:eastAsia="黑体" w:hint="default"/>
          <w:b/>
          <w:bCs/>
          <w:spacing w:val="8"/>
          <w:w w:val="99"/>
        </w:rPr>
        <w:t> </w:t>
      </w:r>
      <w:r>
        <w:rPr/>
        <w:t>本公司二零零七年度的财务报表于二零零八年四月七日业经本公司董事会批准通过。</w:t>
      </w:r>
    </w:p>
    <w:p>
      <w:pPr>
        <w:spacing w:after="0" w:line="511" w:lineRule="auto"/>
        <w:jc w:val="left"/>
        <w:sectPr>
          <w:footerReference w:type="default" r:id="rId19"/>
          <w:pgSz w:w="11910" w:h="16840"/>
          <w:pgMar w:footer="1022" w:header="877"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1"/>
        <w:spacing w:line="240" w:lineRule="auto"/>
        <w:ind w:left="3974" w:right="3391"/>
        <w:jc w:val="center"/>
        <w:rPr>
          <w:b w:val="0"/>
          <w:bCs w:val="0"/>
        </w:rPr>
      </w:pPr>
      <w:bookmarkStart w:name="_bookmark10" w:id="23"/>
      <w:bookmarkEnd w:id="23"/>
      <w:r>
        <w:rPr>
          <w:b w:val="0"/>
          <w:bCs w:val="0"/>
        </w:rPr>
      </w:r>
      <w:r>
        <w:rPr/>
        <w:t>第十一节</w:t>
      </w:r>
      <w:r>
        <w:rPr>
          <w:spacing w:val="-2"/>
        </w:rPr>
        <w:t> </w:t>
      </w:r>
      <w:r>
        <w:rPr/>
        <w:t>备查文件</w:t>
      </w:r>
      <w:r>
        <w:rPr>
          <w:b w:val="0"/>
          <w:bCs w:val="0"/>
        </w:rPr>
      </w:r>
    </w:p>
    <w:p>
      <w:pPr>
        <w:spacing w:line="240" w:lineRule="auto" w:before="0"/>
        <w:rPr>
          <w:rFonts w:ascii="黑体" w:hAnsi="黑体" w:cs="黑体" w:eastAsia="黑体" w:hint="default"/>
          <w:b/>
          <w:bCs/>
          <w:sz w:val="30"/>
          <w:szCs w:val="30"/>
        </w:rPr>
      </w:pPr>
    </w:p>
    <w:p>
      <w:pPr>
        <w:spacing w:line="240" w:lineRule="auto" w:before="6"/>
        <w:rPr>
          <w:rFonts w:ascii="黑体" w:hAnsi="黑体" w:cs="黑体" w:eastAsia="黑体" w:hint="default"/>
          <w:b/>
          <w:bCs/>
          <w:sz w:val="21"/>
          <w:szCs w:val="21"/>
        </w:rPr>
      </w:pPr>
    </w:p>
    <w:p>
      <w:pPr>
        <w:pStyle w:val="BodyText"/>
        <w:spacing w:line="357" w:lineRule="auto"/>
        <w:ind w:left="634" w:right="208" w:hanging="120"/>
        <w:jc w:val="center"/>
      </w:pPr>
      <w:r>
        <w:rPr/>
        <w:t>一、载有公司董事、高管人员签名并加盖公司公章的的2007 年年度报告全文及摘要。 二、载有法定代表人左强先生、主管会计工作的负责人龙浩先生、会计机构负责人吴彩</w:t>
      </w:r>
    </w:p>
    <w:p>
      <w:pPr>
        <w:spacing w:line="362" w:lineRule="auto" w:before="36"/>
        <w:ind w:left="613" w:right="0" w:hanging="460"/>
        <w:jc w:val="left"/>
        <w:rPr>
          <w:rFonts w:ascii="宋体" w:hAnsi="宋体" w:cs="宋体" w:eastAsia="宋体" w:hint="default"/>
          <w:sz w:val="24"/>
          <w:szCs w:val="24"/>
        </w:rPr>
      </w:pPr>
      <w:r>
        <w:rPr>
          <w:rFonts w:ascii="宋体" w:hAnsi="宋体" w:cs="宋体" w:eastAsia="宋体" w:hint="default"/>
          <w:sz w:val="24"/>
          <w:szCs w:val="24"/>
        </w:rPr>
        <w:t>霞女士签名并盖章的财务报告文本 </w:t>
      </w:r>
      <w:r>
        <w:rPr>
          <w:rFonts w:ascii="宋体" w:hAnsi="宋体" w:cs="宋体" w:eastAsia="宋体" w:hint="default"/>
          <w:sz w:val="23"/>
          <w:szCs w:val="23"/>
        </w:rPr>
        <w:t>三、载有会计师事务所盖章、注册会计师签名并盖章的审计报告原件</w:t>
      </w:r>
      <w:r>
        <w:rPr>
          <w:rFonts w:ascii="宋体" w:hAnsi="宋体" w:cs="宋体" w:eastAsia="宋体" w:hint="default"/>
          <w:w w:val="100"/>
          <w:sz w:val="23"/>
          <w:szCs w:val="23"/>
        </w:rPr>
        <w:t> </w:t>
      </w:r>
      <w:r>
        <w:rPr>
          <w:rFonts w:ascii="宋体" w:hAnsi="宋体" w:cs="宋体" w:eastAsia="宋体" w:hint="default"/>
          <w:sz w:val="24"/>
          <w:szCs w:val="24"/>
        </w:rPr>
        <w:t>四、报告期内在《证券时报》上公开披露过的所有公司文件的正本及公告的原稿</w:t>
      </w:r>
      <w:r>
        <w:rPr>
          <w:rFonts w:ascii="宋体" w:hAnsi="宋体" w:cs="宋体" w:eastAsia="宋体" w:hint="default"/>
          <w:sz w:val="24"/>
          <w:szCs w:val="24"/>
        </w:rPr>
        <w:t> 五、其他相关资料</w:t>
      </w:r>
    </w:p>
    <w:p>
      <w:pPr>
        <w:pStyle w:val="BodyText"/>
        <w:spacing w:line="240" w:lineRule="auto" w:before="31"/>
        <w:ind w:left="633" w:right="0"/>
        <w:jc w:val="left"/>
      </w:pPr>
      <w:r>
        <w:rPr/>
        <w:t>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240" w:lineRule="auto"/>
        <w:ind w:left="0" w:right="171"/>
        <w:jc w:val="right"/>
      </w:pPr>
      <w:r>
        <w:rPr/>
        <w:t>荣信电力电子股份有限公司</w:t>
      </w:r>
    </w:p>
    <w:p>
      <w:pPr>
        <w:pStyle w:val="BodyText"/>
        <w:spacing w:line="388" w:lineRule="auto" w:before="154"/>
        <w:ind w:left="8052" w:right="111" w:hanging="180"/>
        <w:jc w:val="right"/>
      </w:pPr>
      <w:r>
        <w:rPr/>
        <w:t>法定代表人：左强 </w:t>
      </w:r>
      <w:r>
        <w:rPr>
          <w:spacing w:val="33"/>
        </w:rPr>
        <w:t>2008年4月9日</w:t>
      </w:r>
      <w:r>
        <w:rPr>
          <w:spacing w:val="-60"/>
        </w:rPr>
        <w:t> </w:t>
      </w:r>
      <w:r>
        <w:rPr/>
      </w:r>
    </w:p>
    <w:sectPr>
      <w:footerReference w:type="default" r:id="rId20"/>
      <w:pgSz w:w="11910" w:h="16840"/>
      <w:pgMar w:footer="1022" w:header="877" w:top="1060" w:bottom="122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Medium">
    <w:altName w:val="Yu Gothic Medium"/>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2994pt;margin-top:797.554626pt;width:13pt;height:11pt;mso-position-horizontal-relative:page;mso-position-vertical-relative:page;z-index:-509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3491pt;margin-top:537.340942pt;width:13pt;height:11pt;mso-position-horizontal-relative:page;mso-position-vertical-relative:page;z-index:-509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0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09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09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09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509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509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02pt;width:484.95pt;height:.1pt;mso-position-horizontal-relative:page;mso-position-vertical-relative:page;z-index:-509560" coordorigin="1104,982" coordsize="9699,2">
          <v:shape style="position:absolute;left:1104;top:982;width:9699;height:2" coordorigin="1104,982" coordsize="9699,0" path="m1104,982l10802,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79993pt;margin-top:36.325325pt;width:177.45pt;height:11.5pt;mso-position-horizontal-relative:page;mso-position-vertical-relative:page;z-index:-509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509488"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08.770508pt;margin-top:42.865623pt;width:177.45pt;height:11.5pt;mso-position-horizontal-relative:page;mso-position-vertical-relative:page;z-index:-509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99pt;width:484.95pt;height:.1pt;mso-position-horizontal-relative:page;mso-position-vertical-relative:page;z-index:-509416"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 style="position:absolute;margin-left:362.179993pt;margin-top:42.865326pt;width:177.45pt;height:11.5pt;mso-position-horizontal-relative:page;mso-position-vertical-relative:page;z-index:-509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54"/>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ind w:left="714"/>
      <w:outlineLvl w:val="3"/>
    </w:pPr>
    <w:rPr>
      <w:rFonts w:ascii="黑体" w:hAnsi="黑体" w:eastAsia="黑体"/>
      <w:sz w:val="28"/>
      <w:szCs w:val="28"/>
    </w:rPr>
  </w:style>
  <w:style w:styleId="Heading4" w:type="paragraph">
    <w:name w:val="Heading 4"/>
    <w:basedOn w:val="Normal"/>
    <w:uiPriority w:val="1"/>
    <w:qFormat/>
    <w:pPr>
      <w:spacing w:before="26"/>
      <w:ind w:left="636"/>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b@rxpe.com" TargetMode="External"/><Relationship Id="rId8" Type="http://schemas.openxmlformats.org/officeDocument/2006/relationships/hyperlink" Target="mailto:zht@rxpe.com" TargetMode="External"/><Relationship Id="rId9" Type="http://schemas.openxmlformats.org/officeDocument/2006/relationships/hyperlink" Target="http://www.rxpe.com/" TargetMode="External"/><Relationship Id="rId10" Type="http://schemas.openxmlformats.org/officeDocument/2006/relationships/hyperlink" Target="mailto:rxpe@rxpe.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荣信股份</dc:creator>
  <dc:title>荣信电力电子股份有限公司2007年半年度报告摘要</dc:title>
  <dcterms:created xsi:type="dcterms:W3CDTF">2020-05-07T12:19:45Z</dcterms:created>
  <dcterms:modified xsi:type="dcterms:W3CDTF">2020-05-07T12:19:45Z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Acrobat PDFMaker 8.1 for Word</vt:lpwstr>
  </property>
  <property fmtid="{D5CDD505-2E9C-101B-9397-08002B2CF9AE}" pid="4" name="LastSaved">
    <vt:filetime>2020-05-07T00:00:00Z</vt:filetime>
  </property>
</Properties>
</file>