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spacing w:line="620" w:lineRule="exact" w:before="0"/>
        <w:ind w:left="1132" w:right="1132" w:firstLine="0"/>
        <w:jc w:val="center"/>
        <w:rPr>
          <w:rFonts w:ascii="黑体" w:hAnsi="黑体" w:cs="黑体" w:eastAsia="黑体" w:hint="default"/>
          <w:sz w:val="52"/>
          <w:szCs w:val="52"/>
        </w:rPr>
      </w:pPr>
      <w:r>
        <w:rPr>
          <w:rFonts w:ascii="黑体" w:hAnsi="黑体" w:cs="黑体" w:eastAsia="黑体" w:hint="default"/>
          <w:sz w:val="52"/>
          <w:szCs w:val="52"/>
        </w:rPr>
        <w:t>荣信电力电子股份有限公司</w:t>
      </w:r>
    </w:p>
    <w:p>
      <w:pPr>
        <w:spacing w:line="240" w:lineRule="auto" w:before="0"/>
        <w:rPr>
          <w:rFonts w:ascii="黑体" w:hAnsi="黑体" w:cs="黑体" w:eastAsia="黑体" w:hint="default"/>
          <w:sz w:val="52"/>
          <w:szCs w:val="52"/>
        </w:rPr>
      </w:pPr>
    </w:p>
    <w:p>
      <w:pPr>
        <w:spacing w:line="240" w:lineRule="auto" w:before="0"/>
        <w:rPr>
          <w:rFonts w:ascii="黑体" w:hAnsi="黑体" w:cs="黑体" w:eastAsia="黑体" w:hint="default"/>
          <w:sz w:val="52"/>
          <w:szCs w:val="52"/>
        </w:rPr>
      </w:pPr>
    </w:p>
    <w:p>
      <w:pPr>
        <w:spacing w:line="240" w:lineRule="auto" w:before="1"/>
        <w:rPr>
          <w:rFonts w:ascii="黑体" w:hAnsi="黑体" w:cs="黑体" w:eastAsia="黑体" w:hint="default"/>
          <w:sz w:val="46"/>
          <w:szCs w:val="46"/>
        </w:rPr>
      </w:pPr>
    </w:p>
    <w:p>
      <w:pPr>
        <w:spacing w:before="0"/>
        <w:ind w:left="1132" w:right="1130" w:firstLine="0"/>
        <w:jc w:val="center"/>
        <w:rPr>
          <w:rFonts w:ascii="黑体" w:hAnsi="黑体" w:cs="黑体" w:eastAsia="黑体" w:hint="default"/>
          <w:sz w:val="72"/>
          <w:szCs w:val="72"/>
        </w:rPr>
      </w:pPr>
      <w:r>
        <w:rPr>
          <w:rFonts w:ascii="黑体" w:hAnsi="黑体" w:cs="黑体" w:eastAsia="黑体" w:hint="default"/>
          <w:sz w:val="72"/>
          <w:szCs w:val="72"/>
        </w:rPr>
        <w:t>2008</w:t>
      </w:r>
      <w:r>
        <w:rPr>
          <w:rFonts w:ascii="黑体" w:hAnsi="黑体" w:cs="黑体" w:eastAsia="黑体" w:hint="default"/>
          <w:spacing w:val="-180"/>
          <w:sz w:val="72"/>
          <w:szCs w:val="72"/>
        </w:rPr>
        <w:t> </w:t>
      </w:r>
      <w:r>
        <w:rPr>
          <w:rFonts w:ascii="黑体" w:hAnsi="黑体" w:cs="黑体" w:eastAsia="黑体" w:hint="default"/>
          <w:sz w:val="72"/>
          <w:szCs w:val="72"/>
        </w:rPr>
        <w:t>年年度报告</w:t>
      </w: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0"/>
        <w:rPr>
          <w:rFonts w:ascii="黑体" w:hAnsi="黑体" w:cs="黑体" w:eastAsia="黑体" w:hint="default"/>
          <w:sz w:val="72"/>
          <w:szCs w:val="72"/>
        </w:rPr>
      </w:pPr>
    </w:p>
    <w:p>
      <w:pPr>
        <w:spacing w:line="240" w:lineRule="auto" w:before="8"/>
        <w:rPr>
          <w:rFonts w:ascii="黑体" w:hAnsi="黑体" w:cs="黑体" w:eastAsia="黑体" w:hint="default"/>
          <w:sz w:val="65"/>
          <w:szCs w:val="65"/>
        </w:rPr>
      </w:pPr>
    </w:p>
    <w:p>
      <w:pPr>
        <w:spacing w:line="379" w:lineRule="auto" w:before="0"/>
        <w:ind w:left="2871" w:right="1582" w:firstLine="0"/>
        <w:jc w:val="left"/>
        <w:rPr>
          <w:rFonts w:ascii="黑体" w:hAnsi="黑体" w:cs="黑体" w:eastAsia="黑体" w:hint="default"/>
          <w:sz w:val="32"/>
          <w:szCs w:val="32"/>
        </w:rPr>
      </w:pPr>
      <w:r>
        <w:rPr>
          <w:rFonts w:ascii="黑体" w:hAnsi="黑体" w:cs="黑体" w:eastAsia="黑体" w:hint="default"/>
          <w:sz w:val="32"/>
          <w:szCs w:val="32"/>
        </w:rPr>
        <w:t>证券代码：002123</w:t>
      </w:r>
      <w:r>
        <w:rPr>
          <w:rFonts w:ascii="黑体" w:hAnsi="黑体" w:cs="黑体" w:eastAsia="黑体" w:hint="default"/>
          <w:spacing w:val="-1"/>
          <w:w w:val="100"/>
          <w:sz w:val="32"/>
          <w:szCs w:val="32"/>
        </w:rPr>
        <w:t> </w:t>
      </w:r>
      <w:r>
        <w:rPr>
          <w:rFonts w:ascii="黑体" w:hAnsi="黑体" w:cs="黑体" w:eastAsia="黑体" w:hint="default"/>
          <w:sz w:val="32"/>
          <w:szCs w:val="32"/>
        </w:rPr>
        <w:t>证券简称：荣信股份</w:t>
      </w:r>
      <w:r>
        <w:rPr>
          <w:rFonts w:ascii="黑体" w:hAnsi="黑体" w:cs="黑体" w:eastAsia="黑体" w:hint="default"/>
          <w:spacing w:val="-1"/>
          <w:w w:val="100"/>
          <w:sz w:val="32"/>
          <w:szCs w:val="32"/>
        </w:rPr>
        <w:t> </w:t>
      </w:r>
      <w:r>
        <w:rPr>
          <w:rFonts w:ascii="黑体" w:hAnsi="黑体" w:cs="黑体" w:eastAsia="黑体" w:hint="default"/>
          <w:sz w:val="32"/>
          <w:szCs w:val="32"/>
        </w:rPr>
        <w:t>披露时间：2009</w:t>
      </w:r>
      <w:r>
        <w:rPr>
          <w:rFonts w:ascii="黑体" w:hAnsi="黑体" w:cs="黑体" w:eastAsia="黑体" w:hint="default"/>
          <w:spacing w:val="-82"/>
          <w:sz w:val="32"/>
          <w:szCs w:val="32"/>
        </w:rPr>
        <w:t> </w:t>
      </w:r>
      <w:r>
        <w:rPr>
          <w:rFonts w:ascii="黑体" w:hAnsi="黑体" w:cs="黑体" w:eastAsia="黑体" w:hint="default"/>
          <w:sz w:val="32"/>
          <w:szCs w:val="32"/>
        </w:rPr>
        <w:t>年</w:t>
      </w:r>
      <w:r>
        <w:rPr>
          <w:rFonts w:ascii="黑体" w:hAnsi="黑体" w:cs="黑体" w:eastAsia="黑体" w:hint="default"/>
          <w:spacing w:val="-82"/>
          <w:sz w:val="32"/>
          <w:szCs w:val="32"/>
        </w:rPr>
        <w:t> </w:t>
      </w:r>
      <w:r>
        <w:rPr>
          <w:rFonts w:ascii="黑体" w:hAnsi="黑体" w:cs="黑体" w:eastAsia="黑体" w:hint="default"/>
          <w:sz w:val="32"/>
          <w:szCs w:val="32"/>
        </w:rPr>
        <w:t>2</w:t>
      </w:r>
      <w:r>
        <w:rPr>
          <w:rFonts w:ascii="黑体" w:hAnsi="黑体" w:cs="黑体" w:eastAsia="黑体" w:hint="default"/>
          <w:spacing w:val="-82"/>
          <w:sz w:val="32"/>
          <w:szCs w:val="32"/>
        </w:rPr>
        <w:t> </w:t>
      </w:r>
      <w:r>
        <w:rPr>
          <w:rFonts w:ascii="黑体" w:hAnsi="黑体" w:cs="黑体" w:eastAsia="黑体" w:hint="default"/>
          <w:sz w:val="32"/>
          <w:szCs w:val="32"/>
        </w:rPr>
        <w:t>月</w:t>
      </w:r>
      <w:r>
        <w:rPr>
          <w:rFonts w:ascii="黑体" w:hAnsi="黑体" w:cs="黑体" w:eastAsia="黑体" w:hint="default"/>
          <w:spacing w:val="-81"/>
          <w:sz w:val="32"/>
          <w:szCs w:val="32"/>
        </w:rPr>
        <w:t> </w:t>
      </w:r>
      <w:r>
        <w:rPr>
          <w:rFonts w:ascii="黑体" w:hAnsi="黑体" w:cs="黑体" w:eastAsia="黑体" w:hint="default"/>
          <w:sz w:val="32"/>
          <w:szCs w:val="32"/>
        </w:rPr>
        <w:t>26</w:t>
      </w:r>
      <w:r>
        <w:rPr>
          <w:rFonts w:ascii="黑体" w:hAnsi="黑体" w:cs="黑体" w:eastAsia="黑体" w:hint="default"/>
          <w:spacing w:val="-82"/>
          <w:sz w:val="32"/>
          <w:szCs w:val="32"/>
        </w:rPr>
        <w:t> </w:t>
      </w:r>
      <w:r>
        <w:rPr>
          <w:rFonts w:ascii="黑体" w:hAnsi="黑体" w:cs="黑体" w:eastAsia="黑体" w:hint="default"/>
          <w:sz w:val="32"/>
          <w:szCs w:val="32"/>
        </w:rPr>
        <w:t>日</w:t>
      </w:r>
    </w:p>
    <w:p>
      <w:pPr>
        <w:spacing w:after="0" w:line="379" w:lineRule="auto"/>
        <w:jc w:val="left"/>
        <w:rPr>
          <w:rFonts w:ascii="黑体" w:hAnsi="黑体" w:cs="黑体" w:eastAsia="黑体" w:hint="default"/>
          <w:sz w:val="32"/>
          <w:szCs w:val="32"/>
        </w:rPr>
        <w:sectPr>
          <w:type w:val="continuous"/>
          <w:pgSz w:w="11910" w:h="16840"/>
          <w:pgMar w:top="1600" w:bottom="280" w:left="1680" w:right="168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spacing w:before="7"/>
        <w:ind w:left="512" w:right="0" w:firstLine="0"/>
        <w:jc w:val="center"/>
        <w:rPr>
          <w:rFonts w:ascii="黑体" w:hAnsi="黑体" w:cs="黑体" w:eastAsia="黑体" w:hint="default"/>
          <w:sz w:val="30"/>
          <w:szCs w:val="30"/>
        </w:rPr>
      </w:pPr>
      <w:r>
        <w:rPr>
          <w:rFonts w:ascii="黑体" w:hAnsi="黑体" w:cs="黑体" w:eastAsia="黑体" w:hint="default"/>
          <w:b/>
          <w:bCs/>
          <w:spacing w:val="-3"/>
          <w:sz w:val="30"/>
          <w:szCs w:val="30"/>
        </w:rPr>
        <w:t>重要提示</w:t>
      </w:r>
      <w:r>
        <w:rPr>
          <w:rFonts w:ascii="黑体" w:hAnsi="黑体" w:cs="黑体" w:eastAsia="黑体" w:hint="default"/>
          <w:sz w:val="30"/>
          <w:szCs w:val="30"/>
        </w:rPr>
      </w:r>
    </w:p>
    <w:p>
      <w:pPr>
        <w:spacing w:line="240" w:lineRule="auto" w:before="6"/>
        <w:rPr>
          <w:rFonts w:ascii="黑体" w:hAnsi="黑体" w:cs="黑体" w:eastAsia="黑体" w:hint="default"/>
          <w:b/>
          <w:bCs/>
          <w:sz w:val="42"/>
          <w:szCs w:val="42"/>
        </w:rPr>
      </w:pPr>
    </w:p>
    <w:p>
      <w:pPr>
        <w:pStyle w:val="BodyText"/>
        <w:spacing w:line="357" w:lineRule="auto"/>
        <w:ind w:left="153" w:right="148" w:firstLine="480"/>
        <w:jc w:val="both"/>
      </w:pPr>
      <w:r>
        <w:rPr/>
        <w:t>本公司董事会、监事会及其董事、监事、高级管理人员保证本报告所载资料不存在任何</w:t>
      </w:r>
      <w:r>
        <w:rPr>
          <w:spacing w:val="1"/>
        </w:rPr>
        <w:t> </w:t>
      </w:r>
      <w:r>
        <w:rPr/>
        <w:t>虚假记载、误导性陈述或者重大遗漏，并对其内容的真实性、准确性和完整性负个别及连带</w:t>
      </w:r>
      <w:r>
        <w:rPr>
          <w:spacing w:val="-83"/>
        </w:rPr>
        <w:t> </w:t>
      </w:r>
      <w:r>
        <w:rPr>
          <w:spacing w:val="-83"/>
        </w:rPr>
      </w:r>
      <w:r>
        <w:rPr/>
        <w:t>责任。</w:t>
      </w:r>
    </w:p>
    <w:p>
      <w:pPr>
        <w:pStyle w:val="BodyText"/>
        <w:spacing w:line="357" w:lineRule="auto" w:before="74"/>
        <w:ind w:left="153" w:right="151" w:firstLine="480"/>
        <w:jc w:val="both"/>
      </w:pPr>
      <w:r>
        <w:rPr>
          <w:spacing w:val="-4"/>
        </w:rPr>
        <w:t>没有董事、监事、高级管理人员对</w:t>
      </w:r>
      <w:r>
        <w:rPr>
          <w:spacing w:val="-72"/>
        </w:rPr>
        <w:t> </w:t>
      </w:r>
      <w:r>
        <w:rPr/>
        <w:t>2008</w:t>
      </w:r>
      <w:r>
        <w:rPr>
          <w:spacing w:val="-72"/>
        </w:rPr>
        <w:t> </w:t>
      </w:r>
      <w:r>
        <w:rPr/>
        <w:t>年年度报告内容的真实性、准确性和完整性无法</w:t>
      </w:r>
      <w:r>
        <w:rPr/>
        <w:t> 保证或存在异议。</w:t>
      </w:r>
    </w:p>
    <w:p>
      <w:pPr>
        <w:pStyle w:val="BodyText"/>
        <w:spacing w:line="357" w:lineRule="auto" w:before="76"/>
        <w:ind w:left="153" w:right="150" w:firstLine="480"/>
        <w:jc w:val="both"/>
      </w:pPr>
      <w:r>
        <w:rPr/>
        <w:t>除独立董事梅志明、贾莉因工作原因未能出席本次董事会，采用通讯方式表决外，其他</w:t>
      </w:r>
      <w:r>
        <w:rPr>
          <w:spacing w:val="1"/>
        </w:rPr>
        <w:t> </w:t>
      </w:r>
      <w:r>
        <w:rPr/>
        <w:t>董事均出席了本次审议</w:t>
      </w:r>
      <w:r>
        <w:rPr>
          <w:spacing w:val="-60"/>
        </w:rPr>
        <w:t> </w:t>
      </w:r>
      <w:r>
        <w:rPr/>
        <w:t>2008</w:t>
      </w:r>
      <w:r>
        <w:rPr>
          <w:spacing w:val="-60"/>
        </w:rPr>
        <w:t> </w:t>
      </w:r>
      <w:r>
        <w:rPr/>
        <w:t>年年度报告的董事会。</w:t>
      </w:r>
    </w:p>
    <w:p>
      <w:pPr>
        <w:pStyle w:val="BodyText"/>
        <w:spacing w:line="386" w:lineRule="auto" w:before="74"/>
        <w:ind w:left="633" w:right="0"/>
        <w:jc w:val="left"/>
      </w:pPr>
      <w:r>
        <w:rPr/>
        <w:t>开元信德会计师事务所有限公司为本公司出具了标准无保留意见的审计报告。 公司负责人左强、主管会计工作负责人龙浩及会计机构负责人（会计主管人员）吴彩霞</w:t>
      </w:r>
    </w:p>
    <w:p>
      <w:pPr>
        <w:pStyle w:val="BodyText"/>
        <w:spacing w:line="240" w:lineRule="auto" w:before="6"/>
        <w:ind w:left="153" w:right="0"/>
        <w:jc w:val="left"/>
      </w:pPr>
      <w:r>
        <w:rPr/>
        <w:t>声明：保证年度报告中财务报告的真实、完整。</w:t>
      </w:r>
    </w:p>
    <w:p>
      <w:pPr>
        <w:spacing w:after="0" w:line="240" w:lineRule="auto"/>
        <w:jc w:val="left"/>
        <w:sectPr>
          <w:headerReference w:type="default" r:id="rId5"/>
          <w:footerReference w:type="default" r:id="rId6"/>
          <w:pgSz w:w="11910" w:h="16840"/>
          <w:pgMar w:header="747" w:footer="669" w:top="980" w:bottom="860" w:left="980" w:right="9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tabs>
          <w:tab w:pos="1769" w:val="left" w:leader="none"/>
        </w:tabs>
        <w:spacing w:before="1"/>
        <w:ind w:left="643" w:right="0" w:firstLine="0"/>
        <w:jc w:val="center"/>
        <w:rPr>
          <w:rFonts w:ascii="宋体" w:hAnsi="宋体" w:cs="宋体" w:eastAsia="宋体" w:hint="default"/>
          <w:sz w:val="32"/>
          <w:szCs w:val="32"/>
        </w:rPr>
      </w:pPr>
      <w:r>
        <w:rPr>
          <w:rFonts w:ascii="宋体" w:hAnsi="宋体" w:cs="宋体" w:eastAsia="宋体" w:hint="default"/>
          <w:b/>
          <w:bCs/>
          <w:w w:val="95"/>
          <w:sz w:val="32"/>
          <w:szCs w:val="32"/>
        </w:rPr>
        <w:t>目</w:t>
        <w:tab/>
      </w:r>
      <w:r>
        <w:rPr>
          <w:rFonts w:ascii="宋体" w:hAnsi="宋体" w:cs="宋体" w:eastAsia="宋体" w:hint="default"/>
          <w:b/>
          <w:bCs/>
          <w:sz w:val="32"/>
          <w:szCs w:val="32"/>
        </w:rPr>
        <w:t>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9781" w:val="right" w:leader="dot"/>
            </w:tabs>
            <w:spacing w:line="240" w:lineRule="auto" w:before="577"/>
            <w:ind w:right="0"/>
            <w:jc w:val="left"/>
          </w:pPr>
          <w:hyperlink w:history="true" w:anchor="_bookmark0">
            <w:r>
              <w:rPr/>
              <w:t>第一节 公司基本情况简介</w:t>
            </w:r>
            <w:r>
              <w:rPr>
                <w:rFonts w:ascii="Times New Roman" w:hAnsi="Times New Roman" w:cs="Times New Roman" w:eastAsia="Times New Roman" w:hint="default"/>
              </w:rPr>
              <w:tab/>
            </w:r>
            <w:r>
              <w:rPr/>
              <w:t>3</w:t>
            </w:r>
          </w:hyperlink>
        </w:p>
        <w:p>
          <w:pPr>
            <w:pStyle w:val="TOC1"/>
            <w:tabs>
              <w:tab w:pos="9781" w:val="right" w:leader="dot"/>
            </w:tabs>
            <w:spacing w:line="240" w:lineRule="auto" w:before="358"/>
            <w:ind w:right="0"/>
            <w:jc w:val="left"/>
          </w:pPr>
          <w:hyperlink w:history="true" w:anchor="_bookmark1">
            <w:r>
              <w:rPr>
                <w:spacing w:val="4"/>
              </w:rPr>
              <w:t>第二节</w:t>
            </w:r>
            <w:r>
              <w:rPr>
                <w:spacing w:val="15"/>
              </w:rPr>
              <w:t> </w:t>
            </w:r>
            <w:r>
              <w:rPr>
                <w:spacing w:val="7"/>
              </w:rPr>
              <w:t>会计数据和业务数据摘要</w:t>
            </w:r>
            <w:r>
              <w:rPr>
                <w:rFonts w:ascii="Times New Roman" w:hAnsi="Times New Roman" w:cs="Times New Roman" w:eastAsia="Times New Roman" w:hint="default"/>
                <w:spacing w:val="7"/>
              </w:rPr>
              <w:tab/>
            </w:r>
            <w:r>
              <w:rPr/>
              <w:t>5</w:t>
            </w:r>
          </w:hyperlink>
        </w:p>
        <w:p>
          <w:pPr>
            <w:pStyle w:val="TOC1"/>
            <w:tabs>
              <w:tab w:pos="9781" w:val="right" w:leader="dot"/>
            </w:tabs>
            <w:spacing w:line="240" w:lineRule="auto"/>
            <w:ind w:right="0"/>
            <w:jc w:val="left"/>
          </w:pPr>
          <w:hyperlink w:history="true" w:anchor="_bookmark2">
            <w:r>
              <w:rPr/>
              <w:t>第三节 股本变动及股东情况</w:t>
            </w:r>
            <w:r>
              <w:rPr>
                <w:rFonts w:ascii="Times New Roman" w:hAnsi="Times New Roman" w:cs="Times New Roman" w:eastAsia="Times New Roman" w:hint="default"/>
              </w:rPr>
              <w:tab/>
            </w:r>
            <w:r>
              <w:rPr/>
              <w:t>7</w:t>
            </w:r>
          </w:hyperlink>
        </w:p>
        <w:p>
          <w:pPr>
            <w:pStyle w:val="TOC1"/>
            <w:tabs>
              <w:tab w:pos="1113" w:val="left" w:leader="none"/>
              <w:tab w:pos="9781" w:val="right" w:leader="dot"/>
            </w:tabs>
            <w:spacing w:line="240" w:lineRule="auto"/>
            <w:ind w:right="0"/>
            <w:jc w:val="left"/>
          </w:pPr>
          <w:hyperlink w:history="true" w:anchor="_bookmark3">
            <w:r>
              <w:rPr/>
              <w:t>第四节</w:t>
              <w:tab/>
              <w:t>董事、监事、高级管理人员和员工情况</w:t>
            </w:r>
            <w:r>
              <w:rPr>
                <w:rFonts w:ascii="Times New Roman" w:hAnsi="Times New Roman" w:cs="Times New Roman" w:eastAsia="Times New Roman" w:hint="default"/>
              </w:rPr>
              <w:tab/>
            </w:r>
            <w:r>
              <w:rPr/>
              <w:t>12</w:t>
            </w:r>
          </w:hyperlink>
        </w:p>
        <w:p>
          <w:pPr>
            <w:pStyle w:val="TOC1"/>
            <w:tabs>
              <w:tab w:pos="9781" w:val="right" w:leader="dot"/>
            </w:tabs>
            <w:spacing w:line="240" w:lineRule="auto" w:before="358"/>
            <w:ind w:right="0"/>
            <w:jc w:val="left"/>
          </w:pPr>
          <w:hyperlink w:history="true" w:anchor="_bookmark4">
            <w:r>
              <w:rPr/>
              <w:t>第五节 公司治理结构</w:t>
            </w:r>
            <w:r>
              <w:rPr>
                <w:rFonts w:ascii="Times New Roman" w:hAnsi="Times New Roman" w:cs="Times New Roman" w:eastAsia="Times New Roman" w:hint="default"/>
              </w:rPr>
              <w:tab/>
            </w:r>
            <w:r>
              <w:rPr/>
              <w:t>16</w:t>
            </w:r>
          </w:hyperlink>
        </w:p>
        <w:p>
          <w:pPr>
            <w:pStyle w:val="TOC1"/>
            <w:tabs>
              <w:tab w:pos="9781" w:val="right" w:leader="dot"/>
            </w:tabs>
            <w:spacing w:line="240" w:lineRule="auto"/>
            <w:ind w:right="0"/>
            <w:jc w:val="left"/>
          </w:pPr>
          <w:hyperlink w:history="true" w:anchor="_bookmark5">
            <w:r>
              <w:rPr/>
              <w:t>第六节 股东大会情况简介</w:t>
            </w:r>
            <w:r>
              <w:rPr>
                <w:rFonts w:ascii="Times New Roman" w:hAnsi="Times New Roman" w:cs="Times New Roman" w:eastAsia="Times New Roman" w:hint="default"/>
              </w:rPr>
              <w:tab/>
            </w:r>
            <w:r>
              <w:rPr/>
              <w:t>25</w:t>
            </w:r>
          </w:hyperlink>
        </w:p>
        <w:p>
          <w:pPr>
            <w:pStyle w:val="TOC1"/>
            <w:tabs>
              <w:tab w:pos="9781" w:val="right" w:leader="dot"/>
            </w:tabs>
            <w:spacing w:line="240" w:lineRule="auto"/>
            <w:ind w:right="0"/>
            <w:jc w:val="left"/>
          </w:pPr>
          <w:hyperlink w:history="true" w:anchor="_bookmark6">
            <w:r>
              <w:rPr/>
              <w:t>第七节 董事会报告</w:t>
            </w:r>
            <w:r>
              <w:rPr>
                <w:rFonts w:ascii="Times New Roman" w:hAnsi="Times New Roman" w:cs="Times New Roman" w:eastAsia="Times New Roman" w:hint="default"/>
              </w:rPr>
              <w:tab/>
            </w:r>
            <w:r>
              <w:rPr/>
              <w:t>26</w:t>
            </w:r>
          </w:hyperlink>
        </w:p>
        <w:p>
          <w:pPr>
            <w:pStyle w:val="TOC1"/>
            <w:tabs>
              <w:tab w:pos="9781" w:val="right" w:leader="dot"/>
            </w:tabs>
            <w:spacing w:line="240" w:lineRule="auto" w:before="358"/>
            <w:ind w:right="0"/>
            <w:jc w:val="left"/>
          </w:pPr>
          <w:hyperlink w:history="true" w:anchor="_bookmark7">
            <w:r>
              <w:rPr/>
              <w:t>第八节 监事会报告</w:t>
            </w:r>
            <w:r>
              <w:rPr>
                <w:rFonts w:ascii="Times New Roman" w:hAnsi="Times New Roman" w:cs="Times New Roman" w:eastAsia="Times New Roman" w:hint="default"/>
              </w:rPr>
              <w:tab/>
            </w:r>
            <w:r>
              <w:rPr/>
              <w:t>45</w:t>
            </w:r>
          </w:hyperlink>
        </w:p>
        <w:p>
          <w:pPr>
            <w:pStyle w:val="TOC1"/>
            <w:tabs>
              <w:tab w:pos="9781" w:val="right" w:leader="dot"/>
            </w:tabs>
            <w:spacing w:line="240" w:lineRule="auto"/>
            <w:ind w:right="0"/>
            <w:jc w:val="left"/>
          </w:pPr>
          <w:hyperlink w:history="true" w:anchor="_bookmark8">
            <w:r>
              <w:rPr/>
              <w:t>第九节 重要事项</w:t>
            </w:r>
            <w:r>
              <w:rPr>
                <w:rFonts w:ascii="Times New Roman" w:hAnsi="Times New Roman" w:cs="Times New Roman" w:eastAsia="Times New Roman" w:hint="default"/>
              </w:rPr>
              <w:tab/>
            </w:r>
            <w:r>
              <w:rPr/>
              <w:t>47</w:t>
            </w:r>
          </w:hyperlink>
        </w:p>
        <w:p>
          <w:pPr>
            <w:pStyle w:val="TOC1"/>
            <w:tabs>
              <w:tab w:pos="9781" w:val="right" w:leader="dot"/>
            </w:tabs>
            <w:spacing w:line="240" w:lineRule="auto" w:before="358"/>
            <w:ind w:right="0"/>
            <w:jc w:val="left"/>
          </w:pPr>
          <w:hyperlink w:history="true" w:anchor="_bookmark9">
            <w:r>
              <w:rPr/>
              <w:t>第十节 财务报告</w:t>
            </w:r>
            <w:r>
              <w:rPr>
                <w:rFonts w:ascii="Times New Roman" w:hAnsi="Times New Roman" w:cs="Times New Roman" w:eastAsia="Times New Roman" w:hint="default"/>
              </w:rPr>
              <w:tab/>
            </w:r>
            <w:r>
              <w:rPr/>
              <w:t>52</w:t>
            </w:r>
          </w:hyperlink>
        </w:p>
        <w:p>
          <w:pPr>
            <w:pStyle w:val="TOC1"/>
            <w:tabs>
              <w:tab w:pos="9781" w:val="right" w:leader="dot"/>
            </w:tabs>
            <w:spacing w:line="240" w:lineRule="auto"/>
            <w:ind w:right="0"/>
            <w:jc w:val="left"/>
          </w:pPr>
          <w:hyperlink w:history="true" w:anchor="_bookmark10">
            <w:r>
              <w:rPr/>
              <w:t>第十一节 备查文件</w:t>
            </w:r>
            <w:r>
              <w:rPr>
                <w:rFonts w:ascii="Times New Roman" w:hAnsi="Times New Roman" w:cs="Times New Roman" w:eastAsia="Times New Roman" w:hint="default"/>
              </w:rPr>
              <w:tab/>
            </w:r>
            <w:r>
              <w:rPr/>
              <w:t>110</w:t>
            </w:r>
          </w:hyperlink>
        </w:p>
      </w:sdtContent>
    </w:sdt>
    <w:p>
      <w:pPr>
        <w:spacing w:after="0" w:line="240" w:lineRule="auto"/>
        <w:jc w:val="left"/>
        <w:sectPr>
          <w:pgSz w:w="11910" w:h="16840"/>
          <w:pgMar w:header="747" w:footer="669" w:top="980" w:bottom="860" w:left="980" w:right="980"/>
        </w:sectPr>
      </w:pPr>
    </w:p>
    <w:p>
      <w:pPr>
        <w:pStyle w:val="Heading1"/>
        <w:spacing w:line="240" w:lineRule="auto" w:before="701"/>
        <w:ind w:left="3241" w:right="1890"/>
        <w:jc w:val="left"/>
        <w:rPr>
          <w:b w:val="0"/>
          <w:bCs w:val="0"/>
        </w:rPr>
      </w:pPr>
      <w:bookmarkStart w:name="第一节 公司基本情况简介" w:id="1"/>
      <w:bookmarkEnd w:id="1"/>
      <w:r>
        <w:rPr>
          <w:b w:val="0"/>
          <w:bCs w:val="0"/>
        </w:rPr>
      </w:r>
      <w:bookmarkStart w:name="_bookmark0" w:id="2"/>
      <w:bookmarkEnd w:id="2"/>
      <w:r>
        <w:rPr>
          <w:b w:val="0"/>
          <w:bCs w:val="0"/>
        </w:rPr>
      </w:r>
      <w:r>
        <w:rPr/>
        <w:t>第一节</w:t>
      </w:r>
      <w:r>
        <w:rPr>
          <w:spacing w:val="-2"/>
        </w:rPr>
        <w:t> </w:t>
      </w:r>
      <w:r>
        <w:rPr/>
        <w:t>公司基本情况简介</w:t>
      </w:r>
      <w:r>
        <w:rPr>
          <w:b w:val="0"/>
          <w:bCs w:val="0"/>
        </w:rPr>
      </w:r>
    </w:p>
    <w:p>
      <w:pPr>
        <w:spacing w:line="240" w:lineRule="auto" w:before="0"/>
        <w:rPr>
          <w:rFonts w:ascii="黑体" w:hAnsi="黑体" w:cs="黑体" w:eastAsia="黑体" w:hint="default"/>
          <w:b/>
          <w:bCs/>
          <w:sz w:val="28"/>
          <w:szCs w:val="28"/>
        </w:rPr>
      </w:pPr>
    </w:p>
    <w:p>
      <w:pPr>
        <w:spacing w:line="240" w:lineRule="auto" w:before="3"/>
        <w:rPr>
          <w:rFonts w:ascii="黑体" w:hAnsi="黑体" w:cs="黑体" w:eastAsia="黑体" w:hint="default"/>
          <w:b/>
          <w:bCs/>
          <w:sz w:val="39"/>
          <w:szCs w:val="39"/>
        </w:rPr>
      </w:pPr>
    </w:p>
    <w:p>
      <w:pPr>
        <w:pStyle w:val="Heading3"/>
        <w:spacing w:line="240" w:lineRule="auto"/>
        <w:ind w:left="154" w:right="1890"/>
        <w:jc w:val="left"/>
      </w:pPr>
      <w:r>
        <w:rPr/>
        <w:t>一、公司基本情况</w:t>
      </w:r>
    </w:p>
    <w:p>
      <w:pPr>
        <w:spacing w:line="240" w:lineRule="auto" w:before="6"/>
        <w:rPr>
          <w:rFonts w:ascii="黑体" w:hAnsi="黑体" w:cs="黑体" w:eastAsia="黑体" w:hint="default"/>
          <w:sz w:val="35"/>
          <w:szCs w:val="35"/>
        </w:rPr>
      </w:pPr>
    </w:p>
    <w:p>
      <w:pPr>
        <w:pStyle w:val="BodyText"/>
        <w:tabs>
          <w:tab w:pos="5673" w:val="left" w:leader="none"/>
        </w:tabs>
        <w:spacing w:line="352" w:lineRule="auto"/>
        <w:ind w:left="1354" w:right="3468" w:hanging="720"/>
        <w:jc w:val="left"/>
      </w:pPr>
      <w:r>
        <w:rPr/>
        <w:t>（一）中文名称：荣信电力电子股份有限公司 英文名称：RONGXIN POWER ELECTRONIC</w:t>
        <w:tab/>
        <w:t>CO.,LTD.</w:t>
      </w:r>
    </w:p>
    <w:p>
      <w:pPr>
        <w:pStyle w:val="BodyText"/>
        <w:spacing w:line="367" w:lineRule="auto" w:before="53"/>
        <w:ind w:left="1354" w:right="6570"/>
        <w:jc w:val="left"/>
      </w:pPr>
      <w:r>
        <w:rPr/>
        <w:t>中文简称：荣信股份 英文简称：RXPE</w:t>
      </w:r>
    </w:p>
    <w:p>
      <w:pPr>
        <w:pStyle w:val="BodyText"/>
        <w:spacing w:line="241" w:lineRule="exact"/>
        <w:ind w:left="634" w:right="1890"/>
        <w:jc w:val="left"/>
      </w:pPr>
      <w:r>
        <w:rPr/>
        <w:t>（二）法定代表人：左强</w:t>
      </w:r>
    </w:p>
    <w:p>
      <w:pPr>
        <w:pStyle w:val="BodyText"/>
        <w:spacing w:line="240" w:lineRule="auto" w:before="152"/>
        <w:ind w:left="634" w:right="1890"/>
        <w:jc w:val="left"/>
      </w:pPr>
      <w:r>
        <w:rPr/>
        <w:t>（三）公司联系人和联系方式</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40"/>
        <w:gridCol w:w="2496"/>
        <w:gridCol w:w="2496"/>
        <w:gridCol w:w="2496"/>
      </w:tblGrid>
      <w:tr>
        <w:trPr>
          <w:trHeight w:val="323"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证券事务代表</w:t>
            </w:r>
          </w:p>
        </w:tc>
        <w:tc>
          <w:tcPr>
            <w:tcW w:w="24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投资者关系管理负责人</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96"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left="15" w:right="0"/>
              <w:jc w:val="left"/>
              <w:rPr>
                <w:rFonts w:ascii="宋体" w:hAnsi="宋体" w:cs="宋体" w:eastAsia="宋体" w:hint="default"/>
                <w:sz w:val="21"/>
                <w:szCs w:val="21"/>
              </w:rPr>
            </w:pPr>
            <w:r>
              <w:rPr>
                <w:rFonts w:ascii="宋体" w:hAnsi="宋体" w:cs="宋体" w:eastAsia="宋体" w:hint="default"/>
                <w:sz w:val="21"/>
                <w:szCs w:val="21"/>
              </w:rPr>
              <w:t>赵殿波</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张洪涛</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赵殿波</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鞍山高新区科技路</w:t>
            </w:r>
            <w:r>
              <w:rPr>
                <w:rFonts w:ascii="宋体" w:hAnsi="宋体" w:cs="宋体" w:eastAsia="宋体" w:hint="default"/>
                <w:spacing w:val="-53"/>
                <w:sz w:val="21"/>
                <w:szCs w:val="21"/>
              </w:rPr>
              <w:t> </w:t>
            </w: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鞍山高新区科技路</w:t>
            </w:r>
            <w:r>
              <w:rPr>
                <w:rFonts w:ascii="宋体" w:hAnsi="宋体" w:cs="宋体" w:eastAsia="宋体" w:hint="default"/>
                <w:spacing w:val="-53"/>
                <w:sz w:val="21"/>
                <w:szCs w:val="21"/>
              </w:rPr>
              <w:t> </w:t>
            </w: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号</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鞍山高新区科技路</w:t>
            </w:r>
            <w:r>
              <w:rPr>
                <w:rFonts w:ascii="宋体" w:hAnsi="宋体" w:cs="宋体" w:eastAsia="宋体" w:hint="default"/>
                <w:spacing w:val="-53"/>
                <w:sz w:val="21"/>
                <w:szCs w:val="21"/>
              </w:rPr>
              <w:t> </w:t>
            </w:r>
            <w:r>
              <w:rPr>
                <w:rFonts w:ascii="宋体" w:hAnsi="宋体" w:cs="宋体" w:eastAsia="宋体" w:hint="default"/>
                <w:sz w:val="21"/>
                <w:szCs w:val="21"/>
              </w:rPr>
              <w:t>108</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电话</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0412-7213602</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0412-7213602</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0412-7213602</w:t>
            </w:r>
          </w:p>
        </w:tc>
      </w:tr>
      <w:tr>
        <w:trPr>
          <w:trHeight w:val="362"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传真</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0412-7213646</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0412-7213646</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sz w:val="21"/>
              </w:rPr>
              <w:t>0412-7213646</w:t>
            </w:r>
          </w:p>
        </w:tc>
      </w:tr>
      <w:tr>
        <w:trPr>
          <w:trHeight w:val="364"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7">
              <w:r>
                <w:rPr>
                  <w:rFonts w:ascii="宋体"/>
                  <w:sz w:val="21"/>
                </w:rPr>
                <w:t>zdb@rxpe.com</w:t>
              </w:r>
            </w:hyperlink>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8">
              <w:r>
                <w:rPr>
                  <w:rFonts w:ascii="宋体"/>
                  <w:sz w:val="21"/>
                </w:rPr>
                <w:t>zht@rxpe.com</w:t>
              </w:r>
            </w:hyperlink>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hyperlink r:id="rId7">
              <w:r>
                <w:rPr>
                  <w:rFonts w:ascii="宋体"/>
                  <w:sz w:val="21"/>
                </w:rPr>
                <w:t>zdb@rxpe.com</w:t>
              </w:r>
            </w:hyperlink>
          </w:p>
        </w:tc>
      </w:tr>
    </w:tbl>
    <w:p>
      <w:pPr>
        <w:spacing w:line="240" w:lineRule="auto" w:before="5"/>
        <w:rPr>
          <w:rFonts w:ascii="宋体" w:hAnsi="宋体" w:cs="宋体" w:eastAsia="宋体" w:hint="default"/>
          <w:sz w:val="16"/>
          <w:szCs w:val="16"/>
        </w:rPr>
      </w:pPr>
    </w:p>
    <w:p>
      <w:pPr>
        <w:pStyle w:val="BodyText"/>
        <w:spacing w:line="357" w:lineRule="auto" w:before="26"/>
        <w:ind w:left="1354" w:right="4410" w:hanging="720"/>
        <w:jc w:val="left"/>
      </w:pPr>
      <w:r>
        <w:rPr/>
        <w:t>（四）公司注册地址：鞍山高新区鞍千路261号 公司办公地址：鞍山高新区科技路</w:t>
      </w:r>
      <w:r>
        <w:rPr>
          <w:spacing w:val="-60"/>
        </w:rPr>
        <w:t> </w:t>
      </w:r>
      <w:r>
        <w:rPr/>
        <w:t>108</w:t>
      </w:r>
      <w:r>
        <w:rPr>
          <w:spacing w:val="-60"/>
        </w:rPr>
        <w:t> </w:t>
      </w:r>
      <w:r>
        <w:rPr/>
        <w:t>号</w:t>
      </w:r>
      <w:r>
        <w:rPr/>
        <w:t> 邮编：114051</w:t>
      </w:r>
    </w:p>
    <w:p>
      <w:pPr>
        <w:pStyle w:val="BodyText"/>
        <w:spacing w:line="357" w:lineRule="auto" w:before="35"/>
        <w:ind w:left="1354" w:right="5970"/>
        <w:jc w:val="left"/>
      </w:pPr>
      <w:r>
        <w:rPr/>
        <w:t>公司网址：</w:t>
      </w:r>
      <w:r>
        <w:rPr>
          <w:color w:val="0000FF"/>
        </w:rPr>
      </w:r>
      <w:hyperlink r:id="rId9">
        <w:r>
          <w:rPr>
            <w:color w:val="0000FF"/>
            <w:u w:val="single" w:color="0000FF"/>
          </w:rPr>
          <w:t>www.rxpe.com</w:t>
        </w:r>
        <w:r>
          <w:rPr>
            <w:color w:val="0000FF"/>
          </w:rPr>
        </w:r>
      </w:hyperlink>
      <w:r>
        <w:rPr>
          <w:color w:val="0000FF"/>
        </w:rPr>
        <w:t> </w:t>
      </w:r>
      <w:hyperlink r:id="rId10">
        <w:r>
          <w:rPr/>
          <w:t>电子信箱：rxpe@rxpe.com</w:t>
        </w:r>
      </w:hyperlink>
    </w:p>
    <w:p>
      <w:pPr>
        <w:pStyle w:val="BodyText"/>
        <w:spacing w:line="357" w:lineRule="auto" w:before="35"/>
        <w:ind w:left="1354" w:right="1890" w:hanging="720"/>
        <w:jc w:val="left"/>
      </w:pPr>
      <w:r>
        <w:rPr/>
        <w:t>（五）公司选定的信息披露报纸：《证券时报》、《中国证券报》 登载年度报告的网站网址：</w:t>
      </w:r>
      <w:r>
        <w:rPr>
          <w:color w:val="0000FF"/>
        </w:rPr>
      </w:r>
      <w:hyperlink r:id="rId11">
        <w:r>
          <w:rPr>
            <w:color w:val="0000FF"/>
            <w:u w:val="single" w:color="0000FF"/>
          </w:rPr>
          <w:t>http://www.cninfo.com.cn</w:t>
        </w:r>
        <w:r>
          <w:rPr>
            <w:color w:val="0000FF"/>
          </w:rPr>
        </w:r>
      </w:hyperlink>
      <w:r>
        <w:rPr>
          <w:color w:val="0000FF"/>
        </w:rPr>
        <w:t> </w:t>
      </w:r>
      <w:r>
        <w:rPr/>
        <w:t>公司年度报告备置地点：鞍山高新区科技路108号公司证券事务部</w:t>
      </w:r>
    </w:p>
    <w:p>
      <w:pPr>
        <w:pStyle w:val="BodyText"/>
        <w:spacing w:line="357" w:lineRule="auto" w:before="35"/>
        <w:ind w:left="1353" w:right="4651" w:hanging="720"/>
        <w:jc w:val="left"/>
      </w:pPr>
      <w:r>
        <w:rPr/>
        <w:t>（六）公司股票上市交易所：深圳证券交易所 股票简称：荣信股份</w:t>
      </w:r>
    </w:p>
    <w:p>
      <w:pPr>
        <w:pStyle w:val="BodyText"/>
        <w:spacing w:line="240" w:lineRule="auto" w:before="35"/>
        <w:ind w:left="1353" w:right="1890"/>
        <w:jc w:val="left"/>
      </w:pPr>
      <w:r>
        <w:rPr/>
        <w:t>股票代码：002123</w:t>
      </w:r>
    </w:p>
    <w:p>
      <w:pPr>
        <w:pStyle w:val="BodyText"/>
        <w:spacing w:line="240" w:lineRule="auto" w:before="154"/>
        <w:ind w:left="633" w:right="1890"/>
        <w:jc w:val="left"/>
      </w:pPr>
      <w:r>
        <w:rPr/>
        <w:t>（七） 其它有关资料</w:t>
      </w:r>
    </w:p>
    <w:p>
      <w:pPr>
        <w:pStyle w:val="BodyText"/>
        <w:spacing w:line="357" w:lineRule="auto" w:before="152"/>
        <w:ind w:left="1353" w:right="4051"/>
        <w:jc w:val="left"/>
      </w:pPr>
      <w:r>
        <w:rPr/>
        <w:t>公司首次注册登记日期：1998年11月19日 公司最近一次变更登记日期：2008年6月16日</w:t>
      </w:r>
    </w:p>
    <w:p>
      <w:pPr>
        <w:spacing w:after="0" w:line="357" w:lineRule="auto"/>
        <w:jc w:val="left"/>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57" w:lineRule="auto" w:before="26"/>
        <w:ind w:left="1414" w:right="2288"/>
        <w:jc w:val="left"/>
      </w:pPr>
      <w:r>
        <w:rPr/>
        <w:t>注册登记地点：辽宁省工商行政管理局 公司企业法人营业执照注册号：210000004920217 公司税务登记证号码：210301118887313 公司组织机构代码：11888731-3 公司聘请的会计师事务所：开元信德会计师事务所有限公司</w:t>
      </w:r>
    </w:p>
    <w:p>
      <w:pPr>
        <w:pStyle w:val="BodyText"/>
        <w:spacing w:line="240" w:lineRule="auto" w:before="35"/>
        <w:ind w:left="1414" w:right="0"/>
        <w:jc w:val="left"/>
      </w:pPr>
      <w:r>
        <w:rPr/>
        <w:t>会计师事务所的办公地址：深圳市福田区滨河大厦5020号证券大厦1501、十六层</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3044" w:right="0"/>
        <w:jc w:val="left"/>
        <w:rPr>
          <w:b w:val="0"/>
          <w:bCs w:val="0"/>
        </w:rPr>
      </w:pPr>
      <w:bookmarkStart w:name="_bookmark1" w:id="3"/>
      <w:bookmarkEnd w:id="3"/>
      <w:r>
        <w:rPr>
          <w:b w:val="0"/>
          <w:bCs w:val="0"/>
        </w:rPr>
      </w:r>
      <w:r>
        <w:rPr>
          <w:spacing w:val="6"/>
        </w:rPr>
        <w:t>第二节</w:t>
      </w:r>
      <w:r>
        <w:rPr>
          <w:spacing w:val="-1"/>
        </w:rPr>
        <w:t> </w:t>
      </w:r>
      <w:r>
        <w:rPr>
          <w:spacing w:val="9"/>
        </w:rPr>
        <w:t>会计数据和业务数据摘要</w:t>
      </w:r>
      <w:r>
        <w:rPr>
          <w:b w:val="0"/>
          <w:bCs w:val="0"/>
        </w:rPr>
      </w:r>
    </w:p>
    <w:p>
      <w:pPr>
        <w:spacing w:line="240" w:lineRule="auto" w:before="5"/>
        <w:rPr>
          <w:rFonts w:ascii="黑体" w:hAnsi="黑体" w:cs="黑体" w:eastAsia="黑体" w:hint="default"/>
          <w:b/>
          <w:bCs/>
          <w:sz w:val="21"/>
          <w:szCs w:val="21"/>
        </w:rPr>
      </w:pPr>
    </w:p>
    <w:p>
      <w:pPr>
        <w:pStyle w:val="Heading3"/>
        <w:spacing w:line="240" w:lineRule="auto"/>
        <w:ind w:left="774" w:right="0"/>
        <w:jc w:val="left"/>
      </w:pPr>
      <w:r>
        <w:rPr/>
        <w:t>一、主要财务数据和指标</w:t>
      </w:r>
    </w:p>
    <w:p>
      <w:pPr>
        <w:spacing w:line="240" w:lineRule="auto" w:before="7"/>
        <w:rPr>
          <w:rFonts w:ascii="黑体" w:hAnsi="黑体" w:cs="黑体" w:eastAsia="黑体" w:hint="default"/>
          <w:sz w:val="35"/>
          <w:szCs w:val="35"/>
        </w:rPr>
      </w:pPr>
    </w:p>
    <w:p>
      <w:pPr>
        <w:pStyle w:val="BodyText"/>
        <w:spacing w:line="240" w:lineRule="auto"/>
        <w:ind w:left="684" w:right="0"/>
        <w:jc w:val="left"/>
        <w:rPr>
          <w:rFonts w:ascii="黑体" w:hAnsi="黑体" w:cs="黑体" w:eastAsia="黑体" w:hint="default"/>
        </w:rPr>
      </w:pPr>
      <w:r>
        <w:rPr>
          <w:rFonts w:ascii="黑体" w:hAnsi="黑体" w:cs="黑体" w:eastAsia="黑体" w:hint="default"/>
        </w:rPr>
        <w:t>主要会计数据和财务指标</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3"/>
          <w:szCs w:val="13"/>
        </w:rPr>
      </w:pPr>
    </w:p>
    <w:p>
      <w:pPr>
        <w:spacing w:before="0"/>
        <w:ind w:left="0" w:right="67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5148"/>
        <w:gridCol w:w="4706"/>
      </w:tblGrid>
      <w:tr>
        <w:trPr>
          <w:trHeight w:val="419" w:hRule="exact"/>
        </w:trPr>
        <w:tc>
          <w:tcPr>
            <w:tcW w:w="51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项目指标</w:t>
            </w:r>
          </w:p>
        </w:tc>
        <w:tc>
          <w:tcPr>
            <w:tcW w:w="470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pacing w:val="-1"/>
                <w:sz w:val="18"/>
              </w:rPr>
              <w:t>94,681,136.93</w:t>
            </w:r>
          </w:p>
        </w:tc>
      </w:tr>
      <w:tr>
        <w:trPr>
          <w:trHeight w:val="418"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8"/>
                <w:szCs w:val="18"/>
              </w:rPr>
            </w:pPr>
            <w:r>
              <w:rPr>
                <w:rFonts w:ascii="Times New Roman"/>
                <w:spacing w:val="-1"/>
                <w:sz w:val="18"/>
              </w:rPr>
              <w:t>140,872,976.53</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8"/>
                <w:szCs w:val="18"/>
              </w:rPr>
            </w:pPr>
            <w:r>
              <w:rPr>
                <w:rFonts w:ascii="Times New Roman"/>
                <w:spacing w:val="-1"/>
                <w:sz w:val="18"/>
              </w:rPr>
              <w:t>130,222,796.59</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0"/>
              <w:jc w:val="right"/>
              <w:rPr>
                <w:rFonts w:ascii="Times New Roman" w:hAnsi="Times New Roman" w:cs="Times New Roman" w:eastAsia="Times New Roman" w:hint="default"/>
                <w:sz w:val="18"/>
                <w:szCs w:val="18"/>
              </w:rPr>
            </w:pPr>
            <w:r>
              <w:rPr>
                <w:rFonts w:ascii="Times New Roman"/>
                <w:spacing w:val="-1"/>
                <w:sz w:val="18"/>
              </w:rPr>
              <w:t>116,420,429.59</w:t>
            </w:r>
          </w:p>
        </w:tc>
      </w:tr>
      <w:tr>
        <w:trPr>
          <w:trHeight w:val="419" w:hRule="exact"/>
        </w:trPr>
        <w:tc>
          <w:tcPr>
            <w:tcW w:w="5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4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Times New Roman" w:hAnsi="Times New Roman" w:cs="Times New Roman" w:eastAsia="Times New Roman" w:hint="default"/>
                <w:sz w:val="18"/>
                <w:szCs w:val="18"/>
              </w:rPr>
            </w:pPr>
            <w:r>
              <w:rPr>
                <w:rFonts w:ascii="Times New Roman"/>
                <w:spacing w:val="-1"/>
                <w:sz w:val="18"/>
              </w:rPr>
              <w:t>4,743,080.17</w:t>
            </w:r>
          </w:p>
        </w:tc>
      </w:tr>
    </w:tbl>
    <w:p>
      <w:pPr>
        <w:spacing w:line="240" w:lineRule="auto" w:before="5"/>
        <w:rPr>
          <w:rFonts w:ascii="宋体" w:hAnsi="宋体" w:cs="宋体" w:eastAsia="宋体" w:hint="default"/>
          <w:sz w:val="16"/>
          <w:szCs w:val="16"/>
        </w:rPr>
      </w:pPr>
    </w:p>
    <w:p>
      <w:pPr>
        <w:pStyle w:val="BodyText"/>
        <w:spacing w:line="240" w:lineRule="auto" w:before="26"/>
        <w:ind w:left="684" w:right="0"/>
        <w:jc w:val="left"/>
        <w:rPr>
          <w:rFonts w:ascii="黑体" w:hAnsi="黑体" w:cs="黑体" w:eastAsia="黑体" w:hint="default"/>
        </w:rPr>
      </w:pPr>
      <w:r>
        <w:rPr>
          <w:rFonts w:ascii="黑体" w:hAnsi="黑体" w:cs="黑体" w:eastAsia="黑体" w:hint="default"/>
        </w:rPr>
        <w:t>非经常性损益项目</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3"/>
          <w:szCs w:val="13"/>
        </w:rPr>
      </w:pPr>
    </w:p>
    <w:p>
      <w:pPr>
        <w:spacing w:before="0"/>
        <w:ind w:left="0" w:right="311"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5200"/>
        <w:gridCol w:w="2600"/>
        <w:gridCol w:w="2021"/>
      </w:tblGrid>
      <w:tr>
        <w:trPr>
          <w:trHeight w:val="323"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附注（如适用）</w:t>
            </w: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-64,453.65</w:t>
            </w:r>
            <w:r>
              <w:rPr>
                <w:rFonts w:ascii="Times New Roman"/>
                <w:sz w:val="18"/>
              </w:rPr>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计入当期损益的政府补助，但与公司正常经营业务密切相关，符合</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国家政策规定、按照一定标准定额或定量持续享受的政府补助除外</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15,490,554.43</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-101,099.50</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-1,522,634.28</w:t>
            </w:r>
          </w:p>
        </w:tc>
        <w:tc>
          <w:tcPr>
            <w:tcW w:w="20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13,802,367.00</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13"/>
        <w:ind w:left="762" w:right="0"/>
        <w:jc w:val="left"/>
        <w:rPr>
          <w:b w:val="0"/>
          <w:bCs w:val="0"/>
        </w:rPr>
      </w:pPr>
      <w:r>
        <w:rPr>
          <w:rFonts w:ascii="黑体" w:hAnsi="黑体" w:cs="黑体" w:eastAsia="黑体" w:hint="default"/>
          <w:b w:val="0"/>
          <w:bCs w:val="0"/>
        </w:rPr>
        <w:t>二</w:t>
      </w:r>
      <w:r>
        <w:rPr/>
        <w:t>、截止报告期末公司前三年的主要会计数据和财务指标</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669" w:top="980" w:bottom="860" w:left="920" w:right="820"/>
        </w:sectPr>
      </w:pPr>
    </w:p>
    <w:p>
      <w:pPr>
        <w:pStyle w:val="Heading4"/>
        <w:spacing w:line="240" w:lineRule="auto" w:before="203"/>
        <w:ind w:left="696" w:right="-19"/>
        <w:jc w:val="left"/>
        <w:rPr>
          <w:b w:val="0"/>
          <w:bCs w:val="0"/>
        </w:rPr>
      </w:pPr>
      <w:r>
        <w:rPr>
          <w:rFonts w:ascii="Times New Roman" w:hAnsi="Times New Roman" w:cs="Times New Roman" w:eastAsia="Times New Roman" w:hint="default"/>
        </w:rPr>
        <w:t>1</w:t>
      </w:r>
      <w:r>
        <w:rPr/>
        <w:t>、</w:t>
      </w:r>
      <w:r>
        <w:rPr>
          <w:spacing w:val="-1"/>
        </w:rPr>
        <w:t> </w:t>
      </w:r>
      <w:r>
        <w:rPr/>
        <w:t>主要会计数据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24"/>
          <w:szCs w:val="24"/>
        </w:rPr>
      </w:pPr>
    </w:p>
    <w:p>
      <w:pPr>
        <w:spacing w:before="0"/>
        <w:ind w:left="69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600" w:bottom="280" w:left="920" w:right="820"/>
          <w:cols w:num="2" w:equalWidth="0">
            <w:col w:w="2624" w:space="5002"/>
            <w:col w:w="2544"/>
          </w:cols>
        </w:sectPr>
      </w:pPr>
    </w:p>
    <w:p>
      <w:pPr>
        <w:spacing w:line="240" w:lineRule="auto" w:before="3"/>
        <w:rPr>
          <w:rFonts w:ascii="宋体" w:hAnsi="宋体" w:cs="宋体" w:eastAsia="宋体" w:hint="default"/>
          <w:sz w:val="5"/>
          <w:szCs w:val="5"/>
        </w:rPr>
      </w:pPr>
    </w:p>
    <w:tbl>
      <w:tblPr>
        <w:tblW w:w="0" w:type="auto"/>
        <w:jc w:val="left"/>
        <w:tblInd w:w="220"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1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040" w:type="dxa"/>
            <w:tcBorders>
              <w:top w:val="single" w:sz="5" w:space="0" w:color="000000"/>
              <w:left w:val="single" w:sz="13" w:space="0" w:color="DCDCDC"/>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pacing w:val="-1"/>
                <w:sz w:val="18"/>
              </w:rPr>
              <w:t>582,637,476.67</w:t>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367,156,976.76</w:t>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w w:val="95"/>
                <w:sz w:val="18"/>
              </w:rPr>
              <w:t>58.69%</w:t>
            </w:r>
            <w:r>
              <w:rPr>
                <w:rFonts w:ascii="Times New Roman"/>
                <w:sz w:val="18"/>
              </w:rPr>
            </w:r>
          </w:p>
        </w:tc>
        <w:tc>
          <w:tcPr>
            <w:tcW w:w="2028"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1"/>
              <w:jc w:val="right"/>
              <w:rPr>
                <w:rFonts w:ascii="Times New Roman" w:hAnsi="Times New Roman" w:cs="Times New Roman" w:eastAsia="Times New Roman" w:hint="default"/>
                <w:sz w:val="18"/>
                <w:szCs w:val="18"/>
              </w:rPr>
            </w:pPr>
            <w:r>
              <w:rPr>
                <w:rFonts w:ascii="Times New Roman"/>
                <w:spacing w:val="-1"/>
                <w:sz w:val="18"/>
              </w:rPr>
              <w:t>241,375,439.23</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140,872,976.53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86,249,505.64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63.33%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53,740,805.33</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130,222,796.59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83,321,753.39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56.29%</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50,743,678.06</w:t>
            </w:r>
          </w:p>
        </w:tc>
      </w:tr>
      <w:tr>
        <w:trPr>
          <w:trHeight w:val="791"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30"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116,420,429.59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72,933,960.29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59.62%</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50,667,928.00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2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704"/>
        <w:gridCol w:w="2040"/>
        <w:gridCol w:w="2028"/>
        <w:gridCol w:w="2028"/>
        <w:gridCol w:w="2028"/>
      </w:tblGrid>
      <w:tr>
        <w:trPr>
          <w:trHeight w:val="557"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92" w:right="30" w:hanging="45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2040" w:type="dxa"/>
            <w:tcBorders>
              <w:top w:val="single" w:sz="4" w:space="0" w:color="000000"/>
              <w:left w:val="single" w:sz="13" w:space="0" w:color="DCDCDC"/>
              <w:bottom w:val="single" w:sz="46" w:space="0" w:color="DCDCDC"/>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4,743,080.17</w:t>
            </w:r>
          </w:p>
        </w:tc>
        <w:tc>
          <w:tcPr>
            <w:tcW w:w="2028" w:type="dxa"/>
            <w:tcBorders>
              <w:top w:val="single" w:sz="4" w:space="0" w:color="000000"/>
              <w:left w:val="single" w:sz="4" w:space="0" w:color="000000"/>
              <w:bottom w:val="single" w:sz="46" w:space="0" w:color="DCDCDC"/>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12,721,648.94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-62.72%</w:t>
            </w:r>
          </w:p>
        </w:tc>
        <w:tc>
          <w:tcPr>
            <w:tcW w:w="2028" w:type="dxa"/>
            <w:tcBorders>
              <w:top w:val="single" w:sz="4" w:space="0" w:color="000000"/>
              <w:left w:val="single" w:sz="4" w:space="0" w:color="000000"/>
              <w:bottom w:val="single" w:sz="46" w:space="0" w:color="DCDCDC"/>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42,302,725.31</w:t>
            </w:r>
          </w:p>
        </w:tc>
      </w:tr>
      <w:tr>
        <w:trPr>
          <w:trHeight w:val="125" w:hRule="exact"/>
        </w:trPr>
        <w:tc>
          <w:tcPr>
            <w:tcW w:w="1704"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2" w:hRule="exact"/>
        </w:trPr>
        <w:tc>
          <w:tcPr>
            <w:tcW w:w="1704"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4"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040" w:type="dxa"/>
            <w:tcBorders>
              <w:top w:val="single" w:sz="47" w:space="0" w:color="DCDCDC"/>
              <w:left w:val="single" w:sz="13" w:space="0" w:color="DCDCDC"/>
              <w:bottom w:val="single" w:sz="4" w:space="0" w:color="000000"/>
              <w:right w:val="single" w:sz="4" w:space="0" w:color="000000"/>
            </w:tcBorders>
          </w:tcPr>
          <w:p>
            <w:pPr>
              <w:pStyle w:val="TableParagraph"/>
              <w:spacing w:line="202" w:lineRule="exact"/>
              <w:ind w:right="22"/>
              <w:jc w:val="right"/>
              <w:rPr>
                <w:rFonts w:ascii="Times New Roman" w:hAnsi="Times New Roman" w:cs="Times New Roman" w:eastAsia="Times New Roman" w:hint="default"/>
                <w:sz w:val="18"/>
                <w:szCs w:val="18"/>
              </w:rPr>
            </w:pPr>
            <w:r>
              <w:rPr>
                <w:rFonts w:ascii="Times New Roman"/>
                <w:spacing w:val="-1"/>
                <w:sz w:val="18"/>
              </w:rPr>
              <w:t>1,060,551,614.48</w:t>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pacing w:val="-1"/>
                <w:sz w:val="18"/>
              </w:rPr>
              <w:t>730,438,849.48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45.19%</w:t>
            </w:r>
            <w:r>
              <w:rPr>
                <w:rFonts w:ascii="Times New Roman"/>
                <w:sz w:val="18"/>
              </w:rPr>
            </w:r>
          </w:p>
        </w:tc>
        <w:tc>
          <w:tcPr>
            <w:tcW w:w="2028" w:type="dxa"/>
            <w:tcBorders>
              <w:top w:val="single" w:sz="47" w:space="0" w:color="DCDCDC"/>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pacing w:val="-1"/>
                <w:sz w:val="18"/>
              </w:rPr>
              <w:t>261,659,330.35</w:t>
            </w:r>
          </w:p>
        </w:tc>
      </w:tr>
      <w:tr>
        <w:trPr>
          <w:trHeight w:val="557"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82" w:right="30" w:hanging="540"/>
              <w:jc w:val="left"/>
              <w:rPr>
                <w:rFonts w:ascii="宋体" w:hAnsi="宋体" w:cs="宋体" w:eastAsia="宋体" w:hint="default"/>
                <w:sz w:val="18"/>
                <w:szCs w:val="18"/>
              </w:rPr>
            </w:pPr>
            <w:r>
              <w:rPr>
                <w:rFonts w:ascii="宋体" w:hAnsi="宋体" w:cs="宋体" w:eastAsia="宋体" w:hint="default"/>
                <w:sz w:val="18"/>
                <w:szCs w:val="18"/>
              </w:rPr>
              <w:t>所有者权益（或股东 权益）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645,107,423.54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518,084,626.95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24.52%</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148,877,790.56</w:t>
            </w:r>
          </w:p>
        </w:tc>
      </w:tr>
      <w:tr>
        <w:trPr>
          <w:trHeight w:val="324" w:hRule="exact"/>
        </w:trPr>
        <w:tc>
          <w:tcPr>
            <w:tcW w:w="17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64,000,000.00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48,000,000.00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747" w:footer="669" w:top="980" w:bottom="860" w:left="980" w:right="820"/>
        </w:sectPr>
      </w:pPr>
    </w:p>
    <w:p>
      <w:pPr>
        <w:pStyle w:val="Heading4"/>
        <w:spacing w:line="240" w:lineRule="auto"/>
        <w:ind w:left="636" w:right="-19"/>
        <w:jc w:val="left"/>
        <w:rPr>
          <w:b w:val="0"/>
          <w:bCs w:val="0"/>
        </w:rPr>
      </w:pPr>
      <w:r>
        <w:rPr>
          <w:rFonts w:ascii="Times New Roman" w:hAnsi="Times New Roman" w:cs="Times New Roman" w:eastAsia="Times New Roman" w:hint="default"/>
        </w:rPr>
        <w:t>2</w:t>
      </w:r>
      <w:r>
        <w:rPr/>
        <w:t>、主要财务指标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49"/>
        <w:ind w:left="636"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after="0"/>
        <w:jc w:val="left"/>
        <w:rPr>
          <w:rFonts w:ascii="宋体" w:hAnsi="宋体" w:cs="宋体" w:eastAsia="宋体" w:hint="default"/>
          <w:sz w:val="18"/>
          <w:szCs w:val="18"/>
        </w:rPr>
        <w:sectPr>
          <w:type w:val="continuous"/>
          <w:pgSz w:w="11910" w:h="16840"/>
          <w:pgMar w:top="1600" w:bottom="280" w:left="980" w:right="820"/>
          <w:cols w:num="2" w:equalWidth="0">
            <w:col w:w="2444" w:space="5182"/>
            <w:col w:w="2484"/>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2265"/>
        <w:gridCol w:w="707"/>
        <w:gridCol w:w="1229"/>
        <w:gridCol w:w="1924"/>
        <w:gridCol w:w="1769"/>
        <w:gridCol w:w="365"/>
        <w:gridCol w:w="1559"/>
      </w:tblGrid>
      <w:tr>
        <w:trPr>
          <w:trHeight w:val="31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365"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559"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0"/>
              <w:ind w:left="3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30"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5" w:space="0" w:color="000000"/>
              <w:left w:val="single" w:sz="13" w:space="0" w:color="DCDCDC"/>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1.02</w:t>
            </w:r>
          </w:p>
        </w:tc>
        <w:tc>
          <w:tcPr>
            <w:tcW w:w="1924"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sz w:val="18"/>
              </w:rPr>
              <w:t>0.69</w:t>
            </w:r>
          </w:p>
        </w:tc>
        <w:tc>
          <w:tcPr>
            <w:tcW w:w="1769" w:type="dxa"/>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0"/>
              <w:jc w:val="right"/>
              <w:rPr>
                <w:rFonts w:ascii="Times New Roman" w:hAnsi="Times New Roman" w:cs="Times New Roman" w:eastAsia="Times New Roman" w:hint="default"/>
                <w:sz w:val="18"/>
                <w:szCs w:val="18"/>
              </w:rPr>
            </w:pPr>
            <w:r>
              <w:rPr>
                <w:rFonts w:ascii="Times New Roman"/>
                <w:w w:val="95"/>
                <w:sz w:val="18"/>
              </w:rPr>
              <w:t>47.83%</w:t>
            </w:r>
            <w:r>
              <w:rPr>
                <w:rFonts w:ascii="Times New Roman"/>
                <w:sz w:val="18"/>
              </w:rPr>
            </w:r>
          </w:p>
        </w:tc>
        <w:tc>
          <w:tcPr>
            <w:tcW w:w="1924" w:type="dxa"/>
            <w:gridSpan w:val="2"/>
            <w:tcBorders>
              <w:top w:val="single" w:sz="5" w:space="0" w:color="000000"/>
              <w:left w:val="single" w:sz="4" w:space="0" w:color="000000"/>
              <w:bottom w:val="single" w:sz="4" w:space="0" w:color="000000"/>
              <w:right w:val="single" w:sz="4" w:space="0" w:color="000000"/>
            </w:tcBorders>
          </w:tcPr>
          <w:p>
            <w:pPr>
              <w:pStyle w:val="TableParagraph"/>
              <w:spacing w:line="240" w:lineRule="auto" w:before="55"/>
              <w:ind w:right="22"/>
              <w:jc w:val="right"/>
              <w:rPr>
                <w:rFonts w:ascii="Times New Roman" w:hAnsi="Times New Roman" w:cs="Times New Roman" w:eastAsia="Times New Roman" w:hint="default"/>
                <w:sz w:val="18"/>
                <w:szCs w:val="18"/>
              </w:rPr>
            </w:pPr>
            <w:r>
              <w:rPr>
                <w:rFonts w:ascii="Times New Roman"/>
                <w:sz w:val="18"/>
              </w:rPr>
              <w:t>0.53</w:t>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0.69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47.83%</w:t>
            </w:r>
            <w:r>
              <w:rPr>
                <w:rFonts w:ascii="Times New Roman"/>
                <w:sz w:val="18"/>
              </w:rPr>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0.53</w:t>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11" w:right="0"/>
              <w:jc w:val="left"/>
              <w:rPr>
                <w:rFonts w:ascii="宋体" w:hAnsi="宋体" w:cs="宋体" w:eastAsia="宋体" w:hint="default"/>
                <w:sz w:val="18"/>
                <w:szCs w:val="18"/>
              </w:rPr>
            </w:pPr>
            <w:r>
              <w:rPr>
                <w:rFonts w:ascii="宋体" w:hAnsi="宋体" w:cs="宋体" w:eastAsia="宋体" w:hint="default"/>
                <w:sz w:val="18"/>
                <w:szCs w:val="18"/>
              </w:rPr>
              <w:t>用最新股本计算的每股收益</w:t>
            </w:r>
          </w:p>
          <w:p>
            <w:pPr>
              <w:pStyle w:val="TableParagraph"/>
              <w:spacing w:line="248" w:lineRule="exact"/>
              <w:ind w:left="11"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0.61</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49.18%</w:t>
            </w:r>
            <w:r>
              <w:rPr>
                <w:rFonts w:ascii="Times New Roman"/>
                <w:sz w:val="18"/>
              </w:rPr>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0.53</w:t>
            </w:r>
          </w:p>
        </w:tc>
      </w:tr>
      <w:tr>
        <w:trPr>
          <w:trHeight w:val="3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p>
        </w:tc>
        <w:tc>
          <w:tcPr>
            <w:tcW w:w="707"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20.19%</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16.08%</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4.11%</w:t>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34.08%</w:t>
            </w:r>
            <w:r>
              <w:rPr>
                <w:rFonts w:ascii="Times New Roman"/>
                <w:sz w:val="18"/>
              </w:rPr>
            </w:r>
          </w:p>
        </w:tc>
      </w:tr>
      <w:tr>
        <w:trPr>
          <w:trHeight w:val="32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p>
        </w:tc>
        <w:tc>
          <w:tcPr>
            <w:tcW w:w="707"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12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22.40%</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20.58%</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1.82%</w:t>
            </w:r>
            <w:r>
              <w:rPr>
                <w:rFonts w:ascii="Times New Roman"/>
                <w:sz w:val="18"/>
              </w:rPr>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39.19%</w:t>
            </w:r>
            <w:r>
              <w:rPr>
                <w:rFonts w:ascii="Times New Roman"/>
                <w:sz w:val="18"/>
              </w:rPr>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扣除非经常性损益后全面摊 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6"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18.05%</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14.08%</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3.97%</w:t>
            </w:r>
            <w:r>
              <w:rPr>
                <w:rFonts w:ascii="Times New Roman"/>
                <w:sz w:val="18"/>
              </w:rPr>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34.03%</w:t>
            </w:r>
            <w:r>
              <w:rPr>
                <w:rFonts w:ascii="Times New Roman"/>
                <w:sz w:val="18"/>
              </w:rPr>
            </w:r>
          </w:p>
        </w:tc>
      </w:tr>
      <w:tr>
        <w:trPr>
          <w:trHeight w:val="55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6"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20.03%</w:t>
            </w:r>
            <w:r>
              <w:rPr>
                <w:rFonts w:ascii="Times New Roman"/>
                <w:sz w:val="18"/>
              </w:rPr>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18.01%</w:t>
            </w:r>
            <w:r>
              <w:rPr>
                <w:rFonts w:ascii="Times New Roman"/>
                <w:sz w:val="18"/>
              </w:rPr>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2.02%</w:t>
            </w:r>
            <w:r>
              <w:rPr>
                <w:rFonts w:ascii="Times New Roman"/>
                <w:sz w:val="18"/>
              </w:rPr>
            </w:r>
          </w:p>
        </w:tc>
        <w:tc>
          <w:tcPr>
            <w:tcW w:w="19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39.13%</w:t>
            </w:r>
            <w:r>
              <w:rPr>
                <w:rFonts w:ascii="Times New Roman"/>
                <w:sz w:val="18"/>
              </w:rPr>
            </w:r>
          </w:p>
        </w:tc>
      </w:tr>
      <w:tr>
        <w:trPr>
          <w:trHeight w:val="621"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83"/>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4" w:space="0" w:color="000000"/>
              <w:left w:val="single" w:sz="13" w:space="0" w:color="DCDCDC"/>
              <w:bottom w:val="single" w:sz="51" w:space="0" w:color="DCDCDC"/>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1924" w:type="dxa"/>
            <w:tcBorders>
              <w:top w:val="single" w:sz="4" w:space="0" w:color="000000"/>
              <w:left w:val="single" w:sz="4" w:space="0" w:color="000000"/>
              <w:bottom w:val="single" w:sz="51" w:space="0" w:color="DCDCDC"/>
              <w:right w:val="single" w:sz="13" w:space="0" w:color="DCDCDC"/>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0.20</w:t>
            </w:r>
          </w:p>
        </w:tc>
        <w:tc>
          <w:tcPr>
            <w:tcW w:w="1769" w:type="dxa"/>
            <w:tcBorders>
              <w:top w:val="single" w:sz="4" w:space="0" w:color="000000"/>
              <w:left w:val="single" w:sz="13" w:space="0" w:color="DCDCDC"/>
              <w:bottom w:val="single" w:sz="4" w:space="0" w:color="000000"/>
              <w:right w:val="single" w:sz="13" w:space="0" w:color="DCDCDC"/>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-80.00%</w:t>
            </w:r>
            <w:r>
              <w:rPr>
                <w:rFonts w:ascii="Times New Roman"/>
                <w:sz w:val="18"/>
              </w:rPr>
            </w:r>
          </w:p>
        </w:tc>
        <w:tc>
          <w:tcPr>
            <w:tcW w:w="1924" w:type="dxa"/>
            <w:gridSpan w:val="2"/>
            <w:tcBorders>
              <w:top w:val="single" w:sz="4" w:space="0" w:color="000000"/>
              <w:left w:val="single" w:sz="13" w:space="0" w:color="DCDCDC"/>
              <w:bottom w:val="single" w:sz="51" w:space="0" w:color="DCDCDC"/>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r>
      <w:tr>
        <w:trPr>
          <w:trHeight w:val="427"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2"/>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623"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left="11" w:right="83"/>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6" w:type="dxa"/>
            <w:gridSpan w:val="2"/>
            <w:tcBorders>
              <w:top w:val="single" w:sz="51" w:space="0" w:color="DCDCDC"/>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w:t>
            </w:r>
          </w:p>
        </w:tc>
        <w:tc>
          <w:tcPr>
            <w:tcW w:w="1924" w:type="dxa"/>
            <w:tcBorders>
              <w:top w:val="single" w:sz="51" w:space="0" w:color="DCDCDC"/>
              <w:left w:val="single" w:sz="4" w:space="0" w:color="000000"/>
              <w:bottom w:val="single" w:sz="4" w:space="0" w:color="000000"/>
              <w:right w:val="single" w:sz="13" w:space="0" w:color="DCDCDC"/>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8.10</w:t>
            </w:r>
          </w:p>
        </w:tc>
        <w:tc>
          <w:tcPr>
            <w:tcW w:w="1769" w:type="dxa"/>
            <w:tcBorders>
              <w:top w:val="single" w:sz="4" w:space="0" w:color="000000"/>
              <w:left w:val="single" w:sz="13" w:space="0" w:color="DCDCDC"/>
              <w:bottom w:val="single" w:sz="4" w:space="0" w:color="000000"/>
              <w:right w:val="single" w:sz="13" w:space="0" w:color="DCDCDC"/>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-37.78%</w:t>
            </w:r>
            <w:r>
              <w:rPr>
                <w:rFonts w:ascii="Times New Roman"/>
                <w:sz w:val="18"/>
              </w:rPr>
            </w:r>
          </w:p>
        </w:tc>
        <w:tc>
          <w:tcPr>
            <w:tcW w:w="1924" w:type="dxa"/>
            <w:gridSpan w:val="2"/>
            <w:tcBorders>
              <w:top w:val="single" w:sz="51" w:space="0" w:color="DCDCDC"/>
              <w:left w:val="single" w:sz="13" w:space="0" w:color="DCDCDC"/>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600" w:bottom="280" w:left="98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2"/>
        <w:ind w:left="3090" w:right="0"/>
        <w:jc w:val="left"/>
        <w:rPr>
          <w:b w:val="0"/>
          <w:bCs w:val="0"/>
        </w:rPr>
      </w:pPr>
      <w:bookmarkStart w:name="第三节 股本变动及股东情况" w:id="4"/>
      <w:bookmarkEnd w:id="4"/>
      <w:r>
        <w:rPr>
          <w:b w:val="0"/>
          <w:bCs w:val="0"/>
        </w:rPr>
      </w:r>
      <w:bookmarkStart w:name="_bookmark2" w:id="5"/>
      <w:bookmarkEnd w:id="5"/>
      <w:r>
        <w:rPr>
          <w:b w:val="0"/>
          <w:bCs w:val="0"/>
        </w:rPr>
      </w:r>
      <w:r>
        <w:rPr/>
        <w:t>第三节</w:t>
      </w:r>
      <w:r>
        <w:rPr>
          <w:spacing w:val="-3"/>
        </w:rPr>
        <w:t> </w:t>
      </w:r>
      <w:r>
        <w:rPr/>
        <w:t>股本变动及股东情况</w:t>
      </w:r>
      <w:r>
        <w:rPr>
          <w:b w:val="0"/>
          <w:bCs w:val="0"/>
        </w:rPr>
      </w:r>
    </w:p>
    <w:p>
      <w:pPr>
        <w:spacing w:line="240" w:lineRule="auto" w:before="4"/>
        <w:rPr>
          <w:rFonts w:ascii="黑体" w:hAnsi="黑体" w:cs="黑体" w:eastAsia="黑体" w:hint="default"/>
          <w:b/>
          <w:bCs/>
          <w:sz w:val="36"/>
          <w:szCs w:val="36"/>
        </w:rPr>
      </w:pPr>
    </w:p>
    <w:p>
      <w:pPr>
        <w:pStyle w:val="Heading3"/>
        <w:spacing w:line="240" w:lineRule="auto"/>
        <w:ind w:right="0"/>
        <w:jc w:val="left"/>
      </w:pPr>
      <w:r>
        <w:rPr/>
        <w:t>一、</w:t>
      </w:r>
      <w:r>
        <w:rPr>
          <w:spacing w:val="1"/>
        </w:rPr>
        <w:t> </w:t>
      </w:r>
      <w:r>
        <w:rPr/>
        <w:t>股份变动情况</w:t>
      </w:r>
    </w:p>
    <w:p>
      <w:pPr>
        <w:spacing w:line="240" w:lineRule="auto" w:before="0"/>
        <w:rPr>
          <w:rFonts w:ascii="黑体" w:hAnsi="黑体" w:cs="黑体" w:eastAsia="黑体" w:hint="default"/>
          <w:sz w:val="20"/>
          <w:szCs w:val="20"/>
        </w:rPr>
      </w:pPr>
    </w:p>
    <w:p>
      <w:pPr>
        <w:spacing w:after="0" w:line="240" w:lineRule="auto"/>
        <w:rPr>
          <w:rFonts w:ascii="黑体" w:hAnsi="黑体" w:cs="黑体" w:eastAsia="黑体" w:hint="default"/>
          <w:sz w:val="20"/>
          <w:szCs w:val="20"/>
        </w:rPr>
        <w:sectPr>
          <w:pgSz w:w="11910" w:h="16840"/>
          <w:pgMar w:header="747" w:footer="669" w:top="980" w:bottom="860" w:left="980" w:right="740"/>
        </w:sectPr>
      </w:pPr>
    </w:p>
    <w:p>
      <w:pPr>
        <w:pStyle w:val="Heading4"/>
        <w:spacing w:line="240" w:lineRule="auto" w:before="202"/>
        <w:ind w:left="636" w:right="-19"/>
        <w:jc w:val="left"/>
        <w:rPr>
          <w:b w:val="0"/>
          <w:bCs w:val="0"/>
        </w:rPr>
      </w:pPr>
      <w:r>
        <w:rPr/>
        <w:t>（一）股份变动情况表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3"/>
        <w:rPr>
          <w:rFonts w:ascii="宋体" w:hAnsi="宋体" w:cs="宋体" w:eastAsia="宋体" w:hint="default"/>
          <w:b/>
          <w:bCs/>
          <w:sz w:val="24"/>
          <w:szCs w:val="24"/>
        </w:rPr>
      </w:pPr>
    </w:p>
    <w:p>
      <w:pPr>
        <w:spacing w:before="0"/>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980" w:right="740"/>
          <w:cols w:num="2" w:equalWidth="0">
            <w:col w:w="3048" w:space="5388"/>
            <w:col w:w="1754"/>
          </w:cols>
        </w:sectPr>
      </w:pPr>
    </w:p>
    <w:p>
      <w:pPr>
        <w:spacing w:line="240" w:lineRule="auto" w:before="3"/>
        <w:rPr>
          <w:rFonts w:ascii="宋体" w:hAnsi="宋体" w:cs="宋体" w:eastAsia="宋体" w:hint="default"/>
          <w:sz w:val="5"/>
          <w:szCs w:val="5"/>
        </w:rPr>
      </w:pPr>
    </w:p>
    <w:tbl>
      <w:tblPr>
        <w:tblW w:w="0" w:type="auto"/>
        <w:jc w:val="left"/>
        <w:tblInd w:w="160" w:type="dxa"/>
        <w:tblLayout w:type="fixed"/>
        <w:tblCellMar>
          <w:top w:w="0" w:type="dxa"/>
          <w:left w:w="0" w:type="dxa"/>
          <w:bottom w:w="0" w:type="dxa"/>
          <w:right w:w="0" w:type="dxa"/>
        </w:tblCellMar>
        <w:tblLook w:val="01E0"/>
      </w:tblPr>
      <w:tblGrid>
        <w:gridCol w:w="1615"/>
        <w:gridCol w:w="922"/>
        <w:gridCol w:w="911"/>
        <w:gridCol w:w="910"/>
        <w:gridCol w:w="910"/>
        <w:gridCol w:w="911"/>
        <w:gridCol w:w="1012"/>
        <w:gridCol w:w="900"/>
        <w:gridCol w:w="976"/>
        <w:gridCol w:w="828"/>
      </w:tblGrid>
      <w:tr>
        <w:trPr>
          <w:trHeight w:val="323" w:hRule="exact"/>
        </w:trPr>
        <w:tc>
          <w:tcPr>
            <w:tcW w:w="1615" w:type="dxa"/>
            <w:tcBorders>
              <w:top w:val="single" w:sz="4" w:space="0" w:color="000000"/>
              <w:left w:val="single" w:sz="4" w:space="0" w:color="000000"/>
              <w:bottom w:val="nil" w:sz="6" w:space="0" w:color="auto"/>
              <w:right w:val="single" w:sz="4" w:space="0" w:color="000000"/>
            </w:tcBorders>
            <w:shd w:val="clear" w:color="auto" w:fill="DCDCDC"/>
          </w:tcPr>
          <w:p>
            <w:pPr/>
          </w:p>
        </w:tc>
        <w:tc>
          <w:tcPr>
            <w:tcW w:w="183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6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42"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424"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21" w:hRule="exact"/>
        </w:trPr>
        <w:tc>
          <w:tcPr>
            <w:tcW w:w="1615" w:type="dxa"/>
            <w:vMerge w:val="restart"/>
            <w:tcBorders>
              <w:top w:val="nil" w:sz="6" w:space="0" w:color="auto"/>
              <w:left w:val="single" w:sz="4" w:space="0" w:color="000000"/>
              <w:right w:val="single" w:sz="4" w:space="0" w:color="000000"/>
            </w:tcBorders>
            <w:shd w:val="clear" w:color="auto" w:fill="DCDCDC"/>
          </w:tcPr>
          <w:p>
            <w:pPr/>
          </w:p>
        </w:tc>
        <w:tc>
          <w:tcPr>
            <w:tcW w:w="922"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0" w:type="dxa"/>
            <w:tcBorders>
              <w:top w:val="single" w:sz="4" w:space="0" w:color="000000"/>
              <w:left w:val="single" w:sz="4" w:space="0" w:color="000000"/>
              <w:bottom w:val="nil" w:sz="6" w:space="0" w:color="auto"/>
              <w:right w:val="single" w:sz="4" w:space="0" w:color="000000"/>
            </w:tcBorders>
            <w:shd w:val="clear" w:color="auto" w:fill="DCDCDC"/>
          </w:tcPr>
          <w:p>
            <w:pPr/>
          </w:p>
        </w:tc>
        <w:tc>
          <w:tcPr>
            <w:tcW w:w="911"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9"/>
              <w:ind w:left="361" w:right="8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1012"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tcBorders>
              <w:top w:val="single" w:sz="4" w:space="0" w:color="000000"/>
              <w:left w:val="single" w:sz="4" w:space="0" w:color="000000"/>
              <w:bottom w:val="nil" w:sz="6" w:space="0" w:color="auto"/>
              <w:right w:val="single" w:sz="4" w:space="0" w:color="000000"/>
            </w:tcBorders>
            <w:shd w:val="clear" w:color="auto" w:fill="DCDCDC"/>
          </w:tcPr>
          <w:p>
            <w:pPr/>
          </w:p>
        </w:tc>
        <w:tc>
          <w:tcPr>
            <w:tcW w:w="976" w:type="dxa"/>
            <w:tcBorders>
              <w:top w:val="single" w:sz="4" w:space="0" w:color="000000"/>
              <w:left w:val="single" w:sz="4" w:space="0" w:color="000000"/>
              <w:bottom w:val="nil" w:sz="6" w:space="0" w:color="auto"/>
              <w:right w:val="single" w:sz="4" w:space="0" w:color="000000"/>
            </w:tcBorders>
            <w:shd w:val="clear" w:color="auto" w:fill="DCDCDC"/>
          </w:tcPr>
          <w:p>
            <w:pPr/>
          </w:p>
        </w:tc>
        <w:tc>
          <w:tcPr>
            <w:tcW w:w="8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34" w:hRule="exact"/>
        </w:trPr>
        <w:tc>
          <w:tcPr>
            <w:tcW w:w="1615" w:type="dxa"/>
            <w:vMerge/>
            <w:tcBorders>
              <w:left w:val="single" w:sz="4" w:space="0" w:color="000000"/>
              <w:bottom w:val="nil" w:sz="6" w:space="0" w:color="auto"/>
              <w:right w:val="single" w:sz="4" w:space="0" w:color="000000"/>
            </w:tcBorders>
            <w:shd w:val="clear" w:color="auto" w:fill="DCDCDC"/>
          </w:tcPr>
          <w:p>
            <w:pPr/>
          </w:p>
        </w:tc>
        <w:tc>
          <w:tcPr>
            <w:tcW w:w="92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8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11"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7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9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1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69"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11" w:type="dxa"/>
            <w:vMerge/>
            <w:tcBorders>
              <w:left w:val="single" w:sz="4" w:space="0" w:color="000000"/>
              <w:right w:val="single" w:sz="4" w:space="0" w:color="000000"/>
            </w:tcBorders>
            <w:shd w:val="clear" w:color="auto" w:fill="DCDCDC"/>
          </w:tcPr>
          <w:p>
            <w:pPr/>
          </w:p>
        </w:tc>
        <w:tc>
          <w:tcPr>
            <w:tcW w:w="1012"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00"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76"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30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8"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left="229"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01" w:hRule="exact"/>
        </w:trPr>
        <w:tc>
          <w:tcPr>
            <w:tcW w:w="1615" w:type="dxa"/>
            <w:tcBorders>
              <w:top w:val="nil" w:sz="6" w:space="0" w:color="auto"/>
              <w:left w:val="single" w:sz="4" w:space="0" w:color="000000"/>
              <w:bottom w:val="single" w:sz="4" w:space="0" w:color="000000"/>
              <w:right w:val="single" w:sz="4" w:space="0" w:color="000000"/>
            </w:tcBorders>
            <w:shd w:val="clear" w:color="auto" w:fill="DCDCDC"/>
          </w:tcPr>
          <w:p>
            <w:pPr/>
          </w:p>
        </w:tc>
        <w:tc>
          <w:tcPr>
            <w:tcW w:w="922" w:type="dxa"/>
            <w:vMerge/>
            <w:tcBorders>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0" w:type="dxa"/>
            <w:vMerge/>
            <w:tcBorders>
              <w:left w:val="single" w:sz="4" w:space="0" w:color="000000"/>
              <w:bottom w:val="single" w:sz="4" w:space="0" w:color="000000"/>
              <w:right w:val="single" w:sz="4" w:space="0" w:color="000000"/>
            </w:tcBorders>
            <w:shd w:val="clear" w:color="auto" w:fill="DCDCDC"/>
          </w:tcPr>
          <w:p>
            <w:pPr/>
          </w:p>
        </w:tc>
        <w:tc>
          <w:tcPr>
            <w:tcW w:w="911" w:type="dxa"/>
            <w:vMerge/>
            <w:tcBorders>
              <w:left w:val="single" w:sz="4" w:space="0" w:color="000000"/>
              <w:bottom w:val="single" w:sz="4" w:space="0" w:color="000000"/>
              <w:right w:val="single" w:sz="4" w:space="0" w:color="000000"/>
            </w:tcBorders>
            <w:shd w:val="clear" w:color="auto" w:fill="DCDCDC"/>
          </w:tcPr>
          <w:p>
            <w:pPr/>
          </w:p>
        </w:tc>
        <w:tc>
          <w:tcPr>
            <w:tcW w:w="1012"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76" w:type="dxa"/>
            <w:vMerge/>
            <w:tcBorders>
              <w:left w:val="single" w:sz="4" w:space="0" w:color="000000"/>
              <w:bottom w:val="single" w:sz="4" w:space="0" w:color="000000"/>
              <w:right w:val="single" w:sz="4" w:space="0" w:color="000000"/>
            </w:tcBorders>
            <w:shd w:val="clear" w:color="auto" w:fill="DCDCDC"/>
          </w:tcPr>
          <w:p>
            <w:pPr/>
          </w:p>
        </w:tc>
        <w:tc>
          <w:tcPr>
            <w:tcW w:w="828"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一、有限售条件股份</w:t>
            </w:r>
          </w:p>
        </w:tc>
        <w:tc>
          <w:tcPr>
            <w:tcW w:w="922" w:type="dxa"/>
            <w:tcBorders>
              <w:top w:val="single" w:sz="51" w:space="0" w:color="DCDCDC"/>
              <w:left w:val="single" w:sz="13" w:space="0" w:color="DCDCDC"/>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48,000,000</w:t>
            </w:r>
          </w:p>
        </w:tc>
        <w:tc>
          <w:tcPr>
            <w:tcW w:w="911"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75.00%</w:t>
            </w:r>
          </w:p>
        </w:tc>
        <w:tc>
          <w:tcPr>
            <w:tcW w:w="910" w:type="dxa"/>
            <w:tcBorders>
              <w:top w:val="single" w:sz="51" w:space="0" w:color="DCDCDC"/>
              <w:left w:val="single" w:sz="4" w:space="0" w:color="000000"/>
              <w:bottom w:val="single" w:sz="4" w:space="0" w:color="000000"/>
              <w:right w:val="single" w:sz="4" w:space="0" w:color="000000"/>
            </w:tcBorders>
          </w:tcPr>
          <w:p>
            <w:pPr/>
          </w:p>
        </w:tc>
        <w:tc>
          <w:tcPr>
            <w:tcW w:w="910"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9,923,216</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14,884,823</w:t>
            </w:r>
          </w:p>
        </w:tc>
        <w:tc>
          <w:tcPr>
            <w:tcW w:w="1012"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w w:val="95"/>
                <w:sz w:val="18"/>
              </w:rPr>
              <w:t>-23,191,961</w:t>
            </w:r>
            <w:r>
              <w:rPr>
                <w:rFonts w:ascii="Times New Roman"/>
                <w:sz w:val="18"/>
              </w:rPr>
            </w:r>
          </w:p>
        </w:tc>
        <w:tc>
          <w:tcPr>
            <w:tcW w:w="900"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1"/>
              <w:jc w:val="right"/>
              <w:rPr>
                <w:rFonts w:ascii="Times New Roman" w:hAnsi="Times New Roman" w:cs="Times New Roman" w:eastAsia="Times New Roman" w:hint="default"/>
                <w:sz w:val="18"/>
                <w:szCs w:val="18"/>
              </w:rPr>
            </w:pPr>
            <w:r>
              <w:rPr>
                <w:rFonts w:ascii="Times New Roman"/>
                <w:sz w:val="18"/>
              </w:rPr>
              <w:t>1,616,078</w:t>
            </w:r>
          </w:p>
        </w:tc>
        <w:tc>
          <w:tcPr>
            <w:tcW w:w="976"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left="109" w:right="0"/>
              <w:jc w:val="center"/>
              <w:rPr>
                <w:rFonts w:ascii="Times New Roman" w:hAnsi="Times New Roman" w:cs="Times New Roman" w:eastAsia="Times New Roman" w:hint="default"/>
                <w:sz w:val="18"/>
                <w:szCs w:val="18"/>
              </w:rPr>
            </w:pPr>
            <w:r>
              <w:rPr>
                <w:rFonts w:ascii="Times New Roman"/>
                <w:sz w:val="18"/>
              </w:rPr>
              <w:t>49,616,078</w:t>
            </w:r>
          </w:p>
        </w:tc>
        <w:tc>
          <w:tcPr>
            <w:tcW w:w="82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z w:val="18"/>
              </w:rPr>
              <w:t>38.76%</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48,000,000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75.00%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9,218,589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13,827,883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-24,953,528</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-1,907,056</w:t>
            </w:r>
            <w:r>
              <w:rPr>
                <w:rFonts w:ascii="Times New Roman"/>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9" w:right="0"/>
              <w:jc w:val="center"/>
              <w:rPr>
                <w:rFonts w:ascii="Times New Roman" w:hAnsi="Times New Roman" w:cs="Times New Roman" w:eastAsia="Times New Roman" w:hint="default"/>
                <w:sz w:val="18"/>
                <w:szCs w:val="18"/>
              </w:rPr>
            </w:pPr>
            <w:r>
              <w:rPr>
                <w:rFonts w:ascii="Times New Roman"/>
                <w:sz w:val="18"/>
              </w:rPr>
              <w:t>46,092,944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36.01%</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其中：境内非国有 法人持股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27,105,071</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42.35%</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5,327,215</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7,990,822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-13,787,034</w:t>
            </w:r>
            <w:r>
              <w:rPr>
                <w:rFonts w:ascii="Times New Roman"/>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-468,997</w:t>
            </w:r>
            <w:r>
              <w:rPr>
                <w:rFonts w:ascii="Times New Roman"/>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26,636,074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20.81%</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4"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20,894,929</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32.65%</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3,891,374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4" w:right="0"/>
              <w:jc w:val="center"/>
              <w:rPr>
                <w:rFonts w:ascii="Times New Roman" w:hAnsi="Times New Roman" w:cs="Times New Roman" w:eastAsia="Times New Roman" w:hint="default"/>
                <w:sz w:val="18"/>
                <w:szCs w:val="18"/>
              </w:rPr>
            </w:pPr>
            <w:r>
              <w:rPr>
                <w:rFonts w:ascii="Times New Roman"/>
                <w:sz w:val="18"/>
              </w:rPr>
              <w:t>5,837,061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-11,166,494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-1,438,059</w:t>
            </w:r>
            <w:r>
              <w:rPr>
                <w:rFonts w:ascii="Times New Roman"/>
                <w:sz w:val="18"/>
              </w:rPr>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9" w:right="0"/>
              <w:jc w:val="center"/>
              <w:rPr>
                <w:rFonts w:ascii="Times New Roman" w:hAnsi="Times New Roman" w:cs="Times New Roman" w:eastAsia="Times New Roman" w:hint="default"/>
                <w:sz w:val="18"/>
                <w:szCs w:val="18"/>
              </w:rPr>
            </w:pPr>
            <w:r>
              <w:rPr>
                <w:rFonts w:ascii="Times New Roman"/>
                <w:sz w:val="18"/>
              </w:rPr>
              <w:t>19,456,870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15.20%</w:t>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61" w:firstLine="90"/>
              <w:jc w:val="left"/>
              <w:rPr>
                <w:rFonts w:ascii="宋体" w:hAnsi="宋体" w:cs="宋体" w:eastAsia="宋体" w:hint="default"/>
                <w:sz w:val="18"/>
                <w:szCs w:val="18"/>
              </w:rPr>
            </w:pPr>
            <w:r>
              <w:rPr>
                <w:rFonts w:ascii="宋体" w:hAnsi="宋体" w:cs="宋体" w:eastAsia="宋体" w:hint="default"/>
                <w:sz w:val="18"/>
                <w:szCs w:val="18"/>
              </w:rPr>
              <w:t>其中：境外法人持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461"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704,627</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4" w:right="0"/>
              <w:jc w:val="center"/>
              <w:rPr>
                <w:rFonts w:ascii="Times New Roman" w:hAnsi="Times New Roman" w:cs="Times New Roman" w:eastAsia="Times New Roman" w:hint="default"/>
                <w:sz w:val="18"/>
                <w:szCs w:val="18"/>
              </w:rPr>
            </w:pPr>
            <w:r>
              <w:rPr>
                <w:rFonts w:ascii="Times New Roman"/>
                <w:sz w:val="18"/>
              </w:rPr>
              <w:t>1,056,940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1,761,567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3,523,134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 w:right="0"/>
              <w:jc w:val="center"/>
              <w:rPr>
                <w:rFonts w:ascii="Times New Roman" w:hAnsi="Times New Roman" w:cs="Times New Roman" w:eastAsia="Times New Roman" w:hint="default"/>
                <w:sz w:val="18"/>
                <w:szCs w:val="18"/>
              </w:rPr>
            </w:pPr>
            <w:r>
              <w:rPr>
                <w:rFonts w:ascii="Times New Roman"/>
                <w:sz w:val="18"/>
              </w:rPr>
              <w:t>3,523,134</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2.75%</w:t>
            </w:r>
            <w:r>
              <w:rPr>
                <w:rFonts w:ascii="Times New Roman"/>
                <w:sz w:val="18"/>
              </w:rPr>
            </w: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5"/>
                <w:sz w:val="18"/>
                <w:szCs w:val="18"/>
              </w:rPr>
              <w:t>二、无限售条件股份</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15,676,784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23,515,177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23,191,961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62,383,922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9" w:right="0"/>
              <w:jc w:val="center"/>
              <w:rPr>
                <w:rFonts w:ascii="Times New Roman" w:hAnsi="Times New Roman" w:cs="Times New Roman" w:eastAsia="Times New Roman" w:hint="default"/>
                <w:sz w:val="18"/>
                <w:szCs w:val="18"/>
              </w:rPr>
            </w:pPr>
            <w:r>
              <w:rPr>
                <w:rFonts w:ascii="Times New Roman"/>
                <w:sz w:val="18"/>
              </w:rPr>
              <w:t>78,383,922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61.24%</w:t>
            </w: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25.00%</w:t>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15,676,784</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23,515,177</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23,191,961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62,383,922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9" w:right="0"/>
              <w:jc w:val="center"/>
              <w:rPr>
                <w:rFonts w:ascii="Times New Roman" w:hAnsi="Times New Roman" w:cs="Times New Roman" w:eastAsia="Times New Roman" w:hint="default"/>
                <w:sz w:val="18"/>
                <w:szCs w:val="18"/>
              </w:rPr>
            </w:pPr>
            <w:r>
              <w:rPr>
                <w:rFonts w:ascii="Times New Roman"/>
                <w:sz w:val="18"/>
              </w:rPr>
              <w:t>78,383,922</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61.24%</w:t>
            </w: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 股</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22" w:type="dxa"/>
            <w:tcBorders>
              <w:top w:val="single" w:sz="4" w:space="0" w:color="000000"/>
              <w:left w:val="single" w:sz="13" w:space="0" w:color="DCDCDC"/>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911"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76"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6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2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64,000,000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10"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25,600,000</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4" w:right="0"/>
              <w:jc w:val="center"/>
              <w:rPr>
                <w:rFonts w:ascii="Times New Roman" w:hAnsi="Times New Roman" w:cs="Times New Roman" w:eastAsia="Times New Roman" w:hint="default"/>
                <w:sz w:val="18"/>
                <w:szCs w:val="18"/>
              </w:rPr>
            </w:pPr>
            <w:r>
              <w:rPr>
                <w:rFonts w:ascii="Times New Roman"/>
                <w:sz w:val="18"/>
              </w:rPr>
              <w:t>38,400,000</w:t>
            </w:r>
          </w:p>
        </w:tc>
        <w:tc>
          <w:tcPr>
            <w:tcW w:w="1012"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64,000,000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 w:right="0"/>
              <w:jc w:val="center"/>
              <w:rPr>
                <w:rFonts w:ascii="Times New Roman" w:hAnsi="Times New Roman" w:cs="Times New Roman" w:eastAsia="Times New Roman" w:hint="default"/>
                <w:sz w:val="18"/>
                <w:szCs w:val="18"/>
              </w:rPr>
            </w:pPr>
            <w:r>
              <w:rPr>
                <w:rFonts w:ascii="Times New Roman"/>
                <w:sz w:val="18"/>
              </w:rPr>
              <w:t>128,000,000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600" w:bottom="280" w:left="980" w:right="740"/>
        </w:sectPr>
      </w:pPr>
    </w:p>
    <w:p>
      <w:pPr>
        <w:pStyle w:val="Heading4"/>
        <w:spacing w:line="240" w:lineRule="auto"/>
        <w:ind w:left="636" w:right="-19"/>
        <w:jc w:val="left"/>
        <w:rPr>
          <w:b w:val="0"/>
          <w:bCs w:val="0"/>
        </w:rPr>
      </w:pPr>
      <w:r>
        <w:rPr/>
        <w:t>（二）限售股份变动情况表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before="151"/>
        <w:ind w:left="63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1600" w:bottom="280" w:left="980" w:right="740"/>
          <w:cols w:num="2" w:equalWidth="0">
            <w:col w:w="3529" w:space="4907"/>
            <w:col w:w="1754"/>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260"/>
        <w:gridCol w:w="1548"/>
      </w:tblGrid>
      <w:tr>
        <w:trPr>
          <w:trHeight w:val="557"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605" w:right="66"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156"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90"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深圳市深港产学 研创业投资有限 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11,518,037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11,518,037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23,036,074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9,728,435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9,728,435</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19,456,870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深圳市天图创业 投资有限公司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type w:val="continuous"/>
          <w:pgSz w:w="11910" w:h="16840"/>
          <w:pgMar w:top="1600" w:bottom="280" w:left="980" w:right="7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04"/>
        <w:gridCol w:w="1404"/>
        <w:gridCol w:w="1404"/>
        <w:gridCol w:w="1404"/>
        <w:gridCol w:w="1404"/>
        <w:gridCol w:w="1260"/>
        <w:gridCol w:w="1548"/>
      </w:tblGrid>
      <w:tr>
        <w:trPr>
          <w:trHeight w:val="79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109"/>
              <w:jc w:val="both"/>
              <w:rPr>
                <w:rFonts w:ascii="宋体" w:hAnsi="宋体" w:cs="宋体" w:eastAsia="宋体" w:hint="default"/>
                <w:sz w:val="18"/>
                <w:szCs w:val="18"/>
              </w:rPr>
            </w:pPr>
            <w:r>
              <w:rPr>
                <w:rFonts w:ascii="宋体" w:hAnsi="宋体" w:cs="宋体" w:eastAsia="宋体" w:hint="default"/>
                <w:sz w:val="18"/>
                <w:szCs w:val="18"/>
              </w:rPr>
              <w:t>河南新纪元防腐 绝热工程有限公 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3,625,848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3,625,848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09"/>
              <w:jc w:val="left"/>
              <w:rPr>
                <w:rFonts w:ascii="宋体" w:hAnsi="宋体" w:cs="宋体" w:eastAsia="宋体" w:hint="default"/>
                <w:sz w:val="18"/>
                <w:szCs w:val="18"/>
              </w:rPr>
            </w:pPr>
            <w:r>
              <w:rPr>
                <w:rFonts w:ascii="宋体" w:hAnsi="宋体" w:cs="宋体" w:eastAsia="宋体" w:hint="default"/>
                <w:sz w:val="18"/>
                <w:szCs w:val="18"/>
              </w:rPr>
              <w:t>北京天成天信投 资顾问有限公司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2,961,186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2,961,186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贺建文</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2,594,127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2,594,127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深圳市延宁发展 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3,600,000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张新华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1,475,727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1,475,727</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557"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9"/>
              <w:jc w:val="left"/>
              <w:rPr>
                <w:rFonts w:ascii="宋体" w:hAnsi="宋体" w:cs="宋体" w:eastAsia="宋体" w:hint="default"/>
                <w:sz w:val="18"/>
                <w:szCs w:val="18"/>
              </w:rPr>
            </w:pPr>
            <w:r>
              <w:rPr>
                <w:rFonts w:ascii="宋体" w:hAnsi="宋体" w:cs="宋体" w:eastAsia="宋体" w:hint="default"/>
                <w:sz w:val="18"/>
                <w:szCs w:val="18"/>
              </w:rPr>
              <w:t>上海九观投资咨 询有限公司</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孙景顺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1,170,000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1,170,000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1,060,514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1,060,514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贺峤</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774,800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774,800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550,000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516,531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516,531</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774,796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774,796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z w:val="18"/>
              </w:rPr>
              <w:t>508,892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3"/>
              <w:jc w:val="right"/>
              <w:rPr>
                <w:rFonts w:ascii="Times New Roman" w:hAnsi="Times New Roman" w:cs="Times New Roman" w:eastAsia="Times New Roman" w:hint="default"/>
                <w:sz w:val="18"/>
                <w:szCs w:val="18"/>
              </w:rPr>
            </w:pPr>
            <w:r>
              <w:rPr>
                <w:rFonts w:ascii="Times New Roman"/>
                <w:sz w:val="18"/>
              </w:rPr>
              <w:t>508,892</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z w:val="18"/>
              </w:rPr>
              <w:t>763,338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2"/>
              <w:jc w:val="right"/>
              <w:rPr>
                <w:rFonts w:ascii="Times New Roman" w:hAnsi="Times New Roman" w:cs="Times New Roman" w:eastAsia="Times New Roman" w:hint="default"/>
                <w:sz w:val="18"/>
                <w:szCs w:val="18"/>
              </w:rPr>
            </w:pPr>
            <w:r>
              <w:rPr>
                <w:rFonts w:ascii="Times New Roman"/>
                <w:sz w:val="18"/>
              </w:rPr>
              <w:t>763,338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王立生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505,903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505,903</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焦东亮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500,000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750,000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450,000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675,000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675,000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400,000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360,000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560,000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高管限售股份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张银山</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300,000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23"/>
              <w:jc w:val="center"/>
              <w:rPr>
                <w:rFonts w:ascii="宋体" w:hAnsi="宋体" w:cs="宋体" w:eastAsia="宋体" w:hint="default"/>
                <w:sz w:val="18"/>
                <w:szCs w:val="18"/>
              </w:rPr>
            </w:pPr>
            <w:r>
              <w:rPr>
                <w:rFonts w:ascii="宋体" w:hAnsi="宋体" w:cs="宋体" w:eastAsia="宋体" w:hint="default"/>
                <w:sz w:val="18"/>
                <w:szCs w:val="18"/>
              </w:rPr>
              <w:t>发行限售股份</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24" w:hRule="exact"/>
        </w:trPr>
        <w:tc>
          <w:tcPr>
            <w:tcW w:w="140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04"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48,000,000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24,953,528</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26,569,606</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49,616,078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before="5"/>
        <w:ind w:left="574" w:right="92" w:firstLine="0"/>
        <w:jc w:val="left"/>
        <w:rPr>
          <w:rFonts w:ascii="宋体" w:hAnsi="宋体" w:cs="宋体" w:eastAsia="宋体" w:hint="default"/>
          <w:sz w:val="21"/>
          <w:szCs w:val="21"/>
        </w:rPr>
      </w:pPr>
      <w:r>
        <w:rPr>
          <w:rFonts w:ascii="宋体" w:hAnsi="宋体" w:cs="宋体" w:eastAsia="宋体" w:hint="default"/>
          <w:sz w:val="21"/>
          <w:szCs w:val="21"/>
        </w:rPr>
        <w:t>注：自发行结束之日至本报告期末，公司于</w:t>
      </w:r>
      <w:r>
        <w:rPr>
          <w:rFonts w:ascii="宋体" w:hAnsi="宋体" w:cs="宋体" w:eastAsia="宋体" w:hint="default"/>
          <w:spacing w:val="-63"/>
          <w:sz w:val="21"/>
          <w:szCs w:val="21"/>
        </w:rPr>
        <w:t> </w:t>
      </w:r>
      <w:r>
        <w:rPr>
          <w:rFonts w:ascii="宋体" w:hAnsi="宋体" w:cs="宋体" w:eastAsia="宋体" w:hint="default"/>
          <w:sz w:val="21"/>
          <w:szCs w:val="21"/>
        </w:rPr>
        <w:t>2008</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5</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16</w:t>
      </w:r>
      <w:r>
        <w:rPr>
          <w:rFonts w:ascii="宋体" w:hAnsi="宋体" w:cs="宋体" w:eastAsia="宋体" w:hint="default"/>
          <w:spacing w:val="-63"/>
          <w:sz w:val="21"/>
          <w:szCs w:val="21"/>
        </w:rPr>
        <w:t> </w:t>
      </w:r>
      <w:r>
        <w:rPr>
          <w:rFonts w:ascii="宋体" w:hAnsi="宋体" w:cs="宋体" w:eastAsia="宋体" w:hint="default"/>
          <w:sz w:val="21"/>
          <w:szCs w:val="21"/>
        </w:rPr>
        <w:t>日实施了利润分配和资本公积金转增股本</w:t>
      </w:r>
    </w:p>
    <w:p>
      <w:pPr>
        <w:spacing w:before="134"/>
        <w:ind w:left="154" w:right="0" w:firstLine="0"/>
        <w:jc w:val="both"/>
        <w:rPr>
          <w:rFonts w:ascii="宋体" w:hAnsi="宋体" w:cs="宋体" w:eastAsia="宋体" w:hint="default"/>
          <w:sz w:val="21"/>
          <w:szCs w:val="21"/>
        </w:rPr>
      </w:pPr>
      <w:r>
        <w:rPr>
          <w:rFonts w:ascii="宋体" w:hAnsi="宋体" w:cs="宋体" w:eastAsia="宋体" w:hint="default"/>
          <w:sz w:val="21"/>
          <w:szCs w:val="21"/>
        </w:rPr>
        <w:t>的方案，实施后公司首次公开发行前已发行股份限售流通股为</w:t>
      </w:r>
      <w:r>
        <w:rPr>
          <w:rFonts w:ascii="宋体" w:hAnsi="宋体" w:cs="宋体" w:eastAsia="宋体" w:hint="default"/>
          <w:spacing w:val="-70"/>
          <w:sz w:val="21"/>
          <w:szCs w:val="21"/>
        </w:rPr>
        <w:t> </w:t>
      </w:r>
      <w:r>
        <w:rPr>
          <w:rFonts w:ascii="宋体" w:hAnsi="宋体" w:cs="宋体" w:eastAsia="宋体" w:hint="default"/>
          <w:sz w:val="21"/>
          <w:szCs w:val="21"/>
        </w:rPr>
        <w:t>9600</w:t>
      </w:r>
      <w:r>
        <w:rPr>
          <w:rFonts w:ascii="宋体" w:hAnsi="宋体" w:cs="宋体" w:eastAsia="宋体" w:hint="default"/>
          <w:spacing w:val="-69"/>
          <w:sz w:val="21"/>
          <w:szCs w:val="21"/>
        </w:rPr>
        <w:t> </w:t>
      </w:r>
      <w:r>
        <w:rPr>
          <w:rFonts w:ascii="宋体" w:hAnsi="宋体" w:cs="宋体" w:eastAsia="宋体" w:hint="default"/>
          <w:sz w:val="21"/>
          <w:szCs w:val="21"/>
        </w:rPr>
        <w:t>万股。</w:t>
      </w:r>
    </w:p>
    <w:p>
      <w:pPr>
        <w:spacing w:line="240" w:lineRule="auto" w:before="0"/>
        <w:rPr>
          <w:rFonts w:ascii="宋体" w:hAnsi="宋体" w:cs="宋体" w:eastAsia="宋体" w:hint="default"/>
          <w:sz w:val="20"/>
          <w:szCs w:val="20"/>
        </w:rPr>
      </w:pPr>
    </w:p>
    <w:p>
      <w:pPr>
        <w:pStyle w:val="Heading3"/>
        <w:spacing w:line="240" w:lineRule="auto" w:before="141"/>
        <w:ind w:right="1890"/>
        <w:jc w:val="left"/>
      </w:pPr>
      <w:r>
        <w:rPr/>
        <w:t>二、</w:t>
      </w:r>
      <w:r>
        <w:rPr>
          <w:spacing w:val="-1"/>
        </w:rPr>
        <w:t> </w:t>
      </w:r>
      <w:r>
        <w:rPr/>
        <w:t>近三年股票发行与上市情况</w:t>
      </w:r>
    </w:p>
    <w:p>
      <w:pPr>
        <w:spacing w:line="240" w:lineRule="auto" w:before="6"/>
        <w:rPr>
          <w:rFonts w:ascii="黑体" w:hAnsi="黑体" w:cs="黑体" w:eastAsia="黑体" w:hint="default"/>
          <w:sz w:val="35"/>
          <w:szCs w:val="35"/>
        </w:rPr>
      </w:pPr>
    </w:p>
    <w:p>
      <w:pPr>
        <w:pStyle w:val="BodyText"/>
        <w:spacing w:line="357" w:lineRule="auto"/>
        <w:ind w:left="153" w:right="309" w:firstLine="480"/>
        <w:jc w:val="both"/>
        <w:rPr>
          <w:rFonts w:ascii="宋体" w:hAnsi="宋体" w:cs="宋体" w:eastAsia="宋体" w:hint="default"/>
        </w:rPr>
      </w:pPr>
      <w:r>
        <w:rPr/>
        <w:t>1、经中国证券监督管理委员会证监发行字［2007］47</w:t>
      </w:r>
      <w:r>
        <w:rPr>
          <w:spacing w:val="11"/>
        </w:rPr>
        <w:t> </w:t>
      </w:r>
      <w:r>
        <w:rPr/>
        <w:t>号文核准，公司首次向社会公开</w:t>
      </w:r>
      <w:r>
        <w:rPr/>
        <w:t> 发行人民币普通股股票</w:t>
      </w:r>
      <w:r>
        <w:rPr>
          <w:spacing w:val="-60"/>
        </w:rPr>
        <w:t> </w:t>
      </w:r>
      <w:r>
        <w:rPr/>
        <w:t>1600</w:t>
      </w:r>
      <w:r>
        <w:rPr>
          <w:spacing w:val="-60"/>
        </w:rPr>
        <w:t> </w:t>
      </w:r>
      <w:r>
        <w:rPr>
          <w:spacing w:val="-3"/>
        </w:rPr>
        <w:t>万股，本次发行采用网下向询价对象询价配售（以下简称“网下</w:t>
      </w:r>
      <w:r>
        <w:rPr/>
        <w:t> </w:t>
      </w:r>
      <w:r>
        <w:rPr>
          <w:spacing w:val="-6"/>
        </w:rPr>
        <w:t>配售”）与网上资金申购定价发行（以下简称“网上发行”）相结合的方式，其中，网下配售</w:t>
      </w:r>
      <w:r>
        <w:rPr>
          <w:spacing w:val="-111"/>
        </w:rPr>
        <w:t> </w:t>
      </w:r>
      <w:r>
        <w:rPr>
          <w:spacing w:val="-111"/>
        </w:rPr>
      </w:r>
      <w:r>
        <w:rPr/>
        <w:t>320</w:t>
      </w:r>
      <w:r>
        <w:rPr>
          <w:spacing w:val="-61"/>
        </w:rPr>
        <w:t> </w:t>
      </w:r>
      <w:r>
        <w:rPr/>
        <w:t>万股，网上定价发行</w:t>
      </w:r>
      <w:r>
        <w:rPr>
          <w:spacing w:val="-61"/>
        </w:rPr>
        <w:t> </w:t>
      </w:r>
      <w:r>
        <w:rPr/>
        <w:t>1,280</w:t>
      </w:r>
      <w:r>
        <w:rPr>
          <w:spacing w:val="-61"/>
        </w:rPr>
        <w:t> </w:t>
      </w:r>
      <w:r>
        <w:rPr/>
        <w:t>万股</w:t>
      </w:r>
      <w:r>
        <w:rPr>
          <w:rFonts w:ascii="宋体" w:hAnsi="宋体" w:cs="宋体" w:eastAsia="宋体" w:hint="default"/>
          <w:b/>
          <w:bCs/>
        </w:rPr>
        <w:t>。</w:t>
      </w:r>
      <w:r>
        <w:rPr>
          <w:rFonts w:ascii="宋体" w:hAnsi="宋体" w:cs="宋体" w:eastAsia="宋体" w:hint="default"/>
        </w:rPr>
      </w:r>
    </w:p>
    <w:p>
      <w:pPr>
        <w:pStyle w:val="BodyText"/>
        <w:spacing w:line="240" w:lineRule="auto" w:before="74"/>
        <w:ind w:left="633" w:right="92"/>
        <w:jc w:val="left"/>
      </w:pPr>
      <w:r>
        <w:rPr>
          <w:spacing w:val="-3"/>
        </w:rPr>
        <w:t>经深圳证券交易所《关于辽宁荣信电力电子股份有限公司人民币普通股股票上市的通知》</w:t>
      </w:r>
    </w:p>
    <w:p>
      <w:pPr>
        <w:pStyle w:val="BodyText"/>
        <w:spacing w:line="357" w:lineRule="auto" w:before="152"/>
        <w:ind w:left="153" w:right="311"/>
        <w:jc w:val="both"/>
      </w:pPr>
      <w:r>
        <w:rPr/>
        <w:t>（深证上［2007］34号文）同意，本公司发行的人民币普通股股票在深圳证券交易所上市， </w:t>
      </w:r>
      <w:r>
        <w:rPr>
          <w:spacing w:val="-3"/>
        </w:rPr>
        <w:t>其中：本次公开发行中网上定价发行的1,280万股股票于2007</w:t>
      </w:r>
      <w:r>
        <w:rPr>
          <w:spacing w:val="10"/>
        </w:rPr>
        <w:t> </w:t>
      </w:r>
      <w:r>
        <w:rPr/>
        <w:t>年3月28日起在深圳证券交易所</w:t>
      </w:r>
      <w:r>
        <w:rPr/>
        <w:t> 上市交易，网下配售320万股股票于2007年6月28日锁定三个月期满上市交易，公司部分首次 公开发行前已发行股份限售股份持有人一年锁定期满，经公司向深圳证券交易所申请，该部 分股份于2008年3月28日上市流通。</w:t>
      </w:r>
    </w:p>
    <w:p>
      <w:pPr>
        <w:spacing w:after="0" w:line="357" w:lineRule="auto"/>
        <w:jc w:val="both"/>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348" w:lineRule="auto" w:before="26"/>
        <w:ind w:right="350" w:firstLine="48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日召开的</w:t>
      </w:r>
      <w:r>
        <w:rPr>
          <w:rFonts w:ascii="Times New Roman" w:hAnsi="Times New Roman" w:cs="Times New Roman" w:eastAsia="Times New Roman" w:hint="default"/>
        </w:rPr>
        <w:t>2007</w:t>
      </w:r>
      <w:r>
        <w:rPr/>
        <w:t>年度股东大会审议通过了《利润分配和资本公积金转增股 本的方案》，公司以现有总股本64,000,000股为基数,向全体股东每10股送4股红股、派0.5 元人民币现金（含税），合计送红股25,600,000股；派发现金红利3,200,000元（含税）。</w:t>
      </w:r>
    </w:p>
    <w:p>
      <w:pPr>
        <w:pStyle w:val="BodyText"/>
        <w:spacing w:line="357" w:lineRule="auto" w:before="85"/>
        <w:ind w:right="350" w:firstLine="480"/>
        <w:jc w:val="left"/>
      </w:pPr>
      <w:r>
        <w:rPr/>
        <w:t>同时，公司以现有总股本64,000,000股为基数，以资本公积金转增股本方式，向全体股 东每10股转增6股，合计38,400,000股。</w:t>
      </w:r>
    </w:p>
    <w:p>
      <w:pPr>
        <w:pStyle w:val="BodyText"/>
        <w:spacing w:line="386" w:lineRule="auto" w:before="74"/>
        <w:ind w:left="634" w:right="470"/>
        <w:jc w:val="left"/>
      </w:pPr>
      <w:r>
        <w:rPr/>
        <w:t>经上述分配后，公司总股本由64,000,000股增至128,000,000 股。 2008年5月16日公司根据股东大会决议实施了利润分配和资本公积金转增股本的方案。</w:t>
      </w:r>
    </w:p>
    <w:p>
      <w:pPr>
        <w:spacing w:line="554" w:lineRule="auto" w:before="6"/>
        <w:ind w:left="714" w:right="6590" w:hanging="81"/>
        <w:jc w:val="left"/>
        <w:rPr>
          <w:rFonts w:ascii="黑体" w:hAnsi="黑体" w:cs="黑体" w:eastAsia="黑体" w:hint="default"/>
          <w:sz w:val="28"/>
          <w:szCs w:val="28"/>
        </w:rPr>
      </w:pPr>
      <w:r>
        <w:rPr>
          <w:rFonts w:ascii="宋体" w:hAnsi="宋体" w:cs="宋体" w:eastAsia="宋体" w:hint="default"/>
          <w:sz w:val="24"/>
          <w:szCs w:val="24"/>
        </w:rPr>
        <w:t>3、无内部职工股。 </w:t>
      </w:r>
      <w:r>
        <w:rPr>
          <w:rFonts w:ascii="黑体" w:hAnsi="黑体" w:cs="黑体" w:eastAsia="黑体" w:hint="default"/>
          <w:sz w:val="28"/>
          <w:szCs w:val="28"/>
        </w:rPr>
        <w:t>三、报告期末股东情况</w:t>
      </w:r>
      <w:r>
        <w:rPr>
          <w:rFonts w:ascii="黑体" w:hAnsi="黑体" w:cs="黑体" w:eastAsia="黑体" w:hint="default"/>
          <w:w w:val="99"/>
          <w:sz w:val="28"/>
          <w:szCs w:val="28"/>
        </w:rPr>
        <w:t> </w:t>
      </w:r>
      <w:r>
        <w:rPr>
          <w:rFonts w:ascii="黑体" w:hAnsi="黑体" w:cs="黑体" w:eastAsia="黑体" w:hint="default"/>
          <w:sz w:val="28"/>
          <w:szCs w:val="28"/>
        </w:rPr>
        <w:t>股东数量和持股情况</w:t>
      </w:r>
    </w:p>
    <w:p>
      <w:pPr>
        <w:spacing w:before="106"/>
        <w:ind w:left="0" w:right="3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34"/>
        <w:gridCol w:w="1306"/>
        <w:gridCol w:w="140"/>
        <w:gridCol w:w="1160"/>
        <w:gridCol w:w="1300"/>
        <w:gridCol w:w="520"/>
        <w:gridCol w:w="1301"/>
        <w:gridCol w:w="1768"/>
      </w:tblGrid>
      <w:tr>
        <w:trPr>
          <w:trHeight w:val="324"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7494" w:type="dxa"/>
            <w:gridSpan w:val="7"/>
            <w:tcBorders>
              <w:top w:val="single" w:sz="4" w:space="0" w:color="000000"/>
              <w:left w:val="single" w:sz="10"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6,096</w:t>
            </w:r>
          </w:p>
        </w:tc>
      </w:tr>
      <w:tr>
        <w:trPr>
          <w:trHeight w:val="381"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40" w:hRule="exact"/>
        </w:trPr>
        <w:tc>
          <w:tcPr>
            <w:tcW w:w="23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46"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36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1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9"/>
              <w:ind w:left="284"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82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持有有限售条件股份</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6" w:lineRule="exact"/>
              <w:ind w:right="1"/>
              <w:jc w:val="center"/>
              <w:rPr>
                <w:rFonts w:ascii="宋体" w:hAnsi="宋体" w:cs="宋体" w:eastAsia="宋体" w:hint="default"/>
                <w:sz w:val="18"/>
                <w:szCs w:val="18"/>
              </w:rPr>
            </w:pPr>
            <w:r>
              <w:rPr>
                <w:rFonts w:ascii="宋体" w:hAnsi="宋体" w:cs="宋体" w:eastAsia="宋体" w:hint="default"/>
                <w:sz w:val="18"/>
                <w:szCs w:val="18"/>
              </w:rPr>
              <w:t>质押或冻结的股份数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量</w:t>
            </w:r>
          </w:p>
        </w:tc>
      </w:tr>
      <w:tr>
        <w:trPr>
          <w:trHeight w:val="615" w:hRule="exact"/>
        </w:trPr>
        <w:tc>
          <w:tcPr>
            <w:tcW w:w="2334"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3"/>
              <w:ind w:left="22" w:right="139"/>
              <w:jc w:val="left"/>
              <w:rPr>
                <w:rFonts w:ascii="宋体" w:hAnsi="宋体" w:cs="宋体" w:eastAsia="宋体" w:hint="default"/>
                <w:sz w:val="18"/>
                <w:szCs w:val="18"/>
              </w:rPr>
            </w:pPr>
            <w:r>
              <w:rPr>
                <w:rFonts w:ascii="宋体" w:hAnsi="宋体" w:cs="宋体" w:eastAsia="宋体" w:hint="default"/>
                <w:sz w:val="18"/>
                <w:szCs w:val="18"/>
              </w:rPr>
              <w:t>深圳市深港产学研创业投资 有限公司</w:t>
            </w:r>
          </w:p>
        </w:tc>
        <w:tc>
          <w:tcPr>
            <w:tcW w:w="1446" w:type="dxa"/>
            <w:gridSpan w:val="2"/>
            <w:tcBorders>
              <w:top w:val="single" w:sz="47" w:space="0" w:color="DCDCDC"/>
              <w:left w:val="single" w:sz="4" w:space="0" w:color="000000"/>
              <w:bottom w:val="single" w:sz="4" w:space="0" w:color="000000"/>
              <w:right w:val="single" w:sz="4" w:space="0" w:color="000000"/>
            </w:tcBorders>
          </w:tcPr>
          <w:p>
            <w:pPr>
              <w:pStyle w:val="TableParagraph"/>
              <w:spacing w:line="240" w:lineRule="auto" w:before="131"/>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1300" w:type="dxa"/>
            <w:tcBorders>
              <w:top w:val="single" w:sz="47" w:space="0" w:color="DCDCDC"/>
              <w:left w:val="single" w:sz="4" w:space="0" w:color="000000"/>
              <w:bottom w:val="single" w:sz="4" w:space="0" w:color="000000"/>
              <w:right w:val="single" w:sz="13" w:space="0" w:color="DCDCDC"/>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23,036,074</w:t>
            </w:r>
          </w:p>
        </w:tc>
        <w:tc>
          <w:tcPr>
            <w:tcW w:w="1820" w:type="dxa"/>
            <w:gridSpan w:val="2"/>
            <w:tcBorders>
              <w:top w:val="single" w:sz="4" w:space="0" w:color="000000"/>
              <w:left w:val="single" w:sz="13" w:space="0" w:color="DCDCDC"/>
              <w:bottom w:val="single" w:sz="4" w:space="0" w:color="000000"/>
              <w:right w:val="single" w:sz="9" w:space="0" w:color="DCDCDC"/>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63" w:right="0"/>
              <w:jc w:val="left"/>
              <w:rPr>
                <w:rFonts w:ascii="Times New Roman" w:hAnsi="Times New Roman" w:cs="Times New Roman" w:eastAsia="Times New Roman" w:hint="default"/>
                <w:sz w:val="18"/>
                <w:szCs w:val="18"/>
              </w:rPr>
            </w:pPr>
            <w:r>
              <w:rPr>
                <w:rFonts w:ascii="Times New Roman"/>
                <w:sz w:val="18"/>
              </w:rPr>
              <w:t>23,036,074</w:t>
            </w:r>
          </w:p>
        </w:tc>
        <w:tc>
          <w:tcPr>
            <w:tcW w:w="1768" w:type="dxa"/>
            <w:tcBorders>
              <w:top w:val="single" w:sz="4" w:space="0" w:color="000000"/>
              <w:left w:val="single" w:sz="9" w:space="0" w:color="DCDCDC"/>
              <w:bottom w:val="single" w:sz="4" w:space="0" w:color="000000"/>
              <w:right w:val="single" w:sz="13" w:space="0" w:color="DCDCDC"/>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8,800,000</w:t>
            </w: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15.20%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19,456,870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75" w:right="0"/>
              <w:jc w:val="left"/>
              <w:rPr>
                <w:rFonts w:ascii="Times New Roman" w:hAnsi="Times New Roman" w:cs="Times New Roman" w:eastAsia="Times New Roman" w:hint="default"/>
                <w:sz w:val="18"/>
                <w:szCs w:val="18"/>
              </w:rPr>
            </w:pPr>
            <w:r>
              <w:rPr>
                <w:rFonts w:ascii="Times New Roman"/>
                <w:sz w:val="18"/>
              </w:rPr>
              <w:t>19,456,870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深圳市天图创业投资有限公 司</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8.44%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中国建设银行－中信红利精 选股票型证券投资基金</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3.44%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4,405,182</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中国银行－嘉实主题精选混 合型证券投资基金</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2.99%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3,821,568</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4"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深圳市延宁发展有限公司</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2.81%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3,600,000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5" w:right="0"/>
              <w:jc w:val="left"/>
              <w:rPr>
                <w:rFonts w:ascii="Times New Roman" w:hAnsi="Times New Roman" w:cs="Times New Roman" w:eastAsia="Times New Roman" w:hint="default"/>
                <w:sz w:val="18"/>
                <w:szCs w:val="18"/>
              </w:rPr>
            </w:pPr>
            <w:r>
              <w:rPr>
                <w:rFonts w:ascii="Times New Roman"/>
                <w:sz w:val="18"/>
              </w:rPr>
              <w:t>3,600,000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39"/>
              <w:jc w:val="left"/>
              <w:rPr>
                <w:rFonts w:ascii="宋体" w:hAnsi="宋体" w:cs="宋体" w:eastAsia="宋体" w:hint="default"/>
                <w:sz w:val="18"/>
                <w:szCs w:val="18"/>
              </w:rPr>
            </w:pPr>
            <w:r>
              <w:rPr>
                <w:rFonts w:ascii="宋体" w:hAnsi="宋体" w:cs="宋体" w:eastAsia="宋体" w:hint="default"/>
                <w:sz w:val="18"/>
                <w:szCs w:val="18"/>
              </w:rPr>
              <w:t>北京天成天信投资顾问有限 公司</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2.66%</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中国建设银行－华夏红利混 合型开放式证券投资基金</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2.60%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3,332,795</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新乡市卫滨区营道社会经济 咨询有限公司</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2,560,000</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557" w:hRule="exact"/>
        </w:trPr>
        <w:tc>
          <w:tcPr>
            <w:tcW w:w="2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39"/>
              <w:jc w:val="left"/>
              <w:rPr>
                <w:rFonts w:ascii="宋体" w:hAnsi="宋体" w:cs="宋体" w:eastAsia="宋体" w:hint="default"/>
                <w:sz w:val="18"/>
                <w:szCs w:val="18"/>
              </w:rPr>
            </w:pPr>
            <w:r>
              <w:rPr>
                <w:rFonts w:ascii="宋体" w:hAnsi="宋体" w:cs="宋体" w:eastAsia="宋体" w:hint="default"/>
                <w:sz w:val="18"/>
                <w:szCs w:val="18"/>
              </w:rPr>
              <w:t>河南新纪元防腐绝热工程有 限公司</w:t>
            </w:r>
          </w:p>
        </w:tc>
        <w:tc>
          <w:tcPr>
            <w:tcW w:w="14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1.99%</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2,541,696</w:t>
            </w:r>
          </w:p>
        </w:tc>
        <w:tc>
          <w:tcPr>
            <w:tcW w:w="18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r>
      <w:tr>
        <w:trPr>
          <w:trHeight w:val="323" w:hRule="exact"/>
        </w:trPr>
        <w:tc>
          <w:tcPr>
            <w:tcW w:w="982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12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深圳市天图创业投资有限公司</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10,800,000</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8"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中国建设银行－中信红利精选股票型证券投 资基金</w:t>
            </w:r>
          </w:p>
        </w:tc>
        <w:tc>
          <w:tcPr>
            <w:tcW w:w="312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4,405,182</w:t>
            </w:r>
          </w:p>
        </w:tc>
        <w:tc>
          <w:tcPr>
            <w:tcW w:w="3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10" w:h="16840"/>
          <w:pgMar w:header="747" w:footer="669" w:top="980" w:bottom="860" w:left="980" w:right="8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2340"/>
        <w:gridCol w:w="1300"/>
        <w:gridCol w:w="3120"/>
        <w:gridCol w:w="3068"/>
      </w:tblGrid>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中国银行－嘉实主题精选混合型证券投资基 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3,821,568</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北京天成天信投资顾问有限公司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3,400,000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22" w:right="185"/>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中国建设银行－华夏红利混合型开放式证券 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3,332,795</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新乡市卫滨区营道社会经济咨询有限公司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2,560,000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4"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河南新纪元防腐绝热工程有限公司</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2,541,696</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中国建设银行－泰达荷银效率优选混合型证 券投资基金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1,855,090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23"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张新华</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1,659,850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557" w:hRule="exact"/>
        </w:trPr>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85"/>
              <w:jc w:val="left"/>
              <w:rPr>
                <w:rFonts w:ascii="宋体" w:hAnsi="宋体" w:cs="宋体" w:eastAsia="宋体" w:hint="default"/>
                <w:sz w:val="18"/>
                <w:szCs w:val="18"/>
              </w:rPr>
            </w:pPr>
            <w:r>
              <w:rPr>
                <w:rFonts w:ascii="宋体" w:hAnsi="宋体" w:cs="宋体" w:eastAsia="宋体" w:hint="default"/>
                <w:sz w:val="18"/>
                <w:szCs w:val="18"/>
              </w:rPr>
              <w:t>中国建设银行－华夏优势增长股票型证券投 资基金</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1,437,020</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765" w:hRule="exact"/>
        </w:trPr>
        <w:tc>
          <w:tcPr>
            <w:tcW w:w="23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804" w:right="84"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74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23"/>
              <w:jc w:val="both"/>
              <w:rPr>
                <w:rFonts w:ascii="宋体" w:hAnsi="宋体" w:cs="宋体" w:eastAsia="宋体" w:hint="default"/>
                <w:sz w:val="18"/>
                <w:szCs w:val="18"/>
              </w:rPr>
            </w:pPr>
            <w:r>
              <w:rPr>
                <w:rFonts w:ascii="宋体" w:hAnsi="宋体" w:cs="宋体" w:eastAsia="宋体" w:hint="default"/>
                <w:sz w:val="18"/>
                <w:szCs w:val="18"/>
              </w:rPr>
              <w:t>公司股东深圳市深港产学研创业投资有限公司、深圳市延宁发展有限公司的控股股东均为崔京 涛女士，是一致行动人。除此之外，公司控股股东左强和深圳市深港产学研创业投资有限公司 与前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名无限售条件股东之间不存在关联关系，也不属于《上市公司股东持股 变动信息披露管理办法》中规定的一致行动人；</w:t>
            </w:r>
          </w:p>
          <w:p>
            <w:pPr>
              <w:pStyle w:val="TableParagraph"/>
              <w:spacing w:line="230" w:lineRule="auto" w:before="47"/>
              <w:ind w:left="22" w:right="23"/>
              <w:jc w:val="both"/>
              <w:rPr>
                <w:rFonts w:ascii="宋体" w:hAnsi="宋体" w:cs="宋体" w:eastAsia="宋体" w:hint="default"/>
                <w:sz w:val="18"/>
                <w:szCs w:val="18"/>
              </w:rPr>
            </w:pPr>
            <w:r>
              <w:rPr>
                <w:rFonts w:ascii="宋体" w:hAnsi="宋体" w:cs="宋体" w:eastAsia="宋体" w:hint="default"/>
                <w:sz w:val="18"/>
                <w:szCs w:val="18"/>
              </w:rPr>
              <w:t>未知以上无限售条件股东之间是否存在关联关系，未知以上无限售条件股东与上述前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 之间是否存在关联关系，也未知以上无限售条件股东是否属于《上市公司股东持股变动信息披 露管理办法》中规定的一致行动人。</w:t>
            </w:r>
          </w:p>
        </w:tc>
      </w:tr>
    </w:tbl>
    <w:p>
      <w:pPr>
        <w:spacing w:before="5"/>
        <w:ind w:left="574" w:right="92" w:firstLine="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、2008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4</w:t>
      </w:r>
      <w:r>
        <w:rPr>
          <w:rFonts w:ascii="宋体" w:hAnsi="宋体" w:cs="宋体" w:eastAsia="宋体" w:hint="default"/>
          <w:spacing w:val="-48"/>
          <w:sz w:val="21"/>
          <w:szCs w:val="21"/>
        </w:rPr>
        <w:t> </w:t>
      </w:r>
      <w:r>
        <w:rPr>
          <w:rFonts w:ascii="宋体" w:hAnsi="宋体" w:cs="宋体" w:eastAsia="宋体" w:hint="default"/>
          <w:spacing w:val="-3"/>
          <w:sz w:val="21"/>
          <w:szCs w:val="21"/>
        </w:rPr>
        <w:t>日，公司股东深圳市天图创业投资有限公司以其持有的本公司的部分股权</w:t>
      </w:r>
      <w:r>
        <w:rPr>
          <w:rFonts w:ascii="宋体" w:hAnsi="宋体" w:cs="宋体" w:eastAsia="宋体" w:hint="default"/>
          <w:spacing w:val="-49"/>
          <w:sz w:val="21"/>
          <w:szCs w:val="21"/>
        </w:rPr>
        <w:t> </w:t>
      </w:r>
      <w:r>
        <w:rPr>
          <w:rFonts w:ascii="宋体" w:hAnsi="宋体" w:cs="宋体" w:eastAsia="宋体" w:hint="default"/>
          <w:sz w:val="21"/>
          <w:szCs w:val="21"/>
        </w:rPr>
        <w:t>3,000,000</w:t>
      </w:r>
    </w:p>
    <w:p>
      <w:pPr>
        <w:spacing w:before="118"/>
        <w:ind w:left="154" w:right="92" w:firstLine="0"/>
        <w:jc w:val="left"/>
        <w:rPr>
          <w:rFonts w:ascii="宋体" w:hAnsi="宋体" w:cs="宋体" w:eastAsia="宋体" w:hint="default"/>
          <w:sz w:val="21"/>
          <w:szCs w:val="21"/>
        </w:rPr>
      </w:pPr>
      <w:r>
        <w:rPr>
          <w:rFonts w:ascii="宋体" w:hAnsi="宋体" w:cs="宋体" w:eastAsia="宋体" w:hint="default"/>
          <w:sz w:val="21"/>
          <w:szCs w:val="21"/>
        </w:rPr>
        <w:t>股质押给深圳市中小企业信用担保中心有限公司。目前，上述质押已经解除，相关手续已于</w:t>
      </w:r>
      <w:r>
        <w:rPr>
          <w:rFonts w:ascii="宋体" w:hAnsi="宋体" w:cs="宋体" w:eastAsia="宋体" w:hint="default"/>
          <w:spacing w:val="-8"/>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10"/>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p>
    <w:p>
      <w:pPr>
        <w:spacing w:before="133"/>
        <w:ind w:left="154" w:right="92" w:firstLine="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日在中</w:t>
      </w:r>
      <w:r>
        <w:rPr>
          <w:rFonts w:ascii="宋体" w:hAnsi="宋体" w:cs="宋体" w:eastAsia="宋体" w:hint="default"/>
          <w:spacing w:val="-2"/>
          <w:sz w:val="21"/>
          <w:szCs w:val="21"/>
        </w:rPr>
        <w:t>国</w:t>
      </w:r>
      <w:r>
        <w:rPr>
          <w:rFonts w:ascii="宋体" w:hAnsi="宋体" w:cs="宋体" w:eastAsia="宋体" w:hint="default"/>
          <w:sz w:val="21"/>
          <w:szCs w:val="21"/>
        </w:rPr>
        <w:t>证券登记结算有限责任公司深圳分公司办理完毕</w:t>
      </w:r>
      <w:r>
        <w:rPr>
          <w:rFonts w:ascii="宋体" w:hAnsi="宋体" w:cs="宋体" w:eastAsia="宋体" w:hint="default"/>
          <w:spacing w:val="-91"/>
          <w:sz w:val="21"/>
          <w:szCs w:val="21"/>
        </w:rPr>
        <w:t>。</w:t>
      </w:r>
      <w:r>
        <w:rPr>
          <w:rFonts w:ascii="宋体" w:hAnsi="宋体" w:cs="宋体" w:eastAsia="宋体" w:hint="default"/>
          <w:sz w:val="21"/>
          <w:szCs w:val="21"/>
        </w:rPr>
        <w:t>截止至目前</w:t>
      </w:r>
      <w:r>
        <w:rPr>
          <w:rFonts w:ascii="宋体" w:hAnsi="宋体" w:cs="宋体" w:eastAsia="宋体" w:hint="default"/>
          <w:spacing w:val="-91"/>
          <w:sz w:val="21"/>
          <w:szCs w:val="21"/>
        </w:rPr>
        <w:t>，</w:t>
      </w:r>
      <w:r>
        <w:rPr>
          <w:rFonts w:ascii="宋体" w:hAnsi="宋体" w:cs="宋体" w:eastAsia="宋体" w:hint="default"/>
          <w:sz w:val="21"/>
          <w:szCs w:val="21"/>
        </w:rPr>
        <w:t>深圳天图无质押的本公司股票。</w:t>
      </w:r>
    </w:p>
    <w:p>
      <w:pPr>
        <w:spacing w:before="174"/>
        <w:ind w:left="0" w:right="83" w:firstLine="0"/>
        <w:jc w:val="center"/>
        <w:rPr>
          <w:rFonts w:ascii="宋体" w:hAnsi="宋体" w:cs="宋体" w:eastAsia="宋体" w:hint="default"/>
          <w:sz w:val="21"/>
          <w:szCs w:val="21"/>
        </w:rPr>
      </w:pPr>
      <w:r>
        <w:rPr>
          <w:rFonts w:ascii="宋体" w:hAnsi="宋体" w:cs="宋体" w:eastAsia="宋体" w:hint="default"/>
          <w:sz w:val="21"/>
          <w:szCs w:val="21"/>
        </w:rPr>
        <w:t>2、2008</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1"/>
          <w:sz w:val="21"/>
          <w:szCs w:val="21"/>
        </w:rPr>
        <w:t> </w:t>
      </w:r>
      <w:r>
        <w:rPr>
          <w:rFonts w:ascii="宋体" w:hAnsi="宋体" w:cs="宋体" w:eastAsia="宋体" w:hint="default"/>
          <w:sz w:val="21"/>
          <w:szCs w:val="21"/>
        </w:rPr>
        <w:t>日公司股东深圳市深港产学研创业投资有限公司以其持有的本公司的部分股权</w:t>
      </w:r>
    </w:p>
    <w:p>
      <w:pPr>
        <w:spacing w:before="133"/>
        <w:ind w:left="153" w:right="92" w:firstLine="0"/>
        <w:jc w:val="left"/>
        <w:rPr>
          <w:rFonts w:ascii="宋体" w:hAnsi="宋体" w:cs="宋体" w:eastAsia="宋体" w:hint="default"/>
          <w:sz w:val="21"/>
          <w:szCs w:val="21"/>
        </w:rPr>
      </w:pPr>
      <w:r>
        <w:rPr>
          <w:rFonts w:ascii="宋体" w:hAnsi="宋体" w:cs="宋体" w:eastAsia="宋体" w:hint="default"/>
          <w:sz w:val="21"/>
          <w:szCs w:val="21"/>
        </w:rPr>
        <w:t>8,800,000</w:t>
      </w:r>
      <w:r>
        <w:rPr>
          <w:rFonts w:ascii="宋体" w:hAnsi="宋体" w:cs="宋体" w:eastAsia="宋体" w:hint="default"/>
          <w:spacing w:val="-61"/>
          <w:sz w:val="21"/>
          <w:szCs w:val="21"/>
        </w:rPr>
        <w:t> </w:t>
      </w:r>
      <w:r>
        <w:rPr>
          <w:rFonts w:ascii="宋体" w:hAnsi="宋体" w:cs="宋体" w:eastAsia="宋体" w:hint="default"/>
          <w:sz w:val="21"/>
          <w:szCs w:val="21"/>
        </w:rPr>
        <w:t>股质押给深圳国际信托投资有限责任公司，2009</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14</w:t>
      </w:r>
      <w:r>
        <w:rPr>
          <w:rFonts w:ascii="宋体" w:hAnsi="宋体" w:cs="宋体" w:eastAsia="宋体" w:hint="default"/>
          <w:spacing w:val="-61"/>
          <w:sz w:val="21"/>
          <w:szCs w:val="21"/>
        </w:rPr>
        <w:t> </w:t>
      </w:r>
      <w:r>
        <w:rPr>
          <w:rFonts w:ascii="宋体" w:hAnsi="宋体" w:cs="宋体" w:eastAsia="宋体" w:hint="default"/>
          <w:sz w:val="21"/>
          <w:szCs w:val="21"/>
        </w:rPr>
        <w:t>日，深港产学研以其持有的本公司</w:t>
      </w:r>
    </w:p>
    <w:p>
      <w:pPr>
        <w:spacing w:before="134"/>
        <w:ind w:left="153" w:right="92" w:firstLine="0"/>
        <w:jc w:val="left"/>
        <w:rPr>
          <w:rFonts w:ascii="宋体" w:hAnsi="宋体" w:cs="宋体" w:eastAsia="宋体" w:hint="default"/>
          <w:sz w:val="21"/>
          <w:szCs w:val="21"/>
        </w:rPr>
      </w:pPr>
      <w:r>
        <w:rPr>
          <w:rFonts w:ascii="宋体" w:hAnsi="宋体" w:cs="宋体" w:eastAsia="宋体" w:hint="default"/>
          <w:sz w:val="21"/>
          <w:szCs w:val="21"/>
        </w:rPr>
        <w:t>的部分股权</w:t>
      </w:r>
      <w:r>
        <w:rPr>
          <w:rFonts w:ascii="宋体" w:hAnsi="宋体" w:cs="宋体" w:eastAsia="宋体" w:hint="default"/>
          <w:spacing w:val="-65"/>
          <w:sz w:val="21"/>
          <w:szCs w:val="21"/>
        </w:rPr>
        <w:t> </w:t>
      </w:r>
      <w:r>
        <w:rPr>
          <w:rFonts w:ascii="宋体" w:hAnsi="宋体" w:cs="宋体" w:eastAsia="宋体" w:hint="default"/>
          <w:sz w:val="21"/>
          <w:szCs w:val="21"/>
        </w:rPr>
        <w:t>148,000</w:t>
      </w:r>
      <w:r>
        <w:rPr>
          <w:rFonts w:ascii="宋体" w:hAnsi="宋体" w:cs="宋体" w:eastAsia="宋体" w:hint="default"/>
          <w:spacing w:val="-65"/>
          <w:sz w:val="21"/>
          <w:szCs w:val="21"/>
        </w:rPr>
        <w:t> </w:t>
      </w:r>
      <w:r>
        <w:rPr>
          <w:rFonts w:ascii="宋体" w:hAnsi="宋体" w:cs="宋体" w:eastAsia="宋体" w:hint="default"/>
          <w:sz w:val="21"/>
          <w:szCs w:val="21"/>
        </w:rPr>
        <w:t>股质押给招商银行股份有限公司深圳分行，截止至目前，深港产学研累计质押本公司</w:t>
      </w:r>
    </w:p>
    <w:p>
      <w:pPr>
        <w:spacing w:before="133"/>
        <w:ind w:left="153" w:right="1890" w:firstLine="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55"/>
          <w:sz w:val="21"/>
          <w:szCs w:val="21"/>
        </w:rPr>
        <w:t> </w:t>
      </w:r>
      <w:r>
        <w:rPr>
          <w:rFonts w:ascii="宋体" w:hAnsi="宋体" w:cs="宋体" w:eastAsia="宋体" w:hint="default"/>
          <w:sz w:val="21"/>
          <w:szCs w:val="21"/>
        </w:rPr>
        <w:t>8,948,000</w:t>
      </w:r>
      <w:r>
        <w:rPr>
          <w:rFonts w:ascii="宋体" w:hAnsi="宋体" w:cs="宋体" w:eastAsia="宋体" w:hint="default"/>
          <w:spacing w:val="-54"/>
          <w:sz w:val="21"/>
          <w:szCs w:val="21"/>
        </w:rPr>
        <w:t> </w:t>
      </w:r>
      <w:r>
        <w:rPr>
          <w:rFonts w:ascii="宋体" w:hAnsi="宋体" w:cs="宋体" w:eastAsia="宋体" w:hint="default"/>
          <w:sz w:val="21"/>
          <w:szCs w:val="21"/>
        </w:rPr>
        <w:t>股。</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3"/>
        <w:spacing w:line="240" w:lineRule="auto"/>
        <w:ind w:right="1890"/>
        <w:jc w:val="left"/>
      </w:pPr>
      <w:r>
        <w:rPr/>
        <w:t>四、公司控股股东情况</w:t>
      </w:r>
    </w:p>
    <w:p>
      <w:pPr>
        <w:spacing w:line="240" w:lineRule="auto" w:before="6"/>
        <w:rPr>
          <w:rFonts w:ascii="黑体" w:hAnsi="黑体" w:cs="黑体" w:eastAsia="黑体" w:hint="default"/>
          <w:sz w:val="35"/>
          <w:szCs w:val="35"/>
        </w:rPr>
      </w:pPr>
    </w:p>
    <w:p>
      <w:pPr>
        <w:pStyle w:val="BodyText"/>
        <w:spacing w:line="376" w:lineRule="auto"/>
        <w:ind w:left="634" w:right="294"/>
        <w:jc w:val="left"/>
      </w:pPr>
      <w:r>
        <w:rPr>
          <w:rFonts w:ascii="Times New Roman" w:hAnsi="Times New Roman" w:cs="Times New Roman" w:eastAsia="Times New Roman" w:hint="default"/>
        </w:rPr>
        <w:t>1</w:t>
      </w:r>
      <w:r>
        <w:rPr/>
        <w:t>、控股股东 报告期内，公司控股股东未发生变化，为左强和深圳市深港产学研创业投资有限公司。 左强，男，中国国籍，</w:t>
      </w:r>
      <w:r>
        <w:rPr>
          <w:rFonts w:ascii="Times New Roman" w:hAnsi="Times New Roman" w:cs="Times New Roman" w:eastAsia="Times New Roman" w:hint="default"/>
        </w:rPr>
        <w:t>1970</w:t>
      </w:r>
      <w:r>
        <w:rPr>
          <w:rFonts w:ascii="Times New Roman" w:hAnsi="Times New Roman" w:cs="Times New Roman" w:eastAsia="Times New Roman" w:hint="default"/>
          <w:spacing w:val="-24"/>
        </w:rPr>
        <w:t> </w:t>
      </w:r>
      <w:r>
        <w:rPr/>
        <w:t>年出生，清华大学机械工程系本科毕业，清华大学高级工商</w:t>
      </w:r>
    </w:p>
    <w:p>
      <w:pPr>
        <w:pStyle w:val="BodyText"/>
        <w:spacing w:line="315" w:lineRule="exact"/>
        <w:ind w:right="92"/>
        <w:jc w:val="left"/>
      </w:pPr>
      <w:r>
        <w:rPr/>
        <w:t>管理学硕</w:t>
      </w:r>
      <w:r>
        <w:rPr>
          <w:spacing w:val="-15"/>
        </w:rPr>
        <w:t>士</w:t>
      </w:r>
      <w:r>
        <w:rPr/>
        <w:t>（</w:t>
      </w:r>
      <w:r>
        <w:rPr>
          <w:rFonts w:ascii="Times New Roman" w:hAnsi="Times New Roman" w:cs="Times New Roman" w:eastAsia="Times New Roman" w:hint="default"/>
          <w:spacing w:val="-1"/>
          <w:w w:val="99"/>
        </w:rPr>
        <w:t>EMBA</w:t>
      </w:r>
      <w:r>
        <w:rPr>
          <w:spacing w:val="-119"/>
        </w:rPr>
        <w:t>）</w:t>
      </w:r>
      <w:r>
        <w:rPr>
          <w:spacing w:val="-15"/>
        </w:rPr>
        <w:t>，</w:t>
      </w:r>
      <w:r>
        <w:rPr/>
        <w:t>高级工程师</w:t>
      </w:r>
      <w:r>
        <w:rPr>
          <w:spacing w:val="-15"/>
        </w:rPr>
        <w:t>，</w:t>
      </w:r>
      <w:r>
        <w:rPr/>
        <w:t>本公司主要创始人</w:t>
      </w:r>
      <w:r>
        <w:rPr>
          <w:spacing w:val="-15"/>
        </w:rPr>
        <w:t>，</w:t>
      </w:r>
      <w:r>
        <w:rPr/>
        <w:t>我国第一套具有完全自主知识产权</w:t>
      </w:r>
    </w:p>
    <w:p>
      <w:pPr>
        <w:pStyle w:val="BodyText"/>
        <w:spacing w:line="338" w:lineRule="auto" w:before="134"/>
        <w:ind w:right="291"/>
        <w:jc w:val="left"/>
      </w:pPr>
      <w:r>
        <w:rPr/>
        <w:t>的</w:t>
      </w:r>
      <w:r>
        <w:rPr>
          <w:spacing w:val="-94"/>
        </w:rPr>
        <w:t> </w:t>
      </w:r>
      <w:r>
        <w:rPr>
          <w:rFonts w:ascii="Times New Roman" w:hAnsi="Times New Roman" w:cs="Times New Roman" w:eastAsia="Times New Roman" w:hint="default"/>
        </w:rPr>
        <w:t>SVC</w:t>
      </w:r>
      <w:r>
        <w:rPr>
          <w:rFonts w:ascii="Times New Roman" w:hAnsi="Times New Roman" w:cs="Times New Roman" w:eastAsia="Times New Roman" w:hint="default"/>
          <w:spacing w:val="-34"/>
        </w:rPr>
        <w:t> </w:t>
      </w:r>
      <w:r>
        <w:rPr/>
        <w:t>的主要设计者，多项国家重大高技术产业化项目的主要领导者，多项专利技术的主要 </w:t>
      </w:r>
      <w:r>
        <w:rPr>
          <w:spacing w:val="-3"/>
        </w:rPr>
        <w:t>发明人，发起制订了我国第一部</w:t>
      </w:r>
      <w:r>
        <w:rPr>
          <w:spacing w:val="-76"/>
        </w:rPr>
        <w:t> </w:t>
      </w:r>
      <w:r>
        <w:rPr>
          <w:rFonts w:ascii="Times New Roman" w:hAnsi="Times New Roman" w:cs="Times New Roman" w:eastAsia="Times New Roman" w:hint="default"/>
        </w:rPr>
        <w:t>SVC</w:t>
      </w:r>
      <w:r>
        <w:rPr>
          <w:rFonts w:ascii="Times New Roman" w:hAnsi="Times New Roman" w:cs="Times New Roman" w:eastAsia="Times New Roman" w:hint="default"/>
          <w:spacing w:val="-16"/>
        </w:rPr>
        <w:t> </w:t>
      </w:r>
      <w:r>
        <w:rPr/>
        <w:t>国家标准，全国电压电流等级和频率标准化技术委员会</w:t>
      </w:r>
    </w:p>
    <w:p>
      <w:pPr>
        <w:pStyle w:val="BodyText"/>
        <w:spacing w:line="364" w:lineRule="auto" w:before="25"/>
        <w:ind w:left="633" w:right="3371" w:hanging="480"/>
        <w:jc w:val="left"/>
      </w:pPr>
      <w:r>
        <w:rPr/>
        <w:t>（</w:t>
      </w:r>
      <w:r>
        <w:rPr>
          <w:rFonts w:ascii="Times New Roman" w:hAnsi="Times New Roman" w:cs="Times New Roman" w:eastAsia="Times New Roman" w:hint="default"/>
        </w:rPr>
        <w:t>SAC/TC1</w:t>
      </w:r>
      <w:r>
        <w:rPr/>
        <w:t>）委员，自</w:t>
      </w:r>
      <w:r>
        <w:rPr>
          <w:spacing w:val="-61"/>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年起任公司董事、总经理。 左强目前持有公司</w:t>
      </w:r>
      <w:r>
        <w:rPr>
          <w:spacing w:val="-60"/>
        </w:rPr>
        <w:t> </w:t>
      </w:r>
      <w:r>
        <w:rPr>
          <w:rFonts w:ascii="Times New Roman" w:hAnsi="Times New Roman" w:cs="Times New Roman" w:eastAsia="Times New Roman" w:hint="default"/>
        </w:rPr>
        <w:t>15.20%</w:t>
      </w:r>
      <w:r>
        <w:rPr/>
        <w:t>的股份，为本公司第二大股东。</w:t>
      </w:r>
    </w:p>
    <w:p>
      <w:pPr>
        <w:pStyle w:val="BodyText"/>
        <w:spacing w:line="240" w:lineRule="auto" w:before="37"/>
        <w:ind w:left="633" w:right="92"/>
        <w:jc w:val="left"/>
      </w:pPr>
      <w:r>
        <w:rPr/>
        <w:t>深圳市深港产学研创业投资有限公司成立于</w:t>
      </w:r>
      <w:r>
        <w:rPr>
          <w:spacing w:val="-54"/>
        </w:rPr>
        <w:t> </w:t>
      </w:r>
      <w:r>
        <w:rPr/>
        <w:t>199</w:t>
      </w:r>
      <w:r>
        <w:rPr>
          <w:spacing w:val="66"/>
        </w:rPr>
        <w:t>6年9月</w:t>
      </w:r>
      <w:r>
        <w:rPr/>
        <w:t>4</w:t>
      </w:r>
      <w:r>
        <w:rPr>
          <w:spacing w:val="-54"/>
        </w:rPr>
        <w:t> </w:t>
      </w:r>
      <w:r>
        <w:rPr/>
        <w:t>日，注册资本（实收资本</w:t>
      </w:r>
      <w:r>
        <w:rPr>
          <w:spacing w:val="-120"/>
        </w:rPr>
        <w:t>）</w:t>
      </w:r>
      <w:r>
        <w:rPr/>
        <w:t>：</w:t>
      </w:r>
    </w:p>
    <w:p>
      <w:pPr>
        <w:spacing w:after="0" w:line="240" w:lineRule="auto"/>
        <w:jc w:val="left"/>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240" w:lineRule="auto" w:before="26"/>
        <w:ind w:right="92"/>
        <w:jc w:val="left"/>
      </w:pPr>
      <w:r>
        <w:rPr/>
        <w:t>15,000 万元，法定代表人：厉伟，注册地址：深圳市福田区深南中路 3039</w:t>
      </w:r>
      <w:r>
        <w:rPr>
          <w:spacing w:val="-84"/>
        </w:rPr>
        <w:t> </w:t>
      </w:r>
      <w:r>
        <w:rPr/>
        <w:t>号国际文化大厦</w:t>
      </w:r>
    </w:p>
    <w:p>
      <w:pPr>
        <w:pStyle w:val="BodyText"/>
        <w:spacing w:line="379" w:lineRule="auto" w:before="152"/>
        <w:ind w:left="634" w:right="1870" w:hanging="480"/>
        <w:jc w:val="left"/>
      </w:pPr>
      <w:r>
        <w:rPr/>
        <w:t>2805A、2805B</w:t>
      </w:r>
      <w:r>
        <w:rPr>
          <w:spacing w:val="-60"/>
        </w:rPr>
        <w:t> </w:t>
      </w:r>
      <w:r>
        <w:rPr/>
        <w:t>室，主营业务：直接投资高新技术产业和其他技术创新产业。</w:t>
      </w:r>
      <w:r>
        <w:rPr/>
        <w:t> 深港产学研目前持有本公司</w:t>
      </w:r>
      <w:r>
        <w:rPr>
          <w:spacing w:val="-60"/>
        </w:rPr>
        <w:t> </w:t>
      </w:r>
      <w:r>
        <w:rPr/>
        <w:t>18%的股份，为本公司第一大股东。</w:t>
      </w:r>
      <w:r>
        <w:rPr/>
        <w:t> </w:t>
      </w:r>
      <w:r>
        <w:rPr>
          <w:rFonts w:ascii="Times New Roman" w:hAnsi="Times New Roman" w:cs="Times New Roman" w:eastAsia="Times New Roman" w:hint="default"/>
        </w:rPr>
        <w:t>2</w:t>
      </w:r>
      <w:r>
        <w:rPr/>
        <w:t>、实际控制人 报告期内，公司实际控制人未发生变化，为左强、崔京涛与厉伟。</w:t>
      </w:r>
    </w:p>
    <w:p>
      <w:pPr>
        <w:pStyle w:val="BodyText"/>
        <w:spacing w:line="357" w:lineRule="auto" w:before="54"/>
        <w:ind w:left="153" w:right="92" w:firstLine="480"/>
        <w:jc w:val="left"/>
      </w:pPr>
      <w:r>
        <w:rPr/>
        <w:t>崔京涛与厉伟系夫妻，通过其控制的深圳市深港产学研创业投资有限公司和深圳市延宁</w:t>
      </w:r>
      <w:r>
        <w:rPr>
          <w:spacing w:val="1"/>
        </w:rPr>
        <w:t> </w:t>
      </w:r>
      <w:r>
        <w:rPr>
          <w:spacing w:val="-3"/>
        </w:rPr>
        <w:t>发展有限公司持有本公司股份，为本公司第一大持股人，左强为本公司第二大持股人，左强、</w:t>
      </w:r>
      <w:r>
        <w:rPr>
          <w:spacing w:val="-81"/>
        </w:rPr>
        <w:t> </w:t>
      </w:r>
      <w:r>
        <w:rPr>
          <w:spacing w:val="-81"/>
        </w:rPr>
      </w:r>
      <w:r>
        <w:rPr/>
        <w:t>崔京涛和厉伟合并持有本公司</w:t>
      </w:r>
      <w:r>
        <w:rPr>
          <w:spacing w:val="-60"/>
        </w:rPr>
        <w:t> </w:t>
      </w:r>
      <w:r>
        <w:rPr/>
        <w:t>36.01%股份，共同为本公司实际控制人。</w:t>
      </w:r>
    </w:p>
    <w:p>
      <w:pPr>
        <w:pStyle w:val="BodyText"/>
        <w:spacing w:line="357" w:lineRule="auto" w:before="74"/>
        <w:ind w:left="153" w:right="191" w:firstLine="480"/>
        <w:jc w:val="left"/>
      </w:pPr>
      <w:r>
        <w:rPr/>
        <w:t>崔京涛，中国国籍，1967</w:t>
      </w:r>
      <w:r>
        <w:rPr>
          <w:spacing w:val="-60"/>
        </w:rPr>
        <w:t> </w:t>
      </w:r>
      <w:r>
        <w:rPr/>
        <w:t>年出生，北京大学毕业，硕士，曾任职于北京海淀职工大学、</w:t>
      </w:r>
      <w:r>
        <w:rPr/>
        <w:t> 中国工商银行深圳信托投资公司，现任深圳延宁董事长。</w:t>
      </w:r>
    </w:p>
    <w:p>
      <w:pPr>
        <w:pStyle w:val="BodyText"/>
        <w:spacing w:line="357" w:lineRule="auto" w:before="76"/>
        <w:ind w:left="153" w:right="228" w:firstLine="480"/>
        <w:jc w:val="both"/>
      </w:pPr>
      <w:r>
        <w:rPr/>
        <w:t>厉伟，男，中国国籍，1963</w:t>
      </w:r>
      <w:r>
        <w:rPr>
          <w:spacing w:val="-80"/>
        </w:rPr>
        <w:t> </w:t>
      </w:r>
      <w:r>
        <w:rPr/>
        <w:t>年出生，北京大学理学士，经济学硕士。现任深圳市深港产</w:t>
      </w:r>
      <w:r>
        <w:rPr/>
        <w:t> 学研创业投资有限公司董事长、深圳创业投资同业公会副会长、深圳天使投资人俱乐部副主</w:t>
      </w:r>
      <w:r>
        <w:rPr>
          <w:spacing w:val="-83"/>
        </w:rPr>
        <w:t> </w:t>
      </w:r>
      <w:r>
        <w:rPr>
          <w:spacing w:val="-83"/>
        </w:rPr>
      </w:r>
      <w:r>
        <w:rPr/>
        <w:t>席、深圳国际高新技术产权交易所独立董事，自</w:t>
      </w:r>
      <w:r>
        <w:rPr>
          <w:spacing w:val="-60"/>
        </w:rPr>
        <w:t> </w:t>
      </w:r>
      <w:r>
        <w:rPr/>
        <w:t>2000</w:t>
      </w:r>
      <w:r>
        <w:rPr>
          <w:spacing w:val="-60"/>
        </w:rPr>
        <w:t> </w:t>
      </w:r>
      <w:r>
        <w:rPr/>
        <w:t>年</w:t>
      </w:r>
      <w:r>
        <w:rPr>
          <w:spacing w:val="-60"/>
        </w:rPr>
        <w:t> </w:t>
      </w:r>
      <w:r>
        <w:rPr/>
        <w:t>11</w:t>
      </w:r>
      <w:r>
        <w:rPr>
          <w:spacing w:val="-60"/>
        </w:rPr>
        <w:t> </w:t>
      </w:r>
      <w:r>
        <w:rPr/>
        <w:t>月起任本公司董事。</w:t>
      </w:r>
    </w:p>
    <w:p>
      <w:pPr>
        <w:spacing w:line="240" w:lineRule="auto" w:before="7"/>
        <w:rPr>
          <w:rFonts w:ascii="宋体" w:hAnsi="宋体" w:cs="宋体" w:eastAsia="宋体" w:hint="default"/>
          <w:sz w:val="29"/>
          <w:szCs w:val="29"/>
        </w:rPr>
      </w:pPr>
    </w:p>
    <w:p>
      <w:pPr>
        <w:pStyle w:val="BodyText"/>
        <w:spacing w:line="240" w:lineRule="auto"/>
        <w:ind w:left="633" w:right="92"/>
        <w:jc w:val="left"/>
      </w:pPr>
      <w:r>
        <w:rPr/>
        <w:t>公司控制关系和控制链条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tabs>
          <w:tab w:pos="5374" w:val="left" w:leader="none"/>
        </w:tabs>
        <w:spacing w:line="560" w:lineRule="exact"/>
        <w:ind w:left="1230" w:right="0" w:firstLine="0"/>
        <w:rPr>
          <w:rFonts w:ascii="宋体" w:hAnsi="宋体" w:cs="宋体" w:eastAsia="宋体" w:hint="default"/>
          <w:sz w:val="20"/>
          <w:szCs w:val="20"/>
        </w:rPr>
      </w:pPr>
      <w:r>
        <w:rPr>
          <w:rFonts w:ascii="宋体"/>
          <w:position w:val="-7"/>
          <w:sz w:val="20"/>
        </w:rPr>
        <w:pict>
          <v:shape style="width:99pt;height:26.55pt;mso-position-horizontal-relative:char;mso-position-vertical-relative:line" type="#_x0000_t202" filled="false" stroked="true" strokeweight=".75pt" strokecolor="#000000">
            <w10:anchorlock/>
            <v:textbox inset="0,0,0,0">
              <w:txbxContent>
                <w:p>
                  <w:pPr>
                    <w:spacing w:before="141"/>
                    <w:ind w:left="2" w:right="0" w:firstLine="0"/>
                    <w:jc w:val="center"/>
                    <w:rPr>
                      <w:rFonts w:ascii="宋体" w:hAnsi="宋体" w:cs="宋体" w:eastAsia="宋体" w:hint="default"/>
                      <w:sz w:val="18"/>
                      <w:szCs w:val="18"/>
                    </w:rPr>
                  </w:pPr>
                  <w:r>
                    <w:rPr>
                      <w:rFonts w:ascii="宋体" w:hAnsi="宋体" w:cs="宋体" w:eastAsia="宋体" w:hint="default"/>
                      <w:sz w:val="18"/>
                      <w:szCs w:val="18"/>
                    </w:rPr>
                    <w:t>崔京涛</w:t>
                  </w:r>
                </w:p>
              </w:txbxContent>
            </v:textbox>
          </v:shape>
        </w:pict>
      </w:r>
      <w:r>
        <w:rPr>
          <w:rFonts w:ascii="宋体"/>
          <w:position w:val="-7"/>
          <w:sz w:val="20"/>
        </w:rPr>
      </w:r>
      <w:r>
        <w:rPr>
          <w:rFonts w:ascii="宋体"/>
          <w:position w:val="-7"/>
          <w:sz w:val="20"/>
        </w:rPr>
        <w:tab/>
      </w:r>
      <w:r>
        <w:rPr>
          <w:rFonts w:ascii="宋体"/>
          <w:position w:val="-10"/>
          <w:sz w:val="20"/>
        </w:rPr>
        <w:pict>
          <v:shape style="width:99pt;height:26.55pt;mso-position-horizontal-relative:char;mso-position-vertical-relative:line" type="#_x0000_t202" filled="false" stroked="true" strokeweight=".75pt" strokecolor="#000000">
            <w10:anchorlock/>
            <v:textbox inset="0,0,0,0">
              <w:txbxContent>
                <w:p>
                  <w:pPr>
                    <w:spacing w:before="141"/>
                    <w:ind w:left="2" w:right="0" w:firstLine="0"/>
                    <w:jc w:val="center"/>
                    <w:rPr>
                      <w:rFonts w:ascii="宋体" w:hAnsi="宋体" w:cs="宋体" w:eastAsia="宋体" w:hint="default"/>
                      <w:sz w:val="18"/>
                      <w:szCs w:val="18"/>
                    </w:rPr>
                  </w:pPr>
                  <w:r>
                    <w:rPr>
                      <w:rFonts w:ascii="宋体" w:hAnsi="宋体" w:cs="宋体" w:eastAsia="宋体" w:hint="default"/>
                      <w:sz w:val="18"/>
                      <w:szCs w:val="18"/>
                    </w:rPr>
                    <w:t>崔京涛</w:t>
                  </w:r>
                </w:p>
              </w:txbxContent>
            </v:textbox>
          </v:shape>
        </w:pict>
      </w:r>
      <w:r>
        <w:rPr>
          <w:rFonts w:ascii="宋体"/>
          <w:position w:val="-10"/>
          <w:sz w:val="20"/>
        </w:rPr>
      </w:r>
    </w:p>
    <w:p>
      <w:pPr>
        <w:spacing w:line="240" w:lineRule="auto" w:before="2"/>
        <w:rPr>
          <w:rFonts w:ascii="宋体" w:hAnsi="宋体" w:cs="宋体" w:eastAsia="宋体" w:hint="default"/>
          <w:sz w:val="15"/>
          <w:szCs w:val="15"/>
        </w:rPr>
      </w:pPr>
    </w:p>
    <w:p>
      <w:pPr>
        <w:tabs>
          <w:tab w:pos="6597" w:val="left" w:leader="none"/>
        </w:tabs>
        <w:spacing w:before="48"/>
        <w:ind w:left="2277" w:right="92" w:firstLine="0"/>
        <w:jc w:val="left"/>
        <w:rPr>
          <w:rFonts w:ascii="宋体" w:hAnsi="宋体" w:cs="宋体" w:eastAsia="宋体" w:hint="default"/>
          <w:sz w:val="18"/>
          <w:szCs w:val="18"/>
        </w:rPr>
      </w:pPr>
      <w:r>
        <w:rPr/>
        <w:pict>
          <v:group style="position:absolute;margin-left:152.699997pt;margin-top:-11.147975pt;width:6pt;height:39.450pt;mso-position-horizontal-relative:page;mso-position-vertical-relative:paragraph;z-index:1168" coordorigin="3054,-223" coordsize="120,789">
            <v:shape style="position:absolute;left:3054;top:-223;width:120;height:789" coordorigin="3054,-223" coordsize="120,789" path="m3107,445l3054,445,3114,565,3160,473,3114,473,3109,471,3107,465,3107,445xe" filled="true" fillcolor="#000000" stroked="false">
              <v:path arrowok="t"/>
              <v:fill type="solid"/>
            </v:shape>
            <v:shape style="position:absolute;left:3054;top:-223;width:120;height:789" coordorigin="3054,-223" coordsize="120,789" path="m3114,-223l3109,-221,3107,-215,3107,465,3109,471,3114,473,3119,471,3121,465,3121,-215,3119,-221,3114,-223xe" filled="true" fillcolor="#000000" stroked="false">
              <v:path arrowok="t"/>
              <v:fill type="solid"/>
            </v:shape>
            <v:shape style="position:absolute;left:3054;top:-223;width:120;height:789" coordorigin="3054,-223" coordsize="120,789" path="m3174,445l3121,445,3121,465,3119,471,3114,473,3160,473,3174,445xe" filled="true" fillcolor="#000000" stroked="false">
              <v:path arrowok="t"/>
              <v:fill type="solid"/>
            </v:shape>
            <w10:wrap type="none"/>
          </v:group>
        </w:pict>
      </w:r>
      <w:r>
        <w:rPr/>
        <w:pict>
          <v:group style="position:absolute;margin-left:368.700012pt;margin-top:-10.067986pt;width:6pt;height:39.4pt;mso-position-horizontal-relative:page;mso-position-vertical-relative:paragraph;z-index:-527104" coordorigin="7374,-201" coordsize="120,788">
            <v:shape style="position:absolute;left:7374;top:-201;width:120;height:788" coordorigin="7374,-201" coordsize="120,788" path="m7427,466l7374,466,7434,586,7480,493,7434,493,7429,491,7427,486,7427,466xe" filled="true" fillcolor="#000000" stroked="false">
              <v:path arrowok="t"/>
              <v:fill type="solid"/>
            </v:shape>
            <v:shape style="position:absolute;left:7374;top:-201;width:120;height:788" coordorigin="7374,-201" coordsize="120,788" path="m7434,-201l7429,-199,7427,-194,7427,486,7429,491,7434,493,7439,491,7441,486,7441,-194,7439,-199,7434,-201xe" filled="true" fillcolor="#000000" stroked="false">
              <v:path arrowok="t"/>
              <v:fill type="solid"/>
            </v:shape>
            <v:shape style="position:absolute;left:7374;top:-201;width:120;height:788" coordorigin="7374,-201" coordsize="120,788" path="m7494,466l7441,466,7441,486,7439,491,7434,493,7480,493,7494,466xe" filled="true" fillcolor="#000000" stroked="false">
              <v:path arrowok="t"/>
              <v:fill type="solid"/>
            </v:shape>
            <w10:wrap type="none"/>
          </v:group>
        </w:pict>
      </w:r>
      <w:r>
        <w:rPr>
          <w:rFonts w:ascii="宋体"/>
          <w:sz w:val="18"/>
        </w:rPr>
        <w:t>62%</w:t>
        <w:tab/>
        <w:t>70%</w:t>
      </w:r>
    </w:p>
    <w:p>
      <w:pPr>
        <w:spacing w:line="240" w:lineRule="auto" w:before="12"/>
        <w:rPr>
          <w:rFonts w:ascii="宋体" w:hAnsi="宋体" w:cs="宋体" w:eastAsia="宋体" w:hint="default"/>
          <w:sz w:val="22"/>
          <w:szCs w:val="22"/>
        </w:rPr>
      </w:pPr>
    </w:p>
    <w:p>
      <w:pPr>
        <w:spacing w:line="536" w:lineRule="exact"/>
        <w:ind w:left="154" w:right="0" w:firstLine="0"/>
        <w:rPr>
          <w:rFonts w:ascii="宋体" w:hAnsi="宋体" w:cs="宋体" w:eastAsia="宋体" w:hint="default"/>
          <w:sz w:val="20"/>
          <w:szCs w:val="20"/>
        </w:rPr>
      </w:pPr>
      <w:r>
        <w:rPr>
          <w:rFonts w:ascii="宋体"/>
          <w:position w:val="-10"/>
          <w:sz w:val="20"/>
        </w:rPr>
        <w:pict>
          <v:shape style="width:189pt;height:26.55pt;mso-position-horizontal-relative:char;mso-position-vertical-relative:line" type="#_x0000_t202" filled="false" stroked="true" strokeweight=".75pt" strokecolor="#000000">
            <w10:anchorlock/>
            <v:textbox inset="0,0,0,0">
              <w:txbxContent>
                <w:p>
                  <w:pPr>
                    <w:spacing w:before="141"/>
                    <w:ind w:left="284" w:right="0" w:firstLine="0"/>
                    <w:jc w:val="left"/>
                    <w:rPr>
                      <w:rFonts w:ascii="宋体" w:hAnsi="宋体" w:cs="宋体" w:eastAsia="宋体" w:hint="default"/>
                      <w:sz w:val="18"/>
                      <w:szCs w:val="18"/>
                    </w:rPr>
                  </w:pPr>
                  <w:r>
                    <w:rPr>
                      <w:rFonts w:ascii="宋体" w:hAnsi="宋体" w:cs="宋体" w:eastAsia="宋体" w:hint="default"/>
                      <w:spacing w:val="18"/>
                      <w:sz w:val="18"/>
                      <w:szCs w:val="18"/>
                    </w:rPr>
                    <w:t>深圳市深港产学研创业投资有限公司</w:t>
                  </w:r>
                  <w:r>
                    <w:rPr>
                      <w:rFonts w:ascii="宋体" w:hAnsi="宋体" w:cs="宋体" w:eastAsia="宋体" w:hint="default"/>
                      <w:spacing w:val="-70"/>
                      <w:sz w:val="18"/>
                      <w:szCs w:val="18"/>
                    </w:rPr>
                    <w:t> </w:t>
                  </w:r>
                  <w:r>
                    <w:rPr>
                      <w:rFonts w:ascii="宋体" w:hAnsi="宋体" w:cs="宋体" w:eastAsia="宋体" w:hint="default"/>
                      <w:sz w:val="18"/>
                      <w:szCs w:val="18"/>
                    </w:rPr>
                  </w:r>
                </w:p>
              </w:txbxContent>
            </v:textbox>
          </v:shape>
        </w:pict>
      </w:r>
      <w:r>
        <w:rPr>
          <w:rFonts w:ascii="宋体"/>
          <w:position w:val="-10"/>
          <w:sz w:val="20"/>
        </w:rPr>
      </w:r>
      <w:r>
        <w:rPr>
          <w:rFonts w:ascii="Times New Roman"/>
          <w:spacing w:val="125"/>
          <w:position w:val="-10"/>
          <w:sz w:val="20"/>
        </w:rPr>
        <w:t> </w:t>
      </w:r>
      <w:r>
        <w:rPr>
          <w:rFonts w:ascii="宋体"/>
          <w:spacing w:val="125"/>
          <w:position w:val="-9"/>
          <w:sz w:val="20"/>
        </w:rPr>
        <w:pict>
          <v:shape style="width:63pt;height:26.55pt;mso-position-horizontal-relative:char;mso-position-vertical-relative:line" type="#_x0000_t202" filled="false" stroked="true" strokeweight=".75pt" strokecolor="#000000">
            <w10:anchorlock/>
            <v:textbox inset="0,0,0,0">
              <w:txbxContent>
                <w:p>
                  <w:pPr>
                    <w:spacing w:before="142"/>
                    <w:ind w:left="2" w:right="0" w:firstLine="0"/>
                    <w:jc w:val="center"/>
                    <w:rPr>
                      <w:rFonts w:ascii="宋体" w:hAnsi="宋体" w:cs="宋体" w:eastAsia="宋体" w:hint="default"/>
                      <w:sz w:val="18"/>
                      <w:szCs w:val="18"/>
                    </w:rPr>
                  </w:pPr>
                  <w:r>
                    <w:rPr>
                      <w:rFonts w:ascii="宋体" w:hAnsi="宋体" w:cs="宋体" w:eastAsia="宋体" w:hint="default"/>
                      <w:sz w:val="18"/>
                      <w:szCs w:val="18"/>
                    </w:rPr>
                    <w:t>左强</w:t>
                  </w:r>
                </w:p>
              </w:txbxContent>
            </v:textbox>
          </v:shape>
        </w:pict>
      </w:r>
      <w:r>
        <w:rPr>
          <w:rFonts w:ascii="宋体"/>
          <w:spacing w:val="125"/>
          <w:position w:val="-9"/>
          <w:sz w:val="20"/>
        </w:rPr>
      </w:r>
      <w:r>
        <w:rPr>
          <w:rFonts w:ascii="Times New Roman"/>
          <w:spacing w:val="125"/>
          <w:position w:val="-9"/>
          <w:sz w:val="20"/>
        </w:rPr>
        <w:t> </w:t>
      </w:r>
      <w:r>
        <w:rPr>
          <w:rFonts w:ascii="宋体"/>
          <w:spacing w:val="125"/>
          <w:position w:val="-10"/>
          <w:sz w:val="20"/>
        </w:rPr>
        <w:pict>
          <v:shape style="width:135pt;height:26.55pt;mso-position-horizontal-relative:char;mso-position-vertical-relative:line" type="#_x0000_t202" filled="false" stroked="true" strokeweight=".75pt" strokecolor="#000000">
            <w10:anchorlock/>
            <v:textbox inset="0,0,0,0">
              <w:txbxContent>
                <w:p>
                  <w:pPr>
                    <w:spacing w:before="141"/>
                    <w:ind w:left="353" w:right="0" w:firstLine="0"/>
                    <w:jc w:val="left"/>
                    <w:rPr>
                      <w:rFonts w:ascii="宋体" w:hAnsi="宋体" w:cs="宋体" w:eastAsia="宋体" w:hint="default"/>
                      <w:sz w:val="18"/>
                      <w:szCs w:val="18"/>
                    </w:rPr>
                  </w:pPr>
                  <w:r>
                    <w:rPr>
                      <w:rFonts w:ascii="宋体" w:hAnsi="宋体" w:cs="宋体" w:eastAsia="宋体" w:hint="default"/>
                      <w:sz w:val="18"/>
                      <w:szCs w:val="18"/>
                    </w:rPr>
                    <w:t>深圳市延宁发展有限公司</w:t>
                  </w:r>
                </w:p>
              </w:txbxContent>
            </v:textbox>
          </v:shape>
        </w:pict>
      </w:r>
      <w:r>
        <w:rPr>
          <w:rFonts w:ascii="宋体"/>
          <w:spacing w:val="125"/>
          <w:position w:val="-10"/>
          <w:sz w:val="20"/>
        </w:rPr>
      </w:r>
    </w:p>
    <w:p>
      <w:pPr>
        <w:spacing w:line="240" w:lineRule="auto" w:before="12"/>
        <w:rPr>
          <w:rFonts w:ascii="宋体" w:hAnsi="宋体" w:cs="宋体" w:eastAsia="宋体" w:hint="default"/>
          <w:sz w:val="21"/>
          <w:szCs w:val="21"/>
        </w:rPr>
      </w:pPr>
    </w:p>
    <w:p>
      <w:pPr>
        <w:tabs>
          <w:tab w:pos="1439" w:val="left" w:leader="none"/>
          <w:tab w:pos="2699" w:val="left" w:leader="none"/>
        </w:tabs>
        <w:spacing w:before="44"/>
        <w:ind w:left="0" w:right="156" w:firstLine="0"/>
        <w:jc w:val="center"/>
        <w:rPr>
          <w:rFonts w:ascii="宋体" w:hAnsi="宋体" w:cs="宋体" w:eastAsia="宋体" w:hint="default"/>
          <w:sz w:val="18"/>
          <w:szCs w:val="18"/>
        </w:rPr>
      </w:pPr>
      <w:r>
        <w:rPr/>
        <w:pict>
          <v:group style="position:absolute;margin-left:280.200012pt;margin-top:-13.867992pt;width:6pt;height:39.4pt;mso-position-horizontal-relative:page;mso-position-vertical-relative:paragraph;z-index:-527080" coordorigin="5604,-277" coordsize="120,788">
            <v:shape style="position:absolute;left:5604;top:-277;width:120;height:788" coordorigin="5604,-277" coordsize="120,788" path="m5657,390l5604,390,5664,510,5710,417,5664,417,5659,415,5657,410,5657,390xe" filled="true" fillcolor="#000000" stroked="false">
              <v:path arrowok="t"/>
              <v:fill type="solid"/>
            </v:shape>
            <v:shape style="position:absolute;left:5604;top:-277;width:120;height:788" coordorigin="5604,-277" coordsize="120,788" path="m5664,-277l5659,-275,5657,-270,5657,410,5659,415,5664,417,5669,415,5671,410,5671,-270,5669,-275,5664,-277xe" filled="true" fillcolor="#000000" stroked="false">
              <v:path arrowok="t"/>
              <v:fill type="solid"/>
            </v:shape>
            <v:shape style="position:absolute;left:5604;top:-277;width:120;height:788" coordorigin="5604,-277" coordsize="120,788" path="m5724,390l5671,390,5671,410,5669,415,5664,417,5710,417,5724,390xe" filled="true" fillcolor="#000000" stroked="false">
              <v:path arrowok="t"/>
              <v:fill type="solid"/>
            </v:shape>
            <w10:wrap type="none"/>
          </v:group>
        </w:pict>
      </w:r>
      <w:r>
        <w:rPr/>
        <w:pict>
          <v:group style="position:absolute;margin-left:212.699997pt;margin-top:-13.087994pt;width:6pt;height:39.4pt;mso-position-horizontal-relative:page;mso-position-vertical-relative:paragraph;z-index:-527056" coordorigin="4254,-262" coordsize="120,788">
            <v:shape style="position:absolute;left:4254;top:-262;width:120;height:788" coordorigin="4254,-262" coordsize="120,788" path="m4307,405l4254,405,4314,525,4360,433,4314,433,4309,431,4307,425,4307,405xe" filled="true" fillcolor="#000000" stroked="false">
              <v:path arrowok="t"/>
              <v:fill type="solid"/>
            </v:shape>
            <v:shape style="position:absolute;left:4254;top:-262;width:120;height:788" coordorigin="4254,-262" coordsize="120,788" path="m4314,-262l4309,-261,4307,-255,4307,425,4309,431,4314,433,4319,431,4321,425,4321,-255,4319,-261,4314,-262xe" filled="true" fillcolor="#000000" stroked="false">
              <v:path arrowok="t"/>
              <v:fill type="solid"/>
            </v:shape>
            <v:shape style="position:absolute;left:4254;top:-262;width:120;height:788" coordorigin="4254,-262" coordsize="120,788" path="m4374,405l4321,405,4321,425,4319,431,4314,433,4360,433,4374,405xe" filled="true" fillcolor="#000000" stroked="false">
              <v:path arrowok="t"/>
              <v:fill type="solid"/>
            </v:shape>
            <w10:wrap type="none"/>
          </v:group>
        </w:pict>
      </w:r>
      <w:r>
        <w:rPr/>
        <w:pict>
          <v:group style="position:absolute;margin-left:341.700012pt;margin-top:-13.087994pt;width:6pt;height:39.4pt;mso-position-horizontal-relative:page;mso-position-vertical-relative:paragraph;z-index:-527032" coordorigin="6834,-262" coordsize="120,788">
            <v:shape style="position:absolute;left:6834;top:-262;width:120;height:788" coordorigin="6834,-262" coordsize="120,788" path="m6887,405l6834,405,6894,525,6940,433,6894,433,6889,431,6887,425,6887,405xe" filled="true" fillcolor="#000000" stroked="false">
              <v:path arrowok="t"/>
              <v:fill type="solid"/>
            </v:shape>
            <v:shape style="position:absolute;left:6834;top:-262;width:120;height:788" coordorigin="6834,-262" coordsize="120,788" path="m6894,-262l6889,-261,6887,-255,6887,425,6889,431,6894,433,6899,431,6901,425,6901,-255,6899,-261,6894,-262xe" filled="true" fillcolor="#000000" stroked="false">
              <v:path arrowok="t"/>
              <v:fill type="solid"/>
            </v:shape>
            <v:shape style="position:absolute;left:6834;top:-262;width:120;height:788" coordorigin="6834,-262" coordsize="120,788" path="m6954,405l6901,405,6901,425,6899,431,6894,433,6940,433,6954,405xe" filled="true" fillcolor="#000000" stroked="false">
              <v:path arrowok="t"/>
              <v:fill type="solid"/>
            </v:shape>
            <w10:wrap type="none"/>
          </v:group>
        </w:pict>
      </w:r>
      <w:r>
        <w:rPr>
          <w:rFonts w:ascii="宋体"/>
          <w:sz w:val="18"/>
        </w:rPr>
        <w:t>18%</w:t>
        <w:tab/>
        <w:t>15.2%</w:t>
        <w:tab/>
        <w:t>2.81%</w:t>
      </w:r>
    </w:p>
    <w:p>
      <w:pPr>
        <w:spacing w:line="240" w:lineRule="auto" w:before="13"/>
        <w:rPr>
          <w:rFonts w:ascii="宋体" w:hAnsi="宋体" w:cs="宋体" w:eastAsia="宋体" w:hint="default"/>
          <w:sz w:val="18"/>
          <w:szCs w:val="18"/>
        </w:rPr>
      </w:pPr>
    </w:p>
    <w:p>
      <w:pPr>
        <w:spacing w:line="530" w:lineRule="exact"/>
        <w:ind w:left="2478" w:right="0" w:firstLine="0"/>
        <w:rPr>
          <w:rFonts w:ascii="宋体" w:hAnsi="宋体" w:cs="宋体" w:eastAsia="宋体" w:hint="default"/>
          <w:sz w:val="20"/>
          <w:szCs w:val="20"/>
        </w:rPr>
      </w:pPr>
      <w:r>
        <w:rPr>
          <w:rFonts w:ascii="宋体" w:hAnsi="宋体" w:cs="宋体" w:eastAsia="宋体" w:hint="default"/>
          <w:position w:val="-10"/>
          <w:sz w:val="20"/>
          <w:szCs w:val="20"/>
        </w:rPr>
        <w:pict>
          <v:shape style="width:218.3pt;height:26.55pt;mso-position-horizontal-relative:char;mso-position-vertical-relative:line" type="#_x0000_t202" filled="false" stroked="true" strokeweight=".75pt" strokecolor="#000000">
            <w10:anchorlock/>
            <v:textbox inset="0,0,0,0">
              <w:txbxContent>
                <w:p>
                  <w:pPr>
                    <w:spacing w:before="141"/>
                    <w:ind w:left="1095"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xbxContent>
            </v:textbox>
          </v:shape>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pStyle w:val="BodyText"/>
        <w:spacing w:line="240" w:lineRule="auto" w:before="164"/>
        <w:ind w:left="634" w:right="92"/>
        <w:jc w:val="left"/>
      </w:pPr>
      <w:r>
        <w:rPr>
          <w:rFonts w:ascii="Times New Roman" w:hAnsi="Times New Roman" w:cs="Times New Roman" w:eastAsia="Times New Roman" w:hint="default"/>
        </w:rPr>
        <w:t>3</w:t>
      </w:r>
      <w:r>
        <w:rPr/>
        <w:t>、公司无其他持股在</w:t>
      </w:r>
      <w:r>
        <w:rPr>
          <w:spacing w:val="-60"/>
        </w:rPr>
        <w:t> </w:t>
      </w:r>
      <w:r>
        <w:rPr>
          <w:rFonts w:ascii="Times New Roman" w:hAnsi="Times New Roman" w:cs="Times New Roman" w:eastAsia="Times New Roman" w:hint="default"/>
        </w:rPr>
        <w:t>10%</w:t>
      </w:r>
      <w:r>
        <w:rPr/>
        <w:t>以上（含</w:t>
      </w:r>
      <w:r>
        <w:rPr>
          <w:spacing w:val="-60"/>
        </w:rPr>
        <w:t> </w:t>
      </w:r>
      <w:r>
        <w:rPr>
          <w:rFonts w:ascii="Times New Roman" w:hAnsi="Times New Roman" w:cs="Times New Roman" w:eastAsia="Times New Roman" w:hint="default"/>
        </w:rPr>
        <w:t>10%</w:t>
      </w:r>
      <w:r>
        <w:rPr/>
        <w:t>）的法人股东 。</w:t>
      </w:r>
    </w:p>
    <w:p>
      <w:pPr>
        <w:spacing w:after="0" w:line="240"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pStyle w:val="Heading1"/>
        <w:tabs>
          <w:tab w:pos="3015" w:val="left" w:leader="none"/>
        </w:tabs>
        <w:spacing w:line="240" w:lineRule="auto" w:before="140"/>
        <w:ind w:left="1810" w:right="1890"/>
        <w:jc w:val="left"/>
        <w:rPr>
          <w:b w:val="0"/>
          <w:bCs w:val="0"/>
        </w:rPr>
      </w:pPr>
      <w:bookmarkStart w:name="_bookmark3" w:id="6"/>
      <w:bookmarkEnd w:id="6"/>
      <w:r>
        <w:rPr>
          <w:b w:val="0"/>
          <w:bCs w:val="0"/>
        </w:rPr>
      </w:r>
      <w:r>
        <w:rPr>
          <w:w w:val="95"/>
        </w:rPr>
        <w:t>第四节</w:t>
        <w:tab/>
      </w:r>
      <w:r>
        <w:rPr/>
        <w:t>董事、监事、高级管理人员和员工情况</w:t>
      </w:r>
      <w:r>
        <w:rPr>
          <w:b w:val="0"/>
          <w:bCs w:val="0"/>
        </w:rPr>
      </w:r>
    </w:p>
    <w:p>
      <w:pPr>
        <w:spacing w:line="240" w:lineRule="auto" w:before="6"/>
        <w:rPr>
          <w:rFonts w:ascii="黑体" w:hAnsi="黑体" w:cs="黑体" w:eastAsia="黑体" w:hint="default"/>
          <w:b/>
          <w:bCs/>
          <w:sz w:val="21"/>
          <w:szCs w:val="21"/>
        </w:rPr>
      </w:pPr>
    </w:p>
    <w:p>
      <w:pPr>
        <w:pStyle w:val="Heading3"/>
        <w:spacing w:line="240" w:lineRule="auto"/>
        <w:ind w:right="1890"/>
        <w:jc w:val="left"/>
      </w:pPr>
      <w:r>
        <w:rPr/>
        <w:t>一、董事、监事和高级管理人员情况</w:t>
      </w:r>
    </w:p>
    <w:p>
      <w:pPr>
        <w:spacing w:line="240" w:lineRule="auto" w:before="12"/>
        <w:rPr>
          <w:rFonts w:ascii="黑体" w:hAnsi="黑体" w:cs="黑体" w:eastAsia="黑体" w:hint="default"/>
          <w:sz w:val="34"/>
          <w:szCs w:val="34"/>
        </w:rPr>
      </w:pPr>
    </w:p>
    <w:p>
      <w:pPr>
        <w:pStyle w:val="Heading3"/>
        <w:spacing w:line="240" w:lineRule="auto"/>
        <w:ind w:right="1890"/>
        <w:jc w:val="left"/>
        <w:rPr>
          <w:rFonts w:ascii="宋体" w:hAnsi="宋体" w:cs="宋体" w:eastAsia="宋体" w:hint="default"/>
        </w:rPr>
      </w:pPr>
      <w:r>
        <w:rPr>
          <w:rFonts w:ascii="宋体" w:hAnsi="宋体" w:cs="宋体" w:eastAsia="宋体" w:hint="default"/>
        </w:rPr>
        <w:t>（一）董事、监事和高级管理人员基本情况</w:t>
      </w:r>
    </w:p>
    <w:p>
      <w:pPr>
        <w:spacing w:line="240" w:lineRule="auto" w:before="5"/>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80"/>
        <w:gridCol w:w="1040"/>
        <w:gridCol w:w="520"/>
        <w:gridCol w:w="520"/>
        <w:gridCol w:w="1170"/>
        <w:gridCol w:w="1170"/>
        <w:gridCol w:w="911"/>
        <w:gridCol w:w="910"/>
        <w:gridCol w:w="1132"/>
        <w:gridCol w:w="870"/>
        <w:gridCol w:w="806"/>
      </w:tblGrid>
      <w:tr>
        <w:trPr>
          <w:trHeight w:val="1256"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任职起始日期</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任职终止日期</w:t>
            </w:r>
          </w:p>
        </w:tc>
        <w:tc>
          <w:tcPr>
            <w:tcW w:w="9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61" w:right="89"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59" w:right="89" w:hanging="270"/>
              <w:jc w:val="left"/>
              <w:rPr>
                <w:rFonts w:ascii="宋体" w:hAnsi="宋体" w:cs="宋体" w:eastAsia="宋体" w:hint="default"/>
                <w:sz w:val="18"/>
                <w:szCs w:val="18"/>
              </w:rPr>
            </w:pPr>
            <w:r>
              <w:rPr>
                <w:rFonts w:ascii="宋体" w:hAnsi="宋体" w:cs="宋体" w:eastAsia="宋体" w:hint="default"/>
                <w:sz w:val="18"/>
                <w:szCs w:val="18"/>
              </w:rPr>
              <w:t>年末持股 数</w:t>
            </w:r>
          </w:p>
        </w:tc>
        <w:tc>
          <w:tcPr>
            <w:tcW w:w="11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8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69" w:right="68"/>
              <w:jc w:val="center"/>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38" w:right="36"/>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马成家</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6"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左强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244" w:right="245" w:firstLine="90"/>
              <w:jc w:val="left"/>
              <w:rPr>
                <w:rFonts w:ascii="宋体" w:hAnsi="宋体" w:cs="宋体" w:eastAsia="宋体" w:hint="default"/>
                <w:sz w:val="18"/>
                <w:szCs w:val="18"/>
              </w:rPr>
            </w:pPr>
            <w:r>
              <w:rPr>
                <w:rFonts w:ascii="宋体" w:hAnsi="宋体" w:cs="宋体" w:eastAsia="宋体" w:hint="default"/>
                <w:sz w:val="18"/>
                <w:szCs w:val="18"/>
              </w:rPr>
              <w:t>董事 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9,728,435</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19,456,870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19"/>
              <w:jc w:val="left"/>
              <w:rPr>
                <w:rFonts w:ascii="宋体" w:hAnsi="宋体" w:cs="宋体" w:eastAsia="宋体" w:hint="default"/>
                <w:sz w:val="18"/>
                <w:szCs w:val="18"/>
              </w:rPr>
            </w:pPr>
            <w:r>
              <w:rPr>
                <w:rFonts w:ascii="宋体" w:hAnsi="宋体" w:cs="宋体" w:eastAsia="宋体" w:hint="default"/>
                <w:spacing w:val="28"/>
                <w:sz w:val="18"/>
                <w:szCs w:val="18"/>
              </w:rPr>
              <w:t>送股及</w:t>
            </w:r>
            <w:r>
              <w:rPr>
                <w:rFonts w:ascii="宋体" w:hAnsi="宋体" w:cs="宋体" w:eastAsia="宋体" w:hint="default"/>
                <w:spacing w:val="-45"/>
                <w:sz w:val="18"/>
                <w:szCs w:val="18"/>
              </w:rPr>
              <w:t> </w:t>
            </w:r>
            <w:r>
              <w:rPr>
                <w:rFonts w:ascii="宋体" w:hAnsi="宋体" w:cs="宋体" w:eastAsia="宋体" w:hint="default"/>
                <w:spacing w:val="21"/>
                <w:sz w:val="18"/>
                <w:szCs w:val="18"/>
              </w:rPr>
              <w:t>转增</w:t>
            </w:r>
            <w:r>
              <w:rPr>
                <w:rFonts w:ascii="宋体" w:hAnsi="宋体" w:cs="宋体" w:eastAsia="宋体" w:hint="default"/>
                <w:spacing w:val="-47"/>
                <w:sz w:val="18"/>
                <w:szCs w:val="18"/>
              </w:rPr>
              <w:t> </w:t>
            </w: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龙浩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54" w:right="155" w:firstLine="180"/>
              <w:jc w:val="left"/>
              <w:rPr>
                <w:rFonts w:ascii="宋体" w:hAnsi="宋体" w:cs="宋体" w:eastAsia="宋体" w:hint="default"/>
                <w:sz w:val="18"/>
                <w:szCs w:val="18"/>
              </w:rPr>
            </w:pPr>
            <w:r>
              <w:rPr>
                <w:rFonts w:ascii="宋体" w:hAnsi="宋体" w:cs="宋体" w:eastAsia="宋体" w:hint="default"/>
                <w:sz w:val="18"/>
                <w:szCs w:val="18"/>
              </w:rPr>
              <w:t>董事 财务总监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sz w:val="18"/>
              </w:rPr>
              <w:t>508,892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1,017,784</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19"/>
              <w:jc w:val="left"/>
              <w:rPr>
                <w:rFonts w:ascii="宋体" w:hAnsi="宋体" w:cs="宋体" w:eastAsia="宋体" w:hint="default"/>
                <w:sz w:val="18"/>
                <w:szCs w:val="18"/>
              </w:rPr>
            </w:pPr>
            <w:r>
              <w:rPr>
                <w:rFonts w:ascii="宋体" w:hAnsi="宋体" w:cs="宋体" w:eastAsia="宋体" w:hint="default"/>
                <w:spacing w:val="28"/>
                <w:sz w:val="18"/>
                <w:szCs w:val="18"/>
              </w:rPr>
              <w:t>送股及</w:t>
            </w:r>
            <w:r>
              <w:rPr>
                <w:rFonts w:ascii="宋体" w:hAnsi="宋体" w:cs="宋体" w:eastAsia="宋体" w:hint="default"/>
                <w:spacing w:val="-45"/>
                <w:sz w:val="18"/>
                <w:szCs w:val="18"/>
              </w:rPr>
              <w:t> </w:t>
            </w:r>
            <w:r>
              <w:rPr>
                <w:rFonts w:ascii="宋体" w:hAnsi="宋体" w:cs="宋体" w:eastAsia="宋体" w:hint="default"/>
                <w:spacing w:val="21"/>
                <w:sz w:val="18"/>
                <w:szCs w:val="18"/>
              </w:rPr>
              <w:t>转增</w:t>
            </w:r>
            <w:r>
              <w:rPr>
                <w:rFonts w:ascii="宋体" w:hAnsi="宋体" w:cs="宋体" w:eastAsia="宋体" w:hint="default"/>
                <w:spacing w:val="-47"/>
                <w:sz w:val="18"/>
                <w:szCs w:val="18"/>
              </w:rPr>
              <w:t> </w:t>
            </w: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厉伟</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王永华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周爱勤</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梅志明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郝智明</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42</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贾莉</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37</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王泽全</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63</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陈诗君</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55</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杨贵发</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38</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98"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赵殿波</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54" w:right="155" w:firstLine="180"/>
              <w:jc w:val="left"/>
              <w:rPr>
                <w:rFonts w:ascii="宋体" w:hAnsi="宋体" w:cs="宋体" w:eastAsia="宋体" w:hint="default"/>
                <w:sz w:val="18"/>
                <w:szCs w:val="18"/>
              </w:rPr>
            </w:pPr>
            <w:r>
              <w:rPr>
                <w:rFonts w:ascii="宋体" w:hAnsi="宋体" w:cs="宋体" w:eastAsia="宋体" w:hint="default"/>
                <w:sz w:val="18"/>
                <w:szCs w:val="18"/>
              </w:rPr>
              <w:t>董秘 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sz w:val="18"/>
              </w:rPr>
              <w:t>516,531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1,033,062</w:t>
            </w:r>
            <w:r>
              <w:rPr>
                <w:rFonts w:ascii="Times New Roman"/>
                <w:sz w:val="18"/>
              </w:rPr>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19"/>
              <w:jc w:val="left"/>
              <w:rPr>
                <w:rFonts w:ascii="宋体" w:hAnsi="宋体" w:cs="宋体" w:eastAsia="宋体" w:hint="default"/>
                <w:sz w:val="18"/>
                <w:szCs w:val="18"/>
              </w:rPr>
            </w:pPr>
            <w:r>
              <w:rPr>
                <w:rFonts w:ascii="宋体" w:hAnsi="宋体" w:cs="宋体" w:eastAsia="宋体" w:hint="default"/>
                <w:spacing w:val="28"/>
                <w:sz w:val="18"/>
                <w:szCs w:val="18"/>
              </w:rPr>
              <w:t>送股及</w:t>
            </w:r>
            <w:r>
              <w:rPr>
                <w:rFonts w:ascii="宋体" w:hAnsi="宋体" w:cs="宋体" w:eastAsia="宋体" w:hint="default"/>
                <w:spacing w:val="-45"/>
                <w:sz w:val="18"/>
                <w:szCs w:val="18"/>
              </w:rPr>
              <w:t> </w:t>
            </w:r>
            <w:r>
              <w:rPr>
                <w:rFonts w:ascii="宋体" w:hAnsi="宋体" w:cs="宋体" w:eastAsia="宋体" w:hint="default"/>
                <w:spacing w:val="21"/>
                <w:sz w:val="18"/>
                <w:szCs w:val="18"/>
              </w:rPr>
              <w:t>转增</w:t>
            </w:r>
            <w:r>
              <w:rPr>
                <w:rFonts w:ascii="宋体" w:hAnsi="宋体" w:cs="宋体" w:eastAsia="宋体" w:hint="default"/>
                <w:spacing w:val="-47"/>
                <w:sz w:val="18"/>
                <w:szCs w:val="18"/>
              </w:rPr>
              <w:t> </w:t>
            </w: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焦东亮</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500,000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1,000,000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9"/>
              <w:jc w:val="left"/>
              <w:rPr>
                <w:rFonts w:ascii="宋体" w:hAnsi="宋体" w:cs="宋体" w:eastAsia="宋体" w:hint="default"/>
                <w:sz w:val="18"/>
                <w:szCs w:val="18"/>
              </w:rPr>
            </w:pPr>
            <w:r>
              <w:rPr>
                <w:rFonts w:ascii="宋体" w:hAnsi="宋体" w:cs="宋体" w:eastAsia="宋体" w:hint="default"/>
                <w:spacing w:val="28"/>
                <w:sz w:val="18"/>
                <w:szCs w:val="18"/>
              </w:rPr>
              <w:t>送股及</w:t>
            </w:r>
            <w:r>
              <w:rPr>
                <w:rFonts w:ascii="宋体" w:hAnsi="宋体" w:cs="宋体" w:eastAsia="宋体" w:hint="default"/>
                <w:spacing w:val="-45"/>
                <w:sz w:val="18"/>
                <w:szCs w:val="18"/>
              </w:rPr>
              <w:t> </w:t>
            </w:r>
            <w:r>
              <w:rPr>
                <w:rFonts w:ascii="宋体" w:hAnsi="宋体" w:cs="宋体" w:eastAsia="宋体" w:hint="default"/>
                <w:spacing w:val="21"/>
                <w:sz w:val="18"/>
                <w:szCs w:val="18"/>
              </w:rPr>
              <w:t>转增</w:t>
            </w:r>
            <w:r>
              <w:rPr>
                <w:rFonts w:ascii="宋体" w:hAnsi="宋体" w:cs="宋体" w:eastAsia="宋体" w:hint="default"/>
                <w:spacing w:val="-47"/>
                <w:sz w:val="18"/>
                <w:szCs w:val="18"/>
              </w:rPr>
              <w:t> </w:t>
            </w: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557"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王强</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销售总监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450,000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sz w:val="18"/>
              </w:rPr>
              <w:t>900,000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3" w:right="-19"/>
              <w:jc w:val="left"/>
              <w:rPr>
                <w:rFonts w:ascii="宋体" w:hAnsi="宋体" w:cs="宋体" w:eastAsia="宋体" w:hint="default"/>
                <w:sz w:val="18"/>
                <w:szCs w:val="18"/>
              </w:rPr>
            </w:pPr>
            <w:r>
              <w:rPr>
                <w:rFonts w:ascii="宋体" w:hAnsi="宋体" w:cs="宋体" w:eastAsia="宋体" w:hint="default"/>
                <w:spacing w:val="28"/>
                <w:sz w:val="18"/>
                <w:szCs w:val="18"/>
              </w:rPr>
              <w:t>送股及</w:t>
            </w:r>
            <w:r>
              <w:rPr>
                <w:rFonts w:ascii="宋体" w:hAnsi="宋体" w:cs="宋体" w:eastAsia="宋体" w:hint="default"/>
                <w:spacing w:val="-45"/>
                <w:sz w:val="18"/>
                <w:szCs w:val="18"/>
              </w:rPr>
              <w:t> </w:t>
            </w:r>
            <w:r>
              <w:rPr>
                <w:rFonts w:ascii="宋体" w:hAnsi="宋体" w:cs="宋体" w:eastAsia="宋体" w:hint="default"/>
                <w:spacing w:val="21"/>
                <w:sz w:val="18"/>
                <w:szCs w:val="18"/>
              </w:rPr>
              <w:t>转增</w:t>
            </w:r>
            <w:r>
              <w:rPr>
                <w:rFonts w:ascii="宋体" w:hAnsi="宋体" w:cs="宋体" w:eastAsia="宋体" w:hint="default"/>
                <w:spacing w:val="-47"/>
                <w:sz w:val="18"/>
                <w:szCs w:val="18"/>
              </w:rPr>
              <w:t> </w:t>
            </w: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91" w:hRule="exact"/>
        </w:trPr>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王岱岩</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销售总监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360,000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740,000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3" w:right="-19"/>
              <w:jc w:val="both"/>
              <w:rPr>
                <w:rFonts w:ascii="宋体" w:hAnsi="宋体" w:cs="宋体" w:eastAsia="宋体" w:hint="default"/>
                <w:sz w:val="18"/>
                <w:szCs w:val="18"/>
              </w:rPr>
            </w:pPr>
            <w:r>
              <w:rPr>
                <w:rFonts w:ascii="宋体" w:hAnsi="宋体" w:cs="宋体" w:eastAsia="宋体" w:hint="default"/>
                <w:sz w:val="18"/>
                <w:szCs w:val="18"/>
              </w:rPr>
              <w:t>送股、转增股 </w:t>
            </w:r>
            <w:r>
              <w:rPr>
                <w:rFonts w:ascii="宋体" w:hAnsi="宋体" w:cs="宋体" w:eastAsia="宋体" w:hint="default"/>
                <w:spacing w:val="28"/>
                <w:sz w:val="18"/>
                <w:szCs w:val="18"/>
              </w:rPr>
              <w:t>本及二</w:t>
            </w:r>
            <w:r>
              <w:rPr>
                <w:rFonts w:ascii="宋体" w:hAnsi="宋体" w:cs="宋体" w:eastAsia="宋体" w:hint="default"/>
                <w:spacing w:val="-45"/>
                <w:sz w:val="18"/>
                <w:szCs w:val="18"/>
              </w:rPr>
              <w:t> </w:t>
            </w:r>
            <w:r>
              <w:rPr>
                <w:rFonts w:ascii="宋体" w:hAnsi="宋体" w:cs="宋体" w:eastAsia="宋体" w:hint="default"/>
                <w:spacing w:val="21"/>
                <w:sz w:val="18"/>
                <w:szCs w:val="18"/>
              </w:rPr>
              <w:t>级市</w:t>
            </w:r>
            <w:r>
              <w:rPr>
                <w:rFonts w:ascii="宋体" w:hAnsi="宋体" w:cs="宋体" w:eastAsia="宋体" w:hint="default"/>
                <w:spacing w:val="-47"/>
                <w:sz w:val="18"/>
                <w:szCs w:val="18"/>
              </w:rPr>
              <w:t> </w:t>
            </w:r>
            <w:r>
              <w:rPr>
                <w:rFonts w:ascii="宋体" w:hAnsi="宋体" w:cs="宋体" w:eastAsia="宋体" w:hint="default"/>
                <w:sz w:val="18"/>
                <w:szCs w:val="18"/>
              </w:rPr>
              <w:t>场买入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7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Times New Roman" w:hAnsi="Times New Roman" w:cs="Times New Roman" w:eastAsia="Times New Roman" w:hint="default"/>
                <w:sz w:val="18"/>
                <w:szCs w:val="18"/>
              </w:rPr>
            </w:pPr>
            <w:r>
              <w:rPr>
                <w:rFonts w:ascii="Times New Roman"/>
                <w:sz w:val="18"/>
              </w:rPr>
              <w:t>12,063,858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24,147,716</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189.5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16"/>
          <w:szCs w:val="16"/>
        </w:rPr>
      </w:pPr>
    </w:p>
    <w:p>
      <w:pPr>
        <w:pStyle w:val="BodyText"/>
        <w:spacing w:line="357" w:lineRule="auto" w:before="26"/>
        <w:ind w:right="296" w:firstLine="470"/>
        <w:jc w:val="left"/>
      </w:pPr>
      <w:r>
        <w:rPr/>
        <w:t>报告期内，公司销售总监王岱岩于</w:t>
      </w:r>
      <w:r>
        <w:rPr>
          <w:spacing w:val="-45"/>
        </w:rPr>
        <w:t> </w:t>
      </w:r>
      <w:r>
        <w:rPr>
          <w:spacing w:val="32"/>
        </w:rPr>
        <w:t>2008年2月</w:t>
      </w:r>
      <w:r>
        <w:rPr>
          <w:spacing w:val="-45"/>
        </w:rPr>
        <w:t> </w:t>
      </w:r>
      <w:r>
        <w:rPr/>
        <w:t>26</w:t>
      </w:r>
      <w:r>
        <w:rPr>
          <w:spacing w:val="-45"/>
        </w:rPr>
        <w:t> </w:t>
      </w:r>
      <w:r>
        <w:rPr/>
        <w:t>日从二级市场购买本公司股票</w:t>
      </w:r>
      <w:r>
        <w:rPr>
          <w:spacing w:val="-45"/>
        </w:rPr>
        <w:t> </w:t>
      </w:r>
      <w:r>
        <w:rPr/>
        <w:t>10000</w:t>
      </w:r>
      <w:r>
        <w:rPr/>
        <w:t> 股。</w:t>
      </w:r>
    </w:p>
    <w:p>
      <w:pPr>
        <w:pStyle w:val="Heading3"/>
        <w:spacing w:line="364" w:lineRule="exact" w:before="103"/>
        <w:ind w:left="156" w:right="303" w:firstLine="559"/>
        <w:jc w:val="left"/>
      </w:pPr>
      <w:r>
        <w:rPr/>
        <w:t>（二）现任董事、监事、高级管理人员最近 5</w:t>
      </w:r>
      <w:r>
        <w:rPr>
          <w:spacing w:val="-34"/>
        </w:rPr>
        <w:t> </w:t>
      </w:r>
      <w:r>
        <w:rPr/>
        <w:t>年的主要工作经历和在股东</w:t>
      </w:r>
      <w:r>
        <w:rPr>
          <w:w w:val="99"/>
        </w:rPr>
        <w:t> </w:t>
      </w:r>
      <w:r>
        <w:rPr/>
        <w:t>单位及其他单位的任职或兼职情况</w:t>
      </w:r>
    </w:p>
    <w:p>
      <w:pPr>
        <w:pStyle w:val="BodyText"/>
        <w:spacing w:line="357" w:lineRule="auto" w:before="166"/>
        <w:ind w:right="92" w:firstLine="600"/>
        <w:jc w:val="left"/>
      </w:pPr>
      <w:r>
        <w:rPr>
          <w:spacing w:val="-3"/>
        </w:rPr>
        <w:t>左强，男，中国国籍，1970年出生，清华大学机械工程系本科毕业，清华大学高级工商</w:t>
      </w:r>
      <w:r>
        <w:rPr/>
        <w:t> 管理学硕士（EMBA），高级工程师，自1998年起任公司董事、总经理。</w:t>
      </w:r>
    </w:p>
    <w:p>
      <w:pPr>
        <w:spacing w:after="0" w:line="357" w:lineRule="auto"/>
        <w:jc w:val="left"/>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before="26"/>
        <w:ind w:right="231" w:firstLine="600"/>
        <w:jc w:val="left"/>
      </w:pPr>
      <w:r>
        <w:rPr>
          <w:spacing w:val="-2"/>
        </w:rPr>
        <w:t>马成家，男，中国国籍，1954年出生，吉林大学本科毕业。1980年7月-1989年11月任鞍</w:t>
      </w:r>
      <w:r>
        <w:rPr/>
        <w:t> 山市半导体器件总厂技改办副主任，1989年11月-1994年1月任鞍山市半导体器件总厂厂长， 1994年1月-2004年6月任鞍山市电子电力公司副总经理、总经理、党委副书记，自1998年11 月起担任本公司董事长。</w:t>
      </w:r>
    </w:p>
    <w:p>
      <w:pPr>
        <w:spacing w:line="240" w:lineRule="auto" w:before="8"/>
        <w:rPr>
          <w:rFonts w:ascii="宋体" w:hAnsi="宋体" w:cs="宋体" w:eastAsia="宋体" w:hint="default"/>
          <w:sz w:val="26"/>
          <w:szCs w:val="26"/>
        </w:rPr>
      </w:pPr>
    </w:p>
    <w:p>
      <w:pPr>
        <w:pStyle w:val="BodyText"/>
        <w:spacing w:line="357" w:lineRule="auto"/>
        <w:ind w:right="228" w:firstLine="480"/>
        <w:jc w:val="both"/>
      </w:pPr>
      <w:r>
        <w:rPr>
          <w:spacing w:val="-4"/>
        </w:rPr>
        <w:t>厉伟，男，中国国籍，1963</w:t>
      </w:r>
      <w:r>
        <w:rPr>
          <w:spacing w:val="-67"/>
        </w:rPr>
        <w:t> </w:t>
      </w:r>
      <w:r>
        <w:rPr/>
        <w:t>年出生，北京大学理学士，经济学硕士。2000</w:t>
      </w:r>
      <w:r>
        <w:rPr>
          <w:spacing w:val="-67"/>
        </w:rPr>
        <w:t> </w:t>
      </w:r>
      <w:r>
        <w:rPr/>
        <w:t>年</w:t>
      </w:r>
      <w:r>
        <w:rPr>
          <w:spacing w:val="-67"/>
        </w:rPr>
        <w:t> </w:t>
      </w:r>
      <w:r>
        <w:rPr/>
        <w:t>7</w:t>
      </w:r>
      <w:r>
        <w:rPr>
          <w:spacing w:val="-67"/>
        </w:rPr>
        <w:t> </w:t>
      </w:r>
      <w:r>
        <w:rPr/>
        <w:t>月至今任</w:t>
      </w:r>
      <w:r>
        <w:rPr/>
        <w:t> 本公司控股股东深圳市深港产学研创业投资有限公司董事长、兼任深圳创业投资同业公会副</w:t>
      </w:r>
      <w:r>
        <w:rPr>
          <w:spacing w:val="-83"/>
        </w:rPr>
        <w:t> </w:t>
      </w:r>
      <w:r>
        <w:rPr>
          <w:spacing w:val="-83"/>
        </w:rPr>
      </w:r>
      <w:r>
        <w:rPr/>
        <w:t>会长、深圳天使投资人俱乐部副主席、深圳国际高新技术产权交易所独立董事。自 2000</w:t>
      </w:r>
      <w:r>
        <w:rPr>
          <w:spacing w:val="25"/>
        </w:rPr>
        <w:t> </w:t>
      </w:r>
      <w:r>
        <w:rPr/>
        <w:t>年</w:t>
      </w:r>
    </w:p>
    <w:p>
      <w:pPr>
        <w:pStyle w:val="BodyText"/>
        <w:spacing w:line="240" w:lineRule="auto" w:before="35"/>
        <w:ind w:left="153" w:right="92"/>
        <w:jc w:val="left"/>
      </w:pPr>
      <w:r>
        <w:rPr/>
        <w:t>11</w:t>
      </w:r>
      <w:r>
        <w:rPr>
          <w:spacing w:val="-60"/>
        </w:rPr>
        <w:t> </w:t>
      </w:r>
      <w:r>
        <w:rPr/>
        <w:t>月起任本公司董事。</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5"/>
          <w:szCs w:val="25"/>
        </w:rPr>
      </w:pPr>
    </w:p>
    <w:p>
      <w:pPr>
        <w:pStyle w:val="BodyText"/>
        <w:spacing w:line="240" w:lineRule="auto"/>
        <w:ind w:left="633" w:right="92"/>
        <w:jc w:val="left"/>
      </w:pPr>
      <w:r>
        <w:rPr/>
        <w:t>龙浩，男，中国国籍，</w:t>
      </w:r>
      <w:r>
        <w:rPr>
          <w:rFonts w:ascii="Times New Roman" w:hAnsi="Times New Roman" w:cs="Times New Roman" w:eastAsia="Times New Roman" w:hint="default"/>
        </w:rPr>
        <w:t>1966  </w:t>
      </w:r>
      <w:r>
        <w:rPr/>
        <w:t>年出生，东北财经大学 </w:t>
      </w:r>
      <w:r>
        <w:rPr>
          <w:rFonts w:ascii="Times New Roman" w:hAnsi="Times New Roman" w:cs="Times New Roman" w:eastAsia="Times New Roman" w:hint="default"/>
        </w:rPr>
        <w:t>EMBA</w:t>
      </w:r>
      <w:r>
        <w:rPr/>
        <w:t>，中国注册评估师。</w:t>
      </w:r>
      <w:r>
        <w:rPr>
          <w:rFonts w:ascii="Times New Roman" w:hAnsi="Times New Roman" w:cs="Times New Roman" w:eastAsia="Times New Roman" w:hint="default"/>
        </w:rPr>
        <w:t>1998 </w:t>
      </w:r>
      <w:r>
        <w:rPr/>
        <w:t>年</w:t>
      </w:r>
    </w:p>
    <w:p>
      <w:pPr>
        <w:pStyle w:val="BodyText"/>
        <w:spacing w:line="240" w:lineRule="auto" w:before="134"/>
        <w:ind w:right="92"/>
        <w:jc w:val="left"/>
      </w:pP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月至今任本公司财务总监，自</w:t>
      </w:r>
      <w:r>
        <w:rPr>
          <w:spacing w:val="-60"/>
        </w:rPr>
        <w:t> </w:t>
      </w:r>
      <w:r>
        <w:rPr>
          <w:rFonts w:ascii="Times New Roman" w:hAnsi="Times New Roman" w:cs="Times New Roman" w:eastAsia="Times New Roman" w:hint="default"/>
        </w:rPr>
        <w:t>2005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月开始任本公司董事。</w:t>
      </w:r>
    </w:p>
    <w:p>
      <w:pPr>
        <w:spacing w:line="240" w:lineRule="auto" w:before="3"/>
        <w:rPr>
          <w:rFonts w:ascii="宋体" w:hAnsi="宋体" w:cs="宋体" w:eastAsia="宋体" w:hint="default"/>
          <w:sz w:val="25"/>
          <w:szCs w:val="25"/>
        </w:rPr>
      </w:pPr>
    </w:p>
    <w:p>
      <w:pPr>
        <w:pStyle w:val="BodyText"/>
        <w:spacing w:line="357" w:lineRule="auto"/>
        <w:ind w:right="214" w:firstLine="600"/>
        <w:jc w:val="left"/>
      </w:pPr>
      <w:r>
        <w:rPr>
          <w:spacing w:val="-2"/>
        </w:rPr>
        <w:t>周爱勤，女，中国国籍，1954年出生，大学文化，中级会计师、经济师。1998年至今任</w:t>
      </w:r>
      <w:r>
        <w:rPr/>
        <w:t> 本公司股东河南新纪元防腐绝热工程有限公司副总经理，自2000年11月起任本公司董事。</w:t>
      </w:r>
    </w:p>
    <w:p>
      <w:pPr>
        <w:spacing w:line="240" w:lineRule="auto" w:before="0"/>
        <w:rPr>
          <w:rFonts w:ascii="宋体" w:hAnsi="宋体" w:cs="宋体" w:eastAsia="宋体" w:hint="default"/>
          <w:sz w:val="24"/>
          <w:szCs w:val="24"/>
        </w:rPr>
      </w:pPr>
    </w:p>
    <w:p>
      <w:pPr>
        <w:pStyle w:val="BodyText"/>
        <w:spacing w:line="338" w:lineRule="auto" w:before="191"/>
        <w:ind w:left="153" w:right="228" w:firstLine="600"/>
        <w:jc w:val="both"/>
      </w:pPr>
      <w:r>
        <w:rPr/>
        <w:t>王永华，男，中国国籍，</w:t>
      </w:r>
      <w:r>
        <w:rPr>
          <w:rFonts w:ascii="Times New Roman" w:hAnsi="Times New Roman" w:cs="Times New Roman" w:eastAsia="Times New Roman" w:hint="default"/>
        </w:rPr>
        <w:t>1963</w:t>
      </w:r>
      <w:r>
        <w:rPr>
          <w:rFonts w:ascii="Times New Roman" w:hAnsi="Times New Roman" w:cs="Times New Roman" w:eastAsia="Times New Roman" w:hint="default"/>
          <w:spacing w:val="21"/>
        </w:rPr>
        <w:t> </w:t>
      </w:r>
      <w:r>
        <w:rPr/>
        <w:t>年出生，中国人民银行研究生院经济学硕士，曾任南方</w:t>
      </w:r>
      <w:r>
        <w:rPr>
          <w:spacing w:val="1"/>
        </w:rPr>
        <w:t> </w:t>
      </w:r>
      <w:r>
        <w:rPr/>
        <w:t>基金管理有限公司副总经理，</w:t>
      </w:r>
      <w:r>
        <w:rPr>
          <w:rFonts w:ascii="Times New Roman" w:hAnsi="Times New Roman" w:cs="Times New Roman" w:eastAsia="Times New Roman" w:hint="default"/>
        </w:rPr>
        <w:t>2002</w:t>
      </w:r>
      <w:r>
        <w:rPr>
          <w:rFonts w:ascii="Times New Roman" w:hAnsi="Times New Roman" w:cs="Times New Roman" w:eastAsia="Times New Roman" w:hint="default"/>
          <w:spacing w:val="-7"/>
        </w:rPr>
        <w:t> </w:t>
      </w:r>
      <w:r>
        <w:rPr/>
        <w:t>年</w:t>
      </w:r>
      <w:r>
        <w:rPr>
          <w:spacing w:val="-67"/>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月至今任本公司股东深圳市天图创业投资有限公司总 经理，自</w:t>
      </w:r>
      <w:r>
        <w:rPr>
          <w:spacing w:val="-60"/>
        </w:rPr>
        <w:t> </w:t>
      </w:r>
      <w:r>
        <w:rPr>
          <w:rFonts w:ascii="Times New Roman" w:hAnsi="Times New Roman" w:cs="Times New Roman" w:eastAsia="Times New Roman" w:hint="default"/>
        </w:rPr>
        <w:t>2007 </w:t>
      </w:r>
      <w:r>
        <w:rPr/>
        <w:t>年</w:t>
      </w:r>
      <w:r>
        <w:rPr>
          <w:spacing w:val="-60"/>
        </w:rPr>
        <w:t> </w:t>
      </w:r>
      <w:r>
        <w:rPr>
          <w:rFonts w:ascii="Times New Roman" w:hAnsi="Times New Roman" w:cs="Times New Roman" w:eastAsia="Times New Roman" w:hint="default"/>
        </w:rPr>
        <w:t>5 </w:t>
      </w:r>
      <w:r>
        <w:rPr/>
        <w:t>月起任本公司董事。</w:t>
      </w:r>
    </w:p>
    <w:p>
      <w:pPr>
        <w:spacing w:line="240" w:lineRule="auto" w:before="13"/>
        <w:rPr>
          <w:rFonts w:ascii="宋体" w:hAnsi="宋体" w:cs="宋体" w:eastAsia="宋体" w:hint="default"/>
          <w:sz w:val="16"/>
          <w:szCs w:val="16"/>
        </w:rPr>
      </w:pPr>
    </w:p>
    <w:p>
      <w:pPr>
        <w:pStyle w:val="BodyText"/>
        <w:spacing w:line="357" w:lineRule="auto"/>
        <w:ind w:right="92" w:firstLine="600"/>
        <w:jc w:val="left"/>
      </w:pPr>
      <w:r>
        <w:rPr/>
        <w:t>梅志明，男，美国国籍，1972年出生，美国西北Kellog商学院/香港科技大学商学院工 商管理硕士，现任普洛斯项目管理咨询有限公司中国区总裁，深国投商用置业有限公司副董 </w:t>
      </w:r>
      <w:r>
        <w:rPr>
          <w:spacing w:val="-3"/>
        </w:rPr>
        <w:t>事长、投资委员会主席，深圳源胜利管理有限公司董事长，北京慧点科技有限公司副董事长，</w:t>
      </w:r>
      <w:r>
        <w:rPr>
          <w:spacing w:val="-81"/>
        </w:rPr>
        <w:t> </w:t>
      </w:r>
      <w:r>
        <w:rPr>
          <w:spacing w:val="-81"/>
        </w:rPr>
      </w:r>
      <w:r>
        <w:rPr/>
        <w:t>自2007年5月起任本公司独立董事。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ind w:right="230" w:firstLine="600"/>
        <w:jc w:val="both"/>
      </w:pPr>
      <w:r>
        <w:rPr>
          <w:spacing w:val="-3"/>
        </w:rPr>
        <w:t>郝智明，男，中国国籍，1967年出生，毕业于中国人民银行研究生部，具有律师、中国</w:t>
      </w:r>
      <w:r>
        <w:rPr>
          <w:spacing w:val="-1"/>
        </w:rPr>
        <w:t> </w:t>
      </w:r>
      <w:r>
        <w:rPr/>
        <w:t>注册会计师资格，现任中银国际证券有限责任公司投资银行部执行总经理，中铁铁龙集装箱</w:t>
      </w:r>
      <w:r>
        <w:rPr/>
        <w:t> 物流股份有限公司独立董事，自2006年7月任本公司独立董事。</w:t>
      </w:r>
    </w:p>
    <w:p>
      <w:pPr>
        <w:spacing w:line="240" w:lineRule="auto" w:before="0"/>
        <w:rPr>
          <w:rFonts w:ascii="宋体" w:hAnsi="宋体" w:cs="宋体" w:eastAsia="宋体" w:hint="default"/>
          <w:sz w:val="24"/>
          <w:szCs w:val="24"/>
        </w:rPr>
      </w:pPr>
    </w:p>
    <w:p>
      <w:pPr>
        <w:pStyle w:val="BodyText"/>
        <w:spacing w:line="240" w:lineRule="auto" w:before="190"/>
        <w:ind w:left="636" w:right="92"/>
        <w:jc w:val="left"/>
      </w:pPr>
      <w:r>
        <w:rPr/>
        <w:t>贾莉，女，中国国籍，</w:t>
      </w:r>
      <w:r>
        <w:rPr>
          <w:rFonts w:ascii="Times New Roman" w:hAnsi="Times New Roman" w:cs="Times New Roman" w:eastAsia="Times New Roman" w:hint="default"/>
        </w:rPr>
        <w:t>1972</w:t>
      </w:r>
      <w:r>
        <w:rPr>
          <w:rFonts w:ascii="Times New Roman" w:hAnsi="Times New Roman" w:cs="Times New Roman" w:eastAsia="Times New Roman" w:hint="default"/>
          <w:spacing w:val="-25"/>
        </w:rPr>
        <w:t> </w:t>
      </w:r>
      <w:r>
        <w:rPr/>
        <w:t>年出生，毕业于清华大学精密仪器系，工学学士，加拿大多</w:t>
      </w:r>
    </w:p>
    <w:p>
      <w:pPr>
        <w:spacing w:after="0" w:line="240"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38" w:lineRule="auto" w:before="26"/>
        <w:ind w:left="156" w:right="151"/>
        <w:jc w:val="both"/>
      </w:pPr>
      <w:r>
        <w:rPr/>
        <w:t>伦多大学工程系应用科学硕士学位。曾任清华大学校团委宣传部部长，宁波 </w:t>
      </w:r>
      <w:r>
        <w:rPr>
          <w:rFonts w:ascii="Times New Roman" w:hAnsi="Times New Roman" w:cs="Times New Roman" w:eastAsia="Times New Roman" w:hint="default"/>
        </w:rPr>
        <w:t>GreenTunnel</w:t>
      </w:r>
      <w:r>
        <w:rPr>
          <w:rFonts w:ascii="Times New Roman" w:hAnsi="Times New Roman" w:cs="Times New Roman" w:eastAsia="Times New Roman" w:hint="default"/>
          <w:spacing w:val="28"/>
        </w:rPr>
        <w:t> </w:t>
      </w:r>
      <w:r>
        <w:rPr/>
        <w:t>科 技有限公司市场总监。现任清华大学经济管理学院</w:t>
      </w:r>
      <w:r>
        <w:rPr>
          <w:spacing w:val="-51"/>
        </w:rPr>
        <w:t> </w:t>
      </w:r>
      <w:r>
        <w:rPr>
          <w:rFonts w:ascii="Times New Roman" w:hAnsi="Times New Roman" w:cs="Times New Roman" w:eastAsia="Times New Roman" w:hint="default"/>
        </w:rPr>
        <w:t>EMBA</w:t>
      </w:r>
      <w:r>
        <w:rPr>
          <w:rFonts w:ascii="Times New Roman" w:hAnsi="Times New Roman" w:cs="Times New Roman" w:eastAsia="Times New Roman" w:hint="default"/>
          <w:spacing w:val="9"/>
        </w:rPr>
        <w:t> </w:t>
      </w:r>
      <w:r>
        <w:rPr/>
        <w:t>教学管理部总监，自</w:t>
      </w:r>
      <w:r>
        <w:rPr>
          <w:spacing w:val="-51"/>
        </w:rPr>
        <w:t> </w:t>
      </w:r>
      <w:r>
        <w:rPr/>
        <w:t>2006</w:t>
      </w:r>
      <w:r>
        <w:rPr>
          <w:spacing w:val="-51"/>
        </w:rPr>
        <w:t> </w:t>
      </w:r>
      <w:r>
        <w:rPr/>
        <w:t>年</w:t>
      </w:r>
      <w:r>
        <w:rPr>
          <w:spacing w:val="-52"/>
        </w:rPr>
        <w:t> </w:t>
      </w:r>
      <w:r>
        <w:rPr/>
        <w:t>7</w:t>
      </w:r>
      <w:r>
        <w:rPr>
          <w:spacing w:val="-51"/>
        </w:rPr>
        <w:t> </w:t>
      </w:r>
      <w:r>
        <w:rPr/>
        <w:t>月</w:t>
      </w:r>
      <w:r>
        <w:rPr/>
        <w:t> 任本公司独立董事。</w:t>
      </w:r>
    </w:p>
    <w:p>
      <w:pPr>
        <w:spacing w:line="240" w:lineRule="auto" w:before="3"/>
        <w:rPr>
          <w:rFonts w:ascii="宋体" w:hAnsi="宋体" w:cs="宋体" w:eastAsia="宋体" w:hint="default"/>
          <w:sz w:val="19"/>
          <w:szCs w:val="19"/>
        </w:rPr>
      </w:pPr>
    </w:p>
    <w:p>
      <w:pPr>
        <w:pStyle w:val="BodyText"/>
        <w:spacing w:line="357" w:lineRule="auto"/>
        <w:ind w:right="188" w:firstLine="600"/>
        <w:jc w:val="both"/>
      </w:pPr>
      <w:r>
        <w:rPr/>
        <w:t>王泽全，男，中国国籍，1946年出生，大专学历，1971年3月-2004年6月先后任职于营 口市通风机械厂、鞍山市半导体器件总厂和鞍山市电子电力公司，曾任鞍山市电子电力公司 副总经济师、总经济师，自2000年11月起任本公司监事。</w:t>
      </w:r>
    </w:p>
    <w:p>
      <w:pPr>
        <w:spacing w:line="240" w:lineRule="auto" w:before="0"/>
        <w:rPr>
          <w:rFonts w:ascii="宋体" w:hAnsi="宋体" w:cs="宋体" w:eastAsia="宋体" w:hint="default"/>
          <w:sz w:val="24"/>
          <w:szCs w:val="24"/>
        </w:rPr>
      </w:pPr>
    </w:p>
    <w:p>
      <w:pPr>
        <w:pStyle w:val="BodyText"/>
        <w:spacing w:line="348" w:lineRule="auto" w:before="190"/>
        <w:ind w:left="156" w:right="146" w:firstLine="480"/>
        <w:jc w:val="both"/>
      </w:pPr>
      <w:r>
        <w:rPr>
          <w:spacing w:val="-3"/>
        </w:rPr>
        <w:t>陈诗君，男，中国国籍，</w:t>
      </w:r>
      <w:r>
        <w:rPr>
          <w:rFonts w:ascii="Times New Roman" w:hAnsi="Times New Roman" w:cs="Times New Roman" w:eastAsia="Times New Roman" w:hint="default"/>
          <w:spacing w:val="-3"/>
        </w:rPr>
        <w:t>1954 </w:t>
      </w:r>
      <w:r>
        <w:rPr/>
        <w:t>年出生，西北工业大学本科毕业，高级工程师。</w:t>
      </w:r>
      <w:r>
        <w:rPr>
          <w:rFonts w:ascii="Times New Roman" w:hAnsi="Times New Roman" w:cs="Times New Roman" w:eastAsia="Times New Roman" w:hint="default"/>
        </w:rPr>
        <w:t>2002</w:t>
      </w:r>
      <w:r>
        <w:rPr>
          <w:rFonts w:ascii="Times New Roman" w:hAnsi="Times New Roman" w:cs="Times New Roman" w:eastAsia="Times New Roman" w:hint="default"/>
          <w:spacing w:val="-35"/>
        </w:rPr>
        <w:t> </w:t>
      </w:r>
      <w:r>
        <w:rPr/>
        <w:t>年至</w:t>
      </w:r>
      <w:r>
        <w:rPr>
          <w:spacing w:val="1"/>
        </w:rPr>
        <w:t> </w:t>
      </w:r>
      <w:r>
        <w:rPr/>
        <w:t>今任本公司控股股东深圳市深港产学研创业投资有限公司投资管理部负责人、兼任深港产学</w:t>
      </w:r>
      <w:r>
        <w:rPr>
          <w:spacing w:val="-83"/>
        </w:rPr>
        <w:t> </w:t>
      </w:r>
      <w:r>
        <w:rPr>
          <w:spacing w:val="-83"/>
        </w:rPr>
      </w:r>
      <w:r>
        <w:rPr/>
        <w:t>研数码科技有限公司董事长，自</w:t>
      </w:r>
      <w:r>
        <w:rPr>
          <w:spacing w:val="-60"/>
        </w:rPr>
        <w:t> </w:t>
      </w:r>
      <w:r>
        <w:rPr>
          <w:rFonts w:ascii="Times New Roman" w:hAnsi="Times New Roman" w:cs="Times New Roman" w:eastAsia="Times New Roman" w:hint="default"/>
        </w:rPr>
        <w:t>2003 </w:t>
      </w:r>
      <w:r>
        <w:rPr/>
        <w:t>年</w:t>
      </w:r>
      <w:r>
        <w:rPr>
          <w:spacing w:val="-60"/>
        </w:rPr>
        <w:t> </w:t>
      </w:r>
      <w:r>
        <w:rPr>
          <w:rFonts w:ascii="Times New Roman" w:hAnsi="Times New Roman" w:cs="Times New Roman" w:eastAsia="Times New Roman" w:hint="default"/>
        </w:rPr>
        <w:t>4 </w:t>
      </w:r>
      <w:r>
        <w:rPr/>
        <w:t>月任本公司监事。</w:t>
      </w:r>
    </w:p>
    <w:p>
      <w:pPr>
        <w:pStyle w:val="BodyText"/>
        <w:spacing w:line="338" w:lineRule="auto" w:before="55"/>
        <w:ind w:left="156" w:right="148" w:firstLine="480"/>
        <w:jc w:val="both"/>
      </w:pPr>
      <w:r>
        <w:rPr/>
        <w:t>杨贵发，男，中国国籍，</w:t>
      </w:r>
      <w:r>
        <w:rPr>
          <w:rFonts w:ascii="Times New Roman" w:hAnsi="Times New Roman" w:cs="Times New Roman" w:eastAsia="Times New Roman" w:hint="default"/>
        </w:rPr>
        <w:t>1971</w:t>
      </w:r>
      <w:r>
        <w:rPr>
          <w:rFonts w:ascii="Times New Roman" w:hAnsi="Times New Roman" w:cs="Times New Roman" w:eastAsia="Times New Roman" w:hint="default"/>
          <w:spacing w:val="-4"/>
        </w:rPr>
        <w:t> </w:t>
      </w:r>
      <w:r>
        <w:rPr/>
        <w:t>年出生，本科学历，工程师。自</w:t>
      </w:r>
      <w:r>
        <w:rPr>
          <w:spacing w:val="-64"/>
        </w:rPr>
        <w:t> </w:t>
      </w:r>
      <w:r>
        <w:rPr>
          <w:rFonts w:ascii="Times New Roman" w:hAnsi="Times New Roman" w:cs="Times New Roman" w:eastAsia="Times New Roman" w:hint="default"/>
        </w:rPr>
        <w:t>1999</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4"/>
        </w:rPr>
        <w:t> </w:t>
      </w:r>
      <w:r>
        <w:rPr/>
        <w:t>月起在本公司 从事瓦斯排放结构设计、电气设计、调试工作，现任本公司瓦斯排放部部长，</w:t>
      </w:r>
      <w:r>
        <w:rPr>
          <w:rFonts w:ascii="Times New Roman" w:hAnsi="Times New Roman" w:cs="Times New Roman" w:eastAsia="Times New Roman" w:hint="default"/>
        </w:rPr>
        <w:t>2005 </w:t>
      </w:r>
      <w:r>
        <w:rPr/>
        <w:t>年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7"/>
        </w:rPr>
        <w:t> </w:t>
      </w:r>
      <w:r>
        <w:rPr/>
        <w:t>月 起任本公司职工监事。</w:t>
      </w:r>
    </w:p>
    <w:p>
      <w:pPr>
        <w:spacing w:line="240" w:lineRule="auto" w:before="1"/>
        <w:rPr>
          <w:rFonts w:ascii="宋体" w:hAnsi="宋体" w:cs="宋体" w:eastAsia="宋体" w:hint="default"/>
          <w:sz w:val="19"/>
          <w:szCs w:val="19"/>
        </w:rPr>
      </w:pPr>
    </w:p>
    <w:p>
      <w:pPr>
        <w:pStyle w:val="BodyText"/>
        <w:spacing w:line="357" w:lineRule="auto"/>
        <w:ind w:right="151" w:firstLine="600"/>
        <w:jc w:val="both"/>
      </w:pPr>
      <w:r>
        <w:rPr>
          <w:spacing w:val="-3"/>
        </w:rPr>
        <w:t>焦东亮，男，中国国籍，1965年出生，毕业于包头钢铁学院自动化专业，中国人民大学</w:t>
      </w:r>
      <w:r>
        <w:rPr/>
        <w:t> </w:t>
      </w:r>
      <w:r>
        <w:rPr>
          <w:spacing w:val="-2"/>
        </w:rPr>
        <w:t>EMBA，SVC系统设计专家。1999年至今任本公司副总经理，兼任上海清方荣信电子有限公司执</w:t>
      </w:r>
      <w:r>
        <w:rPr>
          <w:spacing w:val="-112"/>
        </w:rPr>
        <w:t> </w:t>
      </w:r>
      <w:r>
        <w:rPr>
          <w:spacing w:val="-112"/>
        </w:rPr>
      </w:r>
      <w:r>
        <w:rPr/>
        <w:t>行董事。</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pStyle w:val="BodyText"/>
        <w:spacing w:line="357" w:lineRule="auto"/>
        <w:ind w:right="151" w:firstLine="600"/>
        <w:jc w:val="both"/>
      </w:pPr>
      <w:r>
        <w:rPr>
          <w:spacing w:val="-8"/>
        </w:rPr>
        <w:t>赵殿波，男，中国国籍，1969年出生，毕业于清华大学机械工程系，复旦大学EMBA，1998</w:t>
      </w:r>
      <w:r>
        <w:rPr/>
        <w:t> 年11月至今，历任本公司研发工程师、部长、总经理助理，现任本公司董事会秘书、副总经 理，鞍山荣信科技有限公司董事长。</w:t>
      </w:r>
    </w:p>
    <w:p>
      <w:pPr>
        <w:spacing w:line="240" w:lineRule="auto" w:before="0"/>
        <w:rPr>
          <w:rFonts w:ascii="宋体" w:hAnsi="宋体" w:cs="宋体" w:eastAsia="宋体" w:hint="default"/>
          <w:sz w:val="24"/>
          <w:szCs w:val="24"/>
        </w:rPr>
      </w:pPr>
    </w:p>
    <w:p>
      <w:pPr>
        <w:pStyle w:val="BodyText"/>
        <w:spacing w:line="357" w:lineRule="auto" w:before="191"/>
        <w:ind w:right="148" w:firstLine="480"/>
        <w:jc w:val="both"/>
      </w:pPr>
      <w:r>
        <w:rPr/>
        <w:t>王强，男，中国国籍，1969 年出生，毕业于清华大学机械工程系，本科学历。1999</w:t>
      </w:r>
      <w:r>
        <w:rPr>
          <w:spacing w:val="35"/>
        </w:rPr>
        <w:t> </w:t>
      </w:r>
      <w:r>
        <w:rPr/>
        <w:t>年</w:t>
      </w:r>
      <w:r>
        <w:rPr/>
        <w:t> 12</w:t>
      </w:r>
      <w:r>
        <w:rPr>
          <w:spacing w:val="-60"/>
        </w:rPr>
        <w:t> </w:t>
      </w:r>
      <w:r>
        <w:rPr/>
        <w:t>月至今任本公司销售总监，荣信嘉时（北京）科技发展有限公司董事。</w:t>
      </w:r>
    </w:p>
    <w:p>
      <w:pPr>
        <w:pStyle w:val="BodyText"/>
        <w:spacing w:line="357" w:lineRule="auto" w:before="76"/>
        <w:ind w:left="156" w:right="148" w:firstLine="480"/>
        <w:jc w:val="both"/>
      </w:pPr>
      <w:r>
        <w:rPr/>
        <w:t>王岱岩，男，中国国籍，1963</w:t>
      </w:r>
      <w:r>
        <w:rPr>
          <w:spacing w:val="-95"/>
        </w:rPr>
        <w:t> </w:t>
      </w:r>
      <w:r>
        <w:rPr/>
        <w:t>年出生，毕业于东北大学自动化控制系，本科学历。2001</w:t>
      </w:r>
      <w:r>
        <w:rPr>
          <w:spacing w:val="-1"/>
        </w:rPr>
        <w:t> </w:t>
      </w:r>
      <w:r>
        <w:rPr/>
        <w:t>年至今任本公司市场部销售总监。</w:t>
      </w:r>
    </w:p>
    <w:p>
      <w:pPr>
        <w:spacing w:line="240" w:lineRule="auto" w:before="2"/>
        <w:rPr>
          <w:rFonts w:ascii="宋体" w:hAnsi="宋体" w:cs="宋体" w:eastAsia="宋体" w:hint="default"/>
          <w:sz w:val="32"/>
          <w:szCs w:val="32"/>
        </w:rPr>
      </w:pPr>
    </w:p>
    <w:p>
      <w:pPr>
        <w:pStyle w:val="Heading3"/>
        <w:spacing w:line="240" w:lineRule="auto"/>
        <w:ind w:left="694" w:right="0"/>
        <w:jc w:val="left"/>
      </w:pPr>
      <w:r>
        <w:rPr/>
        <w:t>（三）董事、监事、高级管理人员报酬情况</w:t>
      </w:r>
    </w:p>
    <w:p>
      <w:pPr>
        <w:pStyle w:val="BodyText"/>
        <w:spacing w:line="240" w:lineRule="auto" w:before="224"/>
        <w:ind w:left="634" w:right="0"/>
        <w:jc w:val="left"/>
      </w:pPr>
      <w:r>
        <w:rPr>
          <w:rFonts w:ascii="Times New Roman" w:hAnsi="Times New Roman" w:cs="Times New Roman" w:eastAsia="Times New Roman" w:hint="default"/>
        </w:rPr>
        <w:t>1</w:t>
      </w:r>
      <w:r>
        <w:rPr/>
        <w:t>、董事、监事、高级管理人员报酬决策程序</w:t>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38" w:lineRule="auto" w:before="26"/>
        <w:ind w:right="134" w:firstLine="480"/>
        <w:jc w:val="left"/>
      </w:pPr>
      <w:r>
        <w:rPr>
          <w:spacing w:val="-3"/>
        </w:rPr>
        <w:t>公司部分董事薪酬、独立董事津贴由董事会薪酬与考核委员制定并经</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3"/>
        </w:rPr>
        <w:t> </w:t>
      </w:r>
      <w:r>
        <w:rPr/>
        <w:t>年度股东大会 审议批准。</w:t>
      </w:r>
    </w:p>
    <w:p>
      <w:pPr>
        <w:pStyle w:val="BodyText"/>
        <w:spacing w:line="357" w:lineRule="auto" w:before="94"/>
        <w:ind w:right="0" w:firstLine="480"/>
        <w:jc w:val="left"/>
      </w:pPr>
      <w:r>
        <w:rPr/>
        <w:t>公司高级管理人员薪酬由董事会薪酬与考核委员制定与考核并经董事会三届一次会议审</w:t>
      </w:r>
      <w:r>
        <w:rPr>
          <w:spacing w:val="1"/>
        </w:rPr>
        <w:t> </w:t>
      </w:r>
      <w:r>
        <w:rPr/>
        <w:t>议批准。</w:t>
      </w:r>
    </w:p>
    <w:p>
      <w:pPr>
        <w:pStyle w:val="BodyText"/>
        <w:spacing w:line="364" w:lineRule="auto" w:before="74"/>
        <w:ind w:left="634" w:right="0"/>
        <w:jc w:val="left"/>
      </w:pPr>
      <w:r>
        <w:rPr>
          <w:rFonts w:ascii="Times New Roman" w:hAnsi="Times New Roman" w:cs="Times New Roman" w:eastAsia="Times New Roman" w:hint="default"/>
        </w:rPr>
        <w:t>2</w:t>
      </w:r>
      <w:r>
        <w:rPr/>
        <w:t>、董事、监事、高级管理人员报酬确定依据 公司董事会薪酬与考核委员会依据公司主要经济指标和管理指标的完成情况对董事、监</w:t>
      </w:r>
    </w:p>
    <w:p>
      <w:pPr>
        <w:pStyle w:val="BodyText"/>
        <w:spacing w:line="240" w:lineRule="auto" w:before="28"/>
        <w:ind w:right="0"/>
        <w:jc w:val="left"/>
      </w:pPr>
      <w:r>
        <w:rPr/>
        <w:t>事和高级管理人员的业绩、工作能力、履职情况进行考评，制定薪酬方案。</w:t>
      </w:r>
    </w:p>
    <w:p>
      <w:pPr>
        <w:pStyle w:val="BodyText"/>
        <w:spacing w:line="338" w:lineRule="auto" w:before="193"/>
        <w:ind w:left="156" w:right="146" w:firstLine="460"/>
        <w:jc w:val="left"/>
      </w:pPr>
      <w:r>
        <w:rPr>
          <w:rFonts w:ascii="Times New Roman" w:hAnsi="Times New Roman" w:cs="Times New Roman" w:eastAsia="Times New Roman" w:hint="default"/>
          <w:spacing w:val="-2"/>
        </w:rPr>
        <w:t>3</w:t>
      </w:r>
      <w:r>
        <w:rPr>
          <w:spacing w:val="-2"/>
        </w:rPr>
        <w:t>、董事、监事、高级管理人员从公司获得的报酬情况见本节“一、董事、监事、高级管</w:t>
      </w:r>
      <w:r>
        <w:rPr/>
        <w:t> 理人员情况”之“（一）董事、监事、高级管理人员基本情况”。</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7"/>
          <w:szCs w:val="27"/>
        </w:rPr>
      </w:pPr>
    </w:p>
    <w:p>
      <w:pPr>
        <w:pStyle w:val="Heading3"/>
        <w:spacing w:line="357" w:lineRule="auto"/>
        <w:ind w:left="156" w:right="143" w:firstLine="537"/>
        <w:jc w:val="left"/>
      </w:pPr>
      <w:r>
        <w:rPr>
          <w:spacing w:val="4"/>
        </w:rPr>
        <w:t>（四）报告期内被选举或离任的董事和监事及聘任或解聘的高级管理人员</w:t>
      </w:r>
      <w:r>
        <w:rPr>
          <w:spacing w:val="4"/>
          <w:w w:val="99"/>
        </w:rPr>
        <w:t> </w:t>
      </w:r>
      <w:r>
        <w:rPr/>
        <w:t>情况</w:t>
      </w:r>
    </w:p>
    <w:p>
      <w:pPr>
        <w:pStyle w:val="Heading3"/>
        <w:spacing w:line="240" w:lineRule="auto" w:before="82"/>
        <w:ind w:right="0"/>
        <w:jc w:val="left"/>
      </w:pPr>
      <w:r>
        <w:rPr>
          <w:w w:val="99"/>
        </w:rPr>
        <w:t>无</w:t>
      </w:r>
      <w:r>
        <w:rPr/>
      </w:r>
    </w:p>
    <w:p>
      <w:pPr>
        <w:spacing w:line="240" w:lineRule="auto" w:before="0"/>
        <w:rPr>
          <w:rFonts w:ascii="黑体" w:hAnsi="黑体" w:cs="黑体" w:eastAsia="黑体" w:hint="default"/>
          <w:sz w:val="28"/>
          <w:szCs w:val="28"/>
        </w:rPr>
      </w:pPr>
    </w:p>
    <w:p>
      <w:pPr>
        <w:spacing w:line="240" w:lineRule="auto" w:before="11"/>
        <w:rPr>
          <w:rFonts w:ascii="黑体" w:hAnsi="黑体" w:cs="黑体" w:eastAsia="黑体" w:hint="default"/>
          <w:sz w:val="37"/>
          <w:szCs w:val="37"/>
        </w:rPr>
      </w:pPr>
    </w:p>
    <w:p>
      <w:pPr>
        <w:pStyle w:val="Heading3"/>
        <w:spacing w:line="240" w:lineRule="auto"/>
        <w:ind w:right="0"/>
        <w:jc w:val="left"/>
      </w:pPr>
      <w:r>
        <w:rPr/>
        <w:t>二、员工情况</w:t>
      </w:r>
    </w:p>
    <w:p>
      <w:pPr>
        <w:spacing w:line="240" w:lineRule="auto" w:before="6"/>
        <w:rPr>
          <w:rFonts w:ascii="黑体" w:hAnsi="黑体" w:cs="黑体" w:eastAsia="黑体" w:hint="default"/>
          <w:sz w:val="35"/>
          <w:szCs w:val="35"/>
        </w:rPr>
      </w:pPr>
    </w:p>
    <w:p>
      <w:pPr>
        <w:pStyle w:val="BodyText"/>
        <w:spacing w:line="348" w:lineRule="auto"/>
        <w:ind w:right="188" w:firstLine="480"/>
        <w:jc w:val="both"/>
      </w:pPr>
      <w:r>
        <w:rPr/>
        <w:t>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日，公司共有在职员工</w:t>
      </w:r>
      <w:r>
        <w:rPr>
          <w:rFonts w:ascii="Times New Roman" w:hAnsi="Times New Roman" w:cs="Times New Roman" w:eastAsia="Times New Roman" w:hint="default"/>
        </w:rPr>
        <w:t>651</w:t>
      </w:r>
      <w:r>
        <w:rPr/>
        <w:t>人。其中：生产人员176人，占员工总数的 27.04%；销售人员156人，占员工总数的23.96%；技术人员237人，占员工总数的36.40%；管 理人员82人，占员工总数的12.60%。</w:t>
      </w:r>
    </w:p>
    <w:p>
      <w:pPr>
        <w:pStyle w:val="BodyText"/>
        <w:spacing w:line="357" w:lineRule="auto" w:before="44"/>
        <w:ind w:right="170" w:firstLine="480"/>
        <w:jc w:val="left"/>
      </w:pPr>
      <w:r>
        <w:rPr/>
        <w:t>员工受教育程度如下：本科以上428人，占员工总数的65.75%；大专118人，占员工总数 的18.13%；大专以下105人，占员工总数的16.13%。</w:t>
      </w:r>
    </w:p>
    <w:p>
      <w:pPr>
        <w:spacing w:line="240" w:lineRule="auto" w:before="1"/>
        <w:rPr>
          <w:rFonts w:ascii="宋体" w:hAnsi="宋体" w:cs="宋体" w:eastAsia="宋体" w:hint="default"/>
          <w:sz w:val="24"/>
          <w:szCs w:val="24"/>
        </w:rPr>
      </w:pPr>
    </w:p>
    <w:p>
      <w:pPr>
        <w:pStyle w:val="BodyText"/>
        <w:spacing w:line="240" w:lineRule="auto"/>
        <w:ind w:left="624" w:right="0"/>
        <w:jc w:val="left"/>
      </w:pPr>
      <w:r>
        <w:rPr/>
        <w:t>公司没有需要承担费用的离退休职工。</w:t>
      </w:r>
    </w:p>
    <w:p>
      <w:pPr>
        <w:spacing w:after="0" w:line="240" w:lineRule="auto"/>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1"/>
        <w:spacing w:line="240" w:lineRule="auto"/>
        <w:ind w:right="77"/>
        <w:jc w:val="center"/>
        <w:rPr>
          <w:b w:val="0"/>
          <w:bCs w:val="0"/>
        </w:rPr>
      </w:pPr>
      <w:bookmarkStart w:name="第五节 公司治理结构" w:id="7"/>
      <w:bookmarkEnd w:id="7"/>
      <w:r>
        <w:rPr>
          <w:b w:val="0"/>
          <w:bCs w:val="0"/>
        </w:rPr>
      </w:r>
      <w:bookmarkStart w:name="_bookmark4" w:id="8"/>
      <w:bookmarkEnd w:id="8"/>
      <w:r>
        <w:rPr>
          <w:b w:val="0"/>
          <w:bCs w:val="0"/>
        </w:rPr>
      </w:r>
      <w:r>
        <w:rPr/>
        <w:t>第五节</w:t>
      </w:r>
      <w:r>
        <w:rPr>
          <w:spacing w:val="-2"/>
        </w:rPr>
        <w:t> </w:t>
      </w:r>
      <w:r>
        <w:rPr/>
        <w:t>公司治理结构</w:t>
      </w:r>
      <w:r>
        <w:rPr>
          <w:b w:val="0"/>
          <w:bCs w:val="0"/>
        </w:rPr>
      </w: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9"/>
          <w:szCs w:val="19"/>
        </w:rPr>
      </w:pPr>
    </w:p>
    <w:p>
      <w:pPr>
        <w:pStyle w:val="Heading3"/>
        <w:spacing w:line="240" w:lineRule="auto" w:before="13"/>
        <w:ind w:right="92"/>
        <w:jc w:val="left"/>
      </w:pPr>
      <w:r>
        <w:rPr/>
        <w:t>一、公司治理情况</w:t>
      </w:r>
    </w:p>
    <w:p>
      <w:pPr>
        <w:pStyle w:val="BodyText"/>
        <w:spacing w:line="357" w:lineRule="auto" w:before="185"/>
        <w:ind w:left="153" w:right="228" w:firstLine="480"/>
        <w:jc w:val="both"/>
      </w:pPr>
      <w:r>
        <w:rPr/>
        <w:t>公司严格按照《公司法》、《证券法》、《上市公司治理准则》及中国证监会、深圳证</w:t>
      </w:r>
      <w:r>
        <w:rPr>
          <w:spacing w:val="1"/>
        </w:rPr>
        <w:t> </w:t>
      </w:r>
      <w:r>
        <w:rPr/>
        <w:t>券交易所发布的有关上市公司治理的规范性文件要求，不断完善公司法人治理结构，规范公</w:t>
      </w:r>
      <w:r>
        <w:rPr>
          <w:spacing w:val="-83"/>
        </w:rPr>
        <w:t> </w:t>
      </w:r>
      <w:r>
        <w:rPr>
          <w:spacing w:val="-83"/>
        </w:rPr>
      </w:r>
      <w:r>
        <w:rPr/>
        <w:t>司运作。比照中国证监会发布的有关上市公司治理的规范性文件，公司法人治理结构的实际</w:t>
      </w:r>
      <w:r>
        <w:rPr>
          <w:spacing w:val="-83"/>
        </w:rPr>
        <w:t> </w:t>
      </w:r>
      <w:r>
        <w:rPr>
          <w:spacing w:val="-83"/>
        </w:rPr>
      </w:r>
      <w:r>
        <w:rPr/>
        <w:t>情况基本符合《上市公司治理准则》的要求。</w:t>
      </w:r>
    </w:p>
    <w:p>
      <w:pPr>
        <w:pStyle w:val="BodyText"/>
        <w:spacing w:line="240" w:lineRule="auto" w:before="35"/>
        <w:ind w:left="633" w:right="92"/>
        <w:jc w:val="left"/>
      </w:pPr>
      <w:r>
        <w:rPr>
          <w:spacing w:val="-6"/>
        </w:rPr>
        <w:t>1、关于股东与股东大会：公司能够按照《上市公司股东大会规范意见》、《公司章程》、</w:t>
      </w:r>
    </w:p>
    <w:p>
      <w:pPr>
        <w:pStyle w:val="BodyText"/>
        <w:spacing w:line="357" w:lineRule="auto" w:before="152"/>
        <w:ind w:left="153" w:right="251"/>
        <w:jc w:val="left"/>
      </w:pPr>
      <w:r>
        <w:rPr/>
        <w:t>《公司股东大会议事规则》等规定，规范地召集、召开股东大会；公司能够确保所有股东享 有平等地位，确保所有股东能够充分行使自己的权利，不存在损害中小股东利益的情形。</w:t>
      </w:r>
    </w:p>
    <w:p>
      <w:pPr>
        <w:pStyle w:val="BodyText"/>
        <w:spacing w:line="357" w:lineRule="auto" w:before="35"/>
        <w:ind w:left="153" w:right="231" w:firstLine="480"/>
        <w:jc w:val="both"/>
      </w:pPr>
      <w:r>
        <w:rPr>
          <w:spacing w:val="-9"/>
        </w:rPr>
        <w:t>2、关于公司与控股股东：公司与控股股东在人员、资产、财务、机构和业务方面实行“三</w:t>
      </w:r>
      <w:r>
        <w:rPr/>
        <w:t> 分开”、“两独立”，公司拥有独立完整的业务和自主经营能力；公司董事会、监事会及其 他内部机构独立运作。公司控股股东没有超越股东大会直接或间接干预公司的决策及依法开 展的生产经营活动，不存在控股股东占用公司资金的现象，公司也无为控股股东及其子公司 提供担保的情形。</w:t>
      </w:r>
    </w:p>
    <w:p>
      <w:pPr>
        <w:pStyle w:val="BodyText"/>
        <w:spacing w:line="357" w:lineRule="auto" w:before="35"/>
        <w:ind w:left="153" w:right="229" w:firstLine="480"/>
        <w:jc w:val="both"/>
      </w:pPr>
      <w:r>
        <w:rPr>
          <w:spacing w:val="-3"/>
        </w:rPr>
        <w:t>3、关于董事和董事会：公司严格按照《公司章程》规定的董事选聘程序选举董事；公司</w:t>
      </w:r>
      <w:r>
        <w:rPr/>
        <w:t> 董事会的人数及人员构成符合有关法律、法规的要求。各位董事能够遵照《深圳证券交易所 中小企业板块上市公司董事行为指引》、《公司董事会议事规则》、《公司独立董事工作制 度》的要求忠实、诚信、勤勉地履行职责。</w:t>
      </w:r>
    </w:p>
    <w:p>
      <w:pPr>
        <w:pStyle w:val="BodyText"/>
        <w:spacing w:line="357" w:lineRule="auto" w:before="35"/>
        <w:ind w:left="153" w:right="92" w:firstLine="480"/>
        <w:jc w:val="left"/>
      </w:pPr>
      <w:r>
        <w:rPr>
          <w:spacing w:val="-3"/>
        </w:rPr>
        <w:t>4、关于监事和监事会：公司监事会设监事3名，其中职工监事1名，监事会的人数和构成</w:t>
      </w:r>
      <w:r>
        <w:rPr/>
        <w:t> </w:t>
      </w:r>
      <w:r>
        <w:rPr>
          <w:spacing w:val="-3"/>
        </w:rPr>
        <w:t>符合有关法律、法规的要求；公司监事能够本着对股东负责的态度，严格按照《公司章程》、</w:t>
      </w:r>
    </w:p>
    <w:p>
      <w:pPr>
        <w:pStyle w:val="BodyText"/>
        <w:spacing w:line="357" w:lineRule="auto" w:before="35"/>
        <w:ind w:left="633" w:right="92" w:hanging="480"/>
        <w:jc w:val="left"/>
      </w:pPr>
      <w:r>
        <w:rPr/>
        <w:t>《公司监事会议事规则》等制度要求，认真履行自己的职责。 </w:t>
      </w:r>
      <w:r>
        <w:rPr>
          <w:spacing w:val="-3"/>
        </w:rPr>
        <w:t>5、关于绩效评价与激励约束机制：公司已建立有效的绩效评价激励体系，董事、监事以</w:t>
      </w:r>
    </w:p>
    <w:p>
      <w:pPr>
        <w:pStyle w:val="BodyText"/>
        <w:spacing w:line="357" w:lineRule="auto" w:before="35"/>
        <w:ind w:left="153" w:right="251"/>
        <w:jc w:val="left"/>
      </w:pPr>
      <w:r>
        <w:rPr/>
        <w:t>及高级管理人员的薪酬与公司绩效和个人业绩挂钩；高级管理人员的聘任公开、透明，严格 遵循《公司章程》及有关法律、法规的规定。</w:t>
      </w:r>
    </w:p>
    <w:p>
      <w:pPr>
        <w:pStyle w:val="BodyText"/>
        <w:spacing w:line="357" w:lineRule="auto" w:before="35"/>
        <w:ind w:left="153" w:right="231" w:firstLine="480"/>
        <w:jc w:val="both"/>
      </w:pPr>
      <w:r>
        <w:rPr>
          <w:spacing w:val="-3"/>
        </w:rPr>
        <w:t>6、关于信息披露与透明度：公司指定董事会秘书负责公司信息披露工作，协调公司与投</w:t>
      </w:r>
      <w:r>
        <w:rPr/>
        <w:t> 资者的关系,接待股东来访,回答投资者咨询；公司能够严格按照有关法律、法规和《公司章 程》、《公司信息披露管理制度》、《公司投资者关系管理办法》的要求，真实、准确、及 时、完整地披露有关信息，确保公司所有股东能够以平等的机会获得信息。</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92" w:firstLine="480"/>
        <w:jc w:val="left"/>
      </w:pPr>
      <w:r>
        <w:rPr>
          <w:spacing w:val="-3"/>
        </w:rPr>
        <w:t>7、关于相关利益者：公司具有较强的社会责任感，能够充分尊重和维护相关利益者的合</w:t>
      </w:r>
      <w:r>
        <w:rPr/>
        <w:t> </w:t>
      </w:r>
      <w:r>
        <w:rPr>
          <w:spacing w:val="-3"/>
        </w:rPr>
        <w:t>法权益，实现公司、股东、员工、社会等各方利益的协调平衡，能够与利益相关者积极合作，</w:t>
      </w:r>
      <w:r>
        <w:rPr>
          <w:spacing w:val="-81"/>
        </w:rPr>
        <w:t> </w:t>
      </w:r>
      <w:r>
        <w:rPr>
          <w:spacing w:val="-81"/>
        </w:rPr>
      </w:r>
      <w:r>
        <w:rPr/>
        <w:t>共同推动公司持续、健康的发展。</w:t>
      </w:r>
    </w:p>
    <w:p>
      <w:pPr>
        <w:pStyle w:val="Heading3"/>
        <w:spacing w:line="240" w:lineRule="auto" w:before="69"/>
        <w:ind w:left="715" w:right="1890"/>
        <w:jc w:val="left"/>
      </w:pPr>
      <w:r>
        <w:rPr>
          <w:rFonts w:ascii="黑体" w:hAnsi="黑体" w:cs="黑体" w:eastAsia="黑体" w:hint="default"/>
          <w:b/>
          <w:bCs/>
        </w:rPr>
        <w:t>二</w:t>
      </w:r>
      <w:r>
        <w:rPr/>
        <w:t>、董事长、独立董事及其他董事履行职责情况</w:t>
      </w:r>
    </w:p>
    <w:p>
      <w:pPr>
        <w:pStyle w:val="BodyText"/>
        <w:spacing w:line="357" w:lineRule="auto" w:before="225"/>
        <w:ind w:right="308" w:firstLine="480"/>
        <w:jc w:val="both"/>
      </w:pPr>
      <w:r>
        <w:rPr>
          <w:spacing w:val="-3"/>
        </w:rPr>
        <w:t>1、报告期内，公司全体董事严格按照《公司法》、《中小企业板块上市公司董事行为指</w:t>
      </w:r>
      <w:r>
        <w:rPr>
          <w:spacing w:val="-1"/>
        </w:rPr>
        <w:t> </w:t>
      </w:r>
      <w:r>
        <w:rPr/>
        <w:t>引》及《公司章程》的规定和要求，履行董事职责，遵守董事行为规范，积极参加深圳交易</w:t>
      </w:r>
      <w:r>
        <w:rPr/>
        <w:t> 所、辽宁证监局组织的相关培训，提高规范运作水平。董事在董事会会议投票表决或决定其 他对公司有重大影响的事项时，严格遵循公司董事会议事规则的有关规定，审慎决策，切实 保护公司和投资者的利益。</w:t>
      </w:r>
    </w:p>
    <w:p>
      <w:pPr>
        <w:pStyle w:val="BodyText"/>
        <w:spacing w:line="357" w:lineRule="auto" w:before="35"/>
        <w:ind w:right="210" w:firstLine="480"/>
        <w:jc w:val="left"/>
      </w:pPr>
      <w:r>
        <w:rPr/>
        <w:t>2、公司董事长积极推动公司各项内控制度的制订和完善，加强董事会建设，依法召集、 主持董事会会议，严格董事会集体决策机制，全力执行股东大会决议，积极督促董事会决议 的执行，并积极将有关情况告知独立董事和其他董事，为其履行职责创造了良好条件。</w:t>
      </w:r>
    </w:p>
    <w:p>
      <w:pPr>
        <w:pStyle w:val="BodyText"/>
        <w:spacing w:line="357" w:lineRule="auto" w:before="35"/>
        <w:ind w:right="172" w:firstLine="540"/>
        <w:jc w:val="left"/>
      </w:pPr>
      <w:r>
        <w:rPr/>
        <w:t>3、公司独立董事能够严格按照有关法律、法规和《公司章程》的规定，勤勉尽责、忠 实履行职责，按时出席公司董事会会议，认真审议各项议案。报告期内独立董事对公司聘任 </w:t>
      </w:r>
      <w:r>
        <w:rPr>
          <w:spacing w:val="-2"/>
        </w:rPr>
        <w:t>审计机构、对外担保、关联方资金往来以及内部控制自我评价报告等有关事项均发表了独立、</w:t>
      </w:r>
      <w:r>
        <w:rPr/>
        <w:t> 客观、公正的意见，为公司的生产经营管理出谋划策，对董事会的科学决策及公司的良性发 展发挥了积极的作用，切实维护公司及股东特别是社会公众股股东的利益。 报告期内，公司独立董事未对董事会审议的各项议案及其他非董事会议案事项提出异议。</w:t>
      </w:r>
    </w:p>
    <w:p>
      <w:pPr>
        <w:pStyle w:val="BodyText"/>
        <w:spacing w:line="240" w:lineRule="auto" w:before="35"/>
        <w:ind w:left="634" w:right="1890"/>
        <w:jc w:val="left"/>
      </w:pPr>
      <w:r>
        <w:rPr/>
        <w:t>4、公司董事出席董事会的情况</w:t>
      </w:r>
    </w:p>
    <w:p>
      <w:pPr>
        <w:spacing w:line="240" w:lineRule="auto" w:before="9"/>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469"/>
        <w:gridCol w:w="1522"/>
        <w:gridCol w:w="1117"/>
        <w:gridCol w:w="1118"/>
        <w:gridCol w:w="1118"/>
        <w:gridCol w:w="1117"/>
        <w:gridCol w:w="1118"/>
        <w:gridCol w:w="1248"/>
      </w:tblGrid>
      <w:tr>
        <w:trPr>
          <w:trHeight w:val="790" w:hRule="exact"/>
        </w:trPr>
        <w:tc>
          <w:tcPr>
            <w:tcW w:w="14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4" w:right="102" w:hanging="360"/>
              <w:jc w:val="left"/>
              <w:rPr>
                <w:rFonts w:ascii="宋体" w:hAnsi="宋体" w:cs="宋体" w:eastAsia="宋体" w:hint="default"/>
                <w:sz w:val="18"/>
                <w:szCs w:val="18"/>
              </w:rPr>
            </w:pPr>
            <w:r>
              <w:rPr>
                <w:rFonts w:ascii="宋体" w:hAnsi="宋体" w:cs="宋体" w:eastAsia="宋体" w:hint="default"/>
                <w:sz w:val="18"/>
                <w:szCs w:val="18"/>
              </w:rPr>
              <w:t>亲自出席次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103" w:right="103"/>
              <w:jc w:val="center"/>
              <w:rPr>
                <w:rFonts w:ascii="宋体" w:hAnsi="宋体" w:cs="宋体" w:eastAsia="宋体" w:hint="default"/>
                <w:sz w:val="18"/>
                <w:szCs w:val="18"/>
              </w:rPr>
            </w:pPr>
            <w:r>
              <w:rPr>
                <w:rFonts w:ascii="宋体" w:hAnsi="宋体" w:cs="宋体" w:eastAsia="宋体" w:hint="default"/>
                <w:sz w:val="18"/>
                <w:szCs w:val="18"/>
              </w:rPr>
              <w:t>以通讯方式 参加会议次 数</w:t>
            </w:r>
          </w:p>
        </w:tc>
        <w:tc>
          <w:tcPr>
            <w:tcW w:w="11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5"/>
              <w:ind w:left="463" w:right="102" w:hanging="360"/>
              <w:jc w:val="left"/>
              <w:rPr>
                <w:rFonts w:ascii="宋体" w:hAnsi="宋体" w:cs="宋体" w:eastAsia="宋体" w:hint="default"/>
                <w:sz w:val="18"/>
                <w:szCs w:val="18"/>
              </w:rPr>
            </w:pPr>
            <w:r>
              <w:rPr>
                <w:rFonts w:ascii="宋体" w:hAnsi="宋体" w:cs="宋体" w:eastAsia="宋体" w:hint="default"/>
                <w:sz w:val="18"/>
                <w:szCs w:val="18"/>
              </w:rPr>
              <w:t>委托出席次 数</w:t>
            </w:r>
          </w:p>
        </w:tc>
        <w:tc>
          <w:tcPr>
            <w:tcW w:w="11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2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77" w:right="78"/>
              <w:jc w:val="center"/>
              <w:rPr>
                <w:rFonts w:ascii="宋体" w:hAnsi="宋体" w:cs="宋体" w:eastAsia="宋体" w:hint="default"/>
                <w:sz w:val="18"/>
                <w:szCs w:val="18"/>
              </w:rPr>
            </w:pPr>
            <w:r>
              <w:rPr>
                <w:rFonts w:ascii="宋体" w:hAnsi="宋体" w:cs="宋体" w:eastAsia="宋体" w:hint="default"/>
                <w:sz w:val="18"/>
                <w:szCs w:val="18"/>
              </w:rPr>
              <w:t>是否连续两次 未亲自出席会 议</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马成家</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龙浩</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王永华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周爱勤</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梅志明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郝智明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贾莉</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1" w:lineRule="exact" w:before="0"/>
        <w:ind w:left="574" w:right="92" w:firstLine="0"/>
        <w:jc w:val="left"/>
        <w:rPr>
          <w:rFonts w:ascii="宋体" w:hAnsi="宋体" w:cs="宋体" w:eastAsia="宋体" w:hint="default"/>
          <w:sz w:val="21"/>
          <w:szCs w:val="21"/>
        </w:rPr>
      </w:pPr>
      <w:r>
        <w:rPr>
          <w:rFonts w:ascii="宋体" w:hAnsi="宋体" w:cs="宋体" w:eastAsia="宋体" w:hint="default"/>
          <w:sz w:val="21"/>
          <w:szCs w:val="21"/>
        </w:rPr>
        <w:t>报告期内，公司独立董事对公司本年度董事会各项议案及公司其他事项没有提出异议。</w:t>
      </w:r>
    </w:p>
    <w:p>
      <w:pPr>
        <w:spacing w:after="0" w:line="241" w:lineRule="exact"/>
        <w:jc w:val="left"/>
        <w:rPr>
          <w:rFonts w:ascii="宋体" w:hAnsi="宋体" w:cs="宋体" w:eastAsia="宋体" w:hint="default"/>
          <w:sz w:val="21"/>
          <w:szCs w:val="21"/>
        </w:rPr>
        <w:sectPr>
          <w:pgSz w:w="11910" w:h="16840"/>
          <w:pgMar w:header="747" w:footer="669" w:top="980" w:bottom="860" w:left="980" w:right="820"/>
        </w:sectPr>
      </w:pPr>
    </w:p>
    <w:p>
      <w:pPr>
        <w:spacing w:line="240" w:lineRule="auto" w:before="12"/>
        <w:rPr>
          <w:rFonts w:ascii="宋体" w:hAnsi="宋体" w:cs="宋体" w:eastAsia="宋体" w:hint="default"/>
          <w:sz w:val="29"/>
          <w:szCs w:val="29"/>
        </w:rPr>
      </w:pPr>
    </w:p>
    <w:p>
      <w:pPr>
        <w:pStyle w:val="Heading3"/>
        <w:spacing w:line="240" w:lineRule="auto" w:before="13"/>
        <w:ind w:right="92"/>
        <w:jc w:val="left"/>
      </w:pPr>
      <w:r>
        <w:rPr/>
        <w:t>三、公司与控股股东在业务、人员、资产、机构、财务等方面的情况</w:t>
      </w:r>
    </w:p>
    <w:p>
      <w:pPr>
        <w:pStyle w:val="BodyText"/>
        <w:spacing w:line="357" w:lineRule="auto" w:before="185"/>
        <w:ind w:right="268" w:firstLine="480"/>
        <w:jc w:val="both"/>
      </w:pPr>
      <w:r>
        <w:rPr/>
        <w:t>在业务、人员、资产、机构、财务等方面与控股股东完全分开，具有独立、完整的资产 和业务及自主经营的能力。</w:t>
      </w:r>
    </w:p>
    <w:p>
      <w:pPr>
        <w:pStyle w:val="BodyText"/>
        <w:spacing w:line="357" w:lineRule="auto" w:before="35"/>
        <w:ind w:right="92" w:firstLine="480"/>
        <w:jc w:val="left"/>
      </w:pPr>
      <w:r>
        <w:rPr>
          <w:spacing w:val="-6"/>
        </w:rPr>
        <w:t>1、业务：公司业务结构完整，所需材料设备的采购及客户群、市场均不依赖于控股股东，</w:t>
      </w:r>
      <w:r>
        <w:rPr/>
        <w:t> 具有独立的产供销系统，具备独立面向市场并自主经营的业务能力，与控股股东之间无同业 竞争，控股股东不存在直接或间接干预公司经营的情形。</w:t>
      </w:r>
    </w:p>
    <w:p>
      <w:pPr>
        <w:pStyle w:val="BodyText"/>
        <w:spacing w:line="357" w:lineRule="auto" w:before="35"/>
        <w:ind w:right="228" w:firstLine="480"/>
        <w:jc w:val="both"/>
      </w:pPr>
      <w:r>
        <w:rPr>
          <w:spacing w:val="-3"/>
        </w:rPr>
        <w:t>2、人员：公司人员、劳动、人事、工资完全独立；公司高管人员未在控股股东及其下属</w:t>
      </w:r>
      <w:r>
        <w:rPr/>
        <w:t> 企业担任除董事、监事以外的任何职务，也未在控股股东及其下属企业领薪。</w:t>
      </w:r>
    </w:p>
    <w:p>
      <w:pPr>
        <w:pStyle w:val="BodyText"/>
        <w:spacing w:line="357" w:lineRule="auto" w:before="35"/>
        <w:ind w:right="231" w:firstLine="480"/>
        <w:jc w:val="both"/>
      </w:pPr>
      <w:r>
        <w:rPr>
          <w:spacing w:val="-3"/>
        </w:rPr>
        <w:t>3、资产：公司拥有独立的生产经营场所和完整的资产结构，拥有生产经营活动所必须的</w:t>
      </w:r>
      <w:r>
        <w:rPr/>
        <w:t> 生产系统、辅助生产系统和配套设施，公司专利权以及商标、土地、房屋等资产拥有完全的 控制权和支配权。</w:t>
      </w:r>
    </w:p>
    <w:p>
      <w:pPr>
        <w:pStyle w:val="BodyText"/>
        <w:spacing w:line="357" w:lineRule="auto" w:before="36"/>
        <w:ind w:right="130" w:firstLine="480"/>
        <w:jc w:val="left"/>
      </w:pPr>
      <w:r>
        <w:rPr/>
        <w:t>4、机构：公司设有健全的组织机构体系，股东大会、董事会、监事会、经理层、生产、 技术等部门独立运作，并制定了相应的内部管理和控制制度，使各部门之间分工明确、各司 其职、相互配合，从而构成了一个有机的整体，保证了公司的依法运作，不存在与控股股东 职能部门之间的从属关系。</w:t>
      </w:r>
    </w:p>
    <w:p>
      <w:pPr>
        <w:pStyle w:val="BodyText"/>
        <w:spacing w:line="357" w:lineRule="auto" w:before="35"/>
        <w:ind w:right="268" w:firstLine="480"/>
        <w:jc w:val="both"/>
      </w:pPr>
      <w:r>
        <w:rPr/>
        <w:t>（五）财务：公司设有独立的财务管理部门，建立了独立的会计核算体系和财务管理制 度以及内部审计制度，独立进行财务决策，独立开设银行帐户，独立纳税。</w:t>
      </w:r>
    </w:p>
    <w:p>
      <w:pPr>
        <w:spacing w:line="240" w:lineRule="auto" w:before="0"/>
        <w:rPr>
          <w:rFonts w:ascii="宋体" w:hAnsi="宋体" w:cs="宋体" w:eastAsia="宋体" w:hint="default"/>
          <w:sz w:val="24"/>
          <w:szCs w:val="24"/>
        </w:rPr>
      </w:pPr>
    </w:p>
    <w:p>
      <w:pPr>
        <w:pStyle w:val="Heading3"/>
        <w:spacing w:line="357" w:lineRule="auto" w:before="180"/>
        <w:ind w:left="154" w:right="92" w:firstLine="560"/>
        <w:jc w:val="left"/>
      </w:pPr>
      <w:r>
        <w:rPr>
          <w:w w:val="95"/>
        </w:rPr>
        <w:t>四、报告期内对高级管理人员的考评及激励机制、相关奖励制度的建立及</w:t>
      </w:r>
      <w:r>
        <w:rPr>
          <w:w w:val="99"/>
        </w:rPr>
        <w:t> </w:t>
      </w:r>
      <w:r>
        <w:rPr/>
        <w:t>实施情况。</w:t>
      </w:r>
    </w:p>
    <w:p>
      <w:pPr>
        <w:pStyle w:val="BodyText"/>
        <w:spacing w:line="357" w:lineRule="auto" w:before="48"/>
        <w:ind w:right="268" w:firstLine="480"/>
        <w:jc w:val="both"/>
      </w:pPr>
      <w:r>
        <w:rPr/>
        <w:t>公司建立了完善的绩效考评体系，高级管理人员的工作绩效与其收入直接挂钩。公司董 事会薪酬与考核委员会负责根据公司主要经济指标和管理指标的完成情况对高级管理人员的 业绩、工作能力、履职情况进行考评，制定薪酬方案报公司董事会审批。</w:t>
      </w:r>
    </w:p>
    <w:p>
      <w:pPr>
        <w:pStyle w:val="BodyText"/>
        <w:spacing w:line="357" w:lineRule="auto" w:before="74"/>
        <w:ind w:left="153" w:right="230" w:firstLine="480"/>
        <w:jc w:val="both"/>
      </w:pPr>
      <w:r>
        <w:rPr/>
        <w:t>公司已实现了高级管理人员持股计划，初步建立了高管层股权激励机制，公司还将根据</w:t>
      </w:r>
      <w:r>
        <w:rPr>
          <w:spacing w:val="1"/>
        </w:rPr>
        <w:t> </w:t>
      </w:r>
      <w:r>
        <w:rPr/>
        <w:t>中国证监会和深圳证券交易所有关规定，进一步完善骨干层的股权和期权激励机制。</w:t>
      </w:r>
    </w:p>
    <w:p>
      <w:pPr>
        <w:pStyle w:val="BodyText"/>
        <w:spacing w:line="357" w:lineRule="auto" w:before="76"/>
        <w:ind w:left="153" w:right="231" w:firstLine="480"/>
        <w:jc w:val="both"/>
      </w:pPr>
      <w:r>
        <w:rPr/>
        <w:t>公司继续推行美国</w:t>
      </w:r>
      <w:r>
        <w:rPr>
          <w:spacing w:val="-28"/>
        </w:rPr>
        <w:t> </w:t>
      </w:r>
      <w:r>
        <w:rPr/>
        <w:t>GE</w:t>
      </w:r>
      <w:r>
        <w:rPr>
          <w:spacing w:val="-28"/>
        </w:rPr>
        <w:t> </w:t>
      </w:r>
      <w:r>
        <w:rPr/>
        <w:t>公司的</w:t>
      </w:r>
      <w:r>
        <w:rPr>
          <w:spacing w:val="-28"/>
        </w:rPr>
        <w:t> </w:t>
      </w:r>
      <w:r>
        <w:rPr/>
        <w:t>20%-70%-10% 绩效考核制度，制定了详尽的工作量化标准</w:t>
      </w:r>
      <w:r>
        <w:rPr/>
        <w:t> </w:t>
      </w:r>
      <w:r>
        <w:rPr>
          <w:spacing w:val="-3"/>
        </w:rPr>
        <w:t>和奖惩制度，每年评选</w:t>
      </w:r>
      <w:r>
        <w:rPr>
          <w:spacing w:val="-67"/>
        </w:rPr>
        <w:t> </w:t>
      </w:r>
      <w:r>
        <w:rPr/>
        <w:t>20%的优秀员工、70%的合格员工，保持每年</w:t>
      </w:r>
      <w:r>
        <w:rPr>
          <w:spacing w:val="-67"/>
        </w:rPr>
        <w:t> </w:t>
      </w:r>
      <w:r>
        <w:rPr/>
        <w:t>10%</w:t>
      </w:r>
      <w:r>
        <w:rPr>
          <w:spacing w:val="-13"/>
        </w:rPr>
        <w:t> </w:t>
      </w:r>
      <w:r>
        <w:rPr>
          <w:spacing w:val="-3"/>
        </w:rPr>
        <w:t>的人员更新率，确立</w:t>
      </w:r>
      <w:r>
        <w:rPr/>
        <w:t> 建设卓越团队的基础管理体系。</w:t>
      </w:r>
    </w:p>
    <w:p>
      <w:pPr>
        <w:spacing w:after="0" w:line="357" w:lineRule="auto"/>
        <w:jc w:val="both"/>
        <w:sectPr>
          <w:pgSz w:w="11910" w:h="16840"/>
          <w:pgMar w:header="747" w:footer="669" w:top="980" w:bottom="860" w:left="980" w:right="900"/>
        </w:sectPr>
      </w:pPr>
    </w:p>
    <w:p>
      <w:pPr>
        <w:spacing w:line="240" w:lineRule="auto" w:before="12"/>
        <w:rPr>
          <w:rFonts w:ascii="宋体" w:hAnsi="宋体" w:cs="宋体" w:eastAsia="宋体" w:hint="default"/>
          <w:sz w:val="29"/>
          <w:szCs w:val="29"/>
        </w:rPr>
      </w:pPr>
    </w:p>
    <w:p>
      <w:pPr>
        <w:pStyle w:val="Heading3"/>
        <w:spacing w:line="240" w:lineRule="auto" w:before="13"/>
        <w:ind w:right="92"/>
        <w:jc w:val="left"/>
      </w:pPr>
      <w:r>
        <w:rPr/>
        <w:t>五、公司内部控制制度的建立健全情况</w:t>
      </w:r>
    </w:p>
    <w:p>
      <w:pPr>
        <w:pStyle w:val="BodyText"/>
        <w:spacing w:line="357" w:lineRule="auto" w:before="185"/>
        <w:ind w:right="250" w:firstLine="480"/>
        <w:jc w:val="left"/>
      </w:pPr>
      <w:r>
        <w:rPr/>
        <w:t>公司成立以来，一直致力于内部控制制度的制定和完善，建立了一套完整、合法、有效 的内部控制制度，主要包括：</w:t>
      </w:r>
    </w:p>
    <w:p>
      <w:pPr>
        <w:pStyle w:val="BodyText"/>
        <w:spacing w:line="240" w:lineRule="auto" w:before="35"/>
        <w:ind w:left="634" w:right="92"/>
        <w:jc w:val="left"/>
      </w:pPr>
      <w:r>
        <w:rPr/>
        <w:t>1、以《公司章程》及三会议事规则为核心的公司治理制度；</w:t>
      </w:r>
    </w:p>
    <w:p>
      <w:pPr>
        <w:pStyle w:val="BodyText"/>
        <w:spacing w:line="357" w:lineRule="auto" w:before="152"/>
        <w:ind w:left="994" w:right="92" w:hanging="360"/>
        <w:jc w:val="left"/>
      </w:pPr>
      <w:r>
        <w:rPr>
          <w:spacing w:val="-3"/>
        </w:rPr>
        <w:t>2、以行政管理制度、人力资源管理制度、信息管理控制度、内部控制监督检查管理办法</w:t>
      </w:r>
      <w:r>
        <w:rPr>
          <w:spacing w:val="-87"/>
        </w:rPr>
        <w:t> </w:t>
      </w:r>
      <w:r>
        <w:rPr>
          <w:spacing w:val="-87"/>
        </w:rPr>
      </w:r>
      <w:r>
        <w:rPr/>
        <w:t>为组成的公司日常管理制度；</w:t>
      </w:r>
    </w:p>
    <w:p>
      <w:pPr>
        <w:pStyle w:val="BodyText"/>
        <w:spacing w:line="357" w:lineRule="auto" w:before="35"/>
        <w:ind w:left="994" w:right="92" w:hanging="360"/>
        <w:jc w:val="left"/>
      </w:pPr>
      <w:r>
        <w:rPr>
          <w:spacing w:val="-3"/>
        </w:rPr>
        <w:t>3、按照财政部发布的《企业会计准则》及有关补充规定制定的会计核算制度和财务管理</w:t>
      </w:r>
      <w:r>
        <w:rPr>
          <w:spacing w:val="-85"/>
        </w:rPr>
        <w:t> </w:t>
      </w:r>
      <w:r>
        <w:rPr>
          <w:spacing w:val="-85"/>
        </w:rPr>
      </w:r>
      <w:r>
        <w:rPr/>
        <w:t>制度；</w:t>
      </w:r>
    </w:p>
    <w:p>
      <w:pPr>
        <w:pStyle w:val="BodyText"/>
        <w:spacing w:line="357" w:lineRule="auto" w:before="35"/>
        <w:ind w:left="694" w:right="228" w:hanging="60"/>
        <w:jc w:val="left"/>
      </w:pPr>
      <w:r>
        <w:rPr/>
        <w:t>4、以ISO9001质量管理体系为核心的业务控制制度。 </w:t>
      </w:r>
      <w:r>
        <w:rPr>
          <w:spacing w:val="-1"/>
        </w:rPr>
        <w:t>公司设立内部审计部为公司董事会对公司进行稽核监督的机构。内部审计部按照有利于</w:t>
      </w:r>
    </w:p>
    <w:p>
      <w:pPr>
        <w:pStyle w:val="BodyText"/>
        <w:spacing w:line="357" w:lineRule="auto" w:before="35"/>
        <w:ind w:right="268"/>
        <w:jc w:val="both"/>
      </w:pPr>
      <w:r>
        <w:rPr/>
        <w:t>事前、事中和事后监督的原则，对公司及控制子公司的经营活动和内部控制制度的建立和执 行情况进行检查监督，并对每次检查对象和内容进行评价，提出改进建议和处理意见，确保 内部控制的贯彻实施和生产经营活动的正常进行。</w:t>
      </w:r>
    </w:p>
    <w:p>
      <w:pPr>
        <w:pStyle w:val="BodyText"/>
        <w:spacing w:line="357" w:lineRule="auto" w:before="35"/>
        <w:ind w:right="92" w:firstLine="540"/>
        <w:jc w:val="left"/>
      </w:pPr>
      <w:r>
        <w:rPr/>
        <w:t>报告期，董事会制定和审核通过了《董事、监事和高级管理人员所持本公司股份及其变 </w:t>
      </w:r>
      <w:r>
        <w:rPr>
          <w:spacing w:val="-16"/>
        </w:rPr>
        <w:t>动管理制度》,修改了《独立董事工作制度》、《审计委员会议事规则》、《募集资金管理办法》、</w:t>
      </w:r>
    </w:p>
    <w:p>
      <w:pPr>
        <w:pStyle w:val="BodyText"/>
        <w:spacing w:line="357" w:lineRule="auto" w:before="35"/>
        <w:ind w:right="92"/>
        <w:jc w:val="left"/>
      </w:pPr>
      <w:r>
        <w:rPr>
          <w:spacing w:val="-6"/>
        </w:rPr>
        <w:t>《信息披露事务管理制度》、《公司章程》等相关制度，公司强化了独立董事及董事会各专业</w:t>
      </w:r>
      <w:r>
        <w:rPr>
          <w:spacing w:val="-114"/>
        </w:rPr>
        <w:t> </w:t>
      </w:r>
      <w:r>
        <w:rPr>
          <w:spacing w:val="-114"/>
        </w:rPr>
      </w:r>
      <w:r>
        <w:rPr>
          <w:spacing w:val="-2"/>
        </w:rPr>
        <w:t>委员会的职能，推动了公司法人治理结构的完善，使投资者权益保护工作得到制度上的保障。</w:t>
      </w:r>
    </w:p>
    <w:p>
      <w:pPr>
        <w:pStyle w:val="BodyText"/>
        <w:spacing w:line="357" w:lineRule="auto" w:before="35"/>
        <w:ind w:right="231" w:firstLine="540"/>
        <w:jc w:val="both"/>
      </w:pPr>
      <w:r>
        <w:rPr>
          <w:spacing w:val="-1"/>
        </w:rPr>
        <w:t>公司管理层认为，公司现有的内部控制制度是针对公司的实际情况而制订的，涵盖了公</w:t>
      </w:r>
      <w:r>
        <w:rPr/>
        <w:t> 司研发、生产、营销、投资决策、预算控制、成本管理、人力资源、文件档案等各个管理环 节。内部控制制度有力地保证了公司经营业务的有效进行，保护了资产的安全和完整，能够 防止并及时发现、纠正错误，保证了公司财务资料的真实、合法、完整，促进了公司经营效 率的提高和经营目标的实现，符合公司发展的要求，在完整性、有效性和合理性方面不存在 重大缺陷。公司内控制度得到完整、合理和有效的执行。今后，公司将根据公司业务发展和 内部机构调整的需要，及时完善和补充内部控制制度，提高内部控制制度的可操作性，以使 内部控制制度在公司的经营管理中发挥更大的作用，促进公司持续、稳健、高速发展。</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3"/>
        <w:spacing w:line="240" w:lineRule="auto"/>
        <w:ind w:right="92"/>
        <w:jc w:val="left"/>
      </w:pPr>
      <w:r>
        <w:rPr/>
        <w:t>六、公司内部审计制度的建立和执行情况</w:t>
      </w:r>
    </w:p>
    <w:p>
      <w:pPr>
        <w:pStyle w:val="BodyText"/>
        <w:spacing w:line="357" w:lineRule="auto" w:before="185"/>
        <w:ind w:right="250" w:firstLine="480"/>
        <w:jc w:val="left"/>
      </w:pPr>
      <w:r>
        <w:rPr/>
        <w:t>公司根据深圳证券交易所《中小企业板块上市公司特别规定》的要求，以及经营活动的 实际需要，设立了内部审计部，制定了《内部审计管理制度》进一步完善了审计部的内部管</w:t>
      </w:r>
    </w:p>
    <w:p>
      <w:pPr>
        <w:spacing w:after="0" w:line="357"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274" w:right="152"/>
        <w:jc w:val="left"/>
      </w:pPr>
      <w:r>
        <w:rPr>
          <w:spacing w:val="-3"/>
        </w:rPr>
        <w:t>理和职能，并由董事会聘任了审计部负责人，配置3名专职人员。同时，公司董事会下设审计</w:t>
      </w:r>
      <w:r>
        <w:rPr>
          <w:spacing w:val="-81"/>
        </w:rPr>
        <w:t> </w:t>
      </w:r>
      <w:r>
        <w:rPr>
          <w:spacing w:val="-81"/>
        </w:rPr>
      </w:r>
      <w:r>
        <w:rPr/>
        <w:t>委员会，代表董事会执行审计监督职能。为改善公司经营管理，提高经济效益，确保资产完 </w:t>
      </w:r>
      <w:r>
        <w:rPr>
          <w:spacing w:val="-3"/>
        </w:rPr>
        <w:t>整与安全，报告期内，内审部门按照《中小企业板上市公司内部审计工作指引》的相关规定，</w:t>
      </w:r>
      <w:r>
        <w:rPr>
          <w:spacing w:val="-81"/>
        </w:rPr>
        <w:t> </w:t>
      </w:r>
      <w:r>
        <w:rPr>
          <w:spacing w:val="-81"/>
        </w:rPr>
      </w:r>
      <w:r>
        <w:rPr>
          <w:spacing w:val="-2"/>
        </w:rPr>
        <w:t>对公司事业部和主要子公司进行了专项审计，并对公司的募集资金的使用与管理、财务报告、</w:t>
      </w:r>
      <w:r>
        <w:rPr/>
        <w:t> 资金及财产管理、成本费用、经济效益以及规章制度执行情况等进行了监督检查，忠实履行 了审计监督程序。</w:t>
      </w:r>
    </w:p>
    <w:p>
      <w:pPr>
        <w:spacing w:line="240" w:lineRule="auto" w:before="3"/>
        <w:rPr>
          <w:rFonts w:ascii="宋体" w:hAnsi="宋体" w:cs="宋体" w:eastAsia="宋体" w:hint="default"/>
          <w:sz w:val="19"/>
          <w:szCs w:val="19"/>
        </w:rPr>
      </w:pPr>
    </w:p>
    <w:p>
      <w:pPr>
        <w:pStyle w:val="BodyText"/>
        <w:spacing w:line="240" w:lineRule="auto"/>
        <w:ind w:left="3383" w:right="152"/>
        <w:jc w:val="left"/>
      </w:pPr>
      <w:r>
        <w:rPr/>
        <w:t>2008</w:t>
      </w:r>
      <w:r>
        <w:rPr>
          <w:spacing w:val="-60"/>
        </w:rPr>
        <w:t> </w:t>
      </w:r>
      <w:r>
        <w:rPr/>
        <w:t>年内部控制相关情况披露表</w:t>
      </w:r>
    </w:p>
    <w:p>
      <w:pPr>
        <w:spacing w:line="240" w:lineRule="auto" w:before="3"/>
        <w:rPr>
          <w:rFonts w:ascii="宋体" w:hAnsi="宋体" w:cs="宋体" w:eastAsia="宋体"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6727"/>
        <w:gridCol w:w="1595"/>
        <w:gridCol w:w="1645"/>
      </w:tblGrid>
      <w:tr>
        <w:trPr>
          <w:trHeight w:val="1064" w:hRule="exact"/>
        </w:trPr>
        <w:tc>
          <w:tcPr>
            <w:tcW w:w="67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91"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w:t>
            </w:r>
            <w:r>
              <w:rPr>
                <w:rFonts w:ascii="宋体" w:hAnsi="宋体" w:cs="宋体" w:eastAsia="宋体" w:hint="default"/>
                <w:sz w:val="18"/>
                <w:szCs w:val="18"/>
              </w:rPr>
              <w:t>说明</w:t>
            </w:r>
          </w:p>
          <w:p>
            <w:pPr>
              <w:pStyle w:val="TableParagraph"/>
              <w:spacing w:line="237" w:lineRule="auto" w:before="25"/>
              <w:ind w:left="103" w:right="99" w:hanging="1"/>
              <w:jc w:val="center"/>
              <w:rPr>
                <w:rFonts w:ascii="宋体" w:hAnsi="宋体" w:cs="宋体" w:eastAsia="宋体" w:hint="default"/>
                <w:sz w:val="18"/>
                <w:szCs w:val="18"/>
              </w:rPr>
            </w:pPr>
            <w:r>
              <w:rPr>
                <w:rFonts w:ascii="宋体" w:hAnsi="宋体" w:cs="宋体" w:eastAsia="宋体" w:hint="default"/>
                <w:sz w:val="18"/>
                <w:szCs w:val="18"/>
              </w:rPr>
              <w:t>（如选择否或不 </w:t>
            </w:r>
            <w:r>
              <w:rPr>
                <w:rFonts w:ascii="宋体" w:hAnsi="宋体" w:cs="宋体" w:eastAsia="宋体" w:hint="default"/>
                <w:spacing w:val="-2"/>
                <w:sz w:val="18"/>
                <w:szCs w:val="18"/>
              </w:rPr>
              <w:t>适用，请说明具体</w:t>
            </w:r>
            <w:r>
              <w:rPr>
                <w:rFonts w:ascii="宋体" w:hAnsi="宋体" w:cs="宋体" w:eastAsia="宋体" w:hint="default"/>
                <w:sz w:val="18"/>
                <w:szCs w:val="18"/>
              </w:rPr>
              <w:t> 原因）</w:t>
            </w: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一、内部审计制度的建立情况以及内审工作指引落实情况</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．内部审计制度建立</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left"/>
              <w:rPr>
                <w:rFonts w:ascii="宋体" w:hAnsi="宋体" w:cs="宋体" w:eastAsia="宋体" w:hint="default"/>
                <w:sz w:val="18"/>
                <w:szCs w:val="18"/>
              </w:rPr>
            </w:pPr>
            <w:r>
              <w:rPr>
                <w:rFonts w:ascii="宋体" w:hAnsi="宋体" w:cs="宋体" w:eastAsia="宋体" w:hint="default"/>
                <w:sz w:val="18"/>
                <w:szCs w:val="18"/>
              </w:rPr>
              <w:t>公司是否在股票上市后六个月内建立内部审计制度，内部审计制度是否经公司董事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会审议通过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．机构设置</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left"/>
              <w:rPr>
                <w:rFonts w:ascii="宋体" w:hAnsi="宋体" w:cs="宋体" w:eastAsia="宋体" w:hint="default"/>
                <w:sz w:val="18"/>
                <w:szCs w:val="18"/>
              </w:rPr>
            </w:pPr>
            <w:r>
              <w:rPr>
                <w:rFonts w:ascii="宋体" w:hAnsi="宋体" w:cs="宋体" w:eastAsia="宋体" w:hint="default"/>
                <w:sz w:val="18"/>
                <w:szCs w:val="18"/>
              </w:rPr>
              <w:t>公司董事会是否设立审计委员会，公司在股票上市后六个月内是否设立独立于财务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部门的内部审计部门，内部审计部门是否对审计委员会负责</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．人员安排</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0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）审计委员会成员是否全部由董事组成，独立董事占半数以上并担任召集人，且</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至少有一名独立董事为会计专业人士</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）内部审计部门是否配置三名以上（含三名）专职人员从事内部审计工作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）内部审计部门负责人是否专职，由审计委员会提名，董事会任免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59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79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103" w:right="10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．审计委员会是否根据内部审计部门出具的评价报告及相关资料，对与财务报告和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信息披露事务相关的内部控制制度的建立和实施情况出具年度内部控制自我评价报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129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．本年度内部控制自我评价报告是否包括以下内容：</w:t>
            </w:r>
          </w:p>
          <w:p>
            <w:pPr>
              <w:pStyle w:val="TableParagraph"/>
              <w:spacing w:line="225" w:lineRule="auto" w:before="35"/>
              <w:ind w:left="103" w:right="100" w:hanging="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）内部控制制度是否建立健全和有效实施；（</w:t>
            </w: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）内部控制存在的缺陷和异常事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项及其处理情况（如适用）；（</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）改进和完善内部控制制度建立及其实施的有关措</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施；（</w:t>
            </w:r>
            <w:r>
              <w:rPr>
                <w:rFonts w:ascii="Times New Roman" w:hAnsi="Times New Roman" w:cs="Times New Roman" w:eastAsia="Times New Roman" w:hint="default"/>
                <w:sz w:val="18"/>
                <w:szCs w:val="18"/>
              </w:rPr>
              <w:t>4</w:t>
            </w:r>
            <w:r>
              <w:rPr>
                <w:rFonts w:ascii="宋体" w:hAnsi="宋体" w:cs="宋体" w:eastAsia="宋体" w:hint="default"/>
                <w:sz w:val="18"/>
                <w:szCs w:val="18"/>
              </w:rPr>
              <w:t>）上一年度内部控制存在的缺陷和异常事项的改进情况（如适用）；（</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本年度内部控制审查与评价工作完成情况的说明。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．内部控制自我评价报告结论是否为内部控制有效。如为内部控制无效，请说明内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部控制存在的重大缺陷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425"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．本年度是否聘请会计师事务所对内部控制有效性出具鉴证报告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102"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公司从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年度 </w:t>
            </w:r>
            <w:r>
              <w:rPr>
                <w:rFonts w:ascii="宋体" w:hAnsi="宋体" w:cs="宋体" w:eastAsia="宋体" w:hint="default"/>
                <w:spacing w:val="9"/>
                <w:sz w:val="18"/>
                <w:szCs w:val="18"/>
              </w:rPr>
              <w:t>起</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26"/>
                <w:sz w:val="18"/>
                <w:szCs w:val="18"/>
              </w:rPr>
              <w:t> </w:t>
            </w:r>
            <w:r>
              <w:rPr>
                <w:rFonts w:ascii="宋体" w:hAnsi="宋体" w:cs="宋体" w:eastAsia="宋体" w:hint="default"/>
                <w:spacing w:val="14"/>
                <w:sz w:val="18"/>
                <w:szCs w:val="18"/>
              </w:rPr>
              <w:t>每两年聘请会</w:t>
            </w:r>
            <w:r>
              <w:rPr>
                <w:rFonts w:ascii="宋体" w:hAnsi="宋体" w:cs="宋体" w:eastAsia="宋体" w:hint="default"/>
                <w:spacing w:val="-88"/>
                <w:sz w:val="18"/>
                <w:szCs w:val="18"/>
              </w:rPr>
              <w:t> </w:t>
            </w:r>
            <w:r>
              <w:rPr>
                <w:rFonts w:ascii="宋体" w:hAnsi="宋体" w:cs="宋体" w:eastAsia="宋体" w:hint="default"/>
                <w:spacing w:val="18"/>
                <w:sz w:val="18"/>
                <w:szCs w:val="18"/>
              </w:rPr>
              <w:t>计师事</w:t>
            </w:r>
            <w:r>
              <w:rPr>
                <w:rFonts w:ascii="宋体" w:hAnsi="宋体" w:cs="宋体" w:eastAsia="宋体" w:hint="default"/>
                <w:spacing w:val="-63"/>
                <w:sz w:val="18"/>
                <w:szCs w:val="18"/>
              </w:rPr>
              <w:t> </w:t>
            </w:r>
            <w:r>
              <w:rPr>
                <w:rFonts w:ascii="宋体" w:hAnsi="宋体" w:cs="宋体" w:eastAsia="宋体" w:hint="default"/>
                <w:spacing w:val="14"/>
                <w:sz w:val="18"/>
                <w:szCs w:val="18"/>
              </w:rPr>
              <w:t>务所</w:t>
            </w:r>
            <w:r>
              <w:rPr>
                <w:rFonts w:ascii="宋体" w:hAnsi="宋体" w:cs="宋体" w:eastAsia="宋体" w:hint="default"/>
                <w:spacing w:val="-63"/>
                <w:sz w:val="18"/>
                <w:szCs w:val="18"/>
              </w:rPr>
              <w:t> </w:t>
            </w:r>
            <w:r>
              <w:rPr>
                <w:rFonts w:ascii="宋体" w:hAnsi="宋体" w:cs="宋体" w:eastAsia="宋体" w:hint="default"/>
                <w:spacing w:val="14"/>
                <w:sz w:val="18"/>
                <w:szCs w:val="18"/>
              </w:rPr>
              <w:t>对公</w:t>
            </w:r>
            <w:r>
              <w:rPr>
                <w:rFonts w:ascii="宋体" w:hAnsi="宋体" w:cs="宋体" w:eastAsia="宋体" w:hint="default"/>
                <w:spacing w:val="-62"/>
                <w:sz w:val="18"/>
                <w:szCs w:val="18"/>
              </w:rPr>
              <w:t> </w:t>
            </w:r>
            <w:r>
              <w:rPr>
                <w:rFonts w:ascii="宋体" w:hAnsi="宋体" w:cs="宋体" w:eastAsia="宋体" w:hint="default"/>
                <w:spacing w:val="18"/>
                <w:sz w:val="18"/>
                <w:szCs w:val="18"/>
              </w:rPr>
              <w:t>司内部</w:t>
            </w:r>
            <w:r>
              <w:rPr>
                <w:rFonts w:ascii="宋体" w:hAnsi="宋体" w:cs="宋体" w:eastAsia="宋体" w:hint="default"/>
                <w:spacing w:val="-63"/>
                <w:sz w:val="18"/>
                <w:szCs w:val="18"/>
              </w:rPr>
              <w:t> </w:t>
            </w:r>
            <w:r>
              <w:rPr>
                <w:rFonts w:ascii="宋体" w:hAnsi="宋体" w:cs="宋体" w:eastAsia="宋体" w:hint="default"/>
                <w:spacing w:val="14"/>
                <w:sz w:val="18"/>
                <w:szCs w:val="18"/>
              </w:rPr>
              <w:t>控制</w:t>
            </w:r>
            <w:r>
              <w:rPr>
                <w:rFonts w:ascii="宋体" w:hAnsi="宋体" w:cs="宋体" w:eastAsia="宋体" w:hint="default"/>
                <w:spacing w:val="-63"/>
                <w:sz w:val="18"/>
                <w:szCs w:val="18"/>
              </w:rPr>
              <w:t> </w:t>
            </w:r>
            <w:r>
              <w:rPr>
                <w:rFonts w:ascii="宋体" w:hAnsi="宋体" w:cs="宋体" w:eastAsia="宋体" w:hint="default"/>
                <w:spacing w:val="14"/>
                <w:sz w:val="18"/>
                <w:szCs w:val="18"/>
              </w:rPr>
              <w:t>有效</w:t>
            </w:r>
            <w:r>
              <w:rPr>
                <w:rFonts w:ascii="宋体" w:hAnsi="宋体" w:cs="宋体" w:eastAsia="宋体" w:hint="default"/>
                <w:spacing w:val="-62"/>
                <w:sz w:val="18"/>
                <w:szCs w:val="18"/>
              </w:rPr>
              <w:t> </w:t>
            </w:r>
            <w:r>
              <w:rPr>
                <w:rFonts w:ascii="宋体" w:hAnsi="宋体" w:cs="宋体" w:eastAsia="宋体" w:hint="default"/>
                <w:spacing w:val="18"/>
                <w:sz w:val="18"/>
                <w:szCs w:val="18"/>
              </w:rPr>
              <w:t>性出具</w:t>
            </w:r>
            <w:r>
              <w:rPr>
                <w:rFonts w:ascii="宋体" w:hAnsi="宋体" w:cs="宋体" w:eastAsia="宋体" w:hint="default"/>
                <w:spacing w:val="-63"/>
                <w:sz w:val="18"/>
                <w:szCs w:val="18"/>
              </w:rPr>
              <w:t> </w:t>
            </w:r>
            <w:r>
              <w:rPr>
                <w:rFonts w:ascii="宋体" w:hAnsi="宋体" w:cs="宋体" w:eastAsia="宋体" w:hint="default"/>
                <w:spacing w:val="14"/>
                <w:sz w:val="18"/>
                <w:szCs w:val="18"/>
              </w:rPr>
              <w:t>一次</w:t>
            </w:r>
            <w:r>
              <w:rPr>
                <w:rFonts w:ascii="宋体" w:hAnsi="宋体" w:cs="宋体" w:eastAsia="宋体" w:hint="default"/>
                <w:spacing w:val="-63"/>
                <w:sz w:val="18"/>
                <w:szCs w:val="18"/>
              </w:rPr>
              <w:t> </w:t>
            </w:r>
            <w:r>
              <w:rPr>
                <w:rFonts w:ascii="宋体" w:hAnsi="宋体" w:cs="宋体" w:eastAsia="宋体" w:hint="default"/>
                <w:spacing w:val="14"/>
                <w:sz w:val="18"/>
                <w:szCs w:val="18"/>
              </w:rPr>
              <w:t>内部</w:t>
            </w:r>
            <w:r>
              <w:rPr>
                <w:rFonts w:ascii="宋体" w:hAnsi="宋体" w:cs="宋体" w:eastAsia="宋体" w:hint="default"/>
                <w:spacing w:val="-62"/>
                <w:sz w:val="18"/>
                <w:szCs w:val="18"/>
              </w:rPr>
              <w:t> </w:t>
            </w:r>
            <w:r>
              <w:rPr>
                <w:rFonts w:ascii="宋体" w:hAnsi="宋体" w:cs="宋体" w:eastAsia="宋体" w:hint="default"/>
                <w:spacing w:val="15"/>
                <w:sz w:val="18"/>
                <w:szCs w:val="18"/>
              </w:rPr>
              <w:t>控制鉴定报告</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下 </w:t>
            </w:r>
            <w:r>
              <w:rPr>
                <w:rFonts w:ascii="宋体" w:hAnsi="宋体" w:cs="宋体" w:eastAsia="宋体" w:hint="default"/>
                <w:spacing w:val="18"/>
                <w:sz w:val="18"/>
                <w:szCs w:val="18"/>
              </w:rPr>
              <w:t>一年度</w:t>
            </w:r>
            <w:r>
              <w:rPr>
                <w:rFonts w:ascii="宋体" w:hAnsi="宋体" w:cs="宋体" w:eastAsia="宋体" w:hint="default"/>
                <w:spacing w:val="-63"/>
                <w:sz w:val="18"/>
                <w:szCs w:val="18"/>
              </w:rPr>
              <w:t> </w:t>
            </w:r>
            <w:r>
              <w:rPr>
                <w:rFonts w:ascii="宋体" w:hAnsi="宋体" w:cs="宋体" w:eastAsia="宋体" w:hint="default"/>
                <w:spacing w:val="14"/>
                <w:sz w:val="18"/>
                <w:szCs w:val="18"/>
              </w:rPr>
              <w:t>公司</w:t>
            </w:r>
            <w:r>
              <w:rPr>
                <w:rFonts w:ascii="宋体" w:hAnsi="宋体" w:cs="宋体" w:eastAsia="宋体" w:hint="default"/>
                <w:spacing w:val="-63"/>
                <w:sz w:val="18"/>
                <w:szCs w:val="18"/>
              </w:rPr>
              <w:t> </w:t>
            </w:r>
            <w:r>
              <w:rPr>
                <w:rFonts w:ascii="宋体" w:hAnsi="宋体" w:cs="宋体" w:eastAsia="宋体" w:hint="default"/>
                <w:spacing w:val="14"/>
                <w:sz w:val="18"/>
                <w:szCs w:val="18"/>
              </w:rPr>
              <w:t>将聘</w:t>
            </w:r>
            <w:r>
              <w:rPr>
                <w:rFonts w:ascii="宋体" w:hAnsi="宋体" w:cs="宋体" w:eastAsia="宋体" w:hint="default"/>
                <w:spacing w:val="-62"/>
                <w:sz w:val="18"/>
                <w:szCs w:val="18"/>
              </w:rPr>
              <w:t> </w:t>
            </w:r>
            <w:r>
              <w:rPr>
                <w:rFonts w:ascii="宋体" w:hAnsi="宋体" w:cs="宋体" w:eastAsia="宋体" w:hint="default"/>
                <w:spacing w:val="18"/>
                <w:sz w:val="18"/>
                <w:szCs w:val="18"/>
              </w:rPr>
              <w:t>请会计</w:t>
            </w:r>
            <w:r>
              <w:rPr>
                <w:rFonts w:ascii="宋体" w:hAnsi="宋体" w:cs="宋体" w:eastAsia="宋体" w:hint="default"/>
                <w:spacing w:val="-63"/>
                <w:sz w:val="18"/>
                <w:szCs w:val="18"/>
              </w:rPr>
              <w:t> </w:t>
            </w:r>
            <w:r>
              <w:rPr>
                <w:rFonts w:ascii="宋体" w:hAnsi="宋体" w:cs="宋体" w:eastAsia="宋体" w:hint="default"/>
                <w:spacing w:val="14"/>
                <w:sz w:val="18"/>
                <w:szCs w:val="18"/>
              </w:rPr>
              <w:t>师事</w:t>
            </w:r>
            <w:r>
              <w:rPr>
                <w:rFonts w:ascii="宋体" w:hAnsi="宋体" w:cs="宋体" w:eastAsia="宋体" w:hint="default"/>
                <w:spacing w:val="-63"/>
                <w:sz w:val="18"/>
                <w:szCs w:val="18"/>
              </w:rPr>
              <w:t> </w:t>
            </w:r>
            <w:r>
              <w:rPr>
                <w:rFonts w:ascii="宋体" w:hAnsi="宋体" w:cs="宋体" w:eastAsia="宋体" w:hint="default"/>
                <w:spacing w:val="14"/>
                <w:sz w:val="18"/>
                <w:szCs w:val="18"/>
              </w:rPr>
              <w:t>务所</w:t>
            </w:r>
            <w:r>
              <w:rPr>
                <w:rFonts w:ascii="宋体" w:hAnsi="宋体" w:cs="宋体" w:eastAsia="宋体" w:hint="default"/>
                <w:spacing w:val="-62"/>
                <w:sz w:val="18"/>
                <w:szCs w:val="18"/>
              </w:rPr>
              <w:t> </w:t>
            </w:r>
            <w:r>
              <w:rPr>
                <w:rFonts w:ascii="宋体" w:hAnsi="宋体" w:cs="宋体" w:eastAsia="宋体" w:hint="default"/>
                <w:spacing w:val="18"/>
                <w:sz w:val="18"/>
                <w:szCs w:val="18"/>
              </w:rPr>
              <w:t>对内部</w:t>
            </w:r>
            <w:r>
              <w:rPr>
                <w:rFonts w:ascii="宋体" w:hAnsi="宋体" w:cs="宋体" w:eastAsia="宋体" w:hint="default"/>
                <w:spacing w:val="-63"/>
                <w:sz w:val="18"/>
                <w:szCs w:val="18"/>
              </w:rPr>
              <w:t> </w:t>
            </w:r>
            <w:r>
              <w:rPr>
                <w:rFonts w:ascii="宋体" w:hAnsi="宋体" w:cs="宋体" w:eastAsia="宋体" w:hint="default"/>
                <w:spacing w:val="14"/>
                <w:sz w:val="18"/>
                <w:szCs w:val="18"/>
              </w:rPr>
              <w:t>控制</w:t>
            </w:r>
            <w:r>
              <w:rPr>
                <w:rFonts w:ascii="宋体" w:hAnsi="宋体" w:cs="宋体" w:eastAsia="宋体" w:hint="default"/>
                <w:spacing w:val="-63"/>
                <w:sz w:val="18"/>
                <w:szCs w:val="18"/>
              </w:rPr>
              <w:t> </w:t>
            </w:r>
            <w:r>
              <w:rPr>
                <w:rFonts w:ascii="宋体" w:hAnsi="宋体" w:cs="宋体" w:eastAsia="宋体" w:hint="default"/>
                <w:spacing w:val="14"/>
                <w:sz w:val="18"/>
                <w:szCs w:val="18"/>
              </w:rPr>
              <w:t>有效</w:t>
            </w:r>
            <w:r>
              <w:rPr>
                <w:rFonts w:ascii="宋体" w:hAnsi="宋体" w:cs="宋体" w:eastAsia="宋体" w:hint="default"/>
                <w:spacing w:val="-62"/>
                <w:sz w:val="18"/>
                <w:szCs w:val="18"/>
              </w:rPr>
              <w:t> </w:t>
            </w:r>
            <w:r>
              <w:rPr>
                <w:rFonts w:ascii="宋体" w:hAnsi="宋体" w:cs="宋体" w:eastAsia="宋体" w:hint="default"/>
                <w:sz w:val="18"/>
                <w:szCs w:val="18"/>
              </w:rPr>
              <w:t>性出具鉴证报告</w:t>
            </w:r>
            <w:r>
              <w:rPr>
                <w:rFonts w:ascii="Times New Roman" w:hAnsi="Times New Roman" w:cs="Times New Roman" w:eastAsia="Times New Roman" w:hint="default"/>
                <w:sz w:val="18"/>
                <w:szCs w:val="18"/>
              </w:rPr>
              <w:t>.</w:t>
            </w:r>
          </w:p>
        </w:tc>
      </w:tr>
    </w:tbl>
    <w:p>
      <w:pPr>
        <w:spacing w:after="0" w:line="232" w:lineRule="auto"/>
        <w:jc w:val="both"/>
        <w:rPr>
          <w:rFonts w:ascii="Times New Roman" w:hAnsi="Times New Roman" w:cs="Times New Roman" w:eastAsia="Times New Roman" w:hint="default"/>
          <w:sz w:val="18"/>
          <w:szCs w:val="18"/>
        </w:rPr>
        <w:sectPr>
          <w:pgSz w:w="11910" w:h="16840"/>
          <w:pgMar w:header="747" w:footer="669" w:top="980" w:bottom="860" w:left="860" w:right="8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6727"/>
        <w:gridCol w:w="1595"/>
        <w:gridCol w:w="1645"/>
      </w:tblGrid>
      <w:tr>
        <w:trPr>
          <w:trHeight w:val="10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0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．会计师事务所对公司内部控制有效性是否出具非无保留结论鉴证报告。如是，公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司董事会、监事会是否针对鉴证结论涉及事项做出专项说明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71"/>
              <w:jc w:val="both"/>
              <w:rPr>
                <w:rFonts w:ascii="Times New Roman" w:hAnsi="Times New Roman" w:cs="Times New Roman" w:eastAsia="Times New Roman" w:hint="default"/>
                <w:sz w:val="18"/>
                <w:szCs w:val="18"/>
              </w:rPr>
            </w:pPr>
            <w:r>
              <w:rPr>
                <w:rFonts w:ascii="宋体" w:hAnsi="宋体" w:cs="宋体" w:eastAsia="宋体" w:hint="default"/>
                <w:spacing w:val="18"/>
                <w:sz w:val="18"/>
                <w:szCs w:val="18"/>
              </w:rPr>
              <w:t>本年度</w:t>
            </w:r>
            <w:r>
              <w:rPr>
                <w:rFonts w:ascii="宋体" w:hAnsi="宋体" w:cs="宋体" w:eastAsia="宋体" w:hint="default"/>
                <w:spacing w:val="-63"/>
                <w:sz w:val="18"/>
                <w:szCs w:val="18"/>
              </w:rPr>
              <w:t> </w:t>
            </w:r>
            <w:r>
              <w:rPr>
                <w:rFonts w:ascii="宋体" w:hAnsi="宋体" w:cs="宋体" w:eastAsia="宋体" w:hint="default"/>
                <w:spacing w:val="14"/>
                <w:sz w:val="18"/>
                <w:szCs w:val="18"/>
              </w:rPr>
              <w:t>公司</w:t>
            </w:r>
            <w:r>
              <w:rPr>
                <w:rFonts w:ascii="宋体" w:hAnsi="宋体" w:cs="宋体" w:eastAsia="宋体" w:hint="default"/>
                <w:spacing w:val="-63"/>
                <w:sz w:val="18"/>
                <w:szCs w:val="18"/>
              </w:rPr>
              <w:t> </w:t>
            </w:r>
            <w:r>
              <w:rPr>
                <w:rFonts w:ascii="宋体" w:hAnsi="宋体" w:cs="宋体" w:eastAsia="宋体" w:hint="default"/>
                <w:spacing w:val="14"/>
                <w:sz w:val="18"/>
                <w:szCs w:val="18"/>
              </w:rPr>
              <w:t>未聘</w:t>
            </w:r>
            <w:r>
              <w:rPr>
                <w:rFonts w:ascii="宋体" w:hAnsi="宋体" w:cs="宋体" w:eastAsia="宋体" w:hint="default"/>
                <w:spacing w:val="-62"/>
                <w:sz w:val="18"/>
                <w:szCs w:val="18"/>
              </w:rPr>
              <w:t> </w:t>
            </w:r>
            <w:r>
              <w:rPr>
                <w:rFonts w:ascii="宋体" w:hAnsi="宋体" w:cs="宋体" w:eastAsia="宋体" w:hint="default"/>
                <w:spacing w:val="18"/>
                <w:sz w:val="18"/>
                <w:szCs w:val="18"/>
              </w:rPr>
              <w:t>请会计</w:t>
            </w:r>
            <w:r>
              <w:rPr>
                <w:rFonts w:ascii="宋体" w:hAnsi="宋体" w:cs="宋体" w:eastAsia="宋体" w:hint="default"/>
                <w:spacing w:val="-63"/>
                <w:sz w:val="18"/>
                <w:szCs w:val="18"/>
              </w:rPr>
              <w:t> </w:t>
            </w:r>
            <w:r>
              <w:rPr>
                <w:rFonts w:ascii="宋体" w:hAnsi="宋体" w:cs="宋体" w:eastAsia="宋体" w:hint="default"/>
                <w:spacing w:val="14"/>
                <w:sz w:val="18"/>
                <w:szCs w:val="18"/>
              </w:rPr>
              <w:t>师事</w:t>
            </w:r>
            <w:r>
              <w:rPr>
                <w:rFonts w:ascii="宋体" w:hAnsi="宋体" w:cs="宋体" w:eastAsia="宋体" w:hint="default"/>
                <w:spacing w:val="-63"/>
                <w:sz w:val="18"/>
                <w:szCs w:val="18"/>
              </w:rPr>
              <w:t> </w:t>
            </w:r>
            <w:r>
              <w:rPr>
                <w:rFonts w:ascii="宋体" w:hAnsi="宋体" w:cs="宋体" w:eastAsia="宋体" w:hint="default"/>
                <w:spacing w:val="14"/>
                <w:sz w:val="18"/>
                <w:szCs w:val="18"/>
              </w:rPr>
              <w:t>务所</w:t>
            </w:r>
            <w:r>
              <w:rPr>
                <w:rFonts w:ascii="宋体" w:hAnsi="宋体" w:cs="宋体" w:eastAsia="宋体" w:hint="default"/>
                <w:spacing w:val="-62"/>
                <w:sz w:val="18"/>
                <w:szCs w:val="18"/>
              </w:rPr>
              <w:t> </w:t>
            </w:r>
            <w:r>
              <w:rPr>
                <w:rFonts w:ascii="宋体" w:hAnsi="宋体" w:cs="宋体" w:eastAsia="宋体" w:hint="default"/>
                <w:spacing w:val="18"/>
                <w:sz w:val="18"/>
                <w:szCs w:val="18"/>
              </w:rPr>
              <w:t>对内部</w:t>
            </w:r>
            <w:r>
              <w:rPr>
                <w:rFonts w:ascii="宋体" w:hAnsi="宋体" w:cs="宋体" w:eastAsia="宋体" w:hint="default"/>
                <w:spacing w:val="-63"/>
                <w:sz w:val="18"/>
                <w:szCs w:val="18"/>
              </w:rPr>
              <w:t> </w:t>
            </w:r>
            <w:r>
              <w:rPr>
                <w:rFonts w:ascii="宋体" w:hAnsi="宋体" w:cs="宋体" w:eastAsia="宋体" w:hint="default"/>
                <w:spacing w:val="14"/>
                <w:sz w:val="18"/>
                <w:szCs w:val="18"/>
              </w:rPr>
              <w:t>控制</w:t>
            </w:r>
            <w:r>
              <w:rPr>
                <w:rFonts w:ascii="宋体" w:hAnsi="宋体" w:cs="宋体" w:eastAsia="宋体" w:hint="default"/>
                <w:spacing w:val="-63"/>
                <w:sz w:val="18"/>
                <w:szCs w:val="18"/>
              </w:rPr>
              <w:t> </w:t>
            </w:r>
            <w:r>
              <w:rPr>
                <w:rFonts w:ascii="宋体" w:hAnsi="宋体" w:cs="宋体" w:eastAsia="宋体" w:hint="default"/>
                <w:spacing w:val="14"/>
                <w:sz w:val="18"/>
                <w:szCs w:val="18"/>
              </w:rPr>
              <w:t>有效</w:t>
            </w:r>
            <w:r>
              <w:rPr>
                <w:rFonts w:ascii="宋体" w:hAnsi="宋体" w:cs="宋体" w:eastAsia="宋体" w:hint="default"/>
                <w:spacing w:val="-62"/>
                <w:sz w:val="18"/>
                <w:szCs w:val="18"/>
              </w:rPr>
              <w:t> </w:t>
            </w:r>
            <w:r>
              <w:rPr>
                <w:rFonts w:ascii="宋体" w:hAnsi="宋体" w:cs="宋体" w:eastAsia="宋体" w:hint="default"/>
                <w:sz w:val="18"/>
                <w:szCs w:val="18"/>
              </w:rPr>
              <w:t>性出具鉴证报告</w:t>
            </w:r>
            <w:r>
              <w:rPr>
                <w:rFonts w:ascii="Times New Roman" w:hAnsi="Times New Roman" w:cs="Times New Roman" w:eastAsia="Times New Roman" w:hint="default"/>
                <w:sz w:val="18"/>
                <w:szCs w:val="18"/>
              </w:rPr>
              <w:t>.</w:t>
            </w: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．独立董事、监事会是否出具明确同意意见（如为异议意见，请说明）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．保荐机构和保荐代表人是否出具明确同意的核查意见（如适用）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相关说明</w:t>
            </w:r>
          </w:p>
        </w:tc>
      </w:tr>
      <w:tr>
        <w:trPr>
          <w:trHeight w:val="32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．审计委员会的主要工作内容与工作成效</w:t>
            </w:r>
          </w:p>
        </w:tc>
        <w:tc>
          <w:tcPr>
            <w:tcW w:w="3240" w:type="dxa"/>
            <w:gridSpan w:val="2"/>
            <w:tcBorders>
              <w:top w:val="single" w:sz="4" w:space="0" w:color="000000"/>
              <w:left w:val="single" w:sz="4" w:space="0" w:color="000000"/>
              <w:bottom w:val="single" w:sz="4" w:space="0" w:color="000000"/>
              <w:right w:val="single" w:sz="4" w:space="0" w:color="000000"/>
            </w:tcBorders>
          </w:tcPr>
          <w:p>
            <w:pPr/>
          </w:p>
        </w:tc>
      </w:tr>
      <w:tr>
        <w:trPr>
          <w:trHeight w:val="394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0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）说明审计委员会每季度召开会议审议内部审计部门提交的工作计划和报告的具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体情况</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1"/>
              <w:jc w:val="both"/>
              <w:rPr>
                <w:rFonts w:ascii="宋体" w:hAnsi="宋体" w:cs="宋体" w:eastAsia="宋体" w:hint="default"/>
                <w:sz w:val="18"/>
                <w:szCs w:val="18"/>
              </w:rPr>
            </w:pPr>
            <w:r>
              <w:rPr>
                <w:rFonts w:ascii="宋体" w:hAnsi="宋体" w:cs="宋体" w:eastAsia="宋体" w:hint="default"/>
                <w:sz w:val="18"/>
                <w:szCs w:val="18"/>
              </w:rPr>
              <w:t>一季度审议了《关于公司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年度募 </w:t>
            </w:r>
            <w:r>
              <w:rPr>
                <w:rFonts w:ascii="宋体" w:hAnsi="宋体" w:cs="宋体" w:eastAsia="宋体" w:hint="default"/>
                <w:spacing w:val="19"/>
                <w:sz w:val="18"/>
                <w:szCs w:val="18"/>
              </w:rPr>
              <w:t>集资金使用情况的专项审核报告</w:t>
            </w:r>
            <w:r>
              <w:rPr>
                <w:rFonts w:ascii="宋体" w:hAnsi="宋体" w:cs="宋体" w:eastAsia="宋体" w:hint="default"/>
                <w:spacing w:val="-61"/>
                <w:sz w:val="18"/>
                <w:szCs w:val="18"/>
              </w:rPr>
              <w:t> </w:t>
            </w:r>
            <w:r>
              <w:rPr>
                <w:rFonts w:ascii="宋体" w:hAnsi="宋体" w:cs="宋体" w:eastAsia="宋体" w:hint="default"/>
                <w:spacing w:val="-35"/>
                <w:sz w:val="18"/>
                <w:szCs w:val="18"/>
              </w:rPr>
              <w:t>》，</w:t>
            </w:r>
          </w:p>
          <w:p>
            <w:pPr>
              <w:pStyle w:val="TableParagraph"/>
              <w:spacing w:line="225" w:lineRule="auto"/>
              <w:ind w:left="103" w:right="101" w:hanging="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年度内部审计报告和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 </w:t>
            </w:r>
            <w:r>
              <w:rPr>
                <w:rFonts w:ascii="宋体" w:hAnsi="宋体" w:cs="宋体" w:eastAsia="宋体" w:hint="default"/>
                <w:spacing w:val="-21"/>
                <w:sz w:val="18"/>
                <w:szCs w:val="18"/>
              </w:rPr>
              <w:t>内部审计计划》，《</w:t>
            </w:r>
            <w:r>
              <w:rPr>
                <w:rFonts w:ascii="Times New Roman" w:hAnsi="Times New Roman" w:cs="Times New Roman" w:eastAsia="Times New Roman" w:hint="default"/>
                <w:spacing w:val="-21"/>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年度公司内部控 </w:t>
            </w:r>
            <w:r>
              <w:rPr>
                <w:rFonts w:ascii="宋体" w:hAnsi="宋体" w:cs="宋体" w:eastAsia="宋体" w:hint="default"/>
                <w:spacing w:val="-10"/>
                <w:sz w:val="18"/>
                <w:szCs w:val="18"/>
              </w:rPr>
              <w:t>制自我评价报告》。</w:t>
            </w:r>
          </w:p>
          <w:p>
            <w:pPr>
              <w:pStyle w:val="TableParagraph"/>
              <w:spacing w:line="232" w:lineRule="auto" w:before="46"/>
              <w:ind w:left="103" w:right="101"/>
              <w:jc w:val="both"/>
              <w:rPr>
                <w:rFonts w:ascii="宋体" w:hAnsi="宋体" w:cs="宋体" w:eastAsia="宋体" w:hint="default"/>
                <w:sz w:val="18"/>
                <w:szCs w:val="18"/>
              </w:rPr>
            </w:pPr>
            <w:r>
              <w:rPr>
                <w:rFonts w:ascii="宋体" w:hAnsi="宋体" w:cs="宋体" w:eastAsia="宋体" w:hint="default"/>
                <w:spacing w:val="-3"/>
                <w:sz w:val="18"/>
                <w:szCs w:val="18"/>
              </w:rPr>
              <w:t>二季度审议了《收购北京信力筑正新能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2"/>
                <w:sz w:val="18"/>
                <w:szCs w:val="18"/>
              </w:rPr>
              <w:t>源技术有限公司专项审核报告》，《关于</w:t>
            </w:r>
            <w:r>
              <w:rPr>
                <w:rFonts w:ascii="宋体" w:hAnsi="宋体" w:cs="宋体" w:eastAsia="宋体" w:hint="default"/>
                <w:sz w:val="18"/>
                <w:szCs w:val="18"/>
              </w:rPr>
              <w:t> 公司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年第一季度度募集资金使用 </w:t>
            </w:r>
            <w:r>
              <w:rPr>
                <w:rFonts w:ascii="宋体" w:hAnsi="宋体" w:cs="宋体" w:eastAsia="宋体" w:hint="default"/>
                <w:spacing w:val="-9"/>
                <w:sz w:val="18"/>
                <w:szCs w:val="18"/>
              </w:rPr>
              <w:t>情况的专项审核报告》。</w:t>
            </w:r>
          </w:p>
          <w:p>
            <w:pPr>
              <w:pStyle w:val="TableParagraph"/>
              <w:spacing w:line="230" w:lineRule="auto" w:before="47"/>
              <w:ind w:left="103" w:right="77"/>
              <w:jc w:val="both"/>
              <w:rPr>
                <w:rFonts w:ascii="宋体" w:hAnsi="宋体" w:cs="宋体" w:eastAsia="宋体" w:hint="default"/>
                <w:sz w:val="18"/>
                <w:szCs w:val="18"/>
              </w:rPr>
            </w:pPr>
            <w:r>
              <w:rPr>
                <w:rFonts w:ascii="宋体" w:hAnsi="宋体" w:cs="宋体" w:eastAsia="宋体" w:hint="default"/>
                <w:sz w:val="18"/>
                <w:szCs w:val="18"/>
              </w:rPr>
              <w:t>三季度审议了《关于公司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年半年 </w:t>
            </w:r>
            <w:r>
              <w:rPr>
                <w:rFonts w:ascii="宋体" w:hAnsi="宋体" w:cs="宋体" w:eastAsia="宋体" w:hint="default"/>
                <w:spacing w:val="17"/>
                <w:sz w:val="18"/>
                <w:szCs w:val="18"/>
              </w:rPr>
              <w:t>度募集资金</w:t>
            </w:r>
            <w:r>
              <w:rPr>
                <w:rFonts w:ascii="宋体" w:hAnsi="宋体" w:cs="宋体" w:eastAsia="宋体" w:hint="default"/>
                <w:spacing w:val="-65"/>
                <w:sz w:val="18"/>
                <w:szCs w:val="18"/>
              </w:rPr>
              <w:t> </w:t>
            </w:r>
            <w:r>
              <w:rPr>
                <w:rFonts w:ascii="宋体" w:hAnsi="宋体" w:cs="宋体" w:eastAsia="宋体" w:hint="default"/>
                <w:sz w:val="18"/>
                <w:szCs w:val="18"/>
              </w:rPr>
              <w:t>使</w:t>
            </w:r>
            <w:r>
              <w:rPr>
                <w:rFonts w:ascii="宋体" w:hAnsi="宋体" w:cs="宋体" w:eastAsia="宋体" w:hint="default"/>
                <w:spacing w:val="-65"/>
                <w:sz w:val="18"/>
                <w:szCs w:val="18"/>
              </w:rPr>
              <w:t> </w:t>
            </w:r>
            <w:r>
              <w:rPr>
                <w:rFonts w:ascii="宋体" w:hAnsi="宋体" w:cs="宋体" w:eastAsia="宋体" w:hint="default"/>
                <w:spacing w:val="17"/>
                <w:sz w:val="18"/>
                <w:szCs w:val="18"/>
              </w:rPr>
              <w:t>用情况的专</w:t>
            </w:r>
            <w:r>
              <w:rPr>
                <w:rFonts w:ascii="宋体" w:hAnsi="宋体" w:cs="宋体" w:eastAsia="宋体" w:hint="default"/>
                <w:spacing w:val="-65"/>
                <w:sz w:val="18"/>
                <w:szCs w:val="18"/>
              </w:rPr>
              <w:t> </w:t>
            </w:r>
            <w:r>
              <w:rPr>
                <w:rFonts w:ascii="宋体" w:hAnsi="宋体" w:cs="宋体" w:eastAsia="宋体" w:hint="default"/>
                <w:sz w:val="18"/>
                <w:szCs w:val="18"/>
              </w:rPr>
              <w:t>项</w:t>
            </w:r>
            <w:r>
              <w:rPr>
                <w:rFonts w:ascii="宋体" w:hAnsi="宋体" w:cs="宋体" w:eastAsia="宋体" w:hint="default"/>
                <w:spacing w:val="-65"/>
                <w:sz w:val="18"/>
                <w:szCs w:val="18"/>
              </w:rPr>
              <w:t> </w:t>
            </w:r>
            <w:r>
              <w:rPr>
                <w:rFonts w:ascii="宋体" w:hAnsi="宋体" w:cs="宋体" w:eastAsia="宋体" w:hint="default"/>
                <w:spacing w:val="14"/>
                <w:sz w:val="18"/>
                <w:szCs w:val="18"/>
              </w:rPr>
              <w:t>审核报</w:t>
            </w:r>
            <w:r>
              <w:rPr>
                <w:rFonts w:ascii="宋体" w:hAnsi="宋体" w:cs="宋体" w:eastAsia="宋体" w:hint="default"/>
                <w:spacing w:val="-88"/>
                <w:sz w:val="18"/>
                <w:szCs w:val="18"/>
              </w:rPr>
              <w:t> </w:t>
            </w:r>
            <w:r>
              <w:rPr>
                <w:rFonts w:ascii="宋体" w:hAnsi="宋体" w:cs="宋体" w:eastAsia="宋体" w:hint="default"/>
                <w:spacing w:val="-20"/>
                <w:sz w:val="18"/>
                <w:szCs w:val="18"/>
              </w:rPr>
              <w:t>告》，《热管分厂内审报告》。</w:t>
            </w:r>
          </w:p>
          <w:p>
            <w:pPr>
              <w:pStyle w:val="TableParagraph"/>
              <w:spacing w:line="232" w:lineRule="auto" w:before="45"/>
              <w:ind w:left="103" w:right="91"/>
              <w:jc w:val="both"/>
              <w:rPr>
                <w:rFonts w:ascii="宋体" w:hAnsi="宋体" w:cs="宋体" w:eastAsia="宋体" w:hint="default"/>
                <w:sz w:val="18"/>
                <w:szCs w:val="18"/>
              </w:rPr>
            </w:pPr>
            <w:r>
              <w:rPr>
                <w:rFonts w:ascii="宋体" w:hAnsi="宋体" w:cs="宋体" w:eastAsia="宋体" w:hint="default"/>
                <w:sz w:val="18"/>
                <w:szCs w:val="18"/>
              </w:rPr>
              <w:t>四季度审议了《关于公司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年第三 </w:t>
            </w:r>
            <w:r>
              <w:rPr>
                <w:rFonts w:ascii="宋体" w:hAnsi="宋体" w:cs="宋体" w:eastAsia="宋体" w:hint="default"/>
                <w:spacing w:val="9"/>
                <w:sz w:val="18"/>
                <w:szCs w:val="18"/>
              </w:rPr>
              <w:t>季度度募集资金使用情况的专项审核</w:t>
            </w:r>
            <w:r>
              <w:rPr>
                <w:rFonts w:ascii="宋体" w:hAnsi="宋体" w:cs="宋体" w:eastAsia="宋体" w:hint="default"/>
                <w:spacing w:val="9"/>
                <w:sz w:val="18"/>
                <w:szCs w:val="18"/>
              </w:rPr>
              <w:t> </w:t>
            </w:r>
            <w:r>
              <w:rPr>
                <w:rFonts w:ascii="宋体" w:hAnsi="宋体" w:cs="宋体" w:eastAsia="宋体" w:hint="default"/>
                <w:spacing w:val="-12"/>
                <w:sz w:val="18"/>
                <w:szCs w:val="18"/>
              </w:rPr>
              <w:t>报告》，《子公司上海青方和信力筑正内</w:t>
            </w:r>
            <w:r>
              <w:rPr>
                <w:rFonts w:ascii="宋体" w:hAnsi="宋体" w:cs="宋体" w:eastAsia="宋体" w:hint="default"/>
                <w:sz w:val="18"/>
                <w:szCs w:val="18"/>
              </w:rPr>
              <w:t> </w:t>
            </w:r>
            <w:r>
              <w:rPr>
                <w:rFonts w:ascii="宋体" w:hAnsi="宋体" w:cs="宋体" w:eastAsia="宋体" w:hint="default"/>
                <w:spacing w:val="-18"/>
                <w:sz w:val="18"/>
                <w:szCs w:val="18"/>
              </w:rPr>
              <w:t>审报告》。</w:t>
            </w:r>
          </w:p>
        </w:tc>
      </w:tr>
      <w:tr>
        <w:trPr>
          <w:trHeight w:val="125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）说明审计委员会每季度向董事会报告内部审计工作的具体情况</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103" w:right="91"/>
              <w:jc w:val="both"/>
              <w:rPr>
                <w:rFonts w:ascii="Times New Roman" w:hAnsi="Times New Roman" w:cs="Times New Roman" w:eastAsia="Times New Roman" w:hint="default"/>
                <w:sz w:val="18"/>
                <w:szCs w:val="18"/>
              </w:rPr>
            </w:pPr>
            <w:r>
              <w:rPr>
                <w:rFonts w:ascii="宋体" w:hAnsi="宋体" w:cs="宋体" w:eastAsia="宋体" w:hint="default"/>
                <w:spacing w:val="9"/>
                <w:sz w:val="18"/>
                <w:szCs w:val="18"/>
              </w:rPr>
              <w:t>审计委员会每季度根据对内部审计部 门提交的工作计划和内部审计报告的 </w:t>
            </w:r>
            <w:r>
              <w:rPr>
                <w:rFonts w:ascii="宋体" w:hAnsi="宋体" w:cs="宋体" w:eastAsia="宋体" w:hint="default"/>
                <w:spacing w:val="6"/>
                <w:sz w:val="18"/>
                <w:szCs w:val="18"/>
              </w:rPr>
              <w:t>审议情况</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向董事会报告内部审计工作 的进展和执行情况</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以及专项审计的结 </w:t>
            </w:r>
            <w:r>
              <w:rPr>
                <w:rFonts w:ascii="宋体" w:hAnsi="宋体" w:cs="宋体" w:eastAsia="宋体" w:hint="default"/>
                <w:sz w:val="18"/>
                <w:szCs w:val="18"/>
              </w:rPr>
              <w:t>果</w:t>
            </w:r>
            <w:r>
              <w:rPr>
                <w:rFonts w:ascii="Times New Roman" w:hAnsi="Times New Roman" w:cs="Times New Roman" w:eastAsia="Times New Roman" w:hint="default"/>
                <w:sz w:val="18"/>
                <w:szCs w:val="18"/>
              </w:rPr>
              <w:t>.</w:t>
            </w:r>
          </w:p>
        </w:tc>
      </w:tr>
      <w:tr>
        <w:trPr>
          <w:trHeight w:val="791"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0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）审计委员会认为公司内部控制存在重大缺陷或重大风险的，说明内部控制存在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的重大缺陷或重大风险，并说明是否及时向董事会报告，并提请董事会及时向证券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交易所报告并予以披露（如适用）</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49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）说明审计委员会所做的其他工作</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103" w:right="95"/>
              <w:jc w:val="both"/>
              <w:rPr>
                <w:rFonts w:ascii="宋体" w:hAnsi="宋体" w:cs="宋体" w:eastAsia="宋体" w:hint="default"/>
                <w:sz w:val="18"/>
                <w:szCs w:val="18"/>
              </w:rPr>
            </w:pPr>
            <w:r>
              <w:rPr>
                <w:rFonts w:ascii="宋体" w:hAnsi="宋体" w:cs="宋体" w:eastAsia="宋体" w:hint="default"/>
                <w:sz w:val="18"/>
                <w:szCs w:val="18"/>
              </w:rPr>
              <w:t>审议了关于变更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年度财务审计机 </w:t>
            </w:r>
            <w:r>
              <w:rPr>
                <w:rFonts w:ascii="宋体" w:hAnsi="宋体" w:cs="宋体" w:eastAsia="宋体" w:hint="default"/>
                <w:spacing w:val="5"/>
                <w:sz w:val="18"/>
                <w:szCs w:val="18"/>
              </w:rPr>
              <w:t>构的议案</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根据公司审计委员会年报工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7"/>
                <w:sz w:val="18"/>
                <w:szCs w:val="18"/>
              </w:rPr>
              <w:t>作规程认真履行职责，审议了《</w:t>
            </w:r>
            <w:r>
              <w:rPr>
                <w:rFonts w:ascii="Times New Roman" w:hAnsi="Times New Roman" w:cs="Times New Roman" w:eastAsia="Times New Roman" w:hint="default"/>
                <w:spacing w:val="7"/>
                <w:sz w:val="18"/>
                <w:szCs w:val="18"/>
              </w:rPr>
              <w:t>2007</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年财务报告》《关于开元信德会计师事</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务所 2007</w:t>
            </w:r>
            <w:r>
              <w:rPr>
                <w:rFonts w:ascii="宋体" w:hAnsi="宋体" w:cs="宋体" w:eastAsia="宋体" w:hint="default"/>
                <w:spacing w:val="-36"/>
                <w:sz w:val="18"/>
                <w:szCs w:val="18"/>
              </w:rPr>
              <w:t> </w:t>
            </w:r>
            <w:r>
              <w:rPr>
                <w:rFonts w:ascii="宋体" w:hAnsi="宋体" w:cs="宋体" w:eastAsia="宋体" w:hint="default"/>
                <w:sz w:val="18"/>
                <w:szCs w:val="18"/>
              </w:rPr>
              <w:t>年度审计工作总结》及《关</w:t>
            </w:r>
            <w:r>
              <w:rPr>
                <w:rFonts w:ascii="宋体" w:hAnsi="宋体" w:cs="宋体" w:eastAsia="宋体" w:hint="default"/>
                <w:sz w:val="18"/>
                <w:szCs w:val="18"/>
              </w:rPr>
              <w:t> 于续聘会计师事务所的议案》</w:t>
            </w: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．内部审计部门的主要工作内容与工作成效</w:t>
            </w:r>
          </w:p>
        </w:tc>
        <w:tc>
          <w:tcPr>
            <w:tcW w:w="3240" w:type="dxa"/>
            <w:gridSpan w:val="2"/>
            <w:tcBorders>
              <w:top w:val="single" w:sz="4" w:space="0" w:color="000000"/>
              <w:left w:val="single" w:sz="4" w:space="0" w:color="000000"/>
              <w:bottom w:val="single" w:sz="4" w:space="0" w:color="000000"/>
              <w:right w:val="single" w:sz="4" w:space="0" w:color="000000"/>
            </w:tcBorders>
          </w:tcPr>
          <w:p>
            <w:pPr/>
          </w:p>
        </w:tc>
      </w:tr>
      <w:tr>
        <w:trPr>
          <w:trHeight w:val="367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0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）说明内部审计部门每季度向审计委员会报告内部审计计划的执行情况以及内部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审计工作中发现的问题的具体情况</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1"/>
              <w:jc w:val="both"/>
              <w:rPr>
                <w:rFonts w:ascii="宋体" w:hAnsi="宋体" w:cs="宋体" w:eastAsia="宋体" w:hint="default"/>
                <w:sz w:val="18"/>
                <w:szCs w:val="18"/>
              </w:rPr>
            </w:pPr>
            <w:r>
              <w:rPr>
                <w:rFonts w:ascii="宋体" w:hAnsi="宋体" w:cs="宋体" w:eastAsia="宋体" w:hint="default"/>
                <w:sz w:val="18"/>
                <w:szCs w:val="18"/>
              </w:rPr>
              <w:t>一季度提交了《关于公司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年度募 </w:t>
            </w:r>
            <w:r>
              <w:rPr>
                <w:rFonts w:ascii="宋体" w:hAnsi="宋体" w:cs="宋体" w:eastAsia="宋体" w:hint="default"/>
                <w:spacing w:val="19"/>
                <w:sz w:val="18"/>
                <w:szCs w:val="18"/>
              </w:rPr>
              <w:t>集资金使用情况的专项审核报告</w:t>
            </w:r>
            <w:r>
              <w:rPr>
                <w:rFonts w:ascii="宋体" w:hAnsi="宋体" w:cs="宋体" w:eastAsia="宋体" w:hint="default"/>
                <w:spacing w:val="-61"/>
                <w:sz w:val="18"/>
                <w:szCs w:val="18"/>
              </w:rPr>
              <w:t> </w:t>
            </w:r>
            <w:r>
              <w:rPr>
                <w:rFonts w:ascii="宋体" w:hAnsi="宋体" w:cs="宋体" w:eastAsia="宋体" w:hint="default"/>
                <w:spacing w:val="-35"/>
                <w:sz w:val="18"/>
                <w:szCs w:val="18"/>
              </w:rPr>
              <w:t>》，</w:t>
            </w:r>
          </w:p>
          <w:p>
            <w:pPr>
              <w:pStyle w:val="TableParagraph"/>
              <w:spacing w:line="217" w:lineRule="exact"/>
              <w:ind w:left="103" w:right="0" w:hanging="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年度内部审计报告和</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p>
            <w:pPr>
              <w:pStyle w:val="TableParagraph"/>
              <w:spacing w:line="232" w:lineRule="exact" w:before="17"/>
              <w:ind w:left="103" w:right="101"/>
              <w:jc w:val="both"/>
              <w:rPr>
                <w:rFonts w:ascii="宋体" w:hAnsi="宋体" w:cs="宋体" w:eastAsia="宋体" w:hint="default"/>
                <w:sz w:val="18"/>
                <w:szCs w:val="18"/>
              </w:rPr>
            </w:pPr>
            <w:r>
              <w:rPr>
                <w:rFonts w:ascii="宋体" w:hAnsi="宋体" w:cs="宋体" w:eastAsia="宋体" w:hint="default"/>
                <w:sz w:val="18"/>
                <w:szCs w:val="18"/>
              </w:rPr>
              <w:t>内部审计计划</w:t>
            </w:r>
            <w:r>
              <w:rPr>
                <w:rFonts w:ascii="宋体" w:hAnsi="宋体" w:cs="宋体" w:eastAsia="宋体" w:hint="default"/>
                <w:spacing w:val="-90"/>
                <w:sz w:val="18"/>
                <w:szCs w:val="18"/>
              </w:rPr>
              <w:t>》</w:t>
            </w:r>
            <w:r>
              <w:rPr>
                <w:rFonts w:ascii="宋体" w:hAnsi="宋体" w:cs="宋体" w:eastAsia="宋体" w:hint="default"/>
                <w:spacing w:val="-17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年度公司内部控 制自我评价报告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32" w:lineRule="auto" w:before="23"/>
              <w:ind w:left="103" w:right="101"/>
              <w:jc w:val="both"/>
              <w:rPr>
                <w:rFonts w:ascii="宋体" w:hAnsi="宋体" w:cs="宋体" w:eastAsia="宋体" w:hint="default"/>
                <w:sz w:val="18"/>
                <w:szCs w:val="18"/>
              </w:rPr>
            </w:pPr>
            <w:r>
              <w:rPr>
                <w:rFonts w:ascii="宋体" w:hAnsi="宋体" w:cs="宋体" w:eastAsia="宋体" w:hint="default"/>
                <w:spacing w:val="-3"/>
                <w:sz w:val="18"/>
                <w:szCs w:val="18"/>
              </w:rPr>
              <w:t>二季度提交了《收购北京信力筑正新能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2"/>
                <w:sz w:val="18"/>
                <w:szCs w:val="18"/>
              </w:rPr>
              <w:t>源技术有限公司专项审核报告》，《关于</w:t>
            </w:r>
            <w:r>
              <w:rPr>
                <w:rFonts w:ascii="宋体" w:hAnsi="宋体" w:cs="宋体" w:eastAsia="宋体" w:hint="default"/>
                <w:sz w:val="18"/>
                <w:szCs w:val="18"/>
              </w:rPr>
              <w:t> 公司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年第一季度度募集资金使用 </w:t>
            </w:r>
            <w:r>
              <w:rPr>
                <w:rFonts w:ascii="宋体" w:hAnsi="宋体" w:cs="宋体" w:eastAsia="宋体" w:hint="default"/>
                <w:spacing w:val="-9"/>
                <w:sz w:val="18"/>
                <w:szCs w:val="18"/>
              </w:rPr>
              <w:t>情况的专项审核报告》。</w:t>
            </w:r>
          </w:p>
          <w:p>
            <w:pPr>
              <w:pStyle w:val="TableParagraph"/>
              <w:spacing w:line="234" w:lineRule="exact" w:before="60"/>
              <w:ind w:left="103" w:right="77"/>
              <w:jc w:val="both"/>
              <w:rPr>
                <w:rFonts w:ascii="宋体" w:hAnsi="宋体" w:cs="宋体" w:eastAsia="宋体" w:hint="default"/>
                <w:sz w:val="18"/>
                <w:szCs w:val="18"/>
              </w:rPr>
            </w:pPr>
            <w:r>
              <w:rPr>
                <w:rFonts w:ascii="宋体" w:hAnsi="宋体" w:cs="宋体" w:eastAsia="宋体" w:hint="default"/>
                <w:sz w:val="18"/>
                <w:szCs w:val="18"/>
              </w:rPr>
              <w:t>三季度提交了《关于公司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年半年 </w:t>
            </w:r>
            <w:r>
              <w:rPr>
                <w:rFonts w:ascii="宋体" w:hAnsi="宋体" w:cs="宋体" w:eastAsia="宋体" w:hint="default"/>
                <w:spacing w:val="17"/>
                <w:sz w:val="18"/>
                <w:szCs w:val="18"/>
              </w:rPr>
              <w:t>度募集资金</w:t>
            </w:r>
            <w:r>
              <w:rPr>
                <w:rFonts w:ascii="宋体" w:hAnsi="宋体" w:cs="宋体" w:eastAsia="宋体" w:hint="default"/>
                <w:spacing w:val="-65"/>
                <w:sz w:val="18"/>
                <w:szCs w:val="18"/>
              </w:rPr>
              <w:t> </w:t>
            </w:r>
            <w:r>
              <w:rPr>
                <w:rFonts w:ascii="宋体" w:hAnsi="宋体" w:cs="宋体" w:eastAsia="宋体" w:hint="default"/>
                <w:sz w:val="18"/>
                <w:szCs w:val="18"/>
              </w:rPr>
              <w:t>使</w:t>
            </w:r>
            <w:r>
              <w:rPr>
                <w:rFonts w:ascii="宋体" w:hAnsi="宋体" w:cs="宋体" w:eastAsia="宋体" w:hint="default"/>
                <w:spacing w:val="-65"/>
                <w:sz w:val="18"/>
                <w:szCs w:val="18"/>
              </w:rPr>
              <w:t> </w:t>
            </w:r>
            <w:r>
              <w:rPr>
                <w:rFonts w:ascii="宋体" w:hAnsi="宋体" w:cs="宋体" w:eastAsia="宋体" w:hint="default"/>
                <w:spacing w:val="17"/>
                <w:sz w:val="18"/>
                <w:szCs w:val="18"/>
              </w:rPr>
              <w:t>用情况的专</w:t>
            </w:r>
            <w:r>
              <w:rPr>
                <w:rFonts w:ascii="宋体" w:hAnsi="宋体" w:cs="宋体" w:eastAsia="宋体" w:hint="default"/>
                <w:spacing w:val="-65"/>
                <w:sz w:val="18"/>
                <w:szCs w:val="18"/>
              </w:rPr>
              <w:t> </w:t>
            </w:r>
            <w:r>
              <w:rPr>
                <w:rFonts w:ascii="宋体" w:hAnsi="宋体" w:cs="宋体" w:eastAsia="宋体" w:hint="default"/>
                <w:sz w:val="18"/>
                <w:szCs w:val="18"/>
              </w:rPr>
              <w:t>项</w:t>
            </w:r>
            <w:r>
              <w:rPr>
                <w:rFonts w:ascii="宋体" w:hAnsi="宋体" w:cs="宋体" w:eastAsia="宋体" w:hint="default"/>
                <w:spacing w:val="-65"/>
                <w:sz w:val="18"/>
                <w:szCs w:val="18"/>
              </w:rPr>
              <w:t> </w:t>
            </w:r>
            <w:r>
              <w:rPr>
                <w:rFonts w:ascii="宋体" w:hAnsi="宋体" w:cs="宋体" w:eastAsia="宋体" w:hint="default"/>
                <w:spacing w:val="14"/>
                <w:sz w:val="18"/>
                <w:szCs w:val="18"/>
              </w:rPr>
              <w:t>审核报</w:t>
            </w:r>
            <w:r>
              <w:rPr>
                <w:rFonts w:ascii="宋体" w:hAnsi="宋体" w:cs="宋体" w:eastAsia="宋体" w:hint="default"/>
                <w:spacing w:val="-88"/>
                <w:sz w:val="18"/>
                <w:szCs w:val="18"/>
              </w:rPr>
              <w:t> </w:t>
            </w:r>
            <w:r>
              <w:rPr>
                <w:rFonts w:ascii="宋体" w:hAnsi="宋体" w:cs="宋体" w:eastAsia="宋体" w:hint="default"/>
                <w:spacing w:val="-20"/>
                <w:sz w:val="18"/>
                <w:szCs w:val="18"/>
              </w:rPr>
              <w:t>告》，《热管分厂内审报告》。</w:t>
            </w:r>
          </w:p>
          <w:p>
            <w:pPr>
              <w:pStyle w:val="TableParagraph"/>
              <w:spacing w:line="230" w:lineRule="auto" w:before="23"/>
              <w:ind w:left="103" w:right="91"/>
              <w:jc w:val="both"/>
              <w:rPr>
                <w:rFonts w:ascii="宋体" w:hAnsi="宋体" w:cs="宋体" w:eastAsia="宋体" w:hint="default"/>
                <w:sz w:val="18"/>
                <w:szCs w:val="18"/>
              </w:rPr>
            </w:pPr>
            <w:r>
              <w:rPr>
                <w:rFonts w:ascii="宋体" w:hAnsi="宋体" w:cs="宋体" w:eastAsia="宋体" w:hint="default"/>
                <w:sz w:val="18"/>
                <w:szCs w:val="18"/>
              </w:rPr>
              <w:t>四季度提交了《关于公司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年第三 </w:t>
            </w:r>
            <w:r>
              <w:rPr>
                <w:rFonts w:ascii="宋体" w:hAnsi="宋体" w:cs="宋体" w:eastAsia="宋体" w:hint="default"/>
                <w:spacing w:val="9"/>
                <w:sz w:val="18"/>
                <w:szCs w:val="18"/>
              </w:rPr>
              <w:t>季度度募集资金使用情况的专项审核</w:t>
            </w:r>
            <w:r>
              <w:rPr>
                <w:rFonts w:ascii="宋体" w:hAnsi="宋体" w:cs="宋体" w:eastAsia="宋体" w:hint="default"/>
                <w:spacing w:val="9"/>
                <w:sz w:val="18"/>
                <w:szCs w:val="18"/>
              </w:rPr>
              <w:t> </w:t>
            </w:r>
            <w:r>
              <w:rPr>
                <w:rFonts w:ascii="宋体" w:hAnsi="宋体" w:cs="宋体" w:eastAsia="宋体" w:hint="default"/>
                <w:spacing w:val="-12"/>
                <w:sz w:val="18"/>
                <w:szCs w:val="18"/>
              </w:rPr>
              <w:t>报告》，《子公司上海青方和信力筑正内</w:t>
            </w:r>
          </w:p>
        </w:tc>
      </w:tr>
    </w:tbl>
    <w:p>
      <w:pPr>
        <w:spacing w:after="0" w:line="230" w:lineRule="auto"/>
        <w:jc w:val="both"/>
        <w:rPr>
          <w:rFonts w:ascii="宋体" w:hAnsi="宋体" w:cs="宋体" w:eastAsia="宋体" w:hint="default"/>
          <w:sz w:val="18"/>
          <w:szCs w:val="18"/>
        </w:rPr>
        <w:sectPr>
          <w:pgSz w:w="11910" w:h="16840"/>
          <w:pgMar w:header="747" w:footer="669" w:top="980" w:bottom="860" w:left="860" w:right="8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6727"/>
        <w:gridCol w:w="3240"/>
      </w:tblGrid>
      <w:tr>
        <w:trPr>
          <w:trHeight w:val="283" w:hRule="exact"/>
        </w:trPr>
        <w:tc>
          <w:tcPr>
            <w:tcW w:w="6727"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审报告</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258"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0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）说明内部审计部门本年度按照内审指引及相关规定要求对重要的对外投资、购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买和出售资产、对外担保、关联交易、募集资金使用和信息披露事务管理等事项进</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行审计并出具内部审计报告的具体情况</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102" w:right="91"/>
              <w:jc w:val="both"/>
              <w:rPr>
                <w:rFonts w:ascii="Times New Roman" w:hAnsi="Times New Roman" w:cs="Times New Roman" w:eastAsia="Times New Roman" w:hint="default"/>
                <w:sz w:val="18"/>
                <w:szCs w:val="18"/>
              </w:rPr>
            </w:pPr>
            <w:r>
              <w:rPr>
                <w:rFonts w:ascii="宋体" w:hAnsi="宋体" w:cs="宋体" w:eastAsia="宋体" w:hint="default"/>
                <w:spacing w:val="9"/>
                <w:sz w:val="18"/>
                <w:szCs w:val="18"/>
              </w:rPr>
              <w:t>内部审计部门对公司收购北京信力筑 正新能源技术有限公司进行了专项审 </w:t>
            </w:r>
            <w:r>
              <w:rPr>
                <w:rFonts w:ascii="宋体" w:hAnsi="宋体" w:cs="宋体" w:eastAsia="宋体" w:hint="default"/>
                <w:spacing w:val="5"/>
                <w:sz w:val="18"/>
                <w:szCs w:val="18"/>
              </w:rPr>
              <w:t>计</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每季度及时出具募集资金专项审核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报告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每季度对公司信息披露事务进行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专项审核</w:t>
            </w:r>
            <w:r>
              <w:rPr>
                <w:rFonts w:ascii="Times New Roman" w:hAnsi="Times New Roman" w:cs="Times New Roman" w:eastAsia="Times New Roman" w:hint="default"/>
                <w:sz w:val="18"/>
                <w:szCs w:val="18"/>
              </w:rPr>
              <w:t>.</w:t>
            </w:r>
          </w:p>
        </w:tc>
      </w:tr>
      <w:tr>
        <w:trPr>
          <w:trHeight w:val="79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17"/>
              <w:ind w:left="103" w:right="101" w:hanging="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内部审计部门在对内部控制审查过程中发现内部控制存在重大缺陷或重大风险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的，说明内部控制存在的重大缺陷或重大风险，并说明是否向审计委员会报告（如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适用）</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2"/>
              <w:ind w:left="103" w:right="10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）说明内部审计部门是否按照有关规定评价公司与财务报告和信息披露事务相关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的内部控制制度建立和实施的有效性，并向审计委员会提交内部控制评价报告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91"/>
              <w:jc w:val="both"/>
              <w:rPr>
                <w:rFonts w:ascii="Times New Roman" w:hAnsi="Times New Roman" w:cs="Times New Roman" w:eastAsia="Times New Roman" w:hint="default"/>
                <w:sz w:val="18"/>
                <w:szCs w:val="18"/>
              </w:rPr>
            </w:pPr>
            <w:r>
              <w:rPr>
                <w:rFonts w:ascii="宋体" w:hAnsi="宋体" w:cs="宋体" w:eastAsia="宋体" w:hint="default"/>
                <w:spacing w:val="9"/>
                <w:sz w:val="18"/>
                <w:szCs w:val="18"/>
              </w:rPr>
              <w:t>内部审计部门已按照有关规定评价公 司与财务报告和信息披露事务相关的 </w:t>
            </w:r>
            <w:r>
              <w:rPr>
                <w:rFonts w:ascii="宋体" w:hAnsi="宋体" w:cs="宋体" w:eastAsia="宋体" w:hint="default"/>
                <w:spacing w:val="-3"/>
                <w:sz w:val="18"/>
                <w:szCs w:val="18"/>
              </w:rPr>
              <w:t>内部控制制度建立和实施的有效性，并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向审计委员会提交内部控制评价报告</w:t>
            </w:r>
            <w:r>
              <w:rPr>
                <w:rFonts w:ascii="Times New Roman" w:hAnsi="Times New Roman" w:cs="Times New Roman" w:eastAsia="Times New Roman" w:hint="default"/>
                <w:sz w:val="18"/>
                <w:szCs w:val="18"/>
              </w:rPr>
              <w:t>.</w:t>
            </w:r>
          </w:p>
        </w:tc>
      </w:tr>
      <w:tr>
        <w:trPr>
          <w:trHeight w:val="55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03" w:right="101"/>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）说明内部审计部门向审计委员会提交下一年度内部审计工作计划和本年度内部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审计工作报告的具体情况</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4"/>
              <w:ind w:left="10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已提交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年度内部审计工作计划和 本年度内部审计工作报告</w:t>
            </w:r>
            <w:r>
              <w:rPr>
                <w:rFonts w:ascii="Times New Roman" w:hAnsi="Times New Roman" w:cs="Times New Roman" w:eastAsia="Times New Roman" w:hint="default"/>
                <w:sz w:val="18"/>
                <w:szCs w:val="18"/>
              </w:rPr>
              <w:t>.</w:t>
            </w:r>
          </w:p>
        </w:tc>
      </w:tr>
      <w:tr>
        <w:trPr>
          <w:trHeight w:val="79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）说明内部审计工作底稿和内部审计报告的编制和归档是否符合相关规定</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91"/>
              <w:jc w:val="both"/>
              <w:rPr>
                <w:rFonts w:ascii="Times New Roman" w:hAnsi="Times New Roman" w:cs="Times New Roman" w:eastAsia="Times New Roman" w:hint="default"/>
                <w:sz w:val="18"/>
                <w:szCs w:val="18"/>
              </w:rPr>
            </w:pPr>
            <w:r>
              <w:rPr>
                <w:rFonts w:ascii="宋体" w:hAnsi="宋体" w:cs="宋体" w:eastAsia="宋体" w:hint="default"/>
                <w:spacing w:val="9"/>
                <w:sz w:val="18"/>
                <w:szCs w:val="18"/>
              </w:rPr>
              <w:t>内部审计工作底稿和内部审计报告的 编制和归档符合公司内部审计工作管 </w:t>
            </w:r>
            <w:r>
              <w:rPr>
                <w:rFonts w:ascii="宋体" w:hAnsi="宋体" w:cs="宋体" w:eastAsia="宋体" w:hint="default"/>
                <w:sz w:val="18"/>
                <w:szCs w:val="18"/>
              </w:rPr>
              <w:t>理制度相关规定</w:t>
            </w:r>
            <w:r>
              <w:rPr>
                <w:rFonts w:ascii="Times New Roman" w:hAnsi="Times New Roman" w:cs="Times New Roman" w:eastAsia="Times New Roman" w:hint="default"/>
                <w:sz w:val="18"/>
                <w:szCs w:val="18"/>
              </w:rPr>
              <w:t>.</w:t>
            </w:r>
          </w:p>
        </w:tc>
      </w:tr>
      <w:tr>
        <w:trPr>
          <w:trHeight w:val="87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）说明内部审计部门所做的其他工作</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0"/>
              <w:ind w:left="103" w:right="65" w:hanging="1"/>
              <w:jc w:val="left"/>
              <w:rPr>
                <w:rFonts w:ascii="宋体" w:hAnsi="宋体" w:cs="宋体" w:eastAsia="宋体" w:hint="default"/>
                <w:sz w:val="18"/>
                <w:szCs w:val="18"/>
              </w:rPr>
            </w:pPr>
            <w:r>
              <w:rPr>
                <w:rFonts w:ascii="宋体" w:hAnsi="宋体" w:cs="宋体" w:eastAsia="宋体" w:hint="default"/>
                <w:sz w:val="18"/>
                <w:szCs w:val="18"/>
              </w:rPr>
              <w:t>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年度业绩快报进行审计， 参与公司各事业部成本核算规划工作， 完善公司内部审计工作流程</w:t>
            </w:r>
          </w:p>
        </w:tc>
      </w:tr>
      <w:tr>
        <w:trPr>
          <w:trHeight w:val="32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Heading3"/>
        <w:spacing w:line="240" w:lineRule="auto" w:before="13"/>
        <w:ind w:left="313" w:right="0"/>
        <w:jc w:val="both"/>
      </w:pPr>
      <w:bookmarkStart w:name="七、公司治理专项活动情况" w:id="9"/>
      <w:bookmarkEnd w:id="9"/>
      <w:r>
        <w:rPr/>
      </w:r>
      <w:r>
        <w:rPr/>
        <w:t>七</w:t>
      </w:r>
      <w:r>
        <w:rPr>
          <w:rFonts w:ascii="黑体" w:hAnsi="黑体" w:cs="黑体" w:eastAsia="黑体" w:hint="default"/>
          <w:b/>
          <w:bCs/>
        </w:rPr>
        <w:t>、</w:t>
      </w:r>
      <w:r>
        <w:rPr/>
        <w:t>公司治理专项活动情况</w:t>
      </w:r>
    </w:p>
    <w:p>
      <w:pPr>
        <w:spacing w:line="240" w:lineRule="auto" w:before="7"/>
        <w:rPr>
          <w:rFonts w:ascii="黑体" w:hAnsi="黑体" w:cs="黑体" w:eastAsia="黑体" w:hint="default"/>
          <w:sz w:val="35"/>
          <w:szCs w:val="35"/>
        </w:rPr>
      </w:pPr>
    </w:p>
    <w:p>
      <w:pPr>
        <w:pStyle w:val="BodyText"/>
        <w:spacing w:line="357" w:lineRule="auto"/>
        <w:ind w:left="274" w:right="152" w:firstLine="480"/>
        <w:jc w:val="left"/>
      </w:pPr>
      <w:r>
        <w:rPr/>
        <w:t>根据《中国证券监督管理委员会公告[2008]27</w:t>
      </w:r>
      <w:r>
        <w:rPr>
          <w:spacing w:val="-6"/>
        </w:rPr>
        <w:t> </w:t>
      </w:r>
      <w:r>
        <w:rPr>
          <w:spacing w:val="-4"/>
        </w:rPr>
        <w:t>号》的有关规定，为进一步巩固公司治理</w:t>
      </w:r>
      <w:r>
        <w:rPr/>
        <w:t> 专项活动成果，持续推进公司治理专项活动，公司对2007年度开展的治理专项活动整改报告 </w:t>
      </w:r>
      <w:r>
        <w:rPr>
          <w:spacing w:val="-2"/>
        </w:rPr>
        <w:t>的落实情况及持续改进性问题的整改效果重新进行了审慎评估，并制定了下一步的改进计划。</w:t>
      </w:r>
    </w:p>
    <w:p>
      <w:pPr>
        <w:spacing w:line="386" w:lineRule="auto" w:before="76"/>
        <w:ind w:left="754" w:right="310" w:firstLine="2"/>
        <w:jc w:val="left"/>
        <w:rPr>
          <w:rFonts w:ascii="宋体" w:hAnsi="宋体" w:cs="宋体" w:eastAsia="宋体" w:hint="default"/>
          <w:sz w:val="24"/>
          <w:szCs w:val="24"/>
        </w:rPr>
      </w:pPr>
      <w:r>
        <w:rPr>
          <w:rFonts w:ascii="宋体" w:hAnsi="宋体" w:cs="宋体" w:eastAsia="宋体" w:hint="default"/>
          <w:b/>
          <w:bCs/>
          <w:sz w:val="24"/>
          <w:szCs w:val="24"/>
        </w:rPr>
        <w:t>（一）整改问题的完成情况</w:t>
      </w:r>
      <w:r>
        <w:rPr>
          <w:rFonts w:ascii="宋体" w:hAnsi="宋体" w:cs="宋体" w:eastAsia="宋体" w:hint="default"/>
          <w:b/>
          <w:bCs/>
          <w:spacing w:val="1"/>
          <w:w w:val="99"/>
          <w:sz w:val="24"/>
          <w:szCs w:val="24"/>
        </w:rPr>
        <w:t> </w:t>
      </w:r>
      <w:r>
        <w:rPr>
          <w:rFonts w:ascii="宋体" w:hAnsi="宋体" w:cs="宋体" w:eastAsia="宋体" w:hint="default"/>
          <w:sz w:val="24"/>
          <w:szCs w:val="24"/>
        </w:rPr>
        <w:t>针对公司在自查过程中发现的问题以及中国证监会辽宁监管局关于公司治理状况的综合</w:t>
      </w:r>
    </w:p>
    <w:p>
      <w:pPr>
        <w:pStyle w:val="BodyText"/>
        <w:spacing w:line="348" w:lineRule="auto" w:before="6"/>
        <w:ind w:left="274" w:right="291"/>
        <w:jc w:val="both"/>
      </w:pPr>
      <w:r>
        <w:rPr/>
        <w:t>评价意见、深圳证券交易所提出的公司治理状况综合评价意见、投资者和社会公众对公司治 </w:t>
      </w:r>
      <w:r>
        <w:rPr>
          <w:spacing w:val="-4"/>
        </w:rPr>
        <w:t>理状况的评议，公司董事会及时进行了整改，于</w:t>
      </w:r>
      <w:r>
        <w:rPr>
          <w:rFonts w:ascii="Times New Roman" w:hAnsi="Times New Roman" w:cs="Times New Roman" w:eastAsia="Times New Roman" w:hint="default"/>
          <w:spacing w:val="-4"/>
        </w:rPr>
        <w:t>2007</w:t>
      </w:r>
      <w:r>
        <w:rPr>
          <w:rFonts w:ascii="Times New Roman" w:hAnsi="Times New Roman" w:cs="Times New Roman" w:eastAsia="Times New Roman" w:hint="default"/>
          <w:spacing w:val="21"/>
        </w:rPr>
        <w:t> </w:t>
      </w:r>
      <w:r>
        <w:rPr/>
        <w:t>年</w:t>
      </w:r>
      <w:r>
        <w:rPr>
          <w:rFonts w:ascii="Times New Roman" w:hAnsi="Times New Roman" w:cs="Times New Roman" w:eastAsia="Times New Roman" w:hint="default"/>
        </w:rPr>
        <w:t>11</w:t>
      </w:r>
      <w:r>
        <w:rPr/>
        <w:t>月12日公司顺利完成了整改工作并 公告了《关于加强上市公司治理专项活动的整改报告》。</w:t>
      </w:r>
    </w:p>
    <w:p>
      <w:pPr>
        <w:pStyle w:val="BodyText"/>
        <w:spacing w:line="240" w:lineRule="auto" w:before="84"/>
        <w:ind w:left="754" w:right="152"/>
        <w:jc w:val="left"/>
      </w:pPr>
      <w:r>
        <w:rPr/>
        <w:t>具体整改措施如下：</w:t>
      </w:r>
    </w:p>
    <w:p>
      <w:pPr>
        <w:pStyle w:val="BodyText"/>
        <w:spacing w:line="240" w:lineRule="auto" w:before="193"/>
        <w:ind w:left="814" w:right="152"/>
        <w:jc w:val="left"/>
        <w:rPr>
          <w:rFonts w:ascii="黑体" w:hAnsi="黑体" w:cs="黑体" w:eastAsia="黑体" w:hint="default"/>
        </w:rPr>
      </w:pPr>
      <w:r>
        <w:rPr>
          <w:rFonts w:ascii="黑体" w:hAnsi="黑体" w:cs="黑体" w:eastAsia="黑体" w:hint="default"/>
        </w:rPr>
        <w:t>1、进一步发挥董事会下设委员会作用，提高决策效率</w:t>
      </w:r>
    </w:p>
    <w:p>
      <w:pPr>
        <w:pStyle w:val="BodyText"/>
        <w:spacing w:line="357" w:lineRule="auto" w:before="192"/>
        <w:ind w:left="274" w:right="328" w:firstLine="480"/>
        <w:jc w:val="both"/>
      </w:pPr>
      <w:r>
        <w:rPr/>
        <w:t>整改情况：公司组织董事会各专门委员会委员，重新学习专门委员会议事规则，进一步 梳理和细化了专门委员会的议事流程。各专门委员会成员通过重新学习，强化了充分发挥作 用的意识，为各专门委员会日后工作的规范和深化打下了良好的基础。各专门委员会委员充</w:t>
      </w:r>
    </w:p>
    <w:p>
      <w:pPr>
        <w:spacing w:after="0" w:line="357" w:lineRule="auto"/>
        <w:jc w:val="both"/>
        <w:sectPr>
          <w:pgSz w:w="11910" w:h="16840"/>
          <w:pgMar w:header="747" w:footer="669" w:top="980" w:bottom="860" w:left="860" w:right="840"/>
        </w:sectPr>
      </w:pPr>
    </w:p>
    <w:p>
      <w:pPr>
        <w:spacing w:line="240" w:lineRule="auto" w:before="7"/>
        <w:rPr>
          <w:rFonts w:ascii="宋体" w:hAnsi="宋体" w:cs="宋体" w:eastAsia="宋体" w:hint="default"/>
          <w:sz w:val="29"/>
          <w:szCs w:val="29"/>
        </w:rPr>
      </w:pPr>
    </w:p>
    <w:p>
      <w:pPr>
        <w:pStyle w:val="BodyText"/>
        <w:spacing w:line="357" w:lineRule="auto" w:before="26"/>
        <w:ind w:right="268"/>
        <w:jc w:val="both"/>
      </w:pPr>
      <w:r>
        <w:rPr/>
        <w:t>分发挥专业特长，为公司董事会决策提供依据。公司为董事会专门委员会切实履行职责创造 条件，向专门委员会提供全面、准确和完整的资料、信息，使专门委员会对公司重大事项能 够做到完整的事前分析，有效的事中监控和全面的事后评价。</w:t>
      </w:r>
    </w:p>
    <w:p>
      <w:pPr>
        <w:pStyle w:val="BodyText"/>
        <w:spacing w:line="357" w:lineRule="auto" w:before="76"/>
        <w:ind w:right="268" w:firstLine="480"/>
        <w:jc w:val="both"/>
      </w:pPr>
      <w:r>
        <w:rPr/>
        <w:t>今后，公司将结合实际发展情况，注重实效，切实推动各专门委员会工作的有效开展， 充分发挥独立董事在公司决策方面的专业作用，提高公司的规范运作水平。</w:t>
      </w:r>
    </w:p>
    <w:p>
      <w:pPr>
        <w:pStyle w:val="BodyText"/>
        <w:spacing w:line="240" w:lineRule="auto" w:before="74"/>
        <w:ind w:left="694" w:right="92"/>
        <w:jc w:val="left"/>
        <w:rPr>
          <w:rFonts w:ascii="黑体" w:hAnsi="黑体" w:cs="黑体" w:eastAsia="黑体" w:hint="default"/>
        </w:rPr>
      </w:pPr>
      <w:r>
        <w:rPr>
          <w:rFonts w:ascii="黑体" w:hAnsi="黑体" w:cs="黑体" w:eastAsia="黑体" w:hint="default"/>
        </w:rPr>
        <w:t>2、加强相关人员学习培训，增强规范运作意识</w:t>
      </w:r>
    </w:p>
    <w:p>
      <w:pPr>
        <w:pStyle w:val="BodyText"/>
        <w:spacing w:line="357" w:lineRule="auto" w:before="192"/>
        <w:ind w:left="153" w:right="228" w:firstLine="480"/>
        <w:jc w:val="both"/>
      </w:pPr>
      <w:r>
        <w:rPr/>
        <w:t>整改情况：公司董事会秘书采取现场、通讯等方式组织全体董事、监事、高级管理人员</w:t>
      </w:r>
      <w:r>
        <w:rPr>
          <w:spacing w:val="1"/>
        </w:rPr>
        <w:t> </w:t>
      </w:r>
      <w:r>
        <w:rPr/>
        <w:t>学习各项规章制度，并及时解答在学习过程中提出的问题，督促公司高管按时参加监管部门</w:t>
      </w:r>
      <w:r>
        <w:rPr>
          <w:spacing w:val="-83"/>
        </w:rPr>
        <w:t> </w:t>
      </w:r>
      <w:r>
        <w:rPr>
          <w:spacing w:val="-83"/>
        </w:rPr>
      </w:r>
      <w:r>
        <w:rPr>
          <w:spacing w:val="-1"/>
        </w:rPr>
        <w:t>举办的培训班，按照</w:t>
      </w:r>
      <w:r>
        <w:rPr>
          <w:spacing w:val="-1"/>
          <w:sz w:val="30"/>
          <w:szCs w:val="30"/>
        </w:rPr>
        <w:t>《</w:t>
      </w:r>
      <w:r>
        <w:rPr>
          <w:spacing w:val="-1"/>
        </w:rPr>
        <w:t>上市公司高级管理人员培训工作指引》及其实施细则的要求完成后续</w:t>
      </w:r>
      <w:r>
        <w:rPr>
          <w:spacing w:val="-103"/>
        </w:rPr>
        <w:t> </w:t>
      </w:r>
      <w:r>
        <w:rPr>
          <w:spacing w:val="-103"/>
        </w:rPr>
      </w:r>
      <w:r>
        <w:rPr/>
        <w:t>教育学习，公司将长期保持这种定期和不定期的培训制度，保证董事、监事、高级管理人员</w:t>
      </w:r>
      <w:r>
        <w:rPr>
          <w:spacing w:val="-83"/>
        </w:rPr>
        <w:t> </w:t>
      </w:r>
      <w:r>
        <w:rPr>
          <w:spacing w:val="-83"/>
        </w:rPr>
      </w:r>
      <w:r>
        <w:rPr/>
        <w:t>熟知各项规章制度，不断增强规范运作意识，提高公司治理水平。</w:t>
      </w:r>
    </w:p>
    <w:p>
      <w:pPr>
        <w:pStyle w:val="BodyText"/>
        <w:spacing w:line="240" w:lineRule="auto" w:before="74"/>
        <w:ind w:left="873" w:right="92"/>
        <w:jc w:val="left"/>
        <w:rPr>
          <w:rFonts w:ascii="黑体" w:hAnsi="黑体" w:cs="黑体" w:eastAsia="黑体" w:hint="default"/>
        </w:rPr>
      </w:pPr>
      <w:r>
        <w:rPr>
          <w:rFonts w:ascii="黑体" w:hAnsi="黑体" w:cs="黑体" w:eastAsia="黑体" w:hint="default"/>
        </w:rPr>
        <w:t>3、</w:t>
      </w:r>
      <w:r>
        <w:rPr>
          <w:rFonts w:ascii="黑体" w:hAnsi="黑体" w:cs="黑体" w:eastAsia="黑体" w:hint="default"/>
          <w:spacing w:val="60"/>
        </w:rPr>
        <w:t> </w:t>
      </w:r>
      <w:r>
        <w:rPr>
          <w:rFonts w:ascii="黑体" w:hAnsi="黑体" w:cs="黑体" w:eastAsia="黑体" w:hint="default"/>
        </w:rPr>
        <w:t>部分公司管理制度需根据最新法律法规加以完善</w:t>
      </w:r>
    </w:p>
    <w:p>
      <w:pPr>
        <w:pStyle w:val="BodyText"/>
        <w:spacing w:line="357" w:lineRule="auto" w:before="192"/>
        <w:ind w:left="153" w:right="231" w:firstLine="480"/>
        <w:jc w:val="both"/>
      </w:pPr>
      <w:r>
        <w:rPr/>
        <w:t>整改情况：公司根据中国证监会《关于进一步规范上市公司募集资金使用的通知》及深 </w:t>
      </w:r>
      <w:r>
        <w:rPr>
          <w:spacing w:val="-5"/>
        </w:rPr>
        <w:t>圳证券交易所2007年修订的《中小企业板上市公司募集资金管理细则》，并结合本公司的实际</w:t>
      </w:r>
      <w:r>
        <w:rPr>
          <w:spacing w:val="-107"/>
        </w:rPr>
        <w:t> </w:t>
      </w:r>
      <w:r>
        <w:rPr>
          <w:spacing w:val="-107"/>
        </w:rPr>
      </w:r>
      <w:r>
        <w:rPr/>
        <w:t>情况，对《募集资金管理办法》进行了修改完善，并经公司第三届董事会第二次会议和2007 年第二次临时股东大会审议通过。</w:t>
      </w:r>
    </w:p>
    <w:p>
      <w:pPr>
        <w:pStyle w:val="BodyText"/>
        <w:spacing w:line="357" w:lineRule="auto" w:before="74"/>
        <w:ind w:left="153" w:right="231" w:firstLine="480"/>
        <w:jc w:val="both"/>
      </w:pPr>
      <w:r>
        <w:rPr/>
        <w:t>公司根据中国证监会[2007]40</w:t>
      </w:r>
      <w:r>
        <w:rPr>
          <w:spacing w:val="14"/>
        </w:rPr>
        <w:t> </w:t>
      </w:r>
      <w:r>
        <w:rPr>
          <w:spacing w:val="-4"/>
        </w:rPr>
        <w:t>号文《上市公司信息披露管理办法》的有关规定，并根据</w:t>
      </w:r>
      <w:r>
        <w:rPr/>
        <w:t> </w:t>
      </w:r>
      <w:r>
        <w:rPr>
          <w:spacing w:val="-2"/>
        </w:rPr>
        <w:t>深圳证券交易所2007年5月31日发布的《中小企业板信息披露业务备忘录第8号-信息披露事务</w:t>
      </w:r>
      <w:r>
        <w:rPr>
          <w:spacing w:val="-112"/>
        </w:rPr>
        <w:t> </w:t>
      </w:r>
      <w:r>
        <w:rPr>
          <w:spacing w:val="-112"/>
        </w:rPr>
      </w:r>
      <w:r>
        <w:rPr/>
        <w:t>管理制度相关要求》的规定，并结合本公司的实际情况，对公司《信息披露事务管理制度》 进行了修改完善,并经公司第三届董事会第二次会议审议通过。</w:t>
      </w:r>
    </w:p>
    <w:p>
      <w:pPr>
        <w:spacing w:line="386" w:lineRule="auto" w:before="76"/>
        <w:ind w:left="633" w:right="5757" w:firstLine="0"/>
        <w:jc w:val="left"/>
        <w:rPr>
          <w:rFonts w:ascii="宋体" w:hAnsi="宋体" w:cs="宋体" w:eastAsia="宋体" w:hint="default"/>
          <w:sz w:val="24"/>
          <w:szCs w:val="24"/>
        </w:rPr>
      </w:pPr>
      <w:r>
        <w:rPr>
          <w:rFonts w:ascii="宋体" w:hAnsi="宋体" w:cs="宋体" w:eastAsia="宋体" w:hint="default"/>
          <w:b/>
          <w:bCs/>
          <w:sz w:val="24"/>
          <w:szCs w:val="24"/>
        </w:rPr>
        <w:t>（二）持续性改进问题的整改效果</w:t>
      </w:r>
      <w:r>
        <w:rPr>
          <w:rFonts w:ascii="宋体" w:hAnsi="宋体" w:cs="宋体" w:eastAsia="宋体" w:hint="default"/>
          <w:b/>
          <w:bCs/>
          <w:w w:val="99"/>
          <w:sz w:val="24"/>
          <w:szCs w:val="24"/>
        </w:rPr>
        <w:t> </w:t>
      </w:r>
      <w:r>
        <w:rPr>
          <w:rFonts w:ascii="宋体" w:hAnsi="宋体" w:cs="宋体" w:eastAsia="宋体" w:hint="default"/>
          <w:sz w:val="24"/>
          <w:szCs w:val="24"/>
        </w:rPr>
        <w:t>1、持续完善公司内控制度。</w:t>
      </w:r>
    </w:p>
    <w:p>
      <w:pPr>
        <w:pStyle w:val="BodyText"/>
        <w:spacing w:line="240" w:lineRule="auto" w:before="47"/>
        <w:ind w:left="513" w:right="92"/>
        <w:jc w:val="left"/>
      </w:pPr>
      <w:r>
        <w:rPr>
          <w:spacing w:val="-3"/>
        </w:rPr>
        <w:t>公司根据监管部门制定的相关政策，及时对公司内控制度进行了持续的完善，相继制定了</w:t>
      </w:r>
    </w:p>
    <w:p>
      <w:pPr>
        <w:pStyle w:val="BodyText"/>
        <w:spacing w:line="240" w:lineRule="auto" w:before="152"/>
        <w:ind w:left="153" w:right="0"/>
        <w:jc w:val="both"/>
      </w:pPr>
      <w:r>
        <w:rPr/>
        <w:t>《董事</w:t>
      </w:r>
      <w:r>
        <w:rPr>
          <w:spacing w:val="-28"/>
        </w:rPr>
        <w:t>、</w:t>
      </w:r>
      <w:r>
        <w:rPr/>
        <w:t>监事和高级管理人员所持本公司股份及其变动管理制度</w:t>
      </w:r>
      <w:r>
        <w:rPr>
          <w:spacing w:val="-120"/>
        </w:rPr>
        <w:t>》</w:t>
      </w:r>
      <w:r>
        <w:rPr>
          <w:spacing w:val="-28"/>
        </w:rPr>
        <w:t>，</w:t>
      </w:r>
      <w:r>
        <w:rPr/>
        <w:t>修改</w:t>
      </w:r>
      <w:r>
        <w:rPr>
          <w:spacing w:val="-28"/>
        </w:rPr>
        <w:t>了</w:t>
      </w:r>
      <w:r>
        <w:rPr/>
        <w:t>《独立董事制度</w:t>
      </w:r>
      <w:r>
        <w:rPr>
          <w:spacing w:val="-120"/>
        </w:rPr>
        <w:t>》</w:t>
      </w:r>
      <w:r>
        <w:rPr/>
        <w:t>、</w:t>
      </w:r>
    </w:p>
    <w:p>
      <w:pPr>
        <w:pStyle w:val="BodyText"/>
        <w:spacing w:line="357" w:lineRule="auto" w:before="152"/>
        <w:ind w:left="153" w:right="228"/>
        <w:jc w:val="both"/>
      </w:pPr>
      <w:r>
        <w:rPr>
          <w:spacing w:val="-17"/>
        </w:rPr>
        <w:t>《董事会审计委员会议事规则》、《募集资金管理办法》、《公司章程》、《信息披露事务管理制</w:t>
      </w:r>
      <w:r>
        <w:rPr>
          <w:spacing w:val="-82"/>
        </w:rPr>
        <w:t> </w:t>
      </w:r>
      <w:r>
        <w:rPr>
          <w:spacing w:val="-82"/>
        </w:rPr>
      </w:r>
      <w:r>
        <w:rPr>
          <w:spacing w:val="-24"/>
        </w:rPr>
        <w:t>度》，并在</w:t>
      </w:r>
      <w:r>
        <w:rPr/>
        <w:t> 2007</w:t>
      </w:r>
      <w:r>
        <w:rPr>
          <w:spacing w:val="-82"/>
        </w:rPr>
        <w:t> </w:t>
      </w:r>
      <w:r>
        <w:rPr/>
        <w:t>年度报告中披露了《董事会审计委员会关于公司内部控制的自我评估报告》</w:t>
      </w:r>
      <w:r>
        <w:rPr/>
        <w:t> 保证了内控制度的完善和相关制度的执行力。</w:t>
      </w:r>
    </w:p>
    <w:p>
      <w:pPr>
        <w:pStyle w:val="BodyText"/>
        <w:spacing w:line="388" w:lineRule="auto" w:before="74"/>
        <w:ind w:left="633" w:right="92"/>
        <w:jc w:val="left"/>
      </w:pPr>
      <w:r>
        <w:rPr/>
        <w:t>2、强化独立董事、董事会各专业委员会的职能。 公司修改了《独立董事工作制度》增加了年报工作规程，充分发挥独立董事的作用。公</w:t>
      </w:r>
    </w:p>
    <w:p>
      <w:pPr>
        <w:spacing w:after="0" w:line="388" w:lineRule="auto"/>
        <w:jc w:val="left"/>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right="228"/>
        <w:jc w:val="both"/>
      </w:pPr>
      <w:r>
        <w:rPr/>
        <w:t>司进一步完善了独立董事与公司的沟通机制、信息获得机制。日常工作中，公司经常定期、</w:t>
      </w:r>
      <w:r>
        <w:rPr>
          <w:spacing w:val="-83"/>
        </w:rPr>
        <w:t> </w:t>
      </w:r>
      <w:r>
        <w:rPr>
          <w:spacing w:val="-83"/>
        </w:rPr>
      </w:r>
      <w:r>
        <w:rPr/>
        <w:t>不定期地向独立董事汇报公司生产经营情况、市场状况以及证券市场有关发展趋势，使独立</w:t>
      </w:r>
      <w:r>
        <w:rPr>
          <w:spacing w:val="-83"/>
        </w:rPr>
        <w:t> </w:t>
      </w:r>
      <w:r>
        <w:rPr>
          <w:spacing w:val="-83"/>
        </w:rPr>
      </w:r>
      <w:r>
        <w:rPr/>
        <w:t>董事能够及时了解公司情况，更好地履行独立董事的职责；同时公司充分利用董事会、股东</w:t>
      </w:r>
      <w:r>
        <w:rPr>
          <w:spacing w:val="-83"/>
        </w:rPr>
        <w:t> </w:t>
      </w:r>
      <w:r>
        <w:rPr>
          <w:spacing w:val="-83"/>
        </w:rPr>
      </w:r>
      <w:r>
        <w:rPr/>
        <w:t>大会等现场会议向独立董事介绍公司近期的经营情况和重大事项的进展情况，并听取独立董</w:t>
      </w:r>
      <w:r>
        <w:rPr>
          <w:spacing w:val="-83"/>
        </w:rPr>
        <w:t> </w:t>
      </w:r>
      <w:r>
        <w:rPr>
          <w:spacing w:val="-83"/>
        </w:rPr>
      </w:r>
      <w:r>
        <w:rPr/>
        <w:t>事对当前经济和行业发展前景的分析以及对公司生产管理、经营决策的相关建议。</w:t>
      </w:r>
    </w:p>
    <w:p>
      <w:pPr>
        <w:pStyle w:val="BodyText"/>
        <w:spacing w:line="352" w:lineRule="auto" w:before="76"/>
        <w:ind w:left="153" w:right="92" w:firstLine="480"/>
        <w:jc w:val="left"/>
      </w:pPr>
      <w:r>
        <w:rPr/>
        <w:t>公司进一步规范了四个专门委员会的运作。公司重点对审计委员会的议事规则进行了修 订和完善，明确了审计委员会的年报工作规程。</w:t>
      </w:r>
      <w:r>
        <w:rPr>
          <w:rFonts w:ascii="Times New Roman" w:hAnsi="Times New Roman" w:cs="Times New Roman" w:eastAsia="Times New Roman" w:hint="default"/>
        </w:rPr>
        <w:t>2007 </w:t>
      </w:r>
      <w:r>
        <w:rPr/>
        <w:t>年审计委员会积极开展年报相关工作， 与年审注册会计师协商确定年度审计工作时间安排，督促会计师事务所在约定时限内提交审 计报告，对公司编制的财务报表发表意见，并向董事会提交了会计师事务所从事本年度公司 审计工作的总结报告和下年度续聘会计师事务所的决议，在公司年报过程中发挥了积极的作 用。薪酬与考核委员会则积极参与公司董、监事和高级管理人员的绩效考评工作，对相关董 </w:t>
      </w:r>
      <w:r>
        <w:rPr>
          <w:spacing w:val="-3"/>
        </w:rPr>
        <w:t>事、监事和高级管理人员的薪酬实施情况进行了认真审核，并发表了客观、公正的专业意见。</w:t>
      </w:r>
    </w:p>
    <w:p>
      <w:pPr>
        <w:pStyle w:val="BodyText"/>
        <w:spacing w:line="388" w:lineRule="auto" w:before="79"/>
        <w:ind w:left="633" w:right="92"/>
        <w:jc w:val="left"/>
      </w:pPr>
      <w:r>
        <w:rPr/>
        <w:t>3、加强相关人员培训，增强规范运作意识。 </w:t>
      </w:r>
      <w:r>
        <w:rPr>
          <w:spacing w:val="-3"/>
        </w:rPr>
        <w:t>随着证券市场的不断发展变化，相应的政策法规也在不断的进行完善，在这样的形势下，</w:t>
      </w:r>
    </w:p>
    <w:p>
      <w:pPr>
        <w:pStyle w:val="BodyText"/>
        <w:spacing w:line="357" w:lineRule="auto" w:before="4"/>
        <w:ind w:left="153" w:right="268"/>
        <w:jc w:val="both"/>
      </w:pPr>
      <w:r>
        <w:rPr/>
        <w:t>公司要求董事、监事、高级管理人员及其他涉及信息披露的相关人员必须及时掌握证券市场 的政策法规和发展变化，以进一步明确新形势下的信息披露要求。同时公司还要求证券事务 部定期收集整理中小板上市公司有关规定和违规警示录，汇编成学习资料，在董、监事、高 管等相关信息披露义务人中开展学习培训活动，以增强其信息披露工作方面的敏感性，避免 无知犯错现象的发生。2008年上半年，公司部分董事、监事参加辽宁证监局组织的培训班， 独立董事参加了深交所组织的独立董事培训班并取得了独立董事任职资格。</w:t>
      </w:r>
    </w:p>
    <w:p>
      <w:pPr>
        <w:pStyle w:val="Heading4"/>
        <w:spacing w:line="240" w:lineRule="auto" w:before="76"/>
        <w:ind w:left="633" w:right="92"/>
        <w:jc w:val="left"/>
        <w:rPr>
          <w:b w:val="0"/>
          <w:bCs w:val="0"/>
        </w:rPr>
      </w:pPr>
      <w:r>
        <w:rPr/>
        <w:t>（三）下一步改进计划</w:t>
      </w:r>
      <w:r>
        <w:rPr>
          <w:b w:val="0"/>
          <w:bCs w:val="0"/>
        </w:rPr>
      </w:r>
    </w:p>
    <w:p>
      <w:pPr>
        <w:pStyle w:val="BodyText"/>
        <w:spacing w:line="357" w:lineRule="auto" w:before="192"/>
        <w:ind w:left="153" w:right="215" w:firstLine="480"/>
        <w:jc w:val="left"/>
      </w:pPr>
      <w:r>
        <w:rPr/>
        <w:t>通过2007</w:t>
      </w:r>
      <w:r>
        <w:rPr>
          <w:spacing w:val="18"/>
        </w:rPr>
        <w:t> </w:t>
      </w:r>
      <w:r>
        <w:rPr>
          <w:spacing w:val="-3"/>
        </w:rPr>
        <w:t>年公司治理专项活动的开展和本次公司治理活动的继续深入，公司规范运作意</w:t>
      </w:r>
      <w:r>
        <w:rPr/>
        <w:t> 识进一步增强，公司治理结构进一步完善。</w:t>
      </w:r>
    </w:p>
    <w:p>
      <w:pPr>
        <w:pStyle w:val="BodyText"/>
        <w:spacing w:line="357" w:lineRule="auto" w:before="74"/>
        <w:ind w:left="153" w:right="93" w:firstLine="480"/>
        <w:jc w:val="left"/>
      </w:pPr>
      <w:r>
        <w:rPr/>
        <w:t>公司在今后的工作中将切实贯彻好在本次专项活动中建立的长效机制，公司将着重在以</w:t>
      </w:r>
      <w:r>
        <w:rPr>
          <w:spacing w:val="1"/>
        </w:rPr>
        <w:t> </w:t>
      </w:r>
      <w:r>
        <w:rPr/>
        <w:t>下几个方面做好公司治理工作，以进一步提高公司规范运作水平：一是严格按照监管部门新</w:t>
      </w:r>
      <w:r>
        <w:rPr>
          <w:spacing w:val="-83"/>
        </w:rPr>
        <w:t> </w:t>
      </w:r>
      <w:r>
        <w:rPr>
          <w:spacing w:val="-83"/>
        </w:rPr>
      </w:r>
      <w:r>
        <w:rPr>
          <w:spacing w:val="-2"/>
        </w:rPr>
        <w:t>出台的法律法规和规章及时修订和完善公司各项内控制度，重点抓好各项制度的执行和落实；</w:t>
      </w:r>
      <w:r>
        <w:rPr/>
        <w:t> 二是持续做好信息披露工作和投资者关系管理工作；三是积极组织相关人员参加监管部门的</w:t>
      </w:r>
      <w:r>
        <w:rPr>
          <w:spacing w:val="-83"/>
        </w:rPr>
        <w:t> </w:t>
      </w:r>
      <w:r>
        <w:rPr>
          <w:spacing w:val="-83"/>
        </w:rPr>
      </w:r>
      <w:r>
        <w:rPr/>
        <w:t>后续培训。</w:t>
      </w:r>
    </w:p>
    <w:p>
      <w:pPr>
        <w:pStyle w:val="BodyText"/>
        <w:spacing w:line="240" w:lineRule="auto" w:before="74"/>
        <w:ind w:left="633" w:right="92"/>
        <w:jc w:val="left"/>
      </w:pPr>
      <w:r>
        <w:rPr>
          <w:spacing w:val="-3"/>
        </w:rPr>
        <w:t>公司《关于公司治理专项活动整改情况说明》已经第三届董事会第十四次会议审议通过。</w:t>
      </w:r>
    </w:p>
    <w:p>
      <w:pPr>
        <w:spacing w:after="0" w:line="240"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before="177"/>
        <w:ind w:left="3212" w:right="0" w:firstLine="0"/>
        <w:jc w:val="left"/>
        <w:rPr>
          <w:rFonts w:ascii="黑体" w:hAnsi="黑体" w:cs="黑体" w:eastAsia="黑体" w:hint="default"/>
          <w:sz w:val="32"/>
          <w:szCs w:val="32"/>
        </w:rPr>
      </w:pPr>
      <w:bookmarkStart w:name="_bookmark5" w:id="10"/>
      <w:bookmarkEnd w:id="10"/>
      <w:r>
        <w:rPr/>
      </w:r>
      <w:r>
        <w:rPr>
          <w:rFonts w:ascii="黑体" w:hAnsi="黑体" w:cs="黑体" w:eastAsia="黑体" w:hint="default"/>
          <w:sz w:val="32"/>
          <w:szCs w:val="32"/>
        </w:rPr>
        <w:t>第六节股东大会情况简介</w:t>
      </w:r>
    </w:p>
    <w:p>
      <w:pPr>
        <w:pStyle w:val="BodyText"/>
        <w:spacing w:line="357" w:lineRule="auto" w:before="256"/>
        <w:ind w:left="634" w:right="138"/>
        <w:jc w:val="left"/>
      </w:pPr>
      <w:r>
        <w:rPr/>
        <w:t>报告期内，公司共计召开1次年度股东大会、1 次临时股东大会，会议具体情况如下： </w:t>
      </w:r>
      <w:r>
        <w:rPr>
          <w:spacing w:val="-2"/>
        </w:rPr>
        <w:t>一、公司于2008年3月3日在鞍山经济开发区联谊路5号公司会议室召开了2008年第一次临</w:t>
      </w:r>
    </w:p>
    <w:p>
      <w:pPr>
        <w:pStyle w:val="BodyText"/>
        <w:spacing w:line="357" w:lineRule="auto" w:before="36"/>
        <w:ind w:left="694" w:right="3110" w:hanging="540"/>
        <w:jc w:val="left"/>
      </w:pPr>
      <w:r>
        <w:rPr/>
        <w:t>时股东大会，会议主要审议如下议案： 1、审议《关于变更公司2007年度财务审计机构的议案》；</w:t>
      </w:r>
    </w:p>
    <w:p>
      <w:pPr>
        <w:pStyle w:val="BodyText"/>
        <w:spacing w:line="240" w:lineRule="auto" w:before="35"/>
        <w:ind w:left="694" w:right="0"/>
        <w:jc w:val="left"/>
      </w:pPr>
      <w:r>
        <w:rPr/>
        <w:t>2、审议《关于修改〈独立董事制度〉的议案》；</w:t>
      </w:r>
    </w:p>
    <w:p>
      <w:pPr>
        <w:pStyle w:val="BodyText"/>
        <w:spacing w:line="357" w:lineRule="auto" w:before="152"/>
        <w:ind w:left="634" w:right="0" w:firstLine="60"/>
        <w:jc w:val="left"/>
      </w:pPr>
      <w:r>
        <w:rPr/>
        <w:t>3、审议《关于修改&lt;董事会审计委员会议事规则&gt;的议案》。 股东大会决议公告刊登于2008年3月4日的《证券时报》及巨潮资讯网上。 二、公司于2008年4月29日在鞍山经济开发区联谊路5号公司会议室召开了2007年度股东</w:t>
      </w:r>
    </w:p>
    <w:p>
      <w:pPr>
        <w:pStyle w:val="BodyText"/>
        <w:spacing w:line="386" w:lineRule="auto" w:before="35"/>
        <w:ind w:left="694" w:right="5210" w:hanging="540"/>
        <w:jc w:val="left"/>
      </w:pPr>
      <w:r>
        <w:rPr/>
        <w:t>大会，会议主要审议如下议案： 1、审议《2007</w:t>
      </w:r>
      <w:r>
        <w:rPr>
          <w:spacing w:val="-60"/>
        </w:rPr>
        <w:t> </w:t>
      </w:r>
      <w:r>
        <w:rPr/>
        <w:t>年度董事会工作报告》</w:t>
      </w:r>
    </w:p>
    <w:p>
      <w:pPr>
        <w:pStyle w:val="BodyText"/>
        <w:spacing w:line="240" w:lineRule="auto" w:before="47"/>
        <w:ind w:left="694" w:right="0"/>
        <w:jc w:val="left"/>
      </w:pPr>
      <w:r>
        <w:rPr/>
        <w:t>2、审议《2007</w:t>
      </w:r>
      <w:r>
        <w:rPr>
          <w:spacing w:val="-60"/>
        </w:rPr>
        <w:t> </w:t>
      </w:r>
      <w:r>
        <w:rPr/>
        <w:t>年度监事会工作报告》</w:t>
      </w:r>
    </w:p>
    <w:p>
      <w:pPr>
        <w:pStyle w:val="BodyText"/>
        <w:spacing w:line="240" w:lineRule="auto" w:before="192"/>
        <w:ind w:left="694" w:right="0"/>
        <w:jc w:val="left"/>
      </w:pPr>
      <w:r>
        <w:rPr/>
        <w:t>3、审议《2007</w:t>
      </w:r>
      <w:r>
        <w:rPr>
          <w:spacing w:val="-60"/>
        </w:rPr>
        <w:t> </w:t>
      </w:r>
      <w:r>
        <w:rPr/>
        <w:t>年度财务决算报告》</w:t>
      </w:r>
    </w:p>
    <w:p>
      <w:pPr>
        <w:pStyle w:val="BodyText"/>
        <w:spacing w:line="240" w:lineRule="auto" w:before="193"/>
        <w:ind w:left="694" w:right="0"/>
        <w:jc w:val="left"/>
      </w:pPr>
      <w:r>
        <w:rPr/>
        <w:t>4、审议《2007</w:t>
      </w:r>
      <w:r>
        <w:rPr>
          <w:spacing w:val="-60"/>
        </w:rPr>
        <w:t> </w:t>
      </w:r>
      <w:r>
        <w:rPr/>
        <w:t>年度利润分配及资本公积转增股本预案》</w:t>
      </w:r>
    </w:p>
    <w:p>
      <w:pPr>
        <w:pStyle w:val="BodyText"/>
        <w:spacing w:line="240" w:lineRule="auto" w:before="192"/>
        <w:ind w:left="694" w:right="0"/>
        <w:jc w:val="left"/>
      </w:pPr>
      <w:r>
        <w:rPr/>
        <w:t>5、审议《2007 年年度报告及摘要》</w:t>
      </w:r>
    </w:p>
    <w:p>
      <w:pPr>
        <w:pStyle w:val="BodyText"/>
        <w:spacing w:line="240" w:lineRule="auto" w:before="192"/>
        <w:ind w:left="694" w:right="0"/>
        <w:jc w:val="left"/>
      </w:pPr>
      <w:r>
        <w:rPr/>
        <w:t>6、审议《关于续聘会计师事务所的议案》</w:t>
      </w:r>
    </w:p>
    <w:p>
      <w:pPr>
        <w:pStyle w:val="BodyText"/>
        <w:spacing w:line="240" w:lineRule="auto" w:before="193"/>
        <w:ind w:left="694" w:right="0"/>
        <w:jc w:val="left"/>
      </w:pPr>
      <w:r>
        <w:rPr/>
        <w:t>7、审议《关于修改〈公司章程〉的议案》</w:t>
      </w:r>
    </w:p>
    <w:p>
      <w:pPr>
        <w:pStyle w:val="BodyText"/>
        <w:spacing w:line="240" w:lineRule="auto" w:before="192"/>
        <w:ind w:left="694" w:right="0"/>
        <w:jc w:val="left"/>
      </w:pPr>
      <w:r>
        <w:rPr/>
        <w:t>8、审议《修改募集资金管理办法的议案》</w:t>
      </w:r>
    </w:p>
    <w:p>
      <w:pPr>
        <w:pStyle w:val="BodyText"/>
        <w:spacing w:line="240" w:lineRule="auto" w:before="192"/>
        <w:ind w:left="754" w:right="0"/>
        <w:jc w:val="left"/>
      </w:pPr>
      <w:r>
        <w:rPr/>
        <w:t>9、听取独立董事2007年度述职报告</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6"/>
          <w:szCs w:val="26"/>
        </w:rPr>
      </w:pPr>
    </w:p>
    <w:p>
      <w:pPr>
        <w:pStyle w:val="BodyText"/>
        <w:spacing w:line="312" w:lineRule="exact"/>
        <w:ind w:left="634" w:right="0"/>
        <w:jc w:val="left"/>
      </w:pPr>
      <w:r>
        <w:rPr>
          <w:spacing w:val="34"/>
        </w:rPr>
        <w:t>股东大会决议公告刊登于 </w:t>
      </w:r>
      <w:r>
        <w:rPr/>
        <w:t>2008 年 4 月 30 </w:t>
      </w:r>
      <w:r>
        <w:rPr>
          <w:spacing w:val="83"/>
        </w:rPr>
        <w:t> </w:t>
      </w:r>
      <w:r>
        <w:rPr>
          <w:spacing w:val="35"/>
        </w:rPr>
        <w:t>日的《证券时报》及巨潮资讯网</w:t>
      </w:r>
      <w:r>
        <w:rPr>
          <w:spacing w:val="-82"/>
        </w:rPr>
        <w:t> </w:t>
      </w:r>
      <w:r>
        <w:rPr/>
      </w:r>
    </w:p>
    <w:p>
      <w:pPr>
        <w:pStyle w:val="BodyText"/>
        <w:spacing w:line="312" w:lineRule="exact"/>
        <w:ind w:left="153" w:right="0"/>
        <w:jc w:val="left"/>
      </w:pPr>
      <w:hyperlink r:id="rId11">
        <w:r>
          <w:rPr/>
          <w:t>（http://www.cninfo.com.cn）上。</w:t>
        </w:r>
      </w:hyperlink>
    </w:p>
    <w:p>
      <w:pPr>
        <w:spacing w:after="0" w:line="312" w:lineRule="exact"/>
        <w:jc w:val="left"/>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before="137"/>
        <w:ind w:left="1" w:right="0" w:firstLine="0"/>
        <w:jc w:val="center"/>
        <w:rPr>
          <w:rFonts w:ascii="黑体" w:hAnsi="黑体" w:cs="黑体" w:eastAsia="黑体" w:hint="default"/>
          <w:sz w:val="32"/>
          <w:szCs w:val="32"/>
        </w:rPr>
      </w:pPr>
      <w:bookmarkStart w:name="_bookmark6" w:id="11"/>
      <w:bookmarkEnd w:id="11"/>
      <w:r>
        <w:rPr/>
      </w:r>
      <w:r>
        <w:rPr>
          <w:rFonts w:ascii="黑体" w:hAnsi="黑体" w:cs="黑体" w:eastAsia="黑体" w:hint="default"/>
          <w:sz w:val="32"/>
          <w:szCs w:val="32"/>
        </w:rPr>
        <w:t>第七节</w:t>
      </w:r>
      <w:r>
        <w:rPr>
          <w:rFonts w:ascii="黑体" w:hAnsi="黑体" w:cs="黑体" w:eastAsia="黑体" w:hint="default"/>
          <w:spacing w:val="-5"/>
          <w:sz w:val="32"/>
          <w:szCs w:val="32"/>
        </w:rPr>
        <w:t> </w:t>
      </w:r>
      <w:r>
        <w:rPr>
          <w:rFonts w:ascii="黑体" w:hAnsi="黑体" w:cs="黑体" w:eastAsia="黑体" w:hint="default"/>
          <w:sz w:val="32"/>
          <w:szCs w:val="32"/>
        </w:rPr>
        <w:t>董事会报告</w:t>
      </w:r>
    </w:p>
    <w:p>
      <w:pPr>
        <w:spacing w:line="357" w:lineRule="auto" w:before="208"/>
        <w:ind w:left="389" w:right="5210" w:hanging="236"/>
        <w:jc w:val="left"/>
        <w:rPr>
          <w:rFonts w:ascii="宋体" w:hAnsi="宋体" w:cs="宋体" w:eastAsia="宋体" w:hint="default"/>
          <w:sz w:val="24"/>
          <w:szCs w:val="24"/>
        </w:rPr>
      </w:pPr>
      <w:r>
        <w:rPr>
          <w:rFonts w:ascii="宋体" w:hAnsi="宋体" w:cs="宋体" w:eastAsia="宋体" w:hint="default"/>
          <w:sz w:val="24"/>
          <w:szCs w:val="24"/>
        </w:rPr>
        <w:t>一、公司经营情况 </w:t>
      </w:r>
      <w:r>
        <w:rPr>
          <w:rFonts w:ascii="宋体" w:hAnsi="宋体" w:cs="宋体" w:eastAsia="宋体" w:hint="default"/>
          <w:b/>
          <w:bCs/>
          <w:w w:val="95"/>
          <w:sz w:val="24"/>
          <w:szCs w:val="24"/>
        </w:rPr>
        <w:t>(一)公司报告期内总体经营情况</w:t>
      </w:r>
      <w:r>
        <w:rPr>
          <w:rFonts w:ascii="宋体" w:hAnsi="宋体" w:cs="宋体" w:eastAsia="宋体" w:hint="default"/>
          <w:b/>
          <w:bCs/>
          <w:w w:val="99"/>
          <w:sz w:val="24"/>
          <w:szCs w:val="24"/>
        </w:rPr>
        <w:t> </w:t>
      </w:r>
      <w:r>
        <w:rPr>
          <w:rFonts w:ascii="宋体" w:hAnsi="宋体" w:cs="宋体" w:eastAsia="宋体" w:hint="default"/>
          <w:b/>
          <w:bCs/>
          <w:sz w:val="24"/>
          <w:szCs w:val="24"/>
        </w:rPr>
        <w:t>1、公司总体经营情况</w:t>
      </w:r>
      <w:r>
        <w:rPr>
          <w:rFonts w:ascii="宋体" w:hAnsi="宋体" w:cs="宋体" w:eastAsia="宋体" w:hint="default"/>
          <w:sz w:val="24"/>
          <w:szCs w:val="24"/>
        </w:rPr>
      </w:r>
    </w:p>
    <w:p>
      <w:pPr>
        <w:pStyle w:val="BodyText"/>
        <w:spacing w:line="357" w:lineRule="auto" w:before="36"/>
        <w:ind w:right="188" w:firstLine="480"/>
        <w:jc w:val="both"/>
      </w:pPr>
      <w:r>
        <w:rPr/>
        <w:t>报告期内，公司克服了冶金行业需求增速放缓及原材料价格大幅波动的影响，通过开拓 新的市场领域，积极提高自主创新能力，加大科技研发投入，通过提升内部管理，控制成本 费用，全面提升综合竞争力，取得了较好的经营业绩。</w:t>
      </w:r>
    </w:p>
    <w:p>
      <w:pPr>
        <w:pStyle w:val="BodyText"/>
        <w:spacing w:line="357" w:lineRule="auto" w:before="36"/>
        <w:ind w:right="188" w:firstLine="480"/>
        <w:jc w:val="both"/>
      </w:pPr>
      <w:r>
        <w:rPr/>
        <w:t>2008年度公司实现营业收入58,263.75万元,同比增长58.69%，营业利润9,468.11万元， 同比增长85.24%,实现净利润13,022.28万元，同比增长56.29%。</w:t>
      </w:r>
    </w:p>
    <w:p>
      <w:pPr>
        <w:pStyle w:val="BodyText"/>
        <w:spacing w:line="386" w:lineRule="auto" w:before="191"/>
        <w:ind w:left="636" w:right="0"/>
        <w:jc w:val="left"/>
      </w:pPr>
      <w:r>
        <w:rPr>
          <w:rFonts w:ascii="宋体" w:hAnsi="宋体" w:cs="宋体" w:eastAsia="宋体" w:hint="default"/>
          <w:b/>
          <w:bCs/>
        </w:rPr>
        <w:t>（1）市场发展</w:t>
      </w:r>
      <w:r>
        <w:rPr>
          <w:rFonts w:ascii="宋体" w:hAnsi="宋体" w:cs="宋体" w:eastAsia="宋体" w:hint="default"/>
          <w:b/>
          <w:bCs/>
          <w:spacing w:val="1"/>
          <w:w w:val="99"/>
        </w:rPr>
        <w:t> </w:t>
      </w:r>
      <w:r>
        <w:rPr/>
        <w:t>报告期内，公司所处行业依然景气，公司凭借技术、品牌、管理、服务等优势，进一步</w:t>
      </w:r>
    </w:p>
    <w:p>
      <w:pPr>
        <w:pStyle w:val="BodyText"/>
        <w:spacing w:line="240" w:lineRule="auto" w:before="6"/>
        <w:ind w:left="153" w:right="0"/>
        <w:jc w:val="left"/>
      </w:pPr>
      <w:r>
        <w:rPr>
          <w:spacing w:val="-8"/>
        </w:rPr>
        <w:t>开拓市场，签订订单</w:t>
      </w:r>
      <w:r>
        <w:rPr>
          <w:spacing w:val="-55"/>
        </w:rPr>
        <w:t> </w:t>
      </w:r>
      <w:r>
        <w:rPr/>
        <w:t>93,575.70</w:t>
      </w:r>
      <w:r>
        <w:rPr>
          <w:spacing w:val="-55"/>
        </w:rPr>
        <w:t> </w:t>
      </w:r>
      <w:r>
        <w:rPr/>
        <w:t>万元同比增长</w:t>
      </w:r>
      <w:r>
        <w:rPr>
          <w:spacing w:val="-55"/>
        </w:rPr>
        <w:t> </w:t>
      </w:r>
      <w:r>
        <w:rPr>
          <w:spacing w:val="-8"/>
        </w:rPr>
        <w:t>50.82%，报告期末，公司未执行合同</w:t>
      </w:r>
      <w:r>
        <w:rPr>
          <w:spacing w:val="-55"/>
        </w:rPr>
        <w:t> </w:t>
      </w:r>
      <w:r>
        <w:rPr/>
        <w:t>68,488.85</w:t>
      </w:r>
    </w:p>
    <w:p>
      <w:pPr>
        <w:pStyle w:val="BodyText"/>
        <w:spacing w:line="240" w:lineRule="auto" w:before="154"/>
        <w:ind w:left="153" w:right="0"/>
        <w:jc w:val="left"/>
      </w:pPr>
      <w:r>
        <w:rPr/>
        <w:t>万元,转入</w:t>
      </w:r>
      <w:r>
        <w:rPr>
          <w:spacing w:val="-60"/>
        </w:rPr>
        <w:t> </w:t>
      </w:r>
      <w:r>
        <w:rPr/>
        <w:t>2009</w:t>
      </w:r>
      <w:r>
        <w:rPr>
          <w:spacing w:val="-60"/>
        </w:rPr>
        <w:t> </w:t>
      </w:r>
      <w:r>
        <w:rPr/>
        <w:t>年度执行。</w:t>
      </w:r>
    </w:p>
    <w:p>
      <w:pPr>
        <w:tabs>
          <w:tab w:pos="7384" w:val="left" w:leader="none"/>
        </w:tabs>
        <w:spacing w:before="197"/>
        <w:ind w:left="37" w:right="0" w:firstLine="0"/>
        <w:jc w:val="center"/>
        <w:rPr>
          <w:rFonts w:ascii="宋体" w:hAnsi="宋体" w:cs="宋体" w:eastAsia="宋体" w:hint="default"/>
          <w:sz w:val="21"/>
          <w:szCs w:val="21"/>
        </w:rPr>
      </w:pPr>
      <w:r>
        <w:rPr>
          <w:rFonts w:ascii="宋体" w:hAnsi="宋体" w:cs="宋体" w:eastAsia="宋体" w:hint="default"/>
          <w:spacing w:val="-1"/>
          <w:sz w:val="21"/>
          <w:szCs w:val="21"/>
        </w:rPr>
        <w:t>订单行业分布</w:t>
        <w:tab/>
      </w:r>
      <w:r>
        <w:rPr>
          <w:rFonts w:ascii="宋体" w:hAnsi="宋体" w:cs="宋体" w:eastAsia="宋体" w:hint="default"/>
          <w:sz w:val="21"/>
          <w:szCs w:val="21"/>
        </w:rPr>
        <w:t>单位:万元</w:t>
      </w:r>
    </w:p>
    <w:p>
      <w:pPr>
        <w:spacing w:line="240" w:lineRule="auto" w:before="12"/>
        <w:rPr>
          <w:rFonts w:ascii="宋体" w:hAnsi="宋体" w:cs="宋体" w:eastAsia="宋体" w:hint="default"/>
          <w:sz w:val="15"/>
          <w:szCs w:val="15"/>
        </w:rPr>
      </w:pPr>
    </w:p>
    <w:tbl>
      <w:tblPr>
        <w:tblW w:w="0" w:type="auto"/>
        <w:jc w:val="left"/>
        <w:tblInd w:w="492" w:type="dxa"/>
        <w:tblLayout w:type="fixed"/>
        <w:tblCellMar>
          <w:top w:w="0" w:type="dxa"/>
          <w:left w:w="0" w:type="dxa"/>
          <w:bottom w:w="0" w:type="dxa"/>
          <w:right w:w="0" w:type="dxa"/>
        </w:tblCellMar>
        <w:tblLook w:val="01E0"/>
      </w:tblPr>
      <w:tblGrid>
        <w:gridCol w:w="1076"/>
        <w:gridCol w:w="1162"/>
        <w:gridCol w:w="1160"/>
        <w:gridCol w:w="1162"/>
        <w:gridCol w:w="1076"/>
        <w:gridCol w:w="944"/>
        <w:gridCol w:w="1210"/>
        <w:gridCol w:w="1162"/>
      </w:tblGrid>
      <w:tr>
        <w:trPr>
          <w:trHeight w:val="49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20"/>
              <w:jc w:val="right"/>
              <w:rPr>
                <w:rFonts w:ascii="宋体" w:hAnsi="宋体" w:cs="宋体" w:eastAsia="宋体" w:hint="default"/>
                <w:sz w:val="21"/>
                <w:szCs w:val="21"/>
              </w:rPr>
            </w:pPr>
            <w:r>
              <w:rPr>
                <w:rFonts w:ascii="宋体" w:hAnsi="宋体" w:cs="宋体" w:eastAsia="宋体" w:hint="default"/>
                <w:sz w:val="21"/>
                <w:szCs w:val="21"/>
              </w:rPr>
              <w:t>行业</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冶金</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发电</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煤炭</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铁路</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hAnsi="宋体" w:cs="宋体" w:eastAsia="宋体" w:hint="default"/>
                <w:sz w:val="21"/>
                <w:szCs w:val="21"/>
              </w:rPr>
              <w:t>电网</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18"/>
                <w:szCs w:val="18"/>
              </w:rPr>
            </w:pPr>
            <w:r>
              <w:rPr>
                <w:rFonts w:ascii="宋体" w:hAnsi="宋体" w:cs="宋体" w:eastAsia="宋体" w:hint="default"/>
                <w:sz w:val="18"/>
                <w:szCs w:val="18"/>
              </w:rPr>
              <w:t>有色及其他</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99"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19"/>
              <w:jc w:val="right"/>
              <w:rPr>
                <w:rFonts w:ascii="宋体" w:hAnsi="宋体" w:cs="宋体" w:eastAsia="宋体" w:hint="default"/>
                <w:sz w:val="21"/>
                <w:szCs w:val="21"/>
              </w:rPr>
            </w:pPr>
            <w:r>
              <w:rPr>
                <w:rFonts w:ascii="宋体" w:hAnsi="宋体" w:cs="宋体" w:eastAsia="宋体" w:hint="default"/>
                <w:sz w:val="21"/>
                <w:szCs w:val="21"/>
              </w:rPr>
              <w:t>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27,825.30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19,807.16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21,964.41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8,513.25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4,796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10,669.58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93,575.70</w:t>
            </w:r>
          </w:p>
        </w:tc>
      </w:tr>
      <w:tr>
        <w:trPr>
          <w:trHeight w:val="498"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319"/>
              <w:jc w:val="right"/>
              <w:rPr>
                <w:rFonts w:ascii="宋体" w:hAnsi="宋体" w:cs="宋体" w:eastAsia="宋体" w:hint="default"/>
                <w:sz w:val="21"/>
                <w:szCs w:val="21"/>
              </w:rPr>
            </w:pPr>
            <w:r>
              <w:rPr>
                <w:rFonts w:ascii="宋体" w:hAnsi="宋体" w:cs="宋体" w:eastAsia="宋体" w:hint="default"/>
                <w:sz w:val="21"/>
                <w:szCs w:val="21"/>
              </w:rPr>
              <w:t>比例</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29.74%</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 w:right="0"/>
              <w:jc w:val="center"/>
              <w:rPr>
                <w:rFonts w:ascii="宋体" w:hAnsi="宋体" w:cs="宋体" w:eastAsia="宋体" w:hint="default"/>
                <w:sz w:val="21"/>
                <w:szCs w:val="21"/>
              </w:rPr>
            </w:pPr>
            <w:r>
              <w:rPr>
                <w:rFonts w:ascii="宋体"/>
                <w:sz w:val="21"/>
              </w:rPr>
              <w:t>21.17%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23.47%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 w:right="0"/>
              <w:jc w:val="center"/>
              <w:rPr>
                <w:rFonts w:ascii="宋体" w:hAnsi="宋体" w:cs="宋体" w:eastAsia="宋体" w:hint="default"/>
                <w:sz w:val="21"/>
                <w:szCs w:val="21"/>
              </w:rPr>
            </w:pPr>
            <w:r>
              <w:rPr>
                <w:rFonts w:ascii="宋体"/>
                <w:sz w:val="21"/>
              </w:rPr>
              <w:t>9.10%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5.13%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sz w:val="21"/>
              </w:rPr>
              <w:t>11.40%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
              <w:jc w:val="center"/>
              <w:rPr>
                <w:rFonts w:ascii="宋体" w:hAnsi="宋体" w:cs="宋体" w:eastAsia="宋体" w:hint="default"/>
                <w:sz w:val="21"/>
                <w:szCs w:val="21"/>
              </w:rPr>
            </w:pPr>
            <w:r>
              <w:rPr>
                <w:rFonts w:ascii="宋体"/>
                <w:sz w:val="21"/>
              </w:rPr>
              <w:t>100%</w:t>
            </w:r>
          </w:p>
        </w:tc>
      </w:tr>
    </w:tbl>
    <w:p>
      <w:pPr>
        <w:spacing w:line="240" w:lineRule="auto" w:before="0"/>
        <w:rPr>
          <w:rFonts w:ascii="宋体" w:hAnsi="宋体" w:cs="宋体" w:eastAsia="宋体" w:hint="default"/>
          <w:sz w:val="20"/>
          <w:szCs w:val="20"/>
        </w:rPr>
      </w:pPr>
    </w:p>
    <w:p>
      <w:pPr>
        <w:pStyle w:val="BodyText"/>
        <w:spacing w:line="357" w:lineRule="auto" w:before="187"/>
        <w:ind w:left="153" w:right="151" w:firstLine="482"/>
        <w:jc w:val="both"/>
      </w:pPr>
      <w:r>
        <w:rPr/>
        <w:t>主导产品</w:t>
      </w:r>
      <w:r>
        <w:rPr>
          <w:spacing w:val="-68"/>
        </w:rPr>
        <w:t> </w:t>
      </w:r>
      <w:r>
        <w:rPr/>
        <w:t>SVC</w:t>
      </w:r>
      <w:r>
        <w:rPr>
          <w:spacing w:val="-68"/>
        </w:rPr>
        <w:t> </w:t>
      </w:r>
      <w:r>
        <w:rPr/>
        <w:t>国内市场占有率</w:t>
      </w:r>
      <w:r>
        <w:rPr>
          <w:spacing w:val="-68"/>
        </w:rPr>
        <w:t> </w:t>
      </w:r>
      <w:r>
        <w:rPr/>
        <w:t>50%以上,继续保持冶金、电气化铁路、煤炭等行业的领先</w:t>
      </w:r>
      <w:r>
        <w:rPr/>
        <w:t> </w:t>
      </w:r>
      <w:r>
        <w:rPr>
          <w:spacing w:val="-3"/>
        </w:rPr>
        <w:t>地位，并在发电厂、有色金属、风力发电等新领域实现销售规模迅速增长,且在电网销售实现</w:t>
      </w:r>
      <w:r>
        <w:rPr>
          <w:spacing w:val="-81"/>
        </w:rPr>
        <w:t> </w:t>
      </w:r>
      <w:r>
        <w:rPr>
          <w:spacing w:val="-81"/>
        </w:rPr>
      </w:r>
      <w:r>
        <w:rPr/>
        <w:t>突破,同时进入南方电网和国家电网,为将来快速发展奠定坚实的基础；</w:t>
      </w:r>
    </w:p>
    <w:p>
      <w:pPr>
        <w:pStyle w:val="BodyText"/>
        <w:spacing w:line="357" w:lineRule="auto" w:before="74"/>
        <w:ind w:left="153" w:right="151" w:firstLine="482"/>
        <w:jc w:val="both"/>
      </w:pPr>
      <w:r>
        <w:rPr>
          <w:spacing w:val="-5"/>
        </w:rPr>
        <w:t>公司新产品高压变频装置（HVC）、高压大功率静止无功发生器（SVG）订单增长较快，其</w:t>
      </w:r>
      <w:r>
        <w:rPr/>
        <w:t> 中：HVC</w:t>
      </w:r>
      <w:r>
        <w:rPr>
          <w:spacing w:val="-60"/>
        </w:rPr>
        <w:t> </w:t>
      </w:r>
      <w:r>
        <w:rPr/>
        <w:t>新签合同</w:t>
      </w:r>
      <w:r>
        <w:rPr>
          <w:spacing w:val="-60"/>
        </w:rPr>
        <w:t> </w:t>
      </w:r>
      <w:r>
        <w:rPr/>
        <w:t>7,174.19</w:t>
      </w:r>
      <w:r>
        <w:rPr>
          <w:spacing w:val="-60"/>
        </w:rPr>
        <w:t> </w:t>
      </w:r>
      <w:r>
        <w:rPr/>
        <w:t>万元，同比增长</w:t>
      </w:r>
      <w:r>
        <w:rPr>
          <w:spacing w:val="-60"/>
        </w:rPr>
        <w:t> </w:t>
      </w:r>
      <w:r>
        <w:rPr/>
        <w:t>47.42%，SVG</w:t>
      </w:r>
      <w:r>
        <w:rPr>
          <w:spacing w:val="-60"/>
        </w:rPr>
        <w:t> </w:t>
      </w:r>
      <w:r>
        <w:rPr/>
        <w:t>新签合同</w:t>
      </w:r>
      <w:r>
        <w:rPr>
          <w:spacing w:val="-60"/>
        </w:rPr>
        <w:t> </w:t>
      </w:r>
      <w:r>
        <w:rPr/>
        <w:t>2,395.50</w:t>
      </w:r>
      <w:r>
        <w:rPr>
          <w:spacing w:val="-60"/>
        </w:rPr>
        <w:t> </w:t>
      </w:r>
      <w:r>
        <w:rPr/>
        <w:t>万元；</w:t>
      </w:r>
    </w:p>
    <w:p>
      <w:pPr>
        <w:pStyle w:val="BodyText"/>
        <w:spacing w:line="357" w:lineRule="auto" w:before="74"/>
        <w:ind w:left="153" w:right="151" w:firstLine="482"/>
        <w:jc w:val="both"/>
      </w:pPr>
      <w:r>
        <w:rPr/>
        <w:t>国际业务发展迅速，公司</w:t>
      </w:r>
      <w:r>
        <w:rPr>
          <w:spacing w:val="-52"/>
        </w:rPr>
        <w:t> </w:t>
      </w:r>
      <w:r>
        <w:rPr/>
        <w:t>SVC</w:t>
      </w:r>
      <w:r>
        <w:rPr>
          <w:spacing w:val="-52"/>
        </w:rPr>
        <w:t> </w:t>
      </w:r>
      <w:r>
        <w:rPr/>
        <w:t>和</w:t>
      </w:r>
      <w:r>
        <w:rPr>
          <w:spacing w:val="-52"/>
        </w:rPr>
        <w:t> </w:t>
      </w:r>
      <w:r>
        <w:rPr/>
        <w:t>VFS</w:t>
      </w:r>
      <w:r>
        <w:rPr>
          <w:spacing w:val="-52"/>
        </w:rPr>
        <w:t> </w:t>
      </w:r>
      <w:r>
        <w:rPr/>
        <w:t>产品相继获得巴西、越南、印度、苏丹、孟加拉、</w:t>
      </w:r>
      <w:r>
        <w:rPr/>
        <w:t> 巴基斯坦、德国订单，全年新签合同</w:t>
      </w:r>
      <w:r>
        <w:rPr>
          <w:spacing w:val="-60"/>
        </w:rPr>
        <w:t> </w:t>
      </w:r>
      <w:r>
        <w:rPr/>
        <w:t>6,280.56</w:t>
      </w:r>
      <w:r>
        <w:rPr>
          <w:spacing w:val="-60"/>
        </w:rPr>
        <w:t> </w:t>
      </w:r>
      <w:r>
        <w:rPr/>
        <w:t>万元。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0"/>
          <w:szCs w:val="20"/>
        </w:rPr>
      </w:pPr>
    </w:p>
    <w:p>
      <w:pPr>
        <w:pStyle w:val="BodyText"/>
        <w:spacing w:line="357" w:lineRule="auto"/>
        <w:ind w:left="636" w:right="0"/>
        <w:jc w:val="left"/>
      </w:pPr>
      <w:r>
        <w:rPr>
          <w:rFonts w:ascii="宋体" w:hAnsi="宋体" w:cs="宋体" w:eastAsia="宋体" w:hint="default"/>
          <w:b/>
          <w:bCs/>
        </w:rPr>
        <w:t>（2）管理发展</w:t>
      </w:r>
      <w:r>
        <w:rPr>
          <w:rFonts w:ascii="宋体" w:hAnsi="宋体" w:cs="宋体" w:eastAsia="宋体" w:hint="default"/>
          <w:b/>
          <w:bCs/>
          <w:spacing w:val="1"/>
          <w:w w:val="99"/>
        </w:rPr>
        <w:t> </w:t>
      </w:r>
      <w:r>
        <w:rPr>
          <w:spacing w:val="-6"/>
        </w:rPr>
        <w:t>报告期，公司推进组织机构改革,实行以产品为主导的事业部制管理体系，完善部门设置,</w:t>
      </w:r>
    </w:p>
    <w:p>
      <w:pPr>
        <w:spacing w:after="0" w:line="357"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6" w:right="92" w:hanging="483"/>
        <w:jc w:val="left"/>
      </w:pPr>
      <w:r>
        <w:rPr/>
        <w:t>细化分工,整体效率得到提高。 </w:t>
      </w:r>
      <w:r>
        <w:rPr>
          <w:spacing w:val="-3"/>
        </w:rPr>
        <w:t>公司按计划完成了募集资金项目建设,优化生产布局,解决产能瓶颈，完善研发体系建设，</w:t>
      </w:r>
    </w:p>
    <w:p>
      <w:pPr>
        <w:pStyle w:val="BodyText"/>
        <w:spacing w:line="357" w:lineRule="auto" w:before="35"/>
        <w:ind w:left="636" w:right="92" w:hanging="483"/>
        <w:jc w:val="left"/>
      </w:pPr>
      <w:r>
        <w:rPr/>
        <w:t>采取控制费用，优化设计，制定工作量化标准等方式加强产、供、销各环节成本控制。 </w:t>
      </w:r>
      <w:r>
        <w:rPr>
          <w:spacing w:val="-3"/>
        </w:rPr>
        <w:t>报告期，公司被国际权威认证机构—SGS授予环境管理体系和职业健康安全管理体系的认</w:t>
      </w:r>
    </w:p>
    <w:p>
      <w:pPr>
        <w:pStyle w:val="BodyText"/>
        <w:spacing w:line="357" w:lineRule="auto" w:before="35"/>
        <w:ind w:left="153" w:right="231"/>
        <w:jc w:val="both"/>
      </w:pPr>
      <w:r>
        <w:rPr/>
        <w:t>证证书，两种认证资格的取得将有助于荣信股份突破发达国家绿色贸易壁垒，深入开拓国际 </w:t>
      </w:r>
      <w:r>
        <w:rPr>
          <w:spacing w:val="-2"/>
        </w:rPr>
        <w:t>市场，公司在ISO9001质量管理体系的基础上，融入ISO14001环境管理体系要求和OHSAS18001</w:t>
      </w:r>
      <w:r>
        <w:rPr>
          <w:spacing w:val="-96"/>
        </w:rPr>
        <w:t> </w:t>
      </w:r>
      <w:r>
        <w:rPr>
          <w:spacing w:val="-96"/>
        </w:rPr>
      </w:r>
      <w:r>
        <w:rPr/>
        <w:t>职业健康安全管理体系要求，建立起一个的综合管理体系平台。</w:t>
      </w:r>
    </w:p>
    <w:p>
      <w:pPr>
        <w:pStyle w:val="BodyText"/>
        <w:spacing w:line="357" w:lineRule="auto" w:before="35"/>
        <w:ind w:left="153" w:right="267" w:firstLine="482"/>
        <w:jc w:val="both"/>
      </w:pPr>
      <w:r>
        <w:rPr/>
        <w:t>公司继续推行美国GE公司的20%-70%-10% 绩效考核制度，人才引进力度加大，加盟一批 高端人才，强化量化考核，并引入重大失误问责制度。</w:t>
      </w:r>
    </w:p>
    <w:p>
      <w:pPr>
        <w:pStyle w:val="BodyText"/>
        <w:spacing w:line="240" w:lineRule="auto" w:before="35"/>
        <w:ind w:left="636" w:right="92"/>
        <w:jc w:val="left"/>
        <w:rPr>
          <w:rFonts w:ascii="黑体" w:hAnsi="黑体" w:cs="黑体" w:eastAsia="黑体" w:hint="default"/>
        </w:rPr>
      </w:pPr>
      <w:r>
        <w:rPr/>
        <w:t>完善法人治理，加强内控管理。具体情况见“第五节 公司治理结构”</w:t>
      </w:r>
      <w:r>
        <w:rPr>
          <w:rFonts w:ascii="黑体" w:hAnsi="黑体" w:cs="黑体" w:eastAsia="黑体" w:hint="default"/>
        </w:rPr>
        <w:t>。</w:t>
      </w:r>
    </w:p>
    <w:p>
      <w:pPr>
        <w:spacing w:line="240" w:lineRule="auto" w:before="0"/>
        <w:rPr>
          <w:rFonts w:ascii="黑体" w:hAnsi="黑体" w:cs="黑体" w:eastAsia="黑体" w:hint="default"/>
          <w:sz w:val="24"/>
          <w:szCs w:val="24"/>
        </w:rPr>
      </w:pPr>
    </w:p>
    <w:p>
      <w:pPr>
        <w:spacing w:line="240" w:lineRule="auto" w:before="4"/>
        <w:rPr>
          <w:rFonts w:ascii="黑体" w:hAnsi="黑体" w:cs="黑体" w:eastAsia="黑体" w:hint="default"/>
          <w:sz w:val="23"/>
          <w:szCs w:val="23"/>
        </w:rPr>
      </w:pPr>
    </w:p>
    <w:p>
      <w:pPr>
        <w:spacing w:line="357" w:lineRule="auto" w:before="0"/>
        <w:ind w:left="633" w:right="131" w:firstLine="2"/>
        <w:jc w:val="left"/>
        <w:rPr>
          <w:rFonts w:ascii="宋体" w:hAnsi="宋体" w:cs="宋体" w:eastAsia="宋体" w:hint="default"/>
          <w:sz w:val="24"/>
          <w:szCs w:val="24"/>
        </w:rPr>
      </w:pPr>
      <w:r>
        <w:rPr>
          <w:rFonts w:ascii="宋体" w:hAnsi="宋体" w:cs="宋体" w:eastAsia="宋体" w:hint="default"/>
          <w:b/>
          <w:bCs/>
          <w:sz w:val="24"/>
          <w:szCs w:val="24"/>
        </w:rPr>
        <w:t>（3）产品发展与技术创新</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报告期，公司继续增加研发投入，共计投入研发资金5,505.58万元，占销售收入9.45%。</w:t>
      </w:r>
    </w:p>
    <w:p>
      <w:pPr>
        <w:pStyle w:val="BodyText"/>
        <w:spacing w:line="357" w:lineRule="auto" w:before="35"/>
        <w:ind w:left="153" w:right="268" w:firstLine="480"/>
        <w:jc w:val="both"/>
      </w:pPr>
      <w:r>
        <w:rPr/>
        <w:t>①代表国内技术最高水平的2套SVG在上海铁路局南翔牵引变电站顺利投运，首次在国内 无功补偿工程领域实现了用单相SVG对有功产生的负序抑制的功能；</w:t>
      </w:r>
    </w:p>
    <w:p>
      <w:pPr>
        <w:pStyle w:val="BodyText"/>
        <w:spacing w:line="357" w:lineRule="auto" w:before="35"/>
        <w:ind w:left="153" w:right="268" w:firstLine="480"/>
        <w:jc w:val="both"/>
      </w:pPr>
      <w:r>
        <w:rPr/>
        <w:t>②首开SVC工程领域的又一先河，大胆的尝试使用4套光触发热管冷却SVC解决4台60万KW 火电机组远距离输电次同步谐振的世界级难题；</w:t>
      </w:r>
    </w:p>
    <w:p>
      <w:pPr>
        <w:pStyle w:val="BodyText"/>
        <w:spacing w:line="357" w:lineRule="auto" w:before="35"/>
        <w:ind w:left="153" w:right="231" w:firstLine="480"/>
        <w:jc w:val="both"/>
      </w:pPr>
      <w:r>
        <w:rPr>
          <w:spacing w:val="-2"/>
        </w:rPr>
        <w:t>③正在实施的南方电网超高压局梧州变电站35KV/210Mvar光触发SVC，是国内目前容量最</w:t>
      </w:r>
      <w:r>
        <w:rPr/>
        <w:t> 大、技术最先进的SVC, 同时也是位居世界装机容量前列的SVC项目；</w:t>
      </w:r>
    </w:p>
    <w:p>
      <w:pPr>
        <w:pStyle w:val="BodyText"/>
        <w:spacing w:line="357" w:lineRule="auto" w:before="35"/>
        <w:ind w:left="153" w:right="388" w:firstLine="480"/>
        <w:jc w:val="both"/>
      </w:pPr>
      <w:r>
        <w:rPr/>
        <w:t>④风电逆变装置, 机车变频主传动系统和国家科技支撑计划课题——“中高压、百MVA 级链式及多电平变流器与静止补偿器研制”研发进展顺利,其中风电逆变已进入样机试制阶 段。</w:t>
      </w:r>
    </w:p>
    <w:p>
      <w:pPr>
        <w:pStyle w:val="BodyText"/>
        <w:spacing w:line="357" w:lineRule="auto" w:before="35"/>
        <w:ind w:left="153" w:right="231" w:firstLine="480"/>
        <w:jc w:val="both"/>
      </w:pPr>
      <w:r>
        <w:rPr>
          <w:spacing w:val="-2"/>
        </w:rPr>
        <w:t>根据“人社部发[2008]43号”文件和“辽人[2008]128号”文件，荣信电力电子股份有限</w:t>
      </w:r>
      <w:r>
        <w:rPr/>
        <w:t> 公司被批准为国家级博士后科研工作站设站单位。公司成为博士后设站单位后，将有助于推 进技术创新体系的建设，对公司的发展有着重大而长远的意义。</w:t>
      </w:r>
    </w:p>
    <w:p>
      <w:pPr>
        <w:pStyle w:val="BodyText"/>
        <w:spacing w:line="357" w:lineRule="auto" w:before="35"/>
        <w:ind w:left="153" w:right="231" w:firstLine="480"/>
        <w:jc w:val="both"/>
      </w:pPr>
      <w:r>
        <w:rPr/>
        <w:t>报告期，公司在北京建成高水平的电力电子试验研发中心,</w:t>
      </w:r>
      <w:r>
        <w:rPr>
          <w:spacing w:val="-38"/>
        </w:rPr>
        <w:t> </w:t>
      </w:r>
      <w:r>
        <w:rPr>
          <w:spacing w:val="-3"/>
        </w:rPr>
        <w:t>在鞍山建成超过西门子、ABB</w:t>
      </w:r>
      <w:r>
        <w:rPr/>
        <w:t> </w:t>
      </w:r>
      <w:r>
        <w:rPr>
          <w:spacing w:val="-2"/>
        </w:rPr>
        <w:t>容量的两台变频电机试验中心,引进一批优秀人才的加盟，极大地提升了荣信的研发实力，带</w:t>
      </w:r>
      <w:r>
        <w:rPr/>
        <w:t> 来了新的研发方向和新产品储备。</w:t>
      </w:r>
    </w:p>
    <w:p>
      <w:pPr>
        <w:pStyle w:val="BodyText"/>
        <w:spacing w:line="357" w:lineRule="auto" w:before="35"/>
        <w:ind w:left="153" w:right="268" w:firstLine="480"/>
        <w:jc w:val="both"/>
      </w:pPr>
      <w:r>
        <w:rPr/>
        <w:t>报告期，公司申报国家重点新产品一项，申请并已受理各类专利9项，其中：发明专利3 项，实用新型6项，软件著作权1项。跳波式有级变频无级调压电机软起动方法及装置，在欧</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240" w:lineRule="auto" w:before="26"/>
        <w:ind w:right="0"/>
        <w:jc w:val="both"/>
      </w:pPr>
      <w:r>
        <w:rPr/>
        <w:t>洲和美国的专利申请已完成申报。</w:t>
      </w:r>
    </w:p>
    <w:p>
      <w:pPr>
        <w:spacing w:line="357" w:lineRule="auto" w:before="152"/>
        <w:ind w:left="633" w:right="331" w:firstLine="2"/>
        <w:jc w:val="left"/>
        <w:rPr>
          <w:rFonts w:ascii="宋体" w:hAnsi="宋体" w:cs="宋体" w:eastAsia="宋体" w:hint="default"/>
          <w:sz w:val="24"/>
          <w:szCs w:val="24"/>
        </w:rPr>
      </w:pPr>
      <w:r>
        <w:rPr>
          <w:rFonts w:ascii="宋体" w:hAnsi="宋体" w:cs="宋体" w:eastAsia="宋体" w:hint="default"/>
          <w:b/>
          <w:bCs/>
          <w:sz w:val="24"/>
          <w:szCs w:val="24"/>
        </w:rPr>
        <w:t>（4）公司存在的主要优势和困难</w:t>
      </w:r>
      <w:r>
        <w:rPr>
          <w:rFonts w:ascii="宋体" w:hAnsi="宋体" w:cs="宋体" w:eastAsia="宋体" w:hint="default"/>
          <w:b/>
          <w:bCs/>
          <w:w w:val="99"/>
          <w:sz w:val="24"/>
          <w:szCs w:val="24"/>
        </w:rPr>
        <w:t> </w:t>
      </w:r>
      <w:r>
        <w:rPr>
          <w:rFonts w:ascii="宋体" w:hAnsi="宋体" w:cs="宋体" w:eastAsia="宋体" w:hint="default"/>
          <w:sz w:val="24"/>
          <w:szCs w:val="24"/>
        </w:rPr>
        <w:t>公司的竞争优势是作为行业龙头企业拥有SVC市场50%以上的市场份额。与国际竞争对手</w:t>
      </w:r>
    </w:p>
    <w:p>
      <w:pPr>
        <w:pStyle w:val="BodyText"/>
        <w:spacing w:line="357" w:lineRule="auto" w:before="35"/>
        <w:ind w:left="153" w:right="348"/>
        <w:jc w:val="both"/>
      </w:pPr>
      <w:r>
        <w:rPr/>
        <w:t>相比，公司的竞争优势主要体现在较高的产品性价比和及时有效的低成本售后服务。与国内 竞争对手相比，公司又具有全面的技术创新能力、完善的试验和检测设备、领先的生产制造 成本和强大的品牌影响力。</w:t>
      </w:r>
    </w:p>
    <w:p>
      <w:pPr>
        <w:pStyle w:val="BodyText"/>
        <w:spacing w:line="357" w:lineRule="auto" w:before="35"/>
        <w:ind w:left="633" w:right="92"/>
        <w:jc w:val="left"/>
      </w:pPr>
      <w:r>
        <w:rPr/>
        <w:t>公司存在的困难： </w:t>
      </w:r>
      <w:r>
        <w:rPr>
          <w:spacing w:val="-3"/>
        </w:rPr>
        <w:t>1、随着公司经营规模不断扩大，人力资源已不能满足公司快速发展的需要，特别是高级</w:t>
      </w:r>
    </w:p>
    <w:p>
      <w:pPr>
        <w:pStyle w:val="BodyText"/>
        <w:spacing w:line="357" w:lineRule="auto" w:before="36"/>
        <w:ind w:left="153" w:right="348"/>
        <w:jc w:val="both"/>
      </w:pPr>
      <w:r>
        <w:rPr/>
        <w:t>研发人才和高级销售人才不足，会影响研发进度和销售额的迅速增长，公司将通过实施各种 激励措施，充分发挥上市公司机制的优势，加大力度引进高级人才和保持现有高级管理人员 和核心技术人员稳定。</w:t>
      </w:r>
    </w:p>
    <w:p>
      <w:pPr>
        <w:pStyle w:val="BodyText"/>
        <w:spacing w:line="357" w:lineRule="auto" w:before="35"/>
        <w:ind w:left="153" w:right="311" w:firstLine="480"/>
        <w:jc w:val="both"/>
      </w:pPr>
      <w:r>
        <w:rPr>
          <w:spacing w:val="-3"/>
        </w:rPr>
        <w:t>2</w:t>
      </w:r>
      <w:r>
        <w:rPr>
          <w:rFonts w:ascii="宋体" w:hAnsi="宋体" w:cs="宋体" w:eastAsia="宋体" w:hint="default"/>
          <w:spacing w:val="-3"/>
        </w:rPr>
        <w:t>、</w:t>
      </w:r>
      <w:r>
        <w:rPr>
          <w:spacing w:val="-3"/>
        </w:rPr>
        <w:t>本行业产品均属高技术含量定制化产品，单位价格较高，一次性购置投入较大。与国</w:t>
      </w:r>
      <w:r>
        <w:rPr/>
        <w:t> 外市场初期类似，国内高耗能企业大规模应用本行业产品尚有一个逐步认识和接受的过程， 另外，在全球经济危机的影响下部分行业存在需求增速放缓的可能，上述因素将对公司市场 开拓及销售规模快速增长带来负面影响，公司将通过技术创新及开拓新的销售领域来消除不 利影响，公司产品客户目前已覆盖从发电和输配电到工业用户整个领域。</w:t>
      </w:r>
    </w:p>
    <w:p>
      <w:pPr>
        <w:spacing w:line="240" w:lineRule="auto" w:before="0"/>
        <w:rPr>
          <w:rFonts w:ascii="宋体" w:hAnsi="宋体" w:cs="宋体" w:eastAsia="宋体" w:hint="default"/>
          <w:sz w:val="24"/>
          <w:szCs w:val="24"/>
        </w:rPr>
      </w:pPr>
    </w:p>
    <w:p>
      <w:pPr>
        <w:pStyle w:val="Heading4"/>
        <w:spacing w:line="240" w:lineRule="auto" w:before="188"/>
        <w:ind w:left="636" w:right="1890"/>
        <w:jc w:val="left"/>
        <w:rPr>
          <w:b w:val="0"/>
          <w:bCs w:val="0"/>
        </w:rPr>
      </w:pPr>
      <w:r>
        <w:rPr/>
        <w:t>2、2008年公司主营业务及其经营情况</w:t>
      </w:r>
      <w:r>
        <w:rPr>
          <w:b w:val="0"/>
          <w:bCs w:val="0"/>
        </w:rPr>
      </w:r>
    </w:p>
    <w:p>
      <w:pPr>
        <w:pStyle w:val="BodyText"/>
        <w:spacing w:line="357" w:lineRule="auto" w:before="152"/>
        <w:ind w:left="633" w:right="331"/>
        <w:jc w:val="left"/>
      </w:pPr>
      <w:r>
        <w:rPr/>
        <w:t>（1）主营业务的范围 本公司主要从事节能大功率电力电子设备的设计和制造业务，产品包括：高压动态无功</w:t>
      </w:r>
    </w:p>
    <w:p>
      <w:pPr>
        <w:pStyle w:val="BodyText"/>
        <w:spacing w:line="357" w:lineRule="auto" w:before="35"/>
        <w:ind w:left="153" w:right="92"/>
        <w:jc w:val="left"/>
      </w:pPr>
      <w:r>
        <w:rPr>
          <w:spacing w:val="-8"/>
        </w:rPr>
        <w:t>补偿装置（SVC）、智能瓦斯排放装置（MABZ）、电力滤波装置（FC）、高压变频装置（HVC）、</w:t>
      </w:r>
      <w:r>
        <w:rPr>
          <w:spacing w:val="-92"/>
        </w:rPr>
        <w:t> </w:t>
      </w:r>
      <w:r>
        <w:rPr>
          <w:spacing w:val="-92"/>
        </w:rPr>
      </w:r>
      <w:r>
        <w:rPr/>
        <w:t>高压软启动装置（VFS）、高压大功率静止无功发生器（SVG）。</w:t>
      </w:r>
    </w:p>
    <w:p>
      <w:pPr>
        <w:pStyle w:val="BodyText"/>
        <w:spacing w:line="240" w:lineRule="auto" w:before="35"/>
        <w:ind w:left="633" w:right="1890"/>
        <w:jc w:val="left"/>
      </w:pPr>
      <w:r>
        <w:rPr/>
        <w:t>（2）主营业务产品经营情况</w:t>
      </w:r>
    </w:p>
    <w:p>
      <w:pPr>
        <w:pStyle w:val="Heading4"/>
        <w:tabs>
          <w:tab w:pos="7265" w:val="left" w:leader="none"/>
        </w:tabs>
        <w:spacing w:line="240" w:lineRule="auto" w:before="152"/>
        <w:ind w:left="756" w:right="92"/>
        <w:jc w:val="left"/>
        <w:rPr>
          <w:b w:val="0"/>
          <w:bCs w:val="0"/>
        </w:rPr>
      </w:pPr>
      <w:r>
        <w:rPr>
          <w:w w:val="95"/>
        </w:rPr>
        <w:t>①分产品经营情况</w:t>
        <w:tab/>
      </w:r>
      <w:r>
        <w:rPr/>
        <w:t>单位：（人民币）万元</w:t>
      </w:r>
      <w:r>
        <w:rPr>
          <w:b w:val="0"/>
          <w:bCs w:val="0"/>
        </w:rPr>
      </w:r>
    </w:p>
    <w:p>
      <w:pPr>
        <w:spacing w:line="240" w:lineRule="auto" w:before="10"/>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323"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339" w:right="0"/>
              <w:jc w:val="left"/>
              <w:rPr>
                <w:rFonts w:ascii="宋体" w:hAnsi="宋体" w:cs="宋体" w:eastAsia="宋体" w:hint="default"/>
                <w:sz w:val="18"/>
                <w:szCs w:val="18"/>
              </w:rPr>
            </w:pPr>
            <w:r>
              <w:rPr>
                <w:rFonts w:ascii="宋体" w:hAnsi="宋体" w:cs="宋体" w:eastAsia="宋体" w:hint="default"/>
                <w:sz w:val="18"/>
                <w:szCs w:val="18"/>
              </w:rPr>
              <w:t>分行业或分产品</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left="28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7"/>
              <w:ind w:right="58"/>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营业利润率</w:t>
            </w:r>
            <w:r>
              <w:rPr>
                <w:rFonts w:ascii="Times New Roman" w:hAnsi="Times New Roman" w:cs="Times New Roman" w:eastAsia="Times New Roman" w:hint="default"/>
                <w:sz w:val="18"/>
                <w:szCs w:val="18"/>
              </w:rPr>
              <w:t>(%)</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0" w:right="103" w:hanging="16"/>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21" w:right="103" w:hanging="16"/>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58" w:right="53" w:hanging="105"/>
              <w:jc w:val="left"/>
              <w:rPr>
                <w:rFonts w:ascii="宋体" w:hAnsi="宋体" w:cs="宋体" w:eastAsia="宋体" w:hint="default"/>
                <w:sz w:val="18"/>
                <w:szCs w:val="18"/>
              </w:rPr>
            </w:pPr>
            <w:r>
              <w:rPr>
                <w:rFonts w:ascii="宋体" w:hAnsi="宋体" w:cs="宋体" w:eastAsia="宋体" w:hint="default"/>
                <w:sz w:val="18"/>
                <w:szCs w:val="18"/>
              </w:rPr>
              <w:t>营业利润率比上 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557"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15"/>
              <w:jc w:val="left"/>
              <w:rPr>
                <w:rFonts w:ascii="宋体" w:hAnsi="宋体" w:cs="宋体" w:eastAsia="宋体" w:hint="default"/>
                <w:sz w:val="18"/>
                <w:szCs w:val="18"/>
              </w:rPr>
            </w:pPr>
            <w:r>
              <w:rPr>
                <w:rFonts w:ascii="宋体" w:hAnsi="宋体" w:cs="宋体" w:eastAsia="宋体" w:hint="default"/>
                <w:sz w:val="18"/>
                <w:szCs w:val="18"/>
              </w:rPr>
              <w:t>节能大功率电力电子设 备制造业</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58,263.75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29,419.27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49.51%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58.69%</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65.63%</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-2.12%</w:t>
            </w:r>
            <w:r>
              <w:rPr>
                <w:rFonts w:ascii="Times New Roman"/>
                <w:sz w:val="18"/>
              </w:rPr>
            </w:r>
          </w:p>
        </w:tc>
      </w:tr>
      <w:tr>
        <w:trPr>
          <w:trHeight w:val="324" w:hRule="exact"/>
        </w:trPr>
        <w:tc>
          <w:tcPr>
            <w:tcW w:w="982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530"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高压动态无功补偿装置</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SVC</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42,415.45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sz w:val="18"/>
              </w:rPr>
              <w:t>19,792.66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53.34%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43.79%</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49.81%</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-1.88%</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电力滤波装置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FC</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3,886.33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3,202.28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17.60%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11.47%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26.77%</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-9.95%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49" w:type="dxa"/>
        <w:tblLayout w:type="fixed"/>
        <w:tblCellMar>
          <w:top w:w="0" w:type="dxa"/>
          <w:left w:w="0" w:type="dxa"/>
          <w:bottom w:w="0" w:type="dxa"/>
          <w:right w:w="0" w:type="dxa"/>
        </w:tblCellMar>
        <w:tblLook w:val="01E0"/>
      </w:tblPr>
      <w:tblGrid>
        <w:gridCol w:w="1950"/>
        <w:gridCol w:w="1300"/>
        <w:gridCol w:w="1301"/>
        <w:gridCol w:w="1300"/>
        <w:gridCol w:w="1300"/>
        <w:gridCol w:w="1301"/>
        <w:gridCol w:w="1378"/>
      </w:tblGrid>
      <w:tr>
        <w:trPr>
          <w:trHeight w:val="530"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智能瓦斯排放装置</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MABZ</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Times New Roman" w:hAnsi="Times New Roman" w:cs="Times New Roman" w:eastAsia="Times New Roman" w:hint="default"/>
                <w:sz w:val="18"/>
                <w:szCs w:val="18"/>
              </w:rPr>
            </w:pPr>
            <w:r>
              <w:rPr>
                <w:rFonts w:ascii="Times New Roman"/>
                <w:sz w:val="18"/>
              </w:rPr>
              <w:t>3,027.37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1,292.31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57.31%</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137.63%</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0"/>
              <w:jc w:val="right"/>
              <w:rPr>
                <w:rFonts w:ascii="Times New Roman" w:hAnsi="Times New Roman" w:cs="Times New Roman" w:eastAsia="Times New Roman" w:hint="default"/>
                <w:sz w:val="18"/>
                <w:szCs w:val="18"/>
              </w:rPr>
            </w:pPr>
            <w:r>
              <w:rPr>
                <w:rFonts w:ascii="Times New Roman"/>
                <w:w w:val="95"/>
                <w:sz w:val="18"/>
              </w:rPr>
              <w:t>159.60%</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w w:val="95"/>
                <w:sz w:val="18"/>
              </w:rPr>
              <w:t>-3.61%</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高压变频调速装置</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HVC</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4,395.61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2,134.98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51.43%</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284.93%</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303.47%</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-2.23%</w:t>
            </w:r>
            <w:r>
              <w:rPr>
                <w:rFonts w:ascii="Times New Roman"/>
                <w:sz w:val="18"/>
              </w:rPr>
            </w: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高压软启动装置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VFS</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460.81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284.78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38.20%</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130.28%</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188.48%</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-12.47%</w:t>
            </w:r>
            <w:r>
              <w:rPr>
                <w:rFonts w:ascii="Times New Roman"/>
                <w:sz w:val="18"/>
              </w:rPr>
            </w:r>
          </w:p>
        </w:tc>
      </w:tr>
      <w:tr>
        <w:trPr>
          <w:trHeight w:val="324"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静止无功发生器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SVG</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1,525.21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1,106.67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27.44%</w:t>
            </w:r>
            <w:r>
              <w:rPr>
                <w:rFonts w:ascii="Times New Roman"/>
                <w:sz w:val="18"/>
              </w:rPr>
            </w:r>
          </w:p>
        </w:tc>
        <w:tc>
          <w:tcPr>
            <w:tcW w:w="130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备件及其他</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2,552.96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1,605.59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2"/>
                <w:sz w:val="18"/>
              </w:rPr>
              <w:t>37.11%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129.09%</w:t>
            </w:r>
            <w:r>
              <w:rPr>
                <w:rFonts w:ascii="Times New Roman"/>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78.69%</w:t>
            </w:r>
            <w:r>
              <w:rPr>
                <w:rFonts w:ascii="Times New Roman"/>
                <w:sz w:val="18"/>
              </w:rPr>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17.74%</w:t>
            </w:r>
            <w:r>
              <w:rPr>
                <w:rFonts w:ascii="Times New Roman"/>
                <w:sz w:val="18"/>
              </w:rPr>
            </w:r>
          </w:p>
        </w:tc>
      </w:tr>
    </w:tbl>
    <w:p>
      <w:pPr>
        <w:spacing w:line="240" w:lineRule="auto" w:before="0"/>
        <w:rPr>
          <w:rFonts w:ascii="宋体" w:hAnsi="宋体" w:cs="宋体" w:eastAsia="宋体" w:hint="default"/>
          <w:b/>
          <w:bCs/>
          <w:sz w:val="25"/>
          <w:szCs w:val="25"/>
        </w:rPr>
      </w:pPr>
    </w:p>
    <w:p>
      <w:pPr>
        <w:pStyle w:val="Heading4"/>
        <w:tabs>
          <w:tab w:pos="7131" w:val="left" w:leader="none"/>
        </w:tabs>
        <w:spacing w:line="240" w:lineRule="auto"/>
        <w:ind w:left="625" w:right="92"/>
        <w:jc w:val="left"/>
        <w:rPr>
          <w:b w:val="0"/>
          <w:bCs w:val="0"/>
        </w:rPr>
      </w:pPr>
      <w:r>
        <w:rPr>
          <w:w w:val="99"/>
        </w:rPr>
        <w:t>②分地区经营情况</w:t>
      </w:r>
      <w:r>
        <w:rPr/>
        <w:tab/>
      </w:r>
      <w:r>
        <w:rPr>
          <w:w w:val="99"/>
        </w:rPr>
        <w:t>单位</w:t>
      </w:r>
      <w:r>
        <w:rPr>
          <w:spacing w:val="-120"/>
          <w:w w:val="99"/>
        </w:rPr>
        <w:t>：</w:t>
      </w:r>
      <w:r>
        <w:rPr>
          <w:spacing w:val="1"/>
          <w:w w:val="99"/>
        </w:rPr>
        <w:t>（人民币）万元</w:t>
      </w:r>
      <w:r>
        <w:rPr>
          <w:b w:val="0"/>
          <w:bCs w:val="0"/>
        </w:rPr>
      </w:r>
    </w:p>
    <w:p>
      <w:pPr>
        <w:spacing w:line="240" w:lineRule="auto" w:before="10"/>
        <w:rPr>
          <w:rFonts w:ascii="宋体" w:hAnsi="宋体" w:cs="宋体" w:eastAsia="宋体" w:hint="default"/>
          <w:b/>
          <w:bCs/>
          <w:sz w:val="5"/>
          <w:szCs w:val="5"/>
        </w:rPr>
      </w:pPr>
    </w:p>
    <w:tbl>
      <w:tblPr>
        <w:tblW w:w="0" w:type="auto"/>
        <w:jc w:val="left"/>
        <w:tblInd w:w="149" w:type="dxa"/>
        <w:tblLayout w:type="fixed"/>
        <w:tblCellMar>
          <w:top w:w="0" w:type="dxa"/>
          <w:left w:w="0" w:type="dxa"/>
          <w:bottom w:w="0" w:type="dxa"/>
          <w:right w:w="0" w:type="dxa"/>
        </w:tblCellMar>
        <w:tblLook w:val="01E0"/>
      </w:tblPr>
      <w:tblGrid>
        <w:gridCol w:w="4160"/>
        <w:gridCol w:w="2860"/>
        <w:gridCol w:w="2808"/>
      </w:tblGrid>
      <w:tr>
        <w:trPr>
          <w:trHeight w:val="324" w:hRule="exact"/>
        </w:trPr>
        <w:tc>
          <w:tcPr>
            <w:tcW w:w="4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8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4,676.40</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69.88%</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26,240.81</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97.49%</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3,569.33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-20.23%</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w w:val="95"/>
                <w:sz w:val="18"/>
              </w:rPr>
              <w:t>11,561.76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17.68%</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4,429.06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51.92%</w:t>
            </w:r>
            <w:r>
              <w:rPr>
                <w:rFonts w:ascii="Times New Roman"/>
                <w:sz w:val="18"/>
              </w:rPr>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1,653.59</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219.26%</w:t>
            </w:r>
            <w:r>
              <w:rPr>
                <w:rFonts w:ascii="Times New Roman"/>
                <w:sz w:val="18"/>
              </w:rPr>
            </w:r>
          </w:p>
        </w:tc>
      </w:tr>
      <w:tr>
        <w:trPr>
          <w:trHeight w:val="323"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4,848.46</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118.70%</w:t>
            </w:r>
          </w:p>
        </w:tc>
      </w:tr>
      <w:tr>
        <w:trPr>
          <w:trHeight w:val="324" w:hRule="exact"/>
        </w:trPr>
        <w:tc>
          <w:tcPr>
            <w:tcW w:w="4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1,284.33</w:t>
            </w:r>
          </w:p>
        </w:tc>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76.89%</w:t>
            </w:r>
            <w:r>
              <w:rPr>
                <w:rFonts w:ascii="Times New Roman"/>
                <w:sz w:val="18"/>
              </w:rPr>
            </w:r>
          </w:p>
        </w:tc>
      </w:tr>
    </w:tbl>
    <w:p>
      <w:pPr>
        <w:spacing w:line="240" w:lineRule="auto" w:before="12"/>
        <w:rPr>
          <w:rFonts w:ascii="宋体" w:hAnsi="宋体" w:cs="宋体" w:eastAsia="宋体" w:hint="default"/>
          <w:b/>
          <w:bCs/>
          <w:sz w:val="16"/>
          <w:szCs w:val="16"/>
        </w:rPr>
      </w:pPr>
    </w:p>
    <w:p>
      <w:pPr>
        <w:pStyle w:val="Heading4"/>
        <w:tabs>
          <w:tab w:pos="8348" w:val="left" w:leader="none"/>
        </w:tabs>
        <w:spacing w:line="240" w:lineRule="auto"/>
        <w:ind w:left="636" w:right="92"/>
        <w:jc w:val="left"/>
        <w:rPr>
          <w:b w:val="0"/>
          <w:bCs w:val="0"/>
        </w:rPr>
      </w:pPr>
      <w:r>
        <w:rPr>
          <w:w w:val="95"/>
        </w:rPr>
        <w:t>③主要会计数据及财务指标变动情况</w:t>
        <w:tab/>
      </w:r>
      <w:r>
        <w:rPr/>
        <w:t>单位:元</w:t>
      </w:r>
      <w:r>
        <w:rPr>
          <w:b w:val="0"/>
          <w:bCs w:val="0"/>
        </w:rPr>
      </w:r>
    </w:p>
    <w:p>
      <w:pPr>
        <w:spacing w:line="240" w:lineRule="auto" w:before="10"/>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582,637,476.67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367,156,976.76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58.69%</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241,375,439.23</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94,681,136.93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51,112,109.00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w w:val="95"/>
                <w:sz w:val="18"/>
              </w:rPr>
              <w:t>85.24%</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37,590,002.98</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140,872,976.53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86,249,505.64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63.33%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53,740,805.33</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130,222,796.59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83,321,753.39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56.29%</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50,743,678.06</w:t>
            </w:r>
          </w:p>
        </w:tc>
      </w:tr>
      <w:tr>
        <w:trPr>
          <w:trHeight w:val="557"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80" w:right="30" w:hanging="45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4,743,080.17</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12,721,648.94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-62.72%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42,302,725.31</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0.69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47.83%</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0.53</w:t>
            </w:r>
          </w:p>
        </w:tc>
      </w:tr>
      <w:tr>
        <w:trPr>
          <w:trHeight w:val="32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净资产收益率</w:t>
            </w:r>
          </w:p>
        </w:tc>
        <w:tc>
          <w:tcPr>
            <w:tcW w:w="2040" w:type="dxa"/>
            <w:tcBorders>
              <w:top w:val="single" w:sz="4" w:space="0" w:color="000000"/>
              <w:left w:val="single" w:sz="13" w:space="0" w:color="DCDCDC"/>
              <w:bottom w:val="single" w:sz="50"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20.19%</w:t>
            </w:r>
            <w:r>
              <w:rPr>
                <w:rFonts w:ascii="Times New Roman"/>
                <w:sz w:val="18"/>
              </w:rPr>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16.08%</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2028" w:type="dxa"/>
            <w:tcBorders>
              <w:top w:val="single" w:sz="4" w:space="0" w:color="000000"/>
              <w:left w:val="single" w:sz="4" w:space="0" w:color="000000"/>
              <w:bottom w:val="single" w:sz="50" w:space="0" w:color="DCDCDC"/>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34.08%</w:t>
            </w:r>
            <w:r>
              <w:rPr>
                <w:rFonts w:ascii="Times New Roman"/>
                <w:sz w:val="18"/>
              </w:rPr>
            </w:r>
          </w:p>
        </w:tc>
      </w:tr>
      <w:tr>
        <w:trPr>
          <w:trHeight w:val="125" w:hRule="exact"/>
        </w:trPr>
        <w:tc>
          <w:tcPr>
            <w:tcW w:w="1693"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40"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tcBorders>
              <w:top w:val="single" w:sz="4" w:space="0" w:color="000000"/>
              <w:left w:val="single" w:sz="4" w:space="0" w:color="000000"/>
              <w:bottom w:val="single" w:sz="5" w:space="0" w:color="FFFFFF"/>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9"/>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32" w:hRule="exact"/>
        </w:trPr>
        <w:tc>
          <w:tcPr>
            <w:tcW w:w="1693" w:type="dxa"/>
            <w:tcBorders>
              <w:top w:val="single" w:sz="5" w:space="0" w:color="FFFFFF"/>
              <w:left w:val="single" w:sz="4" w:space="0" w:color="000000"/>
              <w:bottom w:val="single" w:sz="4" w:space="0" w:color="000000"/>
              <w:right w:val="single" w:sz="4" w:space="0" w:color="000000"/>
            </w:tcBorders>
            <w:shd w:val="clear" w:color="auto" w:fill="DCDCDC"/>
          </w:tcPr>
          <w:p>
            <w:pPr/>
          </w:p>
        </w:tc>
        <w:tc>
          <w:tcPr>
            <w:tcW w:w="2040"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3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tcBorders>
              <w:top w:val="single" w:sz="5" w:space="0" w:color="FFFFFF"/>
              <w:left w:val="single" w:sz="4" w:space="0" w:color="000000"/>
              <w:bottom w:val="single" w:sz="4" w:space="0" w:color="000000"/>
              <w:right w:val="single" w:sz="4" w:space="0" w:color="000000"/>
            </w:tcBorders>
            <w:shd w:val="clear" w:color="auto" w:fill="DCDCDC"/>
          </w:tcPr>
          <w:p>
            <w:pPr>
              <w:pStyle w:val="TableParagraph"/>
              <w:spacing w:line="240" w:lineRule="auto"/>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7"/>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323"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040" w:type="dxa"/>
            <w:tcBorders>
              <w:top w:val="single" w:sz="51" w:space="0" w:color="DCDCDC"/>
              <w:left w:val="single" w:sz="13" w:space="0" w:color="DCDCDC"/>
              <w:bottom w:val="single" w:sz="4" w:space="0" w:color="000000"/>
              <w:right w:val="single" w:sz="4" w:space="0" w:color="000000"/>
            </w:tcBorders>
          </w:tcPr>
          <w:p>
            <w:pPr>
              <w:pStyle w:val="TableParagraph"/>
              <w:spacing w:line="198" w:lineRule="exact"/>
              <w:ind w:right="22"/>
              <w:jc w:val="right"/>
              <w:rPr>
                <w:rFonts w:ascii="Times New Roman" w:hAnsi="Times New Roman" w:cs="Times New Roman" w:eastAsia="Times New Roman" w:hint="default"/>
                <w:sz w:val="18"/>
                <w:szCs w:val="18"/>
              </w:rPr>
            </w:pPr>
            <w:r>
              <w:rPr>
                <w:rFonts w:ascii="Times New Roman"/>
                <w:spacing w:val="-1"/>
                <w:sz w:val="18"/>
              </w:rPr>
              <w:t>1,060,551,614.48</w:t>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1"/>
              <w:jc w:val="right"/>
              <w:rPr>
                <w:rFonts w:ascii="Times New Roman" w:hAnsi="Times New Roman" w:cs="Times New Roman" w:eastAsia="Times New Roman" w:hint="default"/>
                <w:sz w:val="18"/>
                <w:szCs w:val="18"/>
              </w:rPr>
            </w:pPr>
            <w:r>
              <w:rPr>
                <w:rFonts w:ascii="Times New Roman"/>
                <w:spacing w:val="-1"/>
                <w:sz w:val="18"/>
              </w:rPr>
              <w:t>730,438,849.48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w w:val="95"/>
                <w:sz w:val="18"/>
              </w:rPr>
              <w:t>45.19%</w:t>
            </w:r>
            <w:r>
              <w:rPr>
                <w:rFonts w:ascii="Times New Roman"/>
                <w:sz w:val="18"/>
              </w:rPr>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8" w:lineRule="exact"/>
              <w:ind w:right="20"/>
              <w:jc w:val="right"/>
              <w:rPr>
                <w:rFonts w:ascii="Times New Roman" w:hAnsi="Times New Roman" w:cs="Times New Roman" w:eastAsia="Times New Roman" w:hint="default"/>
                <w:sz w:val="18"/>
                <w:szCs w:val="18"/>
              </w:rPr>
            </w:pPr>
            <w:r>
              <w:rPr>
                <w:rFonts w:ascii="Times New Roman"/>
                <w:spacing w:val="-1"/>
                <w:sz w:val="18"/>
              </w:rPr>
              <w:t>261,659,330.35</w:t>
            </w:r>
          </w:p>
        </w:tc>
      </w:tr>
      <w:tr>
        <w:trPr>
          <w:trHeight w:val="55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570" w:right="30" w:hanging="540"/>
              <w:jc w:val="left"/>
              <w:rPr>
                <w:rFonts w:ascii="宋体" w:hAnsi="宋体" w:cs="宋体" w:eastAsia="宋体" w:hint="default"/>
                <w:sz w:val="18"/>
                <w:szCs w:val="18"/>
              </w:rPr>
            </w:pPr>
            <w:r>
              <w:rPr>
                <w:rFonts w:ascii="宋体" w:hAnsi="宋体" w:cs="宋体" w:eastAsia="宋体" w:hint="default"/>
                <w:sz w:val="18"/>
                <w:szCs w:val="18"/>
              </w:rPr>
              <w:t>所有者权益（或股东 权益）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645,107,423.54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518,084,626.95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24.52%</w:t>
            </w:r>
            <w:r>
              <w:rPr>
                <w:rFonts w:ascii="Times New Roman"/>
                <w:sz w:val="18"/>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148,877,790.56</w:t>
            </w:r>
          </w:p>
        </w:tc>
      </w:tr>
    </w:tbl>
    <w:p>
      <w:pPr>
        <w:spacing w:line="240" w:lineRule="auto" w:before="0"/>
        <w:rPr>
          <w:rFonts w:ascii="宋体" w:hAnsi="宋体" w:cs="宋体" w:eastAsia="宋体" w:hint="default"/>
          <w:b/>
          <w:bCs/>
          <w:sz w:val="20"/>
          <w:szCs w:val="20"/>
        </w:rPr>
      </w:pPr>
    </w:p>
    <w:p>
      <w:pPr>
        <w:pStyle w:val="BodyText"/>
        <w:spacing w:line="357" w:lineRule="auto" w:before="166"/>
        <w:ind w:right="311" w:firstLine="480"/>
        <w:jc w:val="both"/>
      </w:pPr>
      <w:r>
        <w:rPr/>
        <w:t>报告期营业收入、营业利润、利润总额持续增长的主要原因是公司产品的市场需求不断 </w:t>
      </w:r>
      <w:r>
        <w:rPr>
          <w:spacing w:val="-2"/>
        </w:rPr>
        <w:t>扩大及执行上年末未完工合同，由此导致占公司主营业务收入比例较高的SVC产品的销售收入</w:t>
      </w:r>
      <w:r>
        <w:rPr>
          <w:spacing w:val="-118"/>
        </w:rPr>
        <w:t> </w:t>
      </w:r>
      <w:r>
        <w:rPr>
          <w:spacing w:val="-118"/>
        </w:rPr>
      </w:r>
      <w:r>
        <w:rPr/>
        <w:t>持续高速增长。同时公司围绕节能大功率电力电子制造行业不断开发新产品，开拓新市场， 形成新的收入来源。总资产增长45.19%是短期借款增加及本年利润转入所致。</w:t>
      </w:r>
    </w:p>
    <w:p>
      <w:pPr>
        <w:pStyle w:val="BodyText"/>
        <w:spacing w:line="357" w:lineRule="auto" w:before="35"/>
        <w:ind w:right="348" w:firstLine="480"/>
        <w:jc w:val="both"/>
      </w:pPr>
      <w:r>
        <w:rPr/>
        <w:t>(3)报告期内向前五名供应商采购金额合计13,537.50万元，占采购总额比重32.58%，向 前五名销售客户销售金额合计14,499.65万元，占销售总额比重24.89%。</w:t>
      </w:r>
    </w:p>
    <w:p>
      <w:pPr>
        <w:spacing w:after="0" w:line="357" w:lineRule="auto"/>
        <w:jc w:val="both"/>
        <w:sectPr>
          <w:pgSz w:w="11910" w:h="16840"/>
          <w:pgMar w:header="747" w:footer="669" w:top="980" w:bottom="860" w:left="980" w:right="820"/>
        </w:sectPr>
      </w:pPr>
    </w:p>
    <w:p>
      <w:pPr>
        <w:spacing w:line="240" w:lineRule="auto" w:before="7"/>
        <w:rPr>
          <w:rFonts w:ascii="宋体" w:hAnsi="宋体" w:cs="宋体" w:eastAsia="宋体" w:hint="default"/>
          <w:sz w:val="29"/>
          <w:szCs w:val="29"/>
        </w:rPr>
      </w:pPr>
    </w:p>
    <w:p>
      <w:pPr>
        <w:pStyle w:val="BodyText"/>
        <w:spacing w:line="240" w:lineRule="auto" w:before="26"/>
        <w:ind w:left="0" w:right="1228"/>
        <w:jc w:val="right"/>
      </w:pPr>
      <w:r>
        <w:rPr/>
        <w:t>单位：万元</w:t>
      </w:r>
    </w:p>
    <w:p>
      <w:pPr>
        <w:spacing w:line="240" w:lineRule="auto" w:before="9"/>
        <w:rPr>
          <w:rFonts w:ascii="宋体" w:hAnsi="宋体" w:cs="宋体" w:eastAsia="宋体" w:hint="default"/>
          <w:sz w:val="14"/>
          <w:szCs w:val="14"/>
        </w:rPr>
      </w:pPr>
    </w:p>
    <w:tbl>
      <w:tblPr>
        <w:tblW w:w="0" w:type="auto"/>
        <w:jc w:val="left"/>
        <w:tblInd w:w="805" w:type="dxa"/>
        <w:tblLayout w:type="fixed"/>
        <w:tblCellMar>
          <w:top w:w="0" w:type="dxa"/>
          <w:left w:w="0" w:type="dxa"/>
          <w:bottom w:w="0" w:type="dxa"/>
          <w:right w:w="0" w:type="dxa"/>
        </w:tblCellMar>
        <w:tblLook w:val="01E0"/>
      </w:tblPr>
      <w:tblGrid>
        <w:gridCol w:w="2140"/>
        <w:gridCol w:w="1520"/>
        <w:gridCol w:w="1640"/>
        <w:gridCol w:w="1356"/>
        <w:gridCol w:w="1660"/>
      </w:tblGrid>
      <w:tr>
        <w:trPr>
          <w:trHeight w:val="326" w:hRule="exact"/>
        </w:trPr>
        <w:tc>
          <w:tcPr>
            <w:tcW w:w="2140"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供应商</w:t>
            </w:r>
          </w:p>
        </w:tc>
        <w:tc>
          <w:tcPr>
            <w:tcW w:w="1520"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left="359"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40"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left="420"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356"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left="188" w:right="0"/>
              <w:jc w:val="left"/>
              <w:rPr>
                <w:rFonts w:ascii="宋体" w:hAnsi="宋体" w:cs="宋体" w:eastAsia="宋体" w:hint="default"/>
                <w:sz w:val="24"/>
                <w:szCs w:val="24"/>
              </w:rPr>
            </w:pPr>
            <w:r>
              <w:rPr>
                <w:rFonts w:ascii="宋体" w:hAnsi="宋体" w:cs="宋体" w:eastAsia="宋体" w:hint="default"/>
                <w:sz w:val="24"/>
                <w:szCs w:val="24"/>
              </w:rPr>
              <w:t>增减变动</w:t>
            </w:r>
          </w:p>
        </w:tc>
        <w:tc>
          <w:tcPr>
            <w:tcW w:w="1660"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left="429"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788"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1"/>
                <w:sz w:val="20"/>
                <w:szCs w:val="20"/>
              </w:rPr>
              <w:t> </w:t>
            </w:r>
            <w:r>
              <w:rPr>
                <w:rFonts w:ascii="宋体" w:hAnsi="宋体" w:cs="宋体" w:eastAsia="宋体" w:hint="default"/>
                <w:sz w:val="20"/>
                <w:szCs w:val="20"/>
              </w:rPr>
              <w:t>名供应商合计采</w:t>
            </w:r>
          </w:p>
          <w:p>
            <w:pPr>
              <w:pStyle w:val="TableParagraph"/>
              <w:spacing w:line="260" w:lineRule="exact" w:before="24"/>
              <w:ind w:left="103" w:right="223"/>
              <w:jc w:val="left"/>
              <w:rPr>
                <w:rFonts w:ascii="宋体" w:hAnsi="宋体" w:cs="宋体" w:eastAsia="宋体" w:hint="default"/>
                <w:sz w:val="20"/>
                <w:szCs w:val="20"/>
              </w:rPr>
            </w:pPr>
            <w:r>
              <w:rPr>
                <w:rFonts w:ascii="宋体" w:hAnsi="宋体" w:cs="宋体" w:eastAsia="宋体" w:hint="default"/>
                <w:sz w:val="20"/>
                <w:szCs w:val="20"/>
              </w:rPr>
              <w:t>购金额占年度采购总</w:t>
            </w:r>
            <w:r>
              <w:rPr>
                <w:rFonts w:ascii="宋体" w:hAnsi="宋体" w:cs="宋体" w:eastAsia="宋体" w:hint="default"/>
                <w:w w:val="100"/>
                <w:sz w:val="20"/>
                <w:szCs w:val="20"/>
              </w:rPr>
              <w:t> </w:t>
            </w:r>
            <w:r>
              <w:rPr>
                <w:rFonts w:ascii="宋体" w:hAnsi="宋体" w:cs="宋体" w:eastAsia="宋体" w:hint="default"/>
                <w:sz w:val="20"/>
                <w:szCs w:val="20"/>
              </w:rPr>
              <w:t>金额的比例（%）</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32.58%</w:t>
            </w:r>
            <w:r>
              <w:rPr>
                <w:rFonts w:ascii="Times New Roman"/>
                <w:sz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37.31%</w:t>
            </w:r>
            <w:r>
              <w:rPr>
                <w:rFonts w:ascii="Times New Roman"/>
                <w:sz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-4,73%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41.79%</w:t>
            </w:r>
          </w:p>
        </w:tc>
      </w:tr>
      <w:tr>
        <w:trPr>
          <w:trHeight w:val="529"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1"/>
                <w:sz w:val="20"/>
                <w:szCs w:val="20"/>
              </w:rPr>
              <w:t> </w:t>
            </w:r>
            <w:r>
              <w:rPr>
                <w:rFonts w:ascii="宋体" w:hAnsi="宋体" w:cs="宋体" w:eastAsia="宋体" w:hint="default"/>
                <w:sz w:val="20"/>
                <w:szCs w:val="20"/>
              </w:rPr>
              <w:t>名供应商预付账</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款的余额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192.61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-100%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r>
      <w:tr>
        <w:trPr>
          <w:trHeight w:val="793" w:hRule="exact"/>
        </w:trPr>
        <w:tc>
          <w:tcPr>
            <w:tcW w:w="2140" w:type="dxa"/>
            <w:tcBorders>
              <w:top w:val="single" w:sz="4" w:space="0" w:color="000000"/>
              <w:left w:val="single" w:sz="4" w:space="0" w:color="000000"/>
              <w:bottom w:val="single" w:sz="8"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1"/>
                <w:sz w:val="20"/>
                <w:szCs w:val="20"/>
              </w:rPr>
              <w:t> </w:t>
            </w:r>
            <w:r>
              <w:rPr>
                <w:rFonts w:ascii="宋体" w:hAnsi="宋体" w:cs="宋体" w:eastAsia="宋体" w:hint="default"/>
                <w:sz w:val="20"/>
                <w:szCs w:val="20"/>
              </w:rPr>
              <w:t>名供应商预付账</w:t>
            </w:r>
          </w:p>
          <w:p>
            <w:pPr>
              <w:pStyle w:val="TableParagraph"/>
              <w:spacing w:line="260" w:lineRule="exact" w:before="25"/>
              <w:ind w:left="103" w:right="1"/>
              <w:jc w:val="left"/>
              <w:rPr>
                <w:rFonts w:ascii="宋体" w:hAnsi="宋体" w:cs="宋体" w:eastAsia="宋体" w:hint="default"/>
                <w:sz w:val="20"/>
                <w:szCs w:val="20"/>
              </w:rPr>
            </w:pPr>
            <w:r>
              <w:rPr>
                <w:rFonts w:ascii="宋体" w:hAnsi="宋体" w:cs="宋体" w:eastAsia="宋体" w:hint="default"/>
                <w:sz w:val="20"/>
                <w:szCs w:val="20"/>
              </w:rPr>
              <w:t>款的余额占公司预付</w:t>
            </w:r>
            <w:r>
              <w:rPr>
                <w:rFonts w:ascii="宋体" w:hAnsi="宋体" w:cs="宋体" w:eastAsia="宋体" w:hint="default"/>
                <w:w w:val="100"/>
                <w:sz w:val="20"/>
                <w:szCs w:val="20"/>
              </w:rPr>
              <w:t> </w:t>
            </w:r>
            <w:r>
              <w:rPr>
                <w:rFonts w:ascii="宋体" w:hAnsi="宋体" w:cs="宋体" w:eastAsia="宋体" w:hint="default"/>
                <w:spacing w:val="-8"/>
                <w:sz w:val="20"/>
                <w:szCs w:val="20"/>
              </w:rPr>
              <w:t>账款总余额的比例（%）</w:t>
            </w:r>
            <w:r>
              <w:rPr>
                <w:rFonts w:ascii="宋体" w:hAnsi="宋体" w:cs="宋体" w:eastAsia="宋体" w:hint="default"/>
                <w:sz w:val="20"/>
                <w:szCs w:val="20"/>
              </w:rPr>
            </w:r>
          </w:p>
        </w:tc>
        <w:tc>
          <w:tcPr>
            <w:tcW w:w="15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6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4.27%</w:t>
            </w:r>
            <w:r>
              <w:rPr>
                <w:rFonts w:ascii="Times New Roman"/>
                <w:sz w:val="18"/>
              </w:rPr>
            </w:r>
          </w:p>
        </w:tc>
        <w:tc>
          <w:tcPr>
            <w:tcW w:w="135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-4.27%</w:t>
            </w:r>
          </w:p>
        </w:tc>
        <w:tc>
          <w:tcPr>
            <w:tcW w:w="16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r>
      <w:tr>
        <w:trPr>
          <w:trHeight w:val="326" w:hRule="exact"/>
        </w:trPr>
        <w:tc>
          <w:tcPr>
            <w:tcW w:w="2140"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客户</w:t>
            </w:r>
          </w:p>
        </w:tc>
        <w:tc>
          <w:tcPr>
            <w:tcW w:w="1520"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left="359"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40"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left="420"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356"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left="188" w:right="0"/>
              <w:jc w:val="left"/>
              <w:rPr>
                <w:rFonts w:ascii="宋体" w:hAnsi="宋体" w:cs="宋体" w:eastAsia="宋体" w:hint="default"/>
                <w:sz w:val="24"/>
                <w:szCs w:val="24"/>
              </w:rPr>
            </w:pPr>
            <w:r>
              <w:rPr>
                <w:rFonts w:ascii="宋体" w:hAnsi="宋体" w:cs="宋体" w:eastAsia="宋体" w:hint="default"/>
                <w:sz w:val="24"/>
                <w:szCs w:val="24"/>
              </w:rPr>
              <w:t>增减变动</w:t>
            </w:r>
          </w:p>
        </w:tc>
        <w:tc>
          <w:tcPr>
            <w:tcW w:w="1660" w:type="dxa"/>
            <w:tcBorders>
              <w:top w:val="single" w:sz="8" w:space="0" w:color="000000"/>
              <w:left w:val="single" w:sz="8" w:space="0" w:color="000000"/>
              <w:bottom w:val="single" w:sz="4" w:space="0" w:color="000000"/>
              <w:right w:val="single" w:sz="8" w:space="0" w:color="000000"/>
            </w:tcBorders>
            <w:shd w:val="clear" w:color="auto" w:fill="969696"/>
          </w:tcPr>
          <w:p>
            <w:pPr>
              <w:pStyle w:val="TableParagraph"/>
              <w:spacing w:line="276" w:lineRule="exact"/>
              <w:ind w:left="429"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788"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1"/>
                <w:sz w:val="20"/>
                <w:szCs w:val="20"/>
              </w:rPr>
              <w:t> </w:t>
            </w:r>
            <w:r>
              <w:rPr>
                <w:rFonts w:ascii="宋体" w:hAnsi="宋体" w:cs="宋体" w:eastAsia="宋体" w:hint="default"/>
                <w:sz w:val="20"/>
                <w:szCs w:val="20"/>
              </w:rPr>
              <w:t>名客户销售合计</w:t>
            </w:r>
          </w:p>
          <w:p>
            <w:pPr>
              <w:pStyle w:val="TableParagraph"/>
              <w:spacing w:line="240" w:lineRule="auto"/>
              <w:ind w:left="103" w:right="223"/>
              <w:jc w:val="left"/>
              <w:rPr>
                <w:rFonts w:ascii="宋体" w:hAnsi="宋体" w:cs="宋体" w:eastAsia="宋体" w:hint="default"/>
                <w:sz w:val="20"/>
                <w:szCs w:val="20"/>
              </w:rPr>
            </w:pPr>
            <w:r>
              <w:rPr>
                <w:rFonts w:ascii="宋体" w:hAnsi="宋体" w:cs="宋体" w:eastAsia="宋体" w:hint="default"/>
                <w:sz w:val="20"/>
                <w:szCs w:val="20"/>
              </w:rPr>
              <w:t>占年度销售收入的比</w:t>
            </w:r>
            <w:r>
              <w:rPr>
                <w:rFonts w:ascii="宋体" w:hAnsi="宋体" w:cs="宋体" w:eastAsia="宋体" w:hint="default"/>
                <w:w w:val="100"/>
                <w:sz w:val="20"/>
                <w:szCs w:val="20"/>
              </w:rPr>
              <w:t> </w:t>
            </w:r>
            <w:r>
              <w:rPr>
                <w:rFonts w:ascii="宋体" w:hAnsi="宋体" w:cs="宋体" w:eastAsia="宋体" w:hint="default"/>
                <w:sz w:val="20"/>
                <w:szCs w:val="20"/>
              </w:rPr>
              <w:t>例（%）</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24.89%</w:t>
            </w:r>
            <w:r>
              <w:rPr>
                <w:rFonts w:ascii="Times New Roman"/>
                <w:sz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13.77%</w:t>
            </w:r>
            <w:r>
              <w:rPr>
                <w:rFonts w:ascii="Times New Roman"/>
                <w:sz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11.12%</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14.94%</w:t>
            </w:r>
          </w:p>
        </w:tc>
      </w:tr>
      <w:tr>
        <w:trPr>
          <w:trHeight w:val="529"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1"/>
                <w:sz w:val="20"/>
                <w:szCs w:val="20"/>
              </w:rPr>
              <w:t> </w:t>
            </w:r>
            <w:r>
              <w:rPr>
                <w:rFonts w:ascii="宋体" w:hAnsi="宋体" w:cs="宋体" w:eastAsia="宋体" w:hint="default"/>
                <w:sz w:val="20"/>
                <w:szCs w:val="20"/>
              </w:rPr>
              <w:t>名客户应收账款</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的余额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6,001.31</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2,042.86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193.77%</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1,515.00</w:t>
            </w:r>
          </w:p>
        </w:tc>
      </w:tr>
      <w:tr>
        <w:trPr>
          <w:trHeight w:val="788" w:hRule="exact"/>
        </w:trPr>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前</w:t>
            </w:r>
            <w:r>
              <w:rPr>
                <w:rFonts w:ascii="宋体" w:hAnsi="宋体" w:cs="宋体" w:eastAsia="宋体" w:hint="default"/>
                <w:spacing w:val="-52"/>
                <w:sz w:val="20"/>
                <w:szCs w:val="20"/>
              </w:rPr>
              <w:t> </w:t>
            </w:r>
            <w:r>
              <w:rPr>
                <w:rFonts w:ascii="宋体" w:hAnsi="宋体" w:cs="宋体" w:eastAsia="宋体" w:hint="default"/>
                <w:sz w:val="20"/>
                <w:szCs w:val="20"/>
              </w:rPr>
              <w:t>5</w:t>
            </w:r>
            <w:r>
              <w:rPr>
                <w:rFonts w:ascii="宋体" w:hAnsi="宋体" w:cs="宋体" w:eastAsia="宋体" w:hint="default"/>
                <w:spacing w:val="-51"/>
                <w:sz w:val="20"/>
                <w:szCs w:val="20"/>
              </w:rPr>
              <w:t> </w:t>
            </w:r>
            <w:r>
              <w:rPr>
                <w:rFonts w:ascii="宋体" w:hAnsi="宋体" w:cs="宋体" w:eastAsia="宋体" w:hint="default"/>
                <w:sz w:val="20"/>
                <w:szCs w:val="20"/>
              </w:rPr>
              <w:t>名客户应收账款</w:t>
            </w:r>
          </w:p>
          <w:p>
            <w:pPr>
              <w:pStyle w:val="TableParagraph"/>
              <w:spacing w:line="260" w:lineRule="exact" w:before="24"/>
              <w:ind w:left="103" w:right="124"/>
              <w:jc w:val="left"/>
              <w:rPr>
                <w:rFonts w:ascii="宋体" w:hAnsi="宋体" w:cs="宋体" w:eastAsia="宋体" w:hint="default"/>
                <w:sz w:val="20"/>
                <w:szCs w:val="20"/>
              </w:rPr>
            </w:pPr>
            <w:r>
              <w:rPr>
                <w:rFonts w:ascii="宋体" w:hAnsi="宋体" w:cs="宋体" w:eastAsia="宋体" w:hint="default"/>
                <w:sz w:val="20"/>
                <w:szCs w:val="20"/>
              </w:rPr>
              <w:t>的余额占公司应收账</w:t>
            </w:r>
            <w:r>
              <w:rPr>
                <w:rFonts w:ascii="宋体" w:hAnsi="宋体" w:cs="宋体" w:eastAsia="宋体" w:hint="default"/>
                <w:w w:val="100"/>
                <w:sz w:val="20"/>
                <w:szCs w:val="20"/>
              </w:rPr>
              <w:t> </w:t>
            </w:r>
            <w:r>
              <w:rPr>
                <w:rFonts w:ascii="宋体" w:hAnsi="宋体" w:cs="宋体" w:eastAsia="宋体" w:hint="default"/>
                <w:sz w:val="20"/>
                <w:szCs w:val="20"/>
              </w:rPr>
              <w:t>款总余额的比例（%）</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16,54%</w:t>
            </w:r>
            <w:r>
              <w:rPr>
                <w:rFonts w:ascii="Times New Roman"/>
                <w:sz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9.44%</w:t>
            </w:r>
            <w:r>
              <w:rPr>
                <w:rFonts w:ascii="Times New Roman"/>
                <w:sz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7.10%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14.32%</w:t>
            </w:r>
          </w:p>
        </w:tc>
      </w:tr>
    </w:tbl>
    <w:p>
      <w:pPr>
        <w:spacing w:line="240" w:lineRule="auto" w:before="0"/>
        <w:rPr>
          <w:rFonts w:ascii="宋体" w:hAnsi="宋体" w:cs="宋体" w:eastAsia="宋体" w:hint="default"/>
          <w:sz w:val="20"/>
          <w:szCs w:val="20"/>
        </w:rPr>
      </w:pPr>
    </w:p>
    <w:p>
      <w:pPr>
        <w:pStyle w:val="BodyText"/>
        <w:spacing w:line="357" w:lineRule="auto" w:before="166"/>
        <w:ind w:right="92" w:firstLine="480"/>
        <w:jc w:val="left"/>
      </w:pPr>
      <w:r>
        <w:rPr>
          <w:spacing w:val="-3"/>
        </w:rPr>
        <w:t>公司前五名供应商、销售客户与公司不存在关联关系，公司董事、监事、高级管理人员、</w:t>
      </w:r>
      <w:r>
        <w:rPr/>
        <w:t> 核心技术人员、持股5%以上股东、实际控制人和其他关联方在主要客户、供应商中无直接或 间接拥有权益。</w:t>
      </w:r>
    </w:p>
    <w:p>
      <w:pPr>
        <w:pStyle w:val="BodyText"/>
        <w:spacing w:line="357" w:lineRule="auto" w:before="35"/>
        <w:ind w:left="634" w:right="250"/>
        <w:jc w:val="left"/>
      </w:pPr>
      <w:r>
        <w:rPr/>
        <w:t>(4)主要产品、原材料等价格变动情况。 报告期公司主要产品价格变动幅度较小。上半年原材料价格因通胀因素略有上升，是公</w:t>
      </w:r>
    </w:p>
    <w:p>
      <w:pPr>
        <w:pStyle w:val="BodyText"/>
        <w:spacing w:line="357" w:lineRule="auto" w:before="35"/>
        <w:ind w:left="634" w:right="1330" w:hanging="480"/>
        <w:jc w:val="left"/>
      </w:pPr>
      <w:r>
        <w:rPr/>
        <w:t>司毛利下降的主要原因。 (5)报告期内，公司主营业务及其结构、主营业务盈利能力未发生重大变化。 (6)报告期内，公司主营业务市场、主营业务成本构成未发生显著变化。 (7)销售毛利变动情况</w:t>
      </w:r>
    </w:p>
    <w:p>
      <w:pPr>
        <w:spacing w:line="240" w:lineRule="auto" w:before="9"/>
        <w:rPr>
          <w:rFonts w:ascii="宋体" w:hAnsi="宋体" w:cs="宋体" w:eastAsia="宋体" w:hint="default"/>
          <w:sz w:val="5"/>
          <w:szCs w:val="5"/>
        </w:rPr>
      </w:pPr>
    </w:p>
    <w:tbl>
      <w:tblPr>
        <w:tblW w:w="0" w:type="auto"/>
        <w:jc w:val="left"/>
        <w:tblInd w:w="675" w:type="dxa"/>
        <w:tblLayout w:type="fixed"/>
        <w:tblCellMar>
          <w:top w:w="0" w:type="dxa"/>
          <w:left w:w="0" w:type="dxa"/>
          <w:bottom w:w="0" w:type="dxa"/>
          <w:right w:w="0" w:type="dxa"/>
        </w:tblCellMar>
        <w:tblLook w:val="01E0"/>
      </w:tblPr>
      <w:tblGrid>
        <w:gridCol w:w="2254"/>
        <w:gridCol w:w="1480"/>
        <w:gridCol w:w="1620"/>
        <w:gridCol w:w="1661"/>
        <w:gridCol w:w="1560"/>
      </w:tblGrid>
      <w:tr>
        <w:trPr>
          <w:trHeight w:val="331" w:hRule="exact"/>
        </w:trPr>
        <w:tc>
          <w:tcPr>
            <w:tcW w:w="2254" w:type="dxa"/>
            <w:tcBorders>
              <w:top w:val="single" w:sz="8" w:space="0" w:color="000000"/>
              <w:left w:val="single" w:sz="8" w:space="0" w:color="000000"/>
              <w:bottom w:val="single" w:sz="8" w:space="0" w:color="000000"/>
              <w:right w:val="single" w:sz="8" w:space="0" w:color="000000"/>
            </w:tcBorders>
            <w:shd w:val="clear" w:color="auto" w:fill="969696"/>
          </w:tcPr>
          <w:p>
            <w:pPr/>
          </w:p>
        </w:tc>
        <w:tc>
          <w:tcPr>
            <w:tcW w:w="1480"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left="339"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20"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left="410"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61"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增减变动</w:t>
            </w:r>
          </w:p>
        </w:tc>
        <w:tc>
          <w:tcPr>
            <w:tcW w:w="1560" w:type="dxa"/>
            <w:tcBorders>
              <w:top w:val="single" w:sz="8" w:space="0" w:color="000000"/>
              <w:left w:val="single" w:sz="8" w:space="0" w:color="000000"/>
              <w:bottom w:val="single" w:sz="8" w:space="0" w:color="000000"/>
              <w:right w:val="single" w:sz="8" w:space="0" w:color="000000"/>
            </w:tcBorders>
            <w:shd w:val="clear" w:color="auto" w:fill="969696"/>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331" w:hRule="exact"/>
        </w:trPr>
        <w:tc>
          <w:tcPr>
            <w:tcW w:w="2254" w:type="dxa"/>
            <w:tcBorders>
              <w:top w:val="single" w:sz="8" w:space="0" w:color="000000"/>
              <w:left w:val="single" w:sz="8" w:space="0" w:color="000000"/>
              <w:bottom w:val="single" w:sz="8" w:space="0" w:color="000000"/>
              <w:right w:val="single" w:sz="8" w:space="0" w:color="000000"/>
            </w:tcBorders>
          </w:tcPr>
          <w:p>
            <w:pPr>
              <w:pStyle w:val="TableParagraph"/>
              <w:spacing w:line="276" w:lineRule="exact"/>
              <w:ind w:left="637" w:right="0"/>
              <w:jc w:val="left"/>
              <w:rPr>
                <w:rFonts w:ascii="宋体" w:hAnsi="宋体" w:cs="宋体" w:eastAsia="宋体" w:hint="default"/>
                <w:sz w:val="24"/>
                <w:szCs w:val="24"/>
              </w:rPr>
            </w:pPr>
            <w:r>
              <w:rPr>
                <w:rFonts w:ascii="宋体" w:hAnsi="宋体" w:cs="宋体" w:eastAsia="宋体" w:hint="default"/>
                <w:sz w:val="24"/>
                <w:szCs w:val="24"/>
              </w:rPr>
              <w:t>销售毛利</w:t>
            </w:r>
          </w:p>
        </w:tc>
        <w:tc>
          <w:tcPr>
            <w:tcW w:w="14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806" w:right="0"/>
              <w:jc w:val="left"/>
              <w:rPr>
                <w:rFonts w:ascii="Times New Roman" w:hAnsi="Times New Roman" w:cs="Times New Roman" w:eastAsia="Times New Roman" w:hint="default"/>
                <w:sz w:val="18"/>
                <w:szCs w:val="18"/>
              </w:rPr>
            </w:pPr>
            <w:r>
              <w:rPr>
                <w:rFonts w:ascii="Times New Roman"/>
                <w:sz w:val="18"/>
              </w:rPr>
              <w:t>49.51%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9"/>
              <w:ind w:left="946" w:right="0"/>
              <w:jc w:val="left"/>
              <w:rPr>
                <w:rFonts w:ascii="Times New Roman" w:hAnsi="Times New Roman" w:cs="Times New Roman" w:eastAsia="Times New Roman" w:hint="default"/>
                <w:sz w:val="18"/>
                <w:szCs w:val="18"/>
              </w:rPr>
            </w:pPr>
            <w:r>
              <w:rPr>
                <w:rFonts w:ascii="Times New Roman"/>
                <w:sz w:val="18"/>
              </w:rPr>
              <w:t>51.62%</w:t>
            </w:r>
          </w:p>
        </w:tc>
        <w:tc>
          <w:tcPr>
            <w:tcW w:w="16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sz w:val="18"/>
              </w:rPr>
              <w:t>-2.12%</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center"/>
              <w:rPr>
                <w:rFonts w:ascii="宋体" w:hAnsi="宋体" w:cs="宋体" w:eastAsia="宋体" w:hint="default"/>
                <w:sz w:val="18"/>
                <w:szCs w:val="18"/>
              </w:rPr>
            </w:pPr>
            <w:r>
              <w:rPr>
                <w:rFonts w:ascii="宋体"/>
                <w:sz w:val="18"/>
              </w:rPr>
              <w:t>57.33%</w:t>
            </w:r>
          </w:p>
        </w:tc>
      </w:tr>
    </w:tbl>
    <w:p>
      <w:pPr>
        <w:pStyle w:val="BodyText"/>
        <w:spacing w:line="276" w:lineRule="exact"/>
        <w:ind w:left="634" w:right="92"/>
        <w:jc w:val="left"/>
      </w:pPr>
      <w:r>
        <w:rPr/>
        <w:t>报告期内，公司综合毛利同比减少-2.12%,主要是采用新型器件及2008年上半年原材料价</w:t>
      </w:r>
    </w:p>
    <w:p>
      <w:pPr>
        <w:pStyle w:val="BodyText"/>
        <w:spacing w:line="240" w:lineRule="auto" w:before="152"/>
        <w:ind w:right="92"/>
        <w:jc w:val="left"/>
      </w:pPr>
      <w:r>
        <w:rPr/>
        <w:t>格上涨导致成本上升所致。</w:t>
      </w:r>
    </w:p>
    <w:p>
      <w:pPr>
        <w:pStyle w:val="BodyText"/>
        <w:tabs>
          <w:tab w:pos="7833" w:val="left" w:leader="none"/>
        </w:tabs>
        <w:spacing w:line="240" w:lineRule="auto" w:before="152"/>
        <w:ind w:left="634" w:right="92"/>
        <w:jc w:val="left"/>
      </w:pPr>
      <w:r>
        <w:rPr/>
        <w:t>(8)非经常性损益情况。</w:t>
        <w:tab/>
        <w:t>单位:元</w:t>
      </w:r>
    </w:p>
    <w:p>
      <w:pPr>
        <w:spacing w:line="240" w:lineRule="auto" w:before="9"/>
        <w:rPr>
          <w:rFonts w:ascii="宋体" w:hAnsi="宋体" w:cs="宋体" w:eastAsia="宋体" w:hint="default"/>
          <w:sz w:val="14"/>
          <w:szCs w:val="14"/>
        </w:rPr>
      </w:pPr>
    </w:p>
    <w:tbl>
      <w:tblPr>
        <w:tblW w:w="0" w:type="auto"/>
        <w:jc w:val="left"/>
        <w:tblInd w:w="658" w:type="dxa"/>
        <w:tblLayout w:type="fixed"/>
        <w:tblCellMar>
          <w:top w:w="0" w:type="dxa"/>
          <w:left w:w="0" w:type="dxa"/>
          <w:bottom w:w="0" w:type="dxa"/>
          <w:right w:w="0" w:type="dxa"/>
        </w:tblCellMar>
        <w:tblLook w:val="01E0"/>
      </w:tblPr>
      <w:tblGrid>
        <w:gridCol w:w="3480"/>
        <w:gridCol w:w="1740"/>
        <w:gridCol w:w="1781"/>
        <w:gridCol w:w="1620"/>
      </w:tblGrid>
      <w:tr>
        <w:trPr>
          <w:trHeight w:val="322" w:hRule="exact"/>
        </w:trPr>
        <w:tc>
          <w:tcPr>
            <w:tcW w:w="348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left="1015"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7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75"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8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94"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325" w:right="0"/>
              <w:jc w:val="left"/>
              <w:rPr>
                <w:rFonts w:ascii="宋体" w:hAnsi="宋体" w:cs="宋体" w:eastAsia="宋体" w:hint="default"/>
                <w:sz w:val="24"/>
                <w:szCs w:val="24"/>
              </w:rPr>
            </w:pPr>
            <w:r>
              <w:rPr>
                <w:rFonts w:ascii="宋体" w:hAnsi="宋体" w:cs="宋体" w:eastAsia="宋体" w:hint="default"/>
                <w:sz w:val="24"/>
                <w:szCs w:val="24"/>
              </w:rPr>
              <w:t>同比增减</w:t>
            </w:r>
          </w:p>
        </w:tc>
      </w:tr>
      <w:tr>
        <w:trPr>
          <w:trHeight w:val="494" w:hRule="exact"/>
        </w:trPr>
        <w:tc>
          <w:tcPr>
            <w:tcW w:w="34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-64,453.65</w:t>
            </w:r>
            <w:r>
              <w:rPr>
                <w:rFonts w:ascii="Times New Roman"/>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630,941.86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-110.22%</w:t>
            </w:r>
            <w:r>
              <w:rPr>
                <w:rFonts w:ascii="Times New Roman"/>
                <w:sz w:val="18"/>
              </w:rPr>
            </w:r>
          </w:p>
        </w:tc>
      </w:tr>
      <w:tr>
        <w:trPr>
          <w:trHeight w:val="336" w:hRule="exact"/>
        </w:trPr>
        <w:tc>
          <w:tcPr>
            <w:tcW w:w="34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15,490,554.43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8"/>
                <w:szCs w:val="18"/>
              </w:rPr>
            </w:pPr>
            <w:r>
              <w:rPr>
                <w:rFonts w:ascii="Times New Roman"/>
                <w:spacing w:val="-1"/>
                <w:sz w:val="18"/>
              </w:rPr>
              <w:t>10,235,000.00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5"/>
                <w:sz w:val="18"/>
              </w:rPr>
              <w:t>51.35%</w:t>
            </w:r>
            <w:r>
              <w:rPr>
                <w:rFonts w:ascii="Times New Roman"/>
                <w:sz w:val="18"/>
              </w:rPr>
            </w:r>
          </w:p>
        </w:tc>
      </w:tr>
      <w:tr>
        <w:trPr>
          <w:trHeight w:val="335" w:hRule="exact"/>
        </w:trPr>
        <w:tc>
          <w:tcPr>
            <w:tcW w:w="3480"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5"/>
                <w:sz w:val="18"/>
              </w:rPr>
              <w:t>-101,099.50</w:t>
            </w:r>
            <w:r>
              <w:rPr>
                <w:rFonts w:ascii="Times New Roman"/>
                <w:sz w:val="18"/>
              </w:rPr>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25,058.13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5"/>
                <w:sz w:val="18"/>
              </w:rPr>
              <w:t>-503.46%</w:t>
            </w:r>
            <w:r>
              <w:rPr>
                <w:rFonts w:ascii="Times New Roman"/>
                <w:sz w:val="18"/>
              </w:rPr>
            </w:r>
          </w:p>
        </w:tc>
      </w:tr>
      <w:tr>
        <w:trPr>
          <w:trHeight w:val="316" w:hRule="exact"/>
        </w:trPr>
        <w:tc>
          <w:tcPr>
            <w:tcW w:w="348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中国证监会认定其他非经常性损益项目</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z w:val="18"/>
              </w:rPr>
              <w:t>502,314.82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738" w:type="dxa"/>
        <w:tblLayout w:type="fixed"/>
        <w:tblCellMar>
          <w:top w:w="0" w:type="dxa"/>
          <w:left w:w="0" w:type="dxa"/>
          <w:bottom w:w="0" w:type="dxa"/>
          <w:right w:w="0" w:type="dxa"/>
        </w:tblCellMar>
        <w:tblLook w:val="01E0"/>
      </w:tblPr>
      <w:tblGrid>
        <w:gridCol w:w="3480"/>
        <w:gridCol w:w="1740"/>
        <w:gridCol w:w="1781"/>
        <w:gridCol w:w="1620"/>
      </w:tblGrid>
      <w:tr>
        <w:trPr>
          <w:trHeight w:val="330" w:hRule="exact"/>
        </w:trPr>
        <w:tc>
          <w:tcPr>
            <w:tcW w:w="348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7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spacing w:val="-1"/>
                <w:sz w:val="18"/>
              </w:rPr>
              <w:t>-1,522,634.28</w:t>
            </w:r>
          </w:p>
        </w:tc>
        <w:tc>
          <w:tcPr>
            <w:tcW w:w="17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103"/>
              <w:jc w:val="right"/>
              <w:rPr>
                <w:rFonts w:ascii="Times New Roman" w:hAnsi="Times New Roman" w:cs="Times New Roman" w:eastAsia="Times New Roman" w:hint="default"/>
                <w:sz w:val="18"/>
                <w:szCs w:val="18"/>
              </w:rPr>
            </w:pPr>
            <w:r>
              <w:rPr>
                <w:rFonts w:ascii="Times New Roman"/>
                <w:spacing w:val="-1"/>
                <w:sz w:val="18"/>
              </w:rPr>
              <w:t>-1,005,521.71</w:t>
            </w:r>
          </w:p>
        </w:tc>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8"/>
              <w:ind w:right="101"/>
              <w:jc w:val="right"/>
              <w:rPr>
                <w:rFonts w:ascii="Times New Roman" w:hAnsi="Times New Roman" w:cs="Times New Roman" w:eastAsia="Times New Roman" w:hint="default"/>
                <w:sz w:val="18"/>
                <w:szCs w:val="18"/>
              </w:rPr>
            </w:pPr>
            <w:r>
              <w:rPr>
                <w:rFonts w:ascii="Times New Roman"/>
                <w:w w:val="95"/>
                <w:sz w:val="18"/>
              </w:rPr>
              <w:t>51.43%</w:t>
            </w:r>
            <w:r>
              <w:rPr>
                <w:rFonts w:ascii="Times New Roman"/>
                <w:sz w:val="18"/>
              </w:rPr>
            </w:r>
          </w:p>
        </w:tc>
      </w:tr>
      <w:tr>
        <w:trPr>
          <w:trHeight w:val="330" w:hRule="exact"/>
        </w:trPr>
        <w:tc>
          <w:tcPr>
            <w:tcW w:w="3480" w:type="dxa"/>
            <w:tcBorders>
              <w:top w:val="single" w:sz="8"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pacing w:val="-1"/>
                <w:sz w:val="18"/>
              </w:rPr>
              <w:t>13,802,367.00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3"/>
              <w:jc w:val="right"/>
              <w:rPr>
                <w:rFonts w:ascii="Times New Roman" w:hAnsi="Times New Roman" w:cs="Times New Roman" w:eastAsia="Times New Roman" w:hint="default"/>
                <w:sz w:val="18"/>
                <w:szCs w:val="18"/>
              </w:rPr>
            </w:pPr>
            <w:r>
              <w:rPr>
                <w:rFonts w:ascii="Times New Roman"/>
                <w:spacing w:val="-1"/>
                <w:sz w:val="18"/>
              </w:rPr>
              <w:t>10,387,793.10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5"/>
                <w:sz w:val="18"/>
              </w:rPr>
              <w:t>32.87%</w:t>
            </w:r>
            <w:r>
              <w:rPr>
                <w:rFonts w:ascii="Times New Roman"/>
                <w:sz w:val="18"/>
              </w:rPr>
            </w:r>
          </w:p>
        </w:tc>
      </w:tr>
    </w:tbl>
    <w:p>
      <w:pPr>
        <w:spacing w:line="240" w:lineRule="auto" w:before="0"/>
        <w:rPr>
          <w:rFonts w:ascii="宋体" w:hAnsi="宋体" w:cs="宋体" w:eastAsia="宋体" w:hint="default"/>
          <w:sz w:val="20"/>
          <w:szCs w:val="20"/>
        </w:rPr>
      </w:pPr>
    </w:p>
    <w:p>
      <w:pPr>
        <w:pStyle w:val="BodyText"/>
        <w:spacing w:line="357" w:lineRule="auto" w:before="166"/>
        <w:ind w:left="234" w:right="92" w:firstLine="480"/>
        <w:jc w:val="left"/>
      </w:pPr>
      <w:r>
        <w:rPr>
          <w:spacing w:val="-3"/>
        </w:rPr>
        <w:t>本公司作为我国SVC行业的龙头企业，鉴于本公司突出的行业地位，国家发改委等政府部</w:t>
      </w:r>
      <w:r>
        <w:rPr/>
        <w:t> </w:t>
      </w:r>
      <w:r>
        <w:rPr>
          <w:spacing w:val="-2"/>
        </w:rPr>
        <w:t>门在资金方面以科技拨款、项目拨款形式支持本公司的发展，导致本公司递延收益不断增加。</w:t>
      </w:r>
    </w:p>
    <w:p>
      <w:pPr>
        <w:pStyle w:val="BodyText"/>
        <w:spacing w:line="357" w:lineRule="auto" w:before="36"/>
        <w:ind w:left="234" w:right="130" w:firstLine="480"/>
        <w:jc w:val="left"/>
      </w:pPr>
      <w:r>
        <w:rPr>
          <w:spacing w:val="-3"/>
        </w:rPr>
        <w:t>报告期，非经常性损益绝对值达到净利润10%以上的非经常性损益项目为计入当期损益的</w:t>
      </w:r>
      <w:r>
        <w:rPr/>
        <w:t> 政府补助，是公司申报的各项研发项目支持资金根据实施进度转入当期损益，同比增长 51.35%，占公司当期净利润的10.60%，截止报告期末，公司递延收益帐面余额3109.94万元， 将根据项目实施进度转入以后年度营业外收入。</w:t>
      </w:r>
    </w:p>
    <w:p>
      <w:pPr>
        <w:tabs>
          <w:tab w:pos="3598" w:val="left" w:leader="none"/>
        </w:tabs>
        <w:spacing w:line="357" w:lineRule="auto" w:before="35"/>
        <w:ind w:left="714" w:right="1130" w:firstLine="0"/>
        <w:jc w:val="left"/>
        <w:rPr>
          <w:rFonts w:ascii="宋体" w:hAnsi="宋体" w:cs="宋体" w:eastAsia="宋体" w:hint="default"/>
          <w:sz w:val="24"/>
          <w:szCs w:val="24"/>
        </w:rPr>
      </w:pPr>
      <w:r>
        <w:rPr>
          <w:rFonts w:ascii="宋体" w:hAnsi="宋体" w:cs="宋体" w:eastAsia="宋体" w:hint="default"/>
          <w:sz w:val="24"/>
          <w:szCs w:val="24"/>
        </w:rPr>
        <w:t>(9)薪酬分析。 报告期，公司董事及高级管理人员薪酬与上年同期相比没有发生变化。 </w:t>
      </w:r>
      <w:r>
        <w:rPr>
          <w:rFonts w:ascii="宋体" w:hAnsi="宋体" w:cs="宋体" w:eastAsia="宋体" w:hint="default"/>
          <w:w w:val="95"/>
          <w:sz w:val="24"/>
          <w:szCs w:val="24"/>
        </w:rPr>
        <w:t>具体薪酬情况见“</w:t>
      </w:r>
      <w:r>
        <w:rPr>
          <w:rFonts w:ascii="宋体" w:hAnsi="宋体" w:cs="宋体" w:eastAsia="宋体" w:hint="default"/>
          <w:b/>
          <w:bCs/>
          <w:w w:val="95"/>
          <w:sz w:val="24"/>
          <w:szCs w:val="24"/>
        </w:rPr>
        <w:t>第四节</w:t>
        <w:tab/>
      </w:r>
      <w:r>
        <w:rPr>
          <w:rFonts w:ascii="宋体" w:hAnsi="宋体" w:cs="宋体" w:eastAsia="宋体" w:hint="default"/>
          <w:b/>
          <w:bCs/>
          <w:sz w:val="24"/>
          <w:szCs w:val="24"/>
        </w:rPr>
        <w:t>董事、监事、高级管理人员和员工情况”。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Heading4"/>
        <w:tabs>
          <w:tab w:pos="7345" w:val="left" w:leader="none"/>
        </w:tabs>
        <w:spacing w:line="240" w:lineRule="auto" w:before="188"/>
        <w:ind w:left="716" w:right="92"/>
        <w:jc w:val="left"/>
        <w:rPr>
          <w:b w:val="0"/>
          <w:bCs w:val="0"/>
        </w:rPr>
      </w:pPr>
      <w:r>
        <w:rPr>
          <w:w w:val="95"/>
        </w:rPr>
        <w:t>3、公司主要资产构成情况</w:t>
        <w:tab/>
      </w:r>
      <w:r>
        <w:rPr/>
        <w:t>（单位：万元）</w:t>
      </w:r>
      <w:r>
        <w:rPr>
          <w:b w:val="0"/>
          <w:bCs w:val="0"/>
        </w:rPr>
      </w:r>
    </w:p>
    <w:p>
      <w:pPr>
        <w:spacing w:line="240" w:lineRule="auto" w:before="9"/>
        <w:rPr>
          <w:rFonts w:ascii="宋体" w:hAnsi="宋体" w:cs="宋体" w:eastAsia="宋体" w:hint="default"/>
          <w:b/>
          <w:bCs/>
          <w:sz w:val="14"/>
          <w:szCs w:val="14"/>
        </w:rPr>
      </w:pPr>
    </w:p>
    <w:tbl>
      <w:tblPr>
        <w:tblW w:w="0" w:type="auto"/>
        <w:jc w:val="left"/>
        <w:tblInd w:w="116" w:type="dxa"/>
        <w:tblLayout w:type="fixed"/>
        <w:tblCellMar>
          <w:top w:w="0" w:type="dxa"/>
          <w:left w:w="0" w:type="dxa"/>
          <w:bottom w:w="0" w:type="dxa"/>
          <w:right w:w="0" w:type="dxa"/>
        </w:tblCellMar>
        <w:tblLook w:val="01E0"/>
      </w:tblPr>
      <w:tblGrid>
        <w:gridCol w:w="1342"/>
        <w:gridCol w:w="1646"/>
        <w:gridCol w:w="1801"/>
        <w:gridCol w:w="1799"/>
        <w:gridCol w:w="1620"/>
        <w:gridCol w:w="1646"/>
      </w:tblGrid>
      <w:tr>
        <w:trPr>
          <w:trHeight w:val="575" w:hRule="exact"/>
        </w:trPr>
        <w:tc>
          <w:tcPr>
            <w:tcW w:w="1342"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4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
              <w:jc w:val="center"/>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4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84"/>
              <w:ind w:right="1"/>
              <w:jc w:val="center"/>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646"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34" w:hRule="exact"/>
        </w:trPr>
        <w:tc>
          <w:tcPr>
            <w:tcW w:w="1342" w:type="dxa"/>
            <w:vMerge/>
            <w:tcBorders>
              <w:left w:val="single" w:sz="8" w:space="0" w:color="000000"/>
              <w:bottom w:val="single" w:sz="8" w:space="0" w:color="000000"/>
              <w:right w:val="single" w:sz="8" w:space="0" w:color="000000"/>
            </w:tcBorders>
          </w:tcPr>
          <w:p>
            <w:pP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23"/>
              <w:jc w:val="right"/>
              <w:rPr>
                <w:rFonts w:ascii="宋体" w:hAnsi="宋体" w:cs="宋体" w:eastAsia="宋体" w:hint="default"/>
                <w:sz w:val="18"/>
                <w:szCs w:val="18"/>
              </w:rPr>
            </w:pPr>
            <w:r>
              <w:rPr>
                <w:rFonts w:ascii="宋体" w:hAnsi="宋体" w:cs="宋体" w:eastAsia="宋体" w:hint="default"/>
                <w:sz w:val="18"/>
                <w:szCs w:val="18"/>
              </w:rPr>
              <w:t>占总资产比重（%）</w:t>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6"/>
              <w:jc w:val="right"/>
              <w:rPr>
                <w:rFonts w:ascii="宋体" w:hAnsi="宋体" w:cs="宋体" w:eastAsia="宋体" w:hint="default"/>
                <w:sz w:val="18"/>
                <w:szCs w:val="18"/>
              </w:rPr>
            </w:pPr>
            <w:r>
              <w:rPr>
                <w:rFonts w:ascii="宋体" w:hAnsi="宋体" w:cs="宋体" w:eastAsia="宋体" w:hint="default"/>
                <w:spacing w:val="-4"/>
                <w:w w:val="95"/>
                <w:sz w:val="18"/>
                <w:szCs w:val="18"/>
              </w:rPr>
              <w:t>占总资产比重（%）</w:t>
            </w:r>
          </w:p>
        </w:tc>
        <w:tc>
          <w:tcPr>
            <w:tcW w:w="1646" w:type="dxa"/>
            <w:vMerge/>
            <w:tcBorders>
              <w:left w:val="single" w:sz="8" w:space="0" w:color="000000"/>
              <w:bottom w:val="single" w:sz="8" w:space="0" w:color="000000"/>
              <w:right w:val="single" w:sz="8" w:space="0" w:color="000000"/>
            </w:tcBorders>
          </w:tcPr>
          <w:p>
            <w:pP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15,735.55</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5"/>
                <w:sz w:val="18"/>
              </w:rPr>
              <w:t>14.84%</w:t>
            </w:r>
            <w:r>
              <w:rPr>
                <w:rFonts w:ascii="Times New Roman"/>
                <w:sz w:val="18"/>
              </w:rPr>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29,394.09</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5"/>
                <w:sz w:val="18"/>
              </w:rPr>
              <w:t>40.24%</w:t>
            </w:r>
            <w:r>
              <w:rPr>
                <w:rFonts w:ascii="Times New Roman"/>
                <w:sz w:val="18"/>
              </w:rPr>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5"/>
                <w:sz w:val="18"/>
              </w:rPr>
              <w:t>-46.47%</w:t>
            </w:r>
            <w:r>
              <w:rPr>
                <w:rFonts w:ascii="Times New Roman"/>
                <w:sz w:val="18"/>
              </w:rPr>
            </w:r>
          </w:p>
        </w:tc>
      </w:tr>
      <w:tr>
        <w:trPr>
          <w:trHeight w:val="334"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应收帐款</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5"/>
              <w:jc w:val="right"/>
              <w:rPr>
                <w:rFonts w:ascii="Times New Roman" w:hAnsi="Times New Roman" w:cs="Times New Roman" w:eastAsia="Times New Roman" w:hint="default"/>
                <w:sz w:val="18"/>
                <w:szCs w:val="18"/>
              </w:rPr>
            </w:pPr>
            <w:r>
              <w:rPr>
                <w:rFonts w:ascii="Times New Roman"/>
                <w:sz w:val="18"/>
              </w:rPr>
              <w:t>33,567.10</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5"/>
                <w:sz w:val="18"/>
              </w:rPr>
              <w:t>31.65%</w:t>
            </w:r>
            <w:r>
              <w:rPr>
                <w:rFonts w:ascii="Times New Roman"/>
                <w:sz w:val="18"/>
              </w:rPr>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96"/>
              <w:jc w:val="right"/>
              <w:rPr>
                <w:rFonts w:ascii="宋体" w:hAnsi="宋体" w:cs="宋体" w:eastAsia="宋体" w:hint="default"/>
                <w:sz w:val="18"/>
                <w:szCs w:val="18"/>
              </w:rPr>
            </w:pPr>
            <w:r>
              <w:rPr>
                <w:rFonts w:ascii="宋体"/>
                <w:sz w:val="18"/>
              </w:rPr>
              <w:t>20,232.64</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5"/>
                <w:sz w:val="18"/>
              </w:rPr>
              <w:t>27.70%</w:t>
            </w:r>
            <w:r>
              <w:rPr>
                <w:rFonts w:ascii="Times New Roman"/>
                <w:sz w:val="18"/>
              </w:rPr>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w w:val="95"/>
                <w:sz w:val="18"/>
              </w:rPr>
              <w:t>65.91%</w:t>
            </w:r>
            <w:r>
              <w:rPr>
                <w:rFonts w:ascii="Times New Roman"/>
                <w:sz w:val="18"/>
              </w:rPr>
            </w:r>
          </w:p>
        </w:tc>
      </w:tr>
      <w:tr>
        <w:trPr>
          <w:trHeight w:val="307"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Times New Roman" w:hAnsi="Times New Roman" w:cs="Times New Roman" w:eastAsia="Times New Roman" w:hint="default"/>
                <w:sz w:val="18"/>
                <w:szCs w:val="18"/>
              </w:rPr>
            </w:pPr>
            <w:r>
              <w:rPr>
                <w:rFonts w:ascii="Times New Roman"/>
                <w:sz w:val="18"/>
              </w:rPr>
              <w:t>15,134.66</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18"/>
                <w:szCs w:val="18"/>
              </w:rPr>
            </w:pPr>
            <w:r>
              <w:rPr>
                <w:rFonts w:ascii="Times New Roman"/>
                <w:w w:val="95"/>
                <w:sz w:val="18"/>
              </w:rPr>
              <w:t>14.27%</w:t>
            </w:r>
            <w:r>
              <w:rPr>
                <w:rFonts w:ascii="Times New Roman"/>
                <w:sz w:val="18"/>
              </w:rPr>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96"/>
              <w:jc w:val="right"/>
              <w:rPr>
                <w:rFonts w:ascii="宋体" w:hAnsi="宋体" w:cs="宋体" w:eastAsia="宋体" w:hint="default"/>
                <w:sz w:val="18"/>
                <w:szCs w:val="18"/>
              </w:rPr>
            </w:pPr>
            <w:r>
              <w:rPr>
                <w:rFonts w:ascii="宋体"/>
                <w:sz w:val="18"/>
              </w:rPr>
              <w:t>7,962.00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18"/>
                <w:szCs w:val="18"/>
              </w:rPr>
            </w:pPr>
            <w:r>
              <w:rPr>
                <w:rFonts w:ascii="Times New Roman"/>
                <w:w w:val="95"/>
                <w:sz w:val="18"/>
              </w:rPr>
              <w:t>10.90%</w:t>
            </w:r>
            <w:r>
              <w:rPr>
                <w:rFonts w:ascii="Times New Roman"/>
                <w:sz w:val="18"/>
              </w:rPr>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18"/>
                <w:szCs w:val="18"/>
              </w:rPr>
            </w:pPr>
            <w:r>
              <w:rPr>
                <w:rFonts w:ascii="Times New Roman"/>
                <w:w w:val="95"/>
                <w:sz w:val="18"/>
              </w:rPr>
              <w:t>90.09%</w:t>
            </w:r>
            <w:r>
              <w:rPr>
                <w:rFonts w:ascii="Times New Roman"/>
                <w:sz w:val="18"/>
              </w:rPr>
            </w:r>
          </w:p>
        </w:tc>
      </w:tr>
      <w:tr>
        <w:trPr>
          <w:trHeight w:val="306"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Times New Roman" w:hAnsi="Times New Roman" w:cs="Times New Roman" w:eastAsia="Times New Roman" w:hint="default"/>
                <w:sz w:val="18"/>
                <w:szCs w:val="18"/>
              </w:rPr>
            </w:pPr>
            <w:r>
              <w:rPr>
                <w:rFonts w:ascii="Times New Roman"/>
                <w:sz w:val="18"/>
              </w:rPr>
              <w:t>7,738.48</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18"/>
                <w:szCs w:val="18"/>
              </w:rPr>
            </w:pPr>
            <w:r>
              <w:rPr>
                <w:rFonts w:ascii="Times New Roman"/>
                <w:w w:val="95"/>
                <w:sz w:val="18"/>
              </w:rPr>
              <w:t>7.30%</w:t>
            </w:r>
            <w:r>
              <w:rPr>
                <w:rFonts w:ascii="Times New Roman"/>
                <w:sz w:val="18"/>
              </w:rPr>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18"/>
                <w:szCs w:val="18"/>
              </w:rPr>
            </w:pPr>
            <w:r>
              <w:rPr>
                <w:rFonts w:ascii="Times New Roman"/>
                <w:sz w:val="18"/>
              </w:rPr>
              <w:t>4,507.20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18"/>
                <w:szCs w:val="18"/>
              </w:rPr>
            </w:pPr>
            <w:r>
              <w:rPr>
                <w:rFonts w:ascii="Times New Roman"/>
                <w:w w:val="95"/>
                <w:sz w:val="18"/>
              </w:rPr>
              <w:t>6.17%</w:t>
            </w:r>
            <w:r>
              <w:rPr>
                <w:rFonts w:ascii="Times New Roman"/>
                <w:sz w:val="18"/>
              </w:rPr>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18"/>
                <w:szCs w:val="18"/>
              </w:rPr>
            </w:pPr>
            <w:r>
              <w:rPr>
                <w:rFonts w:ascii="Times New Roman"/>
                <w:w w:val="95"/>
                <w:sz w:val="18"/>
              </w:rPr>
              <w:t>71.69%</w:t>
            </w:r>
            <w:r>
              <w:rPr>
                <w:rFonts w:ascii="Times New Roman"/>
                <w:sz w:val="18"/>
              </w:rPr>
            </w:r>
          </w:p>
        </w:tc>
      </w:tr>
      <w:tr>
        <w:trPr>
          <w:trHeight w:val="488" w:hRule="exact"/>
        </w:trPr>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固定资产及在</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建工程</w:t>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sz w:val="18"/>
              </w:rPr>
              <w:t>24,225.45</w:t>
            </w:r>
          </w:p>
        </w:tc>
        <w:tc>
          <w:tcPr>
            <w:tcW w:w="18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w w:val="95"/>
                <w:sz w:val="18"/>
              </w:rPr>
              <w:t>22.84%</w:t>
            </w:r>
            <w:r>
              <w:rPr>
                <w:rFonts w:ascii="Times New Roman"/>
                <w:sz w:val="18"/>
              </w:rPr>
            </w:r>
          </w:p>
        </w:tc>
        <w:tc>
          <w:tcPr>
            <w:tcW w:w="17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6,453.53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w w:val="95"/>
                <w:sz w:val="18"/>
              </w:rPr>
              <w:t>8.84%</w:t>
            </w:r>
            <w:r>
              <w:rPr>
                <w:rFonts w:ascii="Times New Roman"/>
                <w:sz w:val="18"/>
              </w:rPr>
            </w:r>
          </w:p>
        </w:tc>
        <w:tc>
          <w:tcPr>
            <w:tcW w:w="16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w w:val="95"/>
                <w:sz w:val="18"/>
              </w:rPr>
              <w:t>275.38%</w:t>
            </w:r>
            <w:r>
              <w:rPr>
                <w:rFonts w:ascii="Times New Roman"/>
                <w:sz w:val="18"/>
              </w:rPr>
            </w:r>
          </w:p>
        </w:tc>
      </w:tr>
    </w:tbl>
    <w:p>
      <w:pPr>
        <w:pStyle w:val="BodyText"/>
        <w:spacing w:line="275" w:lineRule="exact"/>
        <w:ind w:left="714" w:right="92"/>
        <w:jc w:val="left"/>
      </w:pPr>
      <w:r>
        <w:rPr/>
        <w:t>报告期内应收帐款增长65.91%，主要是销售收入增长所致，本行业订单执行特点是前期</w:t>
      </w:r>
    </w:p>
    <w:p>
      <w:pPr>
        <w:pStyle w:val="BodyText"/>
        <w:spacing w:line="357" w:lineRule="auto" w:before="152"/>
        <w:ind w:left="714" w:right="250" w:hanging="480"/>
        <w:jc w:val="left"/>
      </w:pPr>
      <w:r>
        <w:rPr/>
        <w:t>垫付款较大,回款周期较长,一般需要6个月到1年的时间。 报告期内存货增长90.09%，主要是订单增长导致原材料及在产品增长所致。 报告期内预付款项增长71.69%，主要是预付材料款增加及实施募集资金项目预付工程款</w:t>
      </w:r>
    </w:p>
    <w:p>
      <w:pPr>
        <w:pStyle w:val="BodyText"/>
        <w:spacing w:line="240" w:lineRule="auto" w:before="35"/>
        <w:ind w:left="234" w:right="1890"/>
        <w:jc w:val="left"/>
      </w:pPr>
      <w:r>
        <w:rPr/>
        <w:t>增加所致。</w:t>
      </w:r>
    </w:p>
    <w:p>
      <w:pPr>
        <w:pStyle w:val="BodyText"/>
        <w:spacing w:line="357" w:lineRule="auto" w:before="152"/>
        <w:ind w:left="234" w:right="231" w:firstLine="480"/>
        <w:jc w:val="both"/>
      </w:pPr>
      <w:r>
        <w:rPr>
          <w:spacing w:val="-2"/>
        </w:rPr>
        <w:t>报告期内固定资产及在建工程同比增长275.38%，主要是为实施募集资金项目购买的设备</w:t>
      </w:r>
      <w:r>
        <w:rPr/>
        <w:t> 转入固定资产和在建工程所致。</w:t>
      </w:r>
    </w:p>
    <w:p>
      <w:pPr>
        <w:pStyle w:val="BodyText"/>
        <w:spacing w:line="357" w:lineRule="auto" w:before="35"/>
        <w:ind w:left="234" w:right="268" w:firstLine="480"/>
        <w:jc w:val="both"/>
      </w:pPr>
      <w:r>
        <w:rPr/>
        <w:t>本公司会计核算以权责发生制为记账基础。除交易性金融资产、非同一控制下的企业合 并、具有商业实质的非货币性资产交换、债务重组、投资者投入非货币资产等以公允价值入 账外，均采用历史成本记账。</w:t>
      </w:r>
    </w:p>
    <w:p>
      <w:pPr>
        <w:spacing w:after="0" w:line="357" w:lineRule="auto"/>
        <w:jc w:val="both"/>
        <w:sectPr>
          <w:pgSz w:w="11910" w:h="16840"/>
          <w:pgMar w:header="747" w:footer="669" w:top="980" w:bottom="860" w:left="900" w:right="900"/>
        </w:sectPr>
      </w:pPr>
    </w:p>
    <w:p>
      <w:pPr>
        <w:spacing w:line="240" w:lineRule="auto" w:before="7"/>
        <w:rPr>
          <w:rFonts w:ascii="宋体" w:hAnsi="宋体" w:cs="宋体" w:eastAsia="宋体" w:hint="default"/>
          <w:sz w:val="29"/>
          <w:szCs w:val="29"/>
        </w:rPr>
      </w:pPr>
    </w:p>
    <w:p>
      <w:pPr>
        <w:pStyle w:val="Heading4"/>
        <w:tabs>
          <w:tab w:pos="7867" w:val="left" w:leader="none"/>
        </w:tabs>
        <w:spacing w:line="240" w:lineRule="auto"/>
        <w:ind w:left="636" w:right="0"/>
        <w:jc w:val="left"/>
        <w:rPr>
          <w:b w:val="0"/>
          <w:bCs w:val="0"/>
        </w:rPr>
      </w:pPr>
      <w:r>
        <w:rPr>
          <w:w w:val="95"/>
        </w:rPr>
        <w:t>存货变动情况</w:t>
        <w:tab/>
      </w:r>
      <w:r>
        <w:rPr/>
        <w:t>单位:万元</w:t>
      </w:r>
      <w:r>
        <w:rPr>
          <w:b w:val="0"/>
          <w:bCs w:val="0"/>
        </w:rPr>
      </w:r>
    </w:p>
    <w:p>
      <w:pPr>
        <w:spacing w:line="240" w:lineRule="auto" w:before="9"/>
        <w:rPr>
          <w:rFonts w:ascii="宋体" w:hAnsi="宋体" w:cs="宋体" w:eastAsia="宋体" w:hint="default"/>
          <w:b/>
          <w:bCs/>
          <w:sz w:val="14"/>
          <w:szCs w:val="14"/>
        </w:rPr>
      </w:pPr>
    </w:p>
    <w:tbl>
      <w:tblPr>
        <w:tblW w:w="0" w:type="auto"/>
        <w:jc w:val="left"/>
        <w:tblInd w:w="567" w:type="dxa"/>
        <w:tblLayout w:type="fixed"/>
        <w:tblCellMar>
          <w:top w:w="0" w:type="dxa"/>
          <w:left w:w="0" w:type="dxa"/>
          <w:bottom w:w="0" w:type="dxa"/>
          <w:right w:w="0" w:type="dxa"/>
        </w:tblCellMar>
        <w:tblLook w:val="01E0"/>
      </w:tblPr>
      <w:tblGrid>
        <w:gridCol w:w="1081"/>
        <w:gridCol w:w="1080"/>
        <w:gridCol w:w="1080"/>
        <w:gridCol w:w="1080"/>
        <w:gridCol w:w="1080"/>
        <w:gridCol w:w="1080"/>
        <w:gridCol w:w="2298"/>
      </w:tblGrid>
      <w:tr>
        <w:trPr>
          <w:trHeight w:val="855" w:hRule="exact"/>
        </w:trPr>
        <w:tc>
          <w:tcPr>
            <w:tcW w:w="1081" w:type="dxa"/>
            <w:tcBorders>
              <w:top w:val="single" w:sz="17" w:space="0" w:color="000000"/>
              <w:left w:val="single" w:sz="12" w:space="0" w:color="000000"/>
              <w:bottom w:val="single" w:sz="12" w:space="0" w:color="000000"/>
              <w:right w:val="single" w:sz="8" w:space="0" w:color="000000"/>
            </w:tcBorders>
            <w:shd w:val="clear" w:color="auto" w:fill="C0C0C0"/>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9"/>
                <w:szCs w:val="19"/>
              </w:rPr>
            </w:pPr>
          </w:p>
          <w:p>
            <w:pPr>
              <w:pStyle w:val="TableParagraph"/>
              <w:tabs>
                <w:tab w:pos="631" w:val="left" w:leader="none"/>
              </w:tabs>
              <w:spacing w:line="240" w:lineRule="auto"/>
              <w:ind w:left="208" w:right="0"/>
              <w:jc w:val="left"/>
              <w:rPr>
                <w:rFonts w:ascii="等线" w:hAnsi="等线" w:cs="等线" w:eastAsia="等线" w:hint="default"/>
                <w:sz w:val="21"/>
                <w:szCs w:val="21"/>
              </w:rPr>
            </w:pPr>
            <w:r>
              <w:rPr>
                <w:rFonts w:ascii="等线" w:hAnsi="等线" w:cs="等线" w:eastAsia="等线" w:hint="default"/>
                <w:b/>
                <w:bCs/>
                <w:sz w:val="21"/>
                <w:szCs w:val="21"/>
              </w:rPr>
              <w:t>项</w:t>
              <w:tab/>
              <w:t>目</w:t>
            </w:r>
            <w:r>
              <w:rPr>
                <w:rFonts w:ascii="等线" w:hAnsi="等线" w:cs="等线" w:eastAsia="等线" w:hint="default"/>
                <w:sz w:val="21"/>
                <w:szCs w:val="21"/>
              </w:rPr>
            </w:r>
          </w:p>
        </w:tc>
        <w:tc>
          <w:tcPr>
            <w:tcW w:w="1080"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79" w:lineRule="exact"/>
              <w:ind w:left="187" w:right="0"/>
              <w:jc w:val="left"/>
              <w:rPr>
                <w:rFonts w:ascii="等线" w:hAnsi="等线" w:cs="等线" w:eastAsia="等线" w:hint="default"/>
                <w:sz w:val="21"/>
                <w:szCs w:val="21"/>
              </w:rPr>
            </w:pPr>
            <w:r>
              <w:rPr>
                <w:rFonts w:ascii="等线" w:hAnsi="等线" w:cs="等线" w:eastAsia="等线" w:hint="default"/>
                <w:b/>
                <w:bCs/>
                <w:w w:val="95"/>
                <w:sz w:val="21"/>
                <w:szCs w:val="21"/>
              </w:rPr>
              <w:t>2008</w:t>
            </w:r>
            <w:r>
              <w:rPr>
                <w:rFonts w:ascii="等线" w:hAnsi="等线" w:cs="等线" w:eastAsia="等线" w:hint="default"/>
                <w:b/>
                <w:bCs/>
                <w:spacing w:val="-14"/>
                <w:w w:val="95"/>
                <w:sz w:val="21"/>
                <w:szCs w:val="21"/>
              </w:rPr>
              <w:t> </w:t>
            </w:r>
            <w:r>
              <w:rPr>
                <w:rFonts w:ascii="等线" w:hAnsi="等线" w:cs="等线" w:eastAsia="等线" w:hint="default"/>
                <w:b/>
                <w:bCs/>
                <w:w w:val="95"/>
                <w:sz w:val="21"/>
                <w:szCs w:val="21"/>
              </w:rPr>
              <w:t>年</w:t>
            </w:r>
            <w:r>
              <w:rPr>
                <w:rFonts w:ascii="等线" w:hAnsi="等线" w:cs="等线" w:eastAsia="等线" w:hint="default"/>
                <w:w w:val="95"/>
                <w:sz w:val="21"/>
                <w:szCs w:val="21"/>
              </w:rPr>
            </w:r>
          </w:p>
          <w:p>
            <w:pPr>
              <w:pStyle w:val="TableParagraph"/>
              <w:spacing w:line="279" w:lineRule="exact"/>
              <w:ind w:left="213" w:right="0"/>
              <w:jc w:val="left"/>
              <w:rPr>
                <w:rFonts w:ascii="等线" w:hAnsi="等线" w:cs="等线" w:eastAsia="等线" w:hint="default"/>
                <w:sz w:val="21"/>
                <w:szCs w:val="21"/>
              </w:rPr>
            </w:pPr>
            <w:r>
              <w:rPr>
                <w:rFonts w:ascii="等线" w:hAnsi="等线" w:cs="等线" w:eastAsia="等线" w:hint="default"/>
                <w:b/>
                <w:bCs/>
                <w:sz w:val="21"/>
                <w:szCs w:val="21"/>
              </w:rPr>
              <w:t>末余额</w:t>
            </w:r>
            <w:r>
              <w:rPr>
                <w:rFonts w:ascii="等线" w:hAnsi="等线" w:cs="等线" w:eastAsia="等线" w:hint="default"/>
                <w:sz w:val="21"/>
                <w:szCs w:val="21"/>
              </w:rPr>
            </w:r>
          </w:p>
        </w:tc>
        <w:tc>
          <w:tcPr>
            <w:tcW w:w="1080"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87" w:right="0"/>
              <w:jc w:val="left"/>
              <w:rPr>
                <w:rFonts w:ascii="等线" w:hAnsi="等线" w:cs="等线" w:eastAsia="等线" w:hint="default"/>
                <w:sz w:val="21"/>
                <w:szCs w:val="21"/>
              </w:rPr>
            </w:pPr>
            <w:r>
              <w:rPr>
                <w:rFonts w:ascii="等线" w:hAnsi="等线" w:cs="等线" w:eastAsia="等线" w:hint="default"/>
                <w:b/>
                <w:bCs/>
                <w:w w:val="95"/>
                <w:sz w:val="21"/>
                <w:szCs w:val="21"/>
              </w:rPr>
              <w:t>占</w:t>
            </w:r>
            <w:r>
              <w:rPr>
                <w:rFonts w:ascii="等线" w:hAnsi="等线" w:cs="等线" w:eastAsia="等线" w:hint="default"/>
                <w:b/>
                <w:bCs/>
                <w:spacing w:val="-14"/>
                <w:w w:val="95"/>
                <w:sz w:val="21"/>
                <w:szCs w:val="21"/>
              </w:rPr>
              <w:t> </w:t>
            </w:r>
            <w:r>
              <w:rPr>
                <w:rFonts w:ascii="等线" w:hAnsi="等线" w:cs="等线" w:eastAsia="等线" w:hint="default"/>
                <w:b/>
                <w:bCs/>
                <w:w w:val="95"/>
                <w:sz w:val="21"/>
                <w:szCs w:val="21"/>
              </w:rPr>
              <w:t>2008</w:t>
            </w:r>
            <w:r>
              <w:rPr>
                <w:rFonts w:ascii="等线" w:hAnsi="等线" w:cs="等线" w:eastAsia="等线" w:hint="default"/>
                <w:sz w:val="21"/>
                <w:szCs w:val="21"/>
              </w:rPr>
            </w:r>
          </w:p>
          <w:p>
            <w:pPr>
              <w:pStyle w:val="TableParagraph"/>
              <w:spacing w:line="272" w:lineRule="exact" w:before="13"/>
              <w:ind w:left="265" w:right="106" w:hanging="158"/>
              <w:jc w:val="left"/>
              <w:rPr>
                <w:rFonts w:ascii="等线" w:hAnsi="等线" w:cs="等线" w:eastAsia="等线" w:hint="default"/>
                <w:sz w:val="21"/>
                <w:szCs w:val="21"/>
              </w:rPr>
            </w:pPr>
            <w:r>
              <w:rPr>
                <w:rFonts w:ascii="等线" w:hAnsi="等线" w:cs="等线" w:eastAsia="等线" w:hint="default"/>
                <w:b/>
                <w:bCs/>
                <w:sz w:val="21"/>
                <w:szCs w:val="21"/>
              </w:rPr>
              <w:t>年末总资</w:t>
            </w:r>
            <w:r>
              <w:rPr>
                <w:rFonts w:ascii="等线" w:hAnsi="等线" w:cs="等线" w:eastAsia="等线" w:hint="default"/>
                <w:b/>
                <w:bCs/>
                <w:spacing w:val="-54"/>
                <w:sz w:val="21"/>
                <w:szCs w:val="21"/>
              </w:rPr>
              <w:t> </w:t>
            </w:r>
            <w:r>
              <w:rPr>
                <w:rFonts w:ascii="等线" w:hAnsi="等线" w:cs="等线" w:eastAsia="等线" w:hint="default"/>
                <w:b/>
                <w:bCs/>
                <w:sz w:val="21"/>
                <w:szCs w:val="21"/>
              </w:rPr>
              <w:t>产的%</w:t>
            </w:r>
            <w:r>
              <w:rPr>
                <w:rFonts w:ascii="等线" w:hAnsi="等线" w:cs="等线" w:eastAsia="等线" w:hint="default"/>
                <w:sz w:val="21"/>
                <w:szCs w:val="21"/>
              </w:rPr>
            </w:r>
          </w:p>
        </w:tc>
        <w:tc>
          <w:tcPr>
            <w:tcW w:w="1080"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right="0"/>
              <w:jc w:val="center"/>
              <w:rPr>
                <w:rFonts w:ascii="等线" w:hAnsi="等线" w:cs="等线" w:eastAsia="等线" w:hint="default"/>
                <w:sz w:val="21"/>
                <w:szCs w:val="21"/>
              </w:rPr>
            </w:pPr>
            <w:r>
              <w:rPr>
                <w:rFonts w:ascii="等线" w:hAnsi="等线" w:cs="等线" w:eastAsia="等线" w:hint="default"/>
                <w:b/>
                <w:bCs/>
                <w:sz w:val="21"/>
                <w:szCs w:val="21"/>
              </w:rPr>
              <w:t>市场供求</w:t>
            </w:r>
            <w:r>
              <w:rPr>
                <w:rFonts w:ascii="等线" w:hAnsi="等线" w:cs="等线" w:eastAsia="等线" w:hint="default"/>
                <w:sz w:val="21"/>
                <w:szCs w:val="21"/>
              </w:rPr>
            </w:r>
          </w:p>
          <w:p>
            <w:pPr>
              <w:pStyle w:val="TableParagraph"/>
              <w:spacing w:line="279" w:lineRule="exact"/>
              <w:ind w:right="0"/>
              <w:jc w:val="center"/>
              <w:rPr>
                <w:rFonts w:ascii="等线" w:hAnsi="等线" w:cs="等线" w:eastAsia="等线" w:hint="default"/>
                <w:sz w:val="21"/>
                <w:szCs w:val="21"/>
              </w:rPr>
            </w:pPr>
            <w:r>
              <w:rPr>
                <w:rFonts w:ascii="等线" w:hAnsi="等线" w:cs="等线" w:eastAsia="等线" w:hint="default"/>
                <w:b/>
                <w:bCs/>
                <w:sz w:val="21"/>
                <w:szCs w:val="21"/>
              </w:rPr>
              <w:t>情况</w:t>
            </w:r>
            <w:r>
              <w:rPr>
                <w:rFonts w:ascii="等线" w:hAnsi="等线" w:cs="等线" w:eastAsia="等线" w:hint="default"/>
                <w:sz w:val="21"/>
                <w:szCs w:val="21"/>
              </w:rPr>
            </w:r>
          </w:p>
        </w:tc>
        <w:tc>
          <w:tcPr>
            <w:tcW w:w="1080"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08" w:right="0"/>
              <w:jc w:val="left"/>
              <w:rPr>
                <w:rFonts w:ascii="等线" w:hAnsi="等线" w:cs="等线" w:eastAsia="等线" w:hint="default"/>
                <w:sz w:val="21"/>
                <w:szCs w:val="21"/>
              </w:rPr>
            </w:pPr>
            <w:r>
              <w:rPr>
                <w:rFonts w:ascii="等线" w:hAnsi="等线" w:cs="等线" w:eastAsia="等线" w:hint="default"/>
                <w:b/>
                <w:bCs/>
                <w:sz w:val="21"/>
                <w:szCs w:val="21"/>
              </w:rPr>
              <w:t>产品销售</w:t>
            </w:r>
            <w:r>
              <w:rPr>
                <w:rFonts w:ascii="等线" w:hAnsi="等线" w:cs="等线" w:eastAsia="等线" w:hint="default"/>
                <w:sz w:val="21"/>
                <w:szCs w:val="21"/>
              </w:rPr>
            </w:r>
          </w:p>
          <w:p>
            <w:pPr>
              <w:pStyle w:val="TableParagraph"/>
              <w:spacing w:line="272" w:lineRule="exact" w:before="13"/>
              <w:ind w:left="319" w:right="106" w:hanging="212"/>
              <w:jc w:val="left"/>
              <w:rPr>
                <w:rFonts w:ascii="等线" w:hAnsi="等线" w:cs="等线" w:eastAsia="等线" w:hint="default"/>
                <w:sz w:val="21"/>
                <w:szCs w:val="21"/>
              </w:rPr>
            </w:pPr>
            <w:r>
              <w:rPr>
                <w:rFonts w:ascii="等线" w:hAnsi="等线" w:cs="等线" w:eastAsia="等线" w:hint="default"/>
                <w:b/>
                <w:bCs/>
                <w:sz w:val="21"/>
                <w:szCs w:val="21"/>
              </w:rPr>
              <w:t>价格变动</w:t>
            </w:r>
            <w:r>
              <w:rPr>
                <w:rFonts w:ascii="等线" w:hAnsi="等线" w:cs="等线" w:eastAsia="等线" w:hint="default"/>
                <w:b/>
                <w:bCs/>
                <w:spacing w:val="-54"/>
                <w:sz w:val="21"/>
                <w:szCs w:val="21"/>
              </w:rPr>
              <w:t> </w:t>
            </w:r>
            <w:r>
              <w:rPr>
                <w:rFonts w:ascii="等线" w:hAnsi="等线" w:cs="等线" w:eastAsia="等线" w:hint="default"/>
                <w:b/>
                <w:bCs/>
                <w:sz w:val="21"/>
                <w:szCs w:val="21"/>
              </w:rPr>
              <w:t>情况</w:t>
            </w:r>
            <w:r>
              <w:rPr>
                <w:rFonts w:ascii="等线" w:hAnsi="等线" w:cs="等线" w:eastAsia="等线" w:hint="default"/>
                <w:sz w:val="21"/>
                <w:szCs w:val="21"/>
              </w:rPr>
            </w:r>
          </w:p>
        </w:tc>
        <w:tc>
          <w:tcPr>
            <w:tcW w:w="1080"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08" w:right="0"/>
              <w:jc w:val="left"/>
              <w:rPr>
                <w:rFonts w:ascii="等线" w:hAnsi="等线" w:cs="等线" w:eastAsia="等线" w:hint="default"/>
                <w:sz w:val="21"/>
                <w:szCs w:val="21"/>
              </w:rPr>
            </w:pPr>
            <w:r>
              <w:rPr>
                <w:rFonts w:ascii="等线" w:hAnsi="等线" w:cs="等线" w:eastAsia="等线" w:hint="default"/>
                <w:b/>
                <w:bCs/>
                <w:sz w:val="21"/>
                <w:szCs w:val="21"/>
              </w:rPr>
              <w:t>原材料价</w:t>
            </w:r>
            <w:r>
              <w:rPr>
                <w:rFonts w:ascii="等线" w:hAnsi="等线" w:cs="等线" w:eastAsia="等线" w:hint="default"/>
                <w:sz w:val="21"/>
                <w:szCs w:val="21"/>
              </w:rPr>
            </w:r>
          </w:p>
          <w:p>
            <w:pPr>
              <w:pStyle w:val="TableParagraph"/>
              <w:spacing w:line="272" w:lineRule="exact" w:before="13"/>
              <w:ind w:left="423" w:right="106" w:hanging="316"/>
              <w:jc w:val="left"/>
              <w:rPr>
                <w:rFonts w:ascii="等线" w:hAnsi="等线" w:cs="等线" w:eastAsia="等线" w:hint="default"/>
                <w:sz w:val="21"/>
                <w:szCs w:val="21"/>
              </w:rPr>
            </w:pPr>
            <w:r>
              <w:rPr>
                <w:rFonts w:ascii="等线" w:hAnsi="等线" w:cs="等线" w:eastAsia="等线" w:hint="default"/>
                <w:b/>
                <w:bCs/>
                <w:sz w:val="21"/>
                <w:szCs w:val="21"/>
              </w:rPr>
              <w:t>格变动情</w:t>
            </w:r>
            <w:r>
              <w:rPr>
                <w:rFonts w:ascii="等线" w:hAnsi="等线" w:cs="等线" w:eastAsia="等线" w:hint="default"/>
                <w:b/>
                <w:bCs/>
                <w:spacing w:val="-54"/>
                <w:sz w:val="21"/>
                <w:szCs w:val="21"/>
              </w:rPr>
              <w:t> </w:t>
            </w:r>
            <w:r>
              <w:rPr>
                <w:rFonts w:ascii="等线" w:hAnsi="等线" w:cs="等线" w:eastAsia="等线" w:hint="default"/>
                <w:b/>
                <w:bCs/>
                <w:sz w:val="21"/>
                <w:szCs w:val="21"/>
              </w:rPr>
              <w:t>况</w:t>
            </w:r>
            <w:r>
              <w:rPr>
                <w:rFonts w:ascii="等线" w:hAnsi="等线" w:cs="等线" w:eastAsia="等线" w:hint="default"/>
                <w:sz w:val="21"/>
                <w:szCs w:val="21"/>
              </w:rPr>
            </w:r>
          </w:p>
        </w:tc>
        <w:tc>
          <w:tcPr>
            <w:tcW w:w="2298" w:type="dxa"/>
            <w:tcBorders>
              <w:top w:val="single" w:sz="17" w:space="0" w:color="000000"/>
              <w:left w:val="single" w:sz="8" w:space="0" w:color="000000"/>
              <w:bottom w:val="single" w:sz="12" w:space="0" w:color="000000"/>
              <w:right w:val="single" w:sz="8" w:space="0" w:color="000000"/>
            </w:tcBorders>
            <w:shd w:val="clear" w:color="auto" w:fill="C0C0C0"/>
          </w:tcPr>
          <w:p>
            <w:pPr>
              <w:pStyle w:val="TableParagraph"/>
              <w:spacing w:line="254" w:lineRule="exact"/>
              <w:ind w:left="1" w:right="0"/>
              <w:jc w:val="center"/>
              <w:rPr>
                <w:rFonts w:ascii="等线" w:hAnsi="等线" w:cs="等线" w:eastAsia="等线" w:hint="default"/>
                <w:sz w:val="21"/>
                <w:szCs w:val="21"/>
              </w:rPr>
            </w:pPr>
            <w:r>
              <w:rPr>
                <w:rFonts w:ascii="等线" w:hAnsi="等线" w:cs="等线" w:eastAsia="等线" w:hint="default"/>
                <w:b/>
                <w:bCs/>
                <w:sz w:val="21"/>
                <w:szCs w:val="21"/>
              </w:rPr>
              <w:t>存货跌价准备的计提</w:t>
            </w:r>
            <w:r>
              <w:rPr>
                <w:rFonts w:ascii="等线" w:hAnsi="等线" w:cs="等线" w:eastAsia="等线" w:hint="default"/>
                <w:sz w:val="21"/>
                <w:szCs w:val="21"/>
              </w:rPr>
            </w:r>
          </w:p>
          <w:p>
            <w:pPr>
              <w:pStyle w:val="TableParagraph"/>
              <w:spacing w:line="279" w:lineRule="exact"/>
              <w:ind w:left="1" w:right="0"/>
              <w:jc w:val="center"/>
              <w:rPr>
                <w:rFonts w:ascii="等线" w:hAnsi="等线" w:cs="等线" w:eastAsia="等线" w:hint="default"/>
                <w:sz w:val="21"/>
                <w:szCs w:val="21"/>
              </w:rPr>
            </w:pPr>
            <w:r>
              <w:rPr>
                <w:rFonts w:ascii="等线" w:hAnsi="等线" w:cs="等线" w:eastAsia="等线" w:hint="default"/>
                <w:b/>
                <w:bCs/>
                <w:sz w:val="21"/>
                <w:szCs w:val="21"/>
              </w:rPr>
              <w:t>情况</w:t>
            </w:r>
            <w:r>
              <w:rPr>
                <w:rFonts w:ascii="等线" w:hAnsi="等线" w:cs="等线" w:eastAsia="等线" w:hint="default"/>
                <w:sz w:val="21"/>
                <w:szCs w:val="21"/>
              </w:rPr>
            </w:r>
          </w:p>
        </w:tc>
      </w:tr>
      <w:tr>
        <w:trPr>
          <w:trHeight w:val="360" w:hRule="exact"/>
        </w:trPr>
        <w:tc>
          <w:tcPr>
            <w:tcW w:w="1081"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4,856.32</w:t>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w w:val="95"/>
                <w:sz w:val="18"/>
              </w:rPr>
              <w:t>4.58%</w:t>
            </w:r>
            <w:r>
              <w:rPr>
                <w:rFonts w:ascii="Times New Roman"/>
                <w:sz w:val="18"/>
              </w:rPr>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充足</w:t>
            </w:r>
          </w:p>
        </w:tc>
        <w:tc>
          <w:tcPr>
            <w:tcW w:w="1080" w:type="dxa"/>
            <w:tcBorders>
              <w:top w:val="single" w:sz="12" w:space="0" w:color="000000"/>
              <w:left w:val="single" w:sz="8" w:space="0" w:color="000000"/>
              <w:bottom w:val="single" w:sz="12" w:space="0" w:color="000000"/>
              <w:right w:val="single" w:sz="8" w:space="0" w:color="000000"/>
            </w:tcBorders>
          </w:tcPr>
          <w:p>
            <w:pP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略有上涨</w:t>
            </w:r>
          </w:p>
        </w:tc>
        <w:tc>
          <w:tcPr>
            <w:tcW w:w="229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97" w:hRule="exact"/>
        </w:trPr>
        <w:tc>
          <w:tcPr>
            <w:tcW w:w="1081"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159"/>
              <w:ind w:left="93" w:right="0"/>
              <w:jc w:val="left"/>
              <w:rPr>
                <w:rFonts w:ascii="宋体" w:hAnsi="宋体" w:cs="宋体" w:eastAsia="宋体" w:hint="default"/>
                <w:sz w:val="21"/>
                <w:szCs w:val="21"/>
              </w:rPr>
            </w:pPr>
            <w:r>
              <w:rPr>
                <w:rFonts w:ascii="宋体" w:hAnsi="宋体" w:cs="宋体" w:eastAsia="宋体" w:hint="default"/>
                <w:sz w:val="21"/>
                <w:szCs w:val="21"/>
              </w:rPr>
              <w:t>产成品</w:t>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9,899.63</w:t>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9.33%</w:t>
            </w:r>
            <w:r>
              <w:rPr>
                <w:rFonts w:ascii="Times New Roman"/>
                <w:sz w:val="18"/>
              </w:rPr>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需求旺盛</w:t>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hAnsi="宋体" w:cs="宋体" w:eastAsia="宋体" w:hint="default"/>
                <w:sz w:val="18"/>
                <w:szCs w:val="18"/>
              </w:rPr>
              <w:t>变动幅度</w:t>
            </w:r>
          </w:p>
          <w:p>
            <w:pPr>
              <w:pStyle w:val="TableParagraph"/>
              <w:spacing w:line="235" w:lineRule="exact"/>
              <w:ind w:left="692" w:right="0"/>
              <w:jc w:val="left"/>
              <w:rPr>
                <w:rFonts w:ascii="宋体" w:hAnsi="宋体" w:cs="宋体" w:eastAsia="宋体" w:hint="default"/>
                <w:sz w:val="18"/>
                <w:szCs w:val="18"/>
              </w:rPr>
            </w:pPr>
            <w:r>
              <w:rPr>
                <w:rFonts w:ascii="宋体" w:hAnsi="宋体" w:cs="宋体" w:eastAsia="宋体" w:hint="default"/>
                <w:sz w:val="18"/>
                <w:szCs w:val="18"/>
              </w:rPr>
              <w:t>小</w:t>
            </w:r>
          </w:p>
        </w:tc>
        <w:tc>
          <w:tcPr>
            <w:tcW w:w="1080" w:type="dxa"/>
            <w:tcBorders>
              <w:top w:val="single" w:sz="12" w:space="0" w:color="000000"/>
              <w:left w:val="single" w:sz="8" w:space="0" w:color="000000"/>
              <w:bottom w:val="single" w:sz="12" w:space="0" w:color="000000"/>
              <w:right w:val="single" w:sz="8" w:space="0" w:color="000000"/>
            </w:tcBorders>
          </w:tcPr>
          <w:p>
            <w:pPr/>
          </w:p>
        </w:tc>
        <w:tc>
          <w:tcPr>
            <w:tcW w:w="229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081"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328.03</w:t>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w w:val="95"/>
                <w:sz w:val="18"/>
              </w:rPr>
              <w:t>0.31%</w:t>
            </w:r>
            <w:r>
              <w:rPr>
                <w:rFonts w:ascii="Times New Roman"/>
                <w:sz w:val="18"/>
              </w:rPr>
            </w:r>
          </w:p>
        </w:tc>
        <w:tc>
          <w:tcPr>
            <w:tcW w:w="1080" w:type="dxa"/>
            <w:tcBorders>
              <w:top w:val="single" w:sz="12" w:space="0" w:color="000000"/>
              <w:left w:val="single" w:sz="8" w:space="0" w:color="000000"/>
              <w:bottom w:val="single" w:sz="12" w:space="0" w:color="000000"/>
              <w:right w:val="single" w:sz="8" w:space="0" w:color="000000"/>
            </w:tcBorders>
          </w:tcPr>
          <w:p>
            <w:pPr/>
          </w:p>
        </w:tc>
        <w:tc>
          <w:tcPr>
            <w:tcW w:w="1080" w:type="dxa"/>
            <w:tcBorders>
              <w:top w:val="single" w:sz="12" w:space="0" w:color="000000"/>
              <w:left w:val="single" w:sz="8" w:space="0" w:color="000000"/>
              <w:bottom w:val="single" w:sz="12" w:space="0" w:color="000000"/>
              <w:right w:val="single" w:sz="8" w:space="0" w:color="000000"/>
            </w:tcBorders>
          </w:tcPr>
          <w:p>
            <w:pPr/>
          </w:p>
        </w:tc>
        <w:tc>
          <w:tcPr>
            <w:tcW w:w="1080" w:type="dxa"/>
            <w:tcBorders>
              <w:top w:val="single" w:sz="12" w:space="0" w:color="000000"/>
              <w:left w:val="single" w:sz="8" w:space="0" w:color="000000"/>
              <w:bottom w:val="single" w:sz="12" w:space="0" w:color="000000"/>
              <w:right w:val="single" w:sz="8" w:space="0" w:color="000000"/>
            </w:tcBorders>
          </w:tcPr>
          <w:p>
            <w:pPr/>
          </w:p>
        </w:tc>
        <w:tc>
          <w:tcPr>
            <w:tcW w:w="229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081"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22"/>
              <w:ind w:left="93" w:right="0"/>
              <w:jc w:val="left"/>
              <w:rPr>
                <w:rFonts w:ascii="宋体" w:hAnsi="宋体" w:cs="宋体" w:eastAsia="宋体" w:hint="default"/>
                <w:sz w:val="21"/>
                <w:szCs w:val="21"/>
              </w:rPr>
            </w:pPr>
            <w:r>
              <w:rPr>
                <w:rFonts w:ascii="宋体" w:hAnsi="宋体" w:cs="宋体" w:eastAsia="宋体" w:hint="default"/>
                <w:sz w:val="21"/>
                <w:szCs w:val="21"/>
              </w:rPr>
              <w:t>低值易耗</w:t>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50.68</w:t>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充足</w:t>
            </w:r>
          </w:p>
        </w:tc>
        <w:tc>
          <w:tcPr>
            <w:tcW w:w="1080" w:type="dxa"/>
            <w:tcBorders>
              <w:top w:val="single" w:sz="12" w:space="0" w:color="000000"/>
              <w:left w:val="single" w:sz="8" w:space="0" w:color="000000"/>
              <w:bottom w:val="single" w:sz="12" w:space="0" w:color="000000"/>
              <w:right w:val="single" w:sz="8" w:space="0" w:color="000000"/>
            </w:tcBorders>
          </w:tcPr>
          <w:p>
            <w:pP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hAnsi="宋体" w:cs="宋体" w:eastAsia="宋体" w:hint="default"/>
                <w:sz w:val="18"/>
                <w:szCs w:val="18"/>
              </w:rPr>
              <w:t>略有上涨</w:t>
            </w:r>
          </w:p>
        </w:tc>
        <w:tc>
          <w:tcPr>
            <w:tcW w:w="2298"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60" w:hRule="exact"/>
        </w:trPr>
        <w:tc>
          <w:tcPr>
            <w:tcW w:w="1081" w:type="dxa"/>
            <w:tcBorders>
              <w:top w:val="single" w:sz="12" w:space="0" w:color="000000"/>
              <w:left w:val="single" w:sz="12" w:space="0" w:color="000000"/>
              <w:bottom w:val="single" w:sz="12" w:space="0" w:color="000000"/>
              <w:right w:val="single" w:sz="8" w:space="0" w:color="000000"/>
            </w:tcBorders>
            <w:shd w:val="clear" w:color="auto" w:fill="C0C0C0"/>
          </w:tcPr>
          <w:p>
            <w:pPr>
              <w:pStyle w:val="TableParagraph"/>
              <w:spacing w:line="240" w:lineRule="auto" w:before="30"/>
              <w:ind w:left="93" w:right="0"/>
              <w:jc w:val="left"/>
              <w:rPr>
                <w:rFonts w:ascii="等线" w:hAnsi="等线" w:cs="等线" w:eastAsia="等线" w:hint="default"/>
                <w:sz w:val="21"/>
                <w:szCs w:val="21"/>
              </w:rPr>
            </w:pPr>
            <w:r>
              <w:rPr>
                <w:rFonts w:ascii="等线" w:hAnsi="等线" w:cs="等线" w:eastAsia="等线" w:hint="default"/>
                <w:b/>
                <w:bCs/>
                <w:sz w:val="21"/>
                <w:szCs w:val="21"/>
              </w:rPr>
              <w:t>合计</w:t>
            </w:r>
            <w:r>
              <w:rPr>
                <w:rFonts w:ascii="等线" w:hAnsi="等线" w:cs="等线" w:eastAsia="等线" w:hint="default"/>
                <w:sz w:val="21"/>
                <w:szCs w:val="21"/>
              </w:rPr>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65"/>
              <w:ind w:right="96"/>
              <w:jc w:val="right"/>
              <w:rPr>
                <w:rFonts w:ascii="宋体" w:hAnsi="宋体" w:cs="宋体" w:eastAsia="宋体" w:hint="default"/>
                <w:sz w:val="18"/>
                <w:szCs w:val="18"/>
              </w:rPr>
            </w:pPr>
            <w:r>
              <w:rPr>
                <w:rFonts w:ascii="宋体"/>
                <w:sz w:val="18"/>
              </w:rPr>
              <w:t>15,134.66</w:t>
            </w:r>
          </w:p>
        </w:tc>
        <w:tc>
          <w:tcPr>
            <w:tcW w:w="108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18"/>
              <w:ind w:right="96"/>
              <w:jc w:val="right"/>
              <w:rPr>
                <w:rFonts w:ascii="Times New Roman" w:hAnsi="Times New Roman" w:cs="Times New Roman" w:eastAsia="Times New Roman" w:hint="default"/>
                <w:sz w:val="18"/>
                <w:szCs w:val="18"/>
              </w:rPr>
            </w:pPr>
            <w:r>
              <w:rPr>
                <w:rFonts w:ascii="Times New Roman"/>
                <w:sz w:val="18"/>
              </w:rPr>
              <w:t>14.27%</w:t>
            </w:r>
          </w:p>
        </w:tc>
        <w:tc>
          <w:tcPr>
            <w:tcW w:w="1080" w:type="dxa"/>
            <w:tcBorders>
              <w:top w:val="single" w:sz="12" w:space="0" w:color="000000"/>
              <w:left w:val="single" w:sz="8" w:space="0" w:color="000000"/>
              <w:bottom w:val="single" w:sz="12" w:space="0" w:color="000000"/>
              <w:right w:val="single" w:sz="8" w:space="0" w:color="000000"/>
            </w:tcBorders>
          </w:tcPr>
          <w:p>
            <w:pPr/>
          </w:p>
        </w:tc>
        <w:tc>
          <w:tcPr>
            <w:tcW w:w="1080" w:type="dxa"/>
            <w:tcBorders>
              <w:top w:val="single" w:sz="12" w:space="0" w:color="000000"/>
              <w:left w:val="single" w:sz="8" w:space="0" w:color="000000"/>
              <w:bottom w:val="single" w:sz="12" w:space="0" w:color="000000"/>
              <w:right w:val="single" w:sz="8" w:space="0" w:color="000000"/>
            </w:tcBorders>
          </w:tcPr>
          <w:p>
            <w:pPr/>
          </w:p>
        </w:tc>
        <w:tc>
          <w:tcPr>
            <w:tcW w:w="1080" w:type="dxa"/>
            <w:tcBorders>
              <w:top w:val="single" w:sz="12" w:space="0" w:color="000000"/>
              <w:left w:val="single" w:sz="8" w:space="0" w:color="000000"/>
              <w:bottom w:val="single" w:sz="12" w:space="0" w:color="000000"/>
              <w:right w:val="single" w:sz="8" w:space="0" w:color="000000"/>
            </w:tcBorders>
          </w:tcPr>
          <w:p>
            <w:pPr/>
          </w:p>
        </w:tc>
        <w:tc>
          <w:tcPr>
            <w:tcW w:w="2298" w:type="dxa"/>
            <w:tcBorders>
              <w:top w:val="single" w:sz="12" w:space="0" w:color="000000"/>
              <w:left w:val="single" w:sz="8" w:space="0" w:color="000000"/>
              <w:bottom w:val="single" w:sz="12" w:space="0" w:color="000000"/>
              <w:right w:val="single" w:sz="8" w:space="0" w:color="000000"/>
            </w:tcBorders>
          </w:tcPr>
          <w:p>
            <w:pPr/>
          </w:p>
        </w:tc>
      </w:tr>
    </w:tbl>
    <w:p>
      <w:pPr>
        <w:spacing w:line="240" w:lineRule="auto" w:before="0"/>
        <w:rPr>
          <w:rFonts w:ascii="宋体" w:hAnsi="宋体" w:cs="宋体" w:eastAsia="宋体" w:hint="default"/>
          <w:b/>
          <w:bCs/>
          <w:sz w:val="20"/>
          <w:szCs w:val="20"/>
        </w:rPr>
      </w:pPr>
    </w:p>
    <w:p>
      <w:pPr>
        <w:pStyle w:val="Heading4"/>
        <w:tabs>
          <w:tab w:pos="7507" w:val="left" w:leader="none"/>
        </w:tabs>
        <w:spacing w:line="240" w:lineRule="auto" w:before="167"/>
        <w:ind w:left="636" w:right="0"/>
        <w:jc w:val="left"/>
        <w:rPr>
          <w:b w:val="0"/>
          <w:bCs w:val="0"/>
        </w:rPr>
      </w:pPr>
      <w:r>
        <w:rPr>
          <w:rFonts w:ascii="等线" w:hAnsi="等线" w:cs="等线" w:eastAsia="等线" w:hint="default"/>
          <w:w w:val="95"/>
        </w:rPr>
        <w:t>4、</w:t>
      </w:r>
      <w:r>
        <w:rPr>
          <w:w w:val="95"/>
        </w:rPr>
        <w:t>公司主要费用情况</w:t>
        <w:tab/>
      </w:r>
      <w:r>
        <w:rPr/>
        <w:t>（单位：万元）</w:t>
      </w:r>
      <w:r>
        <w:rPr>
          <w:b w:val="0"/>
          <w:bCs w:val="0"/>
        </w:rPr>
      </w:r>
    </w:p>
    <w:tbl>
      <w:tblPr>
        <w:tblW w:w="0" w:type="auto"/>
        <w:jc w:val="left"/>
        <w:tblInd w:w="585" w:type="dxa"/>
        <w:tblLayout w:type="fixed"/>
        <w:tblCellMar>
          <w:top w:w="0" w:type="dxa"/>
          <w:left w:w="0" w:type="dxa"/>
          <w:bottom w:w="0" w:type="dxa"/>
          <w:right w:w="0" w:type="dxa"/>
        </w:tblCellMar>
        <w:tblLook w:val="01E0"/>
      </w:tblPr>
      <w:tblGrid>
        <w:gridCol w:w="2356"/>
        <w:gridCol w:w="1296"/>
        <w:gridCol w:w="1620"/>
        <w:gridCol w:w="1566"/>
        <w:gridCol w:w="1926"/>
      </w:tblGrid>
      <w:tr>
        <w:trPr>
          <w:trHeight w:val="323"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本期实际数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5"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3" w:right="0"/>
              <w:jc w:val="left"/>
              <w:rPr>
                <w:rFonts w:ascii="宋体" w:hAnsi="宋体" w:cs="宋体" w:eastAsia="宋体" w:hint="default"/>
                <w:sz w:val="18"/>
                <w:szCs w:val="18"/>
              </w:rPr>
            </w:pPr>
            <w:r>
              <w:rPr>
                <w:rFonts w:ascii="宋体" w:hAnsi="宋体" w:cs="宋体" w:eastAsia="宋体" w:hint="default"/>
                <w:sz w:val="18"/>
                <w:szCs w:val="18"/>
              </w:rPr>
              <w:t>占</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年收入比例</w:t>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7,388.92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4,682.94</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5"/>
                <w:sz w:val="18"/>
              </w:rPr>
              <w:t>57.78%</w:t>
            </w:r>
            <w:r>
              <w:rPr>
                <w:rFonts w:ascii="Times New Roman"/>
                <w:sz w:val="18"/>
              </w:rPr>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12.68%</w:t>
            </w:r>
            <w:r>
              <w:rPr>
                <w:rFonts w:ascii="Times New Roman"/>
                <w:sz w:val="18"/>
              </w:rPr>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10,177.94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8.246.83</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5"/>
                <w:sz w:val="18"/>
              </w:rPr>
              <w:t>23.42%</w:t>
            </w:r>
            <w:r>
              <w:rPr>
                <w:rFonts w:ascii="Times New Roman"/>
                <w:sz w:val="18"/>
              </w:rPr>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17.47%</w:t>
            </w:r>
            <w:r>
              <w:rPr>
                <w:rFonts w:ascii="Times New Roman"/>
                <w:sz w:val="18"/>
              </w:rPr>
            </w:r>
          </w:p>
        </w:tc>
      </w:tr>
      <w:tr>
        <w:trPr>
          <w:trHeight w:val="323"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-23.34</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-71.43</w:t>
            </w:r>
            <w:r>
              <w:rPr>
                <w:rFonts w:ascii="Times New Roman"/>
                <w:sz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w w:val="95"/>
                <w:sz w:val="18"/>
              </w:rPr>
              <w:t>-67.33%</w:t>
            </w:r>
            <w:r>
              <w:rPr>
                <w:rFonts w:ascii="Times New Roman"/>
                <w:sz w:val="18"/>
              </w:rPr>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4" w:hRule="exact"/>
        </w:trPr>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958.98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sz w:val="18"/>
              </w:rPr>
              <w:t>292.78</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Times New Roman" w:hAnsi="Times New Roman" w:cs="Times New Roman" w:eastAsia="Times New Roman" w:hint="default"/>
                <w:sz w:val="18"/>
                <w:szCs w:val="18"/>
              </w:rPr>
            </w:pPr>
            <w:r>
              <w:rPr>
                <w:rFonts w:ascii="Times New Roman"/>
                <w:w w:val="95"/>
                <w:sz w:val="18"/>
              </w:rPr>
              <w:t>227.55%</w:t>
            </w:r>
            <w:r>
              <w:rPr>
                <w:rFonts w:ascii="Times New Roman"/>
                <w:sz w:val="18"/>
              </w:rPr>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18"/>
                <w:szCs w:val="18"/>
              </w:rPr>
            </w:pPr>
            <w:r>
              <w:rPr>
                <w:rFonts w:ascii="Times New Roman"/>
                <w:w w:val="95"/>
                <w:sz w:val="18"/>
              </w:rPr>
              <w:t>1.65%</w:t>
            </w:r>
            <w:r>
              <w:rPr>
                <w:rFonts w:ascii="Times New Roman"/>
                <w:sz w:val="18"/>
              </w:rPr>
            </w:r>
          </w:p>
        </w:tc>
      </w:tr>
    </w:tbl>
    <w:p>
      <w:pPr>
        <w:spacing w:line="240" w:lineRule="auto" w:before="12"/>
        <w:rPr>
          <w:rFonts w:ascii="宋体" w:hAnsi="宋体" w:cs="宋体" w:eastAsia="宋体" w:hint="default"/>
          <w:b/>
          <w:bCs/>
          <w:sz w:val="13"/>
          <w:szCs w:val="13"/>
        </w:rPr>
      </w:pPr>
    </w:p>
    <w:p>
      <w:pPr>
        <w:pStyle w:val="BodyText"/>
        <w:spacing w:line="240" w:lineRule="auto" w:before="26"/>
        <w:ind w:left="634" w:right="0"/>
        <w:jc w:val="left"/>
      </w:pPr>
      <w:r>
        <w:rPr/>
        <w:t>报告期，公司新签订合同同比大幅增加，销售费用增长57.78%。</w:t>
      </w:r>
    </w:p>
    <w:p>
      <w:pPr>
        <w:pStyle w:val="BodyText"/>
        <w:spacing w:line="338" w:lineRule="auto" w:before="193"/>
        <w:ind w:left="153" w:right="0" w:firstLine="480"/>
        <w:jc w:val="left"/>
      </w:pPr>
      <w:r>
        <w:rPr/>
        <w:t>公司管理费用增加</w:t>
      </w:r>
      <w:r>
        <w:rPr>
          <w:spacing w:val="-60"/>
        </w:rPr>
        <w:t> </w:t>
      </w:r>
      <w:r>
        <w:rPr>
          <w:rFonts w:ascii="Times New Roman" w:hAnsi="Times New Roman" w:cs="Times New Roman" w:eastAsia="Times New Roman" w:hint="default"/>
          <w:spacing w:val="-2"/>
        </w:rPr>
        <w:t>23.42%</w:t>
      </w:r>
      <w:r>
        <w:rPr>
          <w:spacing w:val="-2"/>
        </w:rPr>
        <w:t>的主要原因是公司研发投入持续增加、人员工资及福利费、办</w:t>
      </w:r>
      <w:r>
        <w:rPr/>
        <w:t> 公费增加所致。</w:t>
      </w:r>
    </w:p>
    <w:p>
      <w:pPr>
        <w:pStyle w:val="BodyText"/>
        <w:spacing w:line="338" w:lineRule="auto" w:before="94"/>
        <w:ind w:left="153" w:right="0" w:firstLine="480"/>
        <w:jc w:val="left"/>
      </w:pPr>
      <w:r>
        <w:rPr/>
        <w:t>公司所得税增加 </w:t>
      </w:r>
      <w:r>
        <w:rPr>
          <w:rFonts w:ascii="Times New Roman" w:hAnsi="Times New Roman" w:cs="Times New Roman" w:eastAsia="Times New Roman" w:hint="default"/>
        </w:rPr>
        <w:t>227.55%</w:t>
      </w:r>
      <w:r>
        <w:rPr/>
        <w:t>的主要原因是公司利润总额增加及上年因享受购买国产设备投 资抵免减少企业所得税所致。</w:t>
      </w:r>
    </w:p>
    <w:p>
      <w:pPr>
        <w:pStyle w:val="Heading4"/>
        <w:tabs>
          <w:tab w:pos="7622" w:val="left" w:leader="none"/>
        </w:tabs>
        <w:spacing w:line="240" w:lineRule="auto" w:before="95"/>
        <w:ind w:left="636" w:right="0"/>
        <w:jc w:val="left"/>
        <w:rPr>
          <w:rFonts w:ascii="宋体" w:hAnsi="宋体" w:cs="宋体" w:eastAsia="宋体" w:hint="default"/>
          <w:b w:val="0"/>
          <w:bCs w:val="0"/>
        </w:rPr>
      </w:pPr>
      <w:r>
        <w:rPr>
          <w:rFonts w:ascii="Times New Roman" w:hAnsi="Times New Roman" w:cs="Times New Roman" w:eastAsia="Times New Roman" w:hint="default"/>
          <w:w w:val="95"/>
        </w:rPr>
        <w:t>5</w:t>
      </w:r>
      <w:r>
        <w:rPr>
          <w:w w:val="95"/>
        </w:rPr>
        <w:t>、公司经营活动、投资活动和筹资活动产生的现金的构成情况</w:t>
        <w:tab/>
      </w:r>
      <w:r>
        <w:rPr>
          <w:rFonts w:ascii="宋体" w:hAnsi="宋体" w:cs="宋体" w:eastAsia="宋体" w:hint="default"/>
          <w:b w:val="0"/>
          <w:bCs w:val="0"/>
        </w:rPr>
        <w:t>（单位：万元）</w:t>
      </w:r>
    </w:p>
    <w:p>
      <w:pPr>
        <w:spacing w:line="240" w:lineRule="auto" w:before="4"/>
        <w:rPr>
          <w:rFonts w:ascii="宋体" w:hAnsi="宋体" w:cs="宋体" w:eastAsia="宋体" w:hint="default"/>
          <w:sz w:val="16"/>
          <w:szCs w:val="16"/>
        </w:rPr>
      </w:pPr>
    </w:p>
    <w:tbl>
      <w:tblPr>
        <w:tblW w:w="0" w:type="auto"/>
        <w:jc w:val="left"/>
        <w:tblInd w:w="133" w:type="dxa"/>
        <w:tblLayout w:type="fixed"/>
        <w:tblCellMar>
          <w:top w:w="0" w:type="dxa"/>
          <w:left w:w="0" w:type="dxa"/>
          <w:bottom w:w="0" w:type="dxa"/>
          <w:right w:w="0" w:type="dxa"/>
        </w:tblCellMar>
        <w:tblLook w:val="01E0"/>
      </w:tblPr>
      <w:tblGrid>
        <w:gridCol w:w="2480"/>
        <w:gridCol w:w="2215"/>
        <w:gridCol w:w="2160"/>
        <w:gridCol w:w="2340"/>
      </w:tblGrid>
      <w:tr>
        <w:trPr>
          <w:trHeight w:val="402"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52" w:right="0"/>
              <w:jc w:val="left"/>
              <w:rPr>
                <w:rFonts w:ascii="宋体" w:hAnsi="宋体" w:cs="宋体" w:eastAsia="宋体" w:hint="default"/>
                <w:sz w:val="18"/>
                <w:szCs w:val="18"/>
              </w:rPr>
            </w:pPr>
            <w:r>
              <w:rPr>
                <w:rFonts w:ascii="宋体" w:hAnsi="宋体" w:cs="宋体" w:eastAsia="宋体" w:hint="default"/>
                <w:sz w:val="18"/>
                <w:szCs w:val="18"/>
              </w:rPr>
              <w:t>本期实际数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25"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66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608"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4" w:right="163"/>
              <w:jc w:val="left"/>
              <w:rPr>
                <w:rFonts w:ascii="宋体" w:hAnsi="宋体" w:cs="宋体" w:eastAsia="宋体" w:hint="default"/>
                <w:sz w:val="20"/>
                <w:szCs w:val="20"/>
              </w:rPr>
            </w:pPr>
            <w:r>
              <w:rPr>
                <w:rFonts w:ascii="宋体" w:hAnsi="宋体" w:cs="宋体" w:eastAsia="宋体" w:hint="default"/>
                <w:sz w:val="20"/>
                <w:szCs w:val="20"/>
              </w:rPr>
              <w:t>一、经营活动产生的现金</w:t>
            </w:r>
            <w:r>
              <w:rPr>
                <w:rFonts w:ascii="宋体" w:hAnsi="宋体" w:cs="宋体" w:eastAsia="宋体" w:hint="default"/>
                <w:w w:val="100"/>
                <w:sz w:val="20"/>
                <w:szCs w:val="20"/>
              </w:rPr>
              <w:t> </w:t>
            </w:r>
            <w:r>
              <w:rPr>
                <w:rFonts w:ascii="宋体" w:hAnsi="宋体" w:cs="宋体" w:eastAsia="宋体" w:hint="default"/>
                <w:sz w:val="20"/>
                <w:szCs w:val="20"/>
              </w:rPr>
              <w:t>流量净额</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1"/>
                <w:szCs w:val="21"/>
              </w:rPr>
            </w:pPr>
            <w:r>
              <w:rPr>
                <w:rFonts w:ascii="Times New Roman"/>
                <w:spacing w:val="-1"/>
                <w:sz w:val="21"/>
              </w:rPr>
              <w:t>474.31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2"/>
              <w:jc w:val="right"/>
              <w:rPr>
                <w:rFonts w:ascii="Times New Roman" w:hAnsi="Times New Roman" w:cs="Times New Roman" w:eastAsia="Times New Roman" w:hint="default"/>
                <w:sz w:val="21"/>
                <w:szCs w:val="21"/>
              </w:rPr>
            </w:pPr>
            <w:r>
              <w:rPr>
                <w:rFonts w:ascii="Times New Roman"/>
                <w:spacing w:val="-1"/>
                <w:sz w:val="21"/>
              </w:rPr>
              <w:t>1,272.16</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2"/>
              <w:jc w:val="right"/>
              <w:rPr>
                <w:rFonts w:ascii="Times New Roman" w:hAnsi="Times New Roman" w:cs="Times New Roman" w:eastAsia="Times New Roman" w:hint="default"/>
                <w:sz w:val="21"/>
                <w:szCs w:val="21"/>
              </w:rPr>
            </w:pPr>
            <w:r>
              <w:rPr>
                <w:rFonts w:ascii="Times New Roman"/>
                <w:spacing w:val="-1"/>
                <w:sz w:val="21"/>
              </w:rPr>
              <w:t>-62.72%</w:t>
            </w:r>
          </w:p>
        </w:tc>
      </w:tr>
      <w:tr>
        <w:trPr>
          <w:trHeight w:val="349"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经营活动现金流入量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61,576.09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29,902.48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105.92%</w:t>
            </w:r>
          </w:p>
        </w:tc>
      </w:tr>
      <w:tr>
        <w:trPr>
          <w:trHeight w:val="349"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经营活动现金流出量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61,101.78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28,630.32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2"/>
                <w:sz w:val="21"/>
              </w:rPr>
              <w:t>113.42%</w:t>
            </w:r>
          </w:p>
        </w:tc>
      </w:tr>
      <w:tr>
        <w:trPr>
          <w:trHeight w:val="608"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163"/>
              <w:jc w:val="left"/>
              <w:rPr>
                <w:rFonts w:ascii="宋体" w:hAnsi="宋体" w:cs="宋体" w:eastAsia="宋体" w:hint="default"/>
                <w:sz w:val="20"/>
                <w:szCs w:val="20"/>
              </w:rPr>
            </w:pPr>
            <w:r>
              <w:rPr>
                <w:rFonts w:ascii="宋体" w:hAnsi="宋体" w:cs="宋体" w:eastAsia="宋体" w:hint="default"/>
                <w:sz w:val="20"/>
                <w:szCs w:val="20"/>
              </w:rPr>
              <w:t>二、投资活动产生的现金</w:t>
            </w:r>
            <w:r>
              <w:rPr>
                <w:rFonts w:ascii="宋体" w:hAnsi="宋体" w:cs="宋体" w:eastAsia="宋体" w:hint="default"/>
                <w:w w:val="100"/>
                <w:sz w:val="20"/>
                <w:szCs w:val="20"/>
              </w:rPr>
              <w:t> </w:t>
            </w:r>
            <w:r>
              <w:rPr>
                <w:rFonts w:ascii="宋体" w:hAnsi="宋体" w:cs="宋体" w:eastAsia="宋体" w:hint="default"/>
                <w:sz w:val="20"/>
                <w:szCs w:val="20"/>
              </w:rPr>
              <w:t>流量净额</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2"/>
              <w:jc w:val="right"/>
              <w:rPr>
                <w:rFonts w:ascii="Times New Roman" w:hAnsi="Times New Roman" w:cs="Times New Roman" w:eastAsia="Times New Roman" w:hint="default"/>
                <w:sz w:val="21"/>
                <w:szCs w:val="21"/>
              </w:rPr>
            </w:pPr>
            <w:r>
              <w:rPr>
                <w:rFonts w:ascii="Times New Roman"/>
                <w:spacing w:val="-1"/>
                <w:sz w:val="21"/>
              </w:rPr>
              <w:t>-20,209.19</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Times New Roman" w:hAnsi="Times New Roman" w:cs="Times New Roman" w:eastAsia="Times New Roman" w:hint="default"/>
                <w:sz w:val="21"/>
                <w:szCs w:val="21"/>
              </w:rPr>
            </w:pPr>
            <w:r>
              <w:rPr>
                <w:rFonts w:ascii="Times New Roman"/>
                <w:spacing w:val="-1"/>
                <w:sz w:val="21"/>
              </w:rPr>
              <w:t>-4,130.34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1"/>
                <w:szCs w:val="21"/>
              </w:rPr>
            </w:pPr>
            <w:r>
              <w:rPr>
                <w:rFonts w:ascii="Times New Roman"/>
                <w:spacing w:val="-1"/>
                <w:sz w:val="21"/>
              </w:rPr>
              <w:t>389.29%</w:t>
            </w:r>
          </w:p>
        </w:tc>
      </w:tr>
      <w:tr>
        <w:trPr>
          <w:trHeight w:val="350"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投资活动现金流入量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14.00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253.08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-94.47%</w:t>
            </w:r>
          </w:p>
        </w:tc>
      </w:tr>
      <w:tr>
        <w:trPr>
          <w:trHeight w:val="349"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投资活动现金流出量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20,223.19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4,383.42</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361.36%</w:t>
            </w:r>
          </w:p>
        </w:tc>
      </w:tr>
      <w:tr>
        <w:trPr>
          <w:trHeight w:val="608"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33"/>
              <w:ind w:left="104" w:right="163"/>
              <w:jc w:val="left"/>
              <w:rPr>
                <w:rFonts w:ascii="宋体" w:hAnsi="宋体" w:cs="宋体" w:eastAsia="宋体" w:hint="default"/>
                <w:sz w:val="20"/>
                <w:szCs w:val="20"/>
              </w:rPr>
            </w:pPr>
            <w:r>
              <w:rPr>
                <w:rFonts w:ascii="宋体" w:hAnsi="宋体" w:cs="宋体" w:eastAsia="宋体" w:hint="default"/>
                <w:sz w:val="20"/>
                <w:szCs w:val="20"/>
              </w:rPr>
              <w:t>三、筹资活动产生的现金</w:t>
            </w:r>
            <w:r>
              <w:rPr>
                <w:rFonts w:ascii="宋体" w:hAnsi="宋体" w:cs="宋体" w:eastAsia="宋体" w:hint="default"/>
                <w:w w:val="100"/>
                <w:sz w:val="20"/>
                <w:szCs w:val="20"/>
              </w:rPr>
              <w:t> </w:t>
            </w:r>
            <w:r>
              <w:rPr>
                <w:rFonts w:ascii="宋体" w:hAnsi="宋体" w:cs="宋体" w:eastAsia="宋体" w:hint="default"/>
                <w:sz w:val="20"/>
                <w:szCs w:val="20"/>
              </w:rPr>
              <w:t>流量净额</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2"/>
              <w:jc w:val="right"/>
              <w:rPr>
                <w:rFonts w:ascii="Times New Roman" w:hAnsi="Times New Roman" w:cs="Times New Roman" w:eastAsia="Times New Roman" w:hint="default"/>
                <w:sz w:val="21"/>
                <w:szCs w:val="21"/>
              </w:rPr>
            </w:pPr>
            <w:r>
              <w:rPr>
                <w:rFonts w:ascii="Times New Roman"/>
                <w:spacing w:val="-1"/>
                <w:sz w:val="21"/>
              </w:rPr>
              <w:t>6,076.34</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Times New Roman" w:hAnsi="Times New Roman" w:cs="Times New Roman" w:eastAsia="Times New Roman" w:hint="default"/>
                <w:sz w:val="21"/>
                <w:szCs w:val="21"/>
              </w:rPr>
            </w:pPr>
            <w:r>
              <w:rPr>
                <w:rFonts w:ascii="Times New Roman"/>
                <w:spacing w:val="-1"/>
                <w:sz w:val="21"/>
              </w:rPr>
              <w:t>27,229.16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Times New Roman" w:hAnsi="Times New Roman" w:cs="Times New Roman" w:eastAsia="Times New Roman" w:hint="default"/>
                <w:sz w:val="21"/>
                <w:szCs w:val="21"/>
              </w:rPr>
            </w:pPr>
            <w:r>
              <w:rPr>
                <w:rFonts w:ascii="Times New Roman"/>
                <w:spacing w:val="-1"/>
                <w:sz w:val="21"/>
              </w:rPr>
              <w:t>-77.68%</w:t>
            </w:r>
          </w:p>
        </w:tc>
      </w:tr>
      <w:tr>
        <w:trPr>
          <w:trHeight w:val="349"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筹资活动现金流入量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1"/>
                <w:sz w:val="21"/>
              </w:rPr>
              <w:t>14,190.00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30,240.00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0"/>
              <w:jc w:val="right"/>
              <w:rPr>
                <w:rFonts w:ascii="Times New Roman" w:hAnsi="Times New Roman" w:cs="Times New Roman" w:eastAsia="Times New Roman" w:hint="default"/>
                <w:sz w:val="21"/>
                <w:szCs w:val="21"/>
              </w:rPr>
            </w:pPr>
            <w:r>
              <w:rPr>
                <w:rFonts w:ascii="Times New Roman"/>
                <w:spacing w:val="-1"/>
                <w:sz w:val="21"/>
              </w:rPr>
              <w:t>-53.08%</w:t>
            </w:r>
          </w:p>
        </w:tc>
      </w:tr>
      <w:tr>
        <w:trPr>
          <w:trHeight w:val="349"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0"/>
              <w:jc w:val="left"/>
              <w:rPr>
                <w:rFonts w:ascii="宋体" w:hAnsi="宋体" w:cs="宋体" w:eastAsia="宋体" w:hint="default"/>
                <w:sz w:val="20"/>
                <w:szCs w:val="20"/>
              </w:rPr>
            </w:pPr>
            <w:r>
              <w:rPr>
                <w:rFonts w:ascii="宋体" w:hAnsi="宋体" w:cs="宋体" w:eastAsia="宋体" w:hint="default"/>
                <w:sz w:val="20"/>
                <w:szCs w:val="20"/>
              </w:rPr>
              <w:t>筹资活动现金流出量</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21"/>
                <w:szCs w:val="21"/>
              </w:rPr>
            </w:pPr>
            <w:r>
              <w:rPr>
                <w:rFonts w:ascii="Times New Roman"/>
                <w:spacing w:val="-2"/>
                <w:sz w:val="21"/>
              </w:rPr>
              <w:t>8,113.66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4"/>
              <w:jc w:val="right"/>
              <w:rPr>
                <w:rFonts w:ascii="Times New Roman" w:hAnsi="Times New Roman" w:cs="Times New Roman" w:eastAsia="Times New Roman" w:hint="default"/>
                <w:sz w:val="21"/>
                <w:szCs w:val="21"/>
              </w:rPr>
            </w:pPr>
            <w:r>
              <w:rPr>
                <w:rFonts w:ascii="Times New Roman"/>
                <w:spacing w:val="-1"/>
                <w:sz w:val="21"/>
              </w:rPr>
              <w:t>3,010.84</w:t>
            </w:r>
            <w:r>
              <w:rPr>
                <w:rFonts w:ascii="Times New Roman"/>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2"/>
              <w:jc w:val="right"/>
              <w:rPr>
                <w:rFonts w:ascii="Times New Roman" w:hAnsi="Times New Roman" w:cs="Times New Roman" w:eastAsia="Times New Roman" w:hint="default"/>
                <w:sz w:val="21"/>
                <w:szCs w:val="21"/>
              </w:rPr>
            </w:pPr>
            <w:r>
              <w:rPr>
                <w:rFonts w:ascii="Times New Roman"/>
                <w:spacing w:val="-1"/>
                <w:sz w:val="21"/>
              </w:rPr>
              <w:t>169.48%</w:t>
            </w:r>
          </w:p>
        </w:tc>
      </w:tr>
      <w:tr>
        <w:trPr>
          <w:trHeight w:val="610"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4" w:right="163"/>
              <w:jc w:val="left"/>
              <w:rPr>
                <w:rFonts w:ascii="宋体" w:hAnsi="宋体" w:cs="宋体" w:eastAsia="宋体" w:hint="default"/>
                <w:sz w:val="20"/>
                <w:szCs w:val="20"/>
              </w:rPr>
            </w:pPr>
            <w:r>
              <w:rPr>
                <w:rFonts w:ascii="宋体" w:hAnsi="宋体" w:cs="宋体" w:eastAsia="宋体" w:hint="default"/>
                <w:sz w:val="20"/>
                <w:szCs w:val="20"/>
              </w:rPr>
              <w:t>四、现金及现金等价物净</w:t>
            </w:r>
            <w:r>
              <w:rPr>
                <w:rFonts w:ascii="宋体" w:hAnsi="宋体" w:cs="宋体" w:eastAsia="宋体" w:hint="default"/>
                <w:w w:val="100"/>
                <w:sz w:val="20"/>
                <w:szCs w:val="20"/>
              </w:rPr>
              <w:t> </w:t>
            </w:r>
            <w:r>
              <w:rPr>
                <w:rFonts w:ascii="宋体" w:hAnsi="宋体" w:cs="宋体" w:eastAsia="宋体" w:hint="default"/>
                <w:sz w:val="20"/>
                <w:szCs w:val="20"/>
              </w:rPr>
              <w:t>额增加</w:t>
            </w:r>
          </w:p>
        </w:tc>
        <w:tc>
          <w:tcPr>
            <w:tcW w:w="2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2"/>
              <w:jc w:val="right"/>
              <w:rPr>
                <w:rFonts w:ascii="Times New Roman" w:hAnsi="Times New Roman" w:cs="Times New Roman" w:eastAsia="Times New Roman" w:hint="default"/>
                <w:sz w:val="21"/>
                <w:szCs w:val="21"/>
              </w:rPr>
            </w:pPr>
            <w:r>
              <w:rPr>
                <w:rFonts w:ascii="Times New Roman"/>
                <w:spacing w:val="-1"/>
                <w:sz w:val="21"/>
              </w:rPr>
              <w:t>-13,658.54</w:t>
            </w:r>
            <w:r>
              <w:rPr>
                <w:rFonts w:ascii="Times New Roman"/>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Times New Roman" w:hAnsi="Times New Roman" w:cs="Times New Roman" w:eastAsia="Times New Roman" w:hint="default"/>
                <w:sz w:val="21"/>
                <w:szCs w:val="21"/>
              </w:rPr>
            </w:pPr>
            <w:r>
              <w:rPr>
                <w:rFonts w:ascii="Times New Roman"/>
                <w:spacing w:val="-1"/>
                <w:sz w:val="21"/>
              </w:rPr>
              <w:t>24,370.99</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1"/>
                <w:szCs w:val="21"/>
              </w:rPr>
            </w:pPr>
            <w:r>
              <w:rPr>
                <w:rFonts w:ascii="Times New Roman"/>
                <w:spacing w:val="-1"/>
                <w:sz w:val="21"/>
              </w:rPr>
              <w:t>-156.04%</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669" w:top="980" w:bottom="8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57" w:lineRule="auto" w:before="199"/>
        <w:ind w:right="210" w:firstLine="480"/>
        <w:jc w:val="left"/>
      </w:pPr>
      <w:r>
        <w:rPr/>
        <w:t>报告期内经营活动产生的现金流量净额同比减少62.72%，主要是应收帐款、预付款项和 存货增加所致。</w:t>
      </w:r>
    </w:p>
    <w:p>
      <w:pPr>
        <w:pStyle w:val="BodyText"/>
        <w:spacing w:line="357" w:lineRule="auto" w:before="36"/>
        <w:ind w:right="90" w:firstLine="480"/>
        <w:jc w:val="left"/>
      </w:pPr>
      <w:r>
        <w:rPr/>
        <w:t>报告期内投资活动产生的现金流量净额同比变动389.29%，主要是为实施募集资金项目， 报告期购建的固定资产同比增加及收购信力筑正公司支付的对价所致。</w:t>
      </w:r>
    </w:p>
    <w:p>
      <w:pPr>
        <w:pStyle w:val="BodyText"/>
        <w:spacing w:line="357" w:lineRule="auto" w:before="35"/>
        <w:ind w:right="174" w:firstLine="480"/>
        <w:jc w:val="left"/>
      </w:pPr>
      <w:r>
        <w:rPr>
          <w:spacing w:val="-2"/>
        </w:rPr>
        <w:t>报告期内筹资活动产生的现金流量净额同比变动-77.68%，主要是上年同期首次公开发行</w:t>
      </w:r>
      <w:r>
        <w:rPr/>
        <w:t> 股票1600万股募集资金到位而报告期融资减少所致。</w:t>
      </w:r>
    </w:p>
    <w:p>
      <w:pPr>
        <w:pStyle w:val="BodyText"/>
        <w:spacing w:line="357" w:lineRule="auto" w:before="35"/>
        <w:ind w:right="210" w:firstLine="480"/>
        <w:jc w:val="left"/>
      </w:pPr>
      <w:r>
        <w:rPr/>
        <w:t>报告期内现金及现金等价物净额同比变动-156.04%，主要是报告期内投资活动现金流出 同比增加而筹资活动产生的现金流量净额同比减少所致。</w:t>
      </w:r>
    </w:p>
    <w:p>
      <w:pPr>
        <w:spacing w:line="240" w:lineRule="auto" w:before="0"/>
        <w:rPr>
          <w:rFonts w:ascii="宋体" w:hAnsi="宋体" w:cs="宋体" w:eastAsia="宋体" w:hint="default"/>
          <w:sz w:val="24"/>
          <w:szCs w:val="24"/>
        </w:rPr>
      </w:pPr>
    </w:p>
    <w:p>
      <w:pPr>
        <w:pStyle w:val="Heading4"/>
        <w:spacing w:line="357" w:lineRule="auto" w:before="188"/>
        <w:ind w:left="153" w:right="293" w:firstLine="482"/>
        <w:jc w:val="left"/>
        <w:rPr>
          <w:b w:val="0"/>
          <w:bCs w:val="0"/>
        </w:rPr>
      </w:pPr>
      <w:r>
        <w:rPr/>
        <w:t>6、公司的主要厂房、设备均在鞍山，公司的生产设备运转良好，全部设备完好，设备</w:t>
      </w:r>
      <w:r>
        <w:rPr>
          <w:spacing w:val="1"/>
          <w:w w:val="99"/>
        </w:rPr>
        <w:t> </w:t>
      </w:r>
      <w:r>
        <w:rPr/>
        <w:t>开工率100%，在本报告期产品无积压，公司的主要技术人员在本报告期内无变动。</w:t>
      </w:r>
      <w:r>
        <w:rPr>
          <w:b w:val="0"/>
          <w:bCs w:val="0"/>
        </w:rPr>
      </w:r>
    </w:p>
    <w:p>
      <w:pPr>
        <w:spacing w:line="240" w:lineRule="auto" w:before="0"/>
        <w:rPr>
          <w:rFonts w:ascii="宋体" w:hAnsi="宋体" w:cs="宋体" w:eastAsia="宋体" w:hint="default"/>
          <w:b/>
          <w:bCs/>
          <w:sz w:val="24"/>
          <w:szCs w:val="24"/>
        </w:rPr>
      </w:pPr>
    </w:p>
    <w:p>
      <w:pPr>
        <w:pStyle w:val="Heading4"/>
        <w:spacing w:line="240" w:lineRule="auto" w:before="188"/>
        <w:ind w:left="633" w:right="210"/>
        <w:jc w:val="left"/>
        <w:rPr>
          <w:b w:val="0"/>
          <w:bCs w:val="0"/>
        </w:rPr>
      </w:pPr>
      <w:r>
        <w:rPr/>
        <w:t>7、主要控股子公司及参股公司的经营情况及业绩</w:t>
      </w:r>
      <w:r>
        <w:rPr>
          <w:b w:val="0"/>
          <w:bCs w:val="0"/>
        </w:rPr>
      </w:r>
    </w:p>
    <w:p>
      <w:pPr>
        <w:pStyle w:val="BodyText"/>
        <w:spacing w:line="372" w:lineRule="auto" w:before="192"/>
        <w:ind w:right="191" w:firstLine="480"/>
        <w:jc w:val="right"/>
      </w:pPr>
      <w:r>
        <w:rPr>
          <w:spacing w:val="-4"/>
        </w:rPr>
        <w:t>（1）全资子公司—诚和伟业（北京）科技发展有限责任公司（以下简称“诚和伟业”）</w:t>
      </w:r>
      <w:r>
        <w:rPr/>
        <w:t> 诚和伟业成立于</w:t>
      </w:r>
      <w:r>
        <w:rPr>
          <w:spacing w:val="-64"/>
        </w:rPr>
        <w:t> </w:t>
      </w:r>
      <w:r>
        <w:rPr>
          <w:spacing w:val="25"/>
        </w:rPr>
        <w:t>2003年8月</w:t>
      </w:r>
      <w:r>
        <w:rPr>
          <w:spacing w:val="-64"/>
        </w:rPr>
        <w:t> </w:t>
      </w:r>
      <w:r>
        <w:rPr/>
        <w:t>11</w:t>
      </w:r>
      <w:r>
        <w:rPr>
          <w:spacing w:val="-64"/>
        </w:rPr>
        <w:t> </w:t>
      </w:r>
      <w:r>
        <w:rPr/>
        <w:t>日，注册资本</w:t>
      </w:r>
      <w:r>
        <w:rPr>
          <w:spacing w:val="-64"/>
        </w:rPr>
        <w:t> </w:t>
      </w:r>
      <w:r>
        <w:rPr/>
        <w:t>240</w:t>
      </w:r>
      <w:r>
        <w:rPr>
          <w:spacing w:val="-64"/>
        </w:rPr>
        <w:t> </w:t>
      </w:r>
      <w:r>
        <w:rPr/>
        <w:t>万元，公司持有</w:t>
      </w:r>
      <w:r>
        <w:rPr>
          <w:spacing w:val="-64"/>
        </w:rPr>
        <w:t> </w:t>
      </w:r>
      <w:r>
        <w:rPr/>
        <w:t>100%权益，诚和伟业</w:t>
      </w:r>
      <w:r>
        <w:rPr/>
        <w:t> 住所为北京市海淀区海淀北二街</w:t>
      </w:r>
      <w:r>
        <w:rPr>
          <w:spacing w:val="-58"/>
        </w:rPr>
        <w:t> </w:t>
      </w:r>
      <w:r>
        <w:rPr/>
        <w:t>10</w:t>
      </w:r>
      <w:r>
        <w:rPr>
          <w:spacing w:val="-58"/>
        </w:rPr>
        <w:t> </w:t>
      </w:r>
      <w:r>
        <w:rPr/>
        <w:t>号泰鹏大厦</w:t>
      </w:r>
      <w:r>
        <w:rPr>
          <w:spacing w:val="-58"/>
        </w:rPr>
        <w:t> </w:t>
      </w:r>
      <w:r>
        <w:rPr/>
        <w:t>8</w:t>
      </w:r>
      <w:r>
        <w:rPr>
          <w:spacing w:val="-58"/>
        </w:rPr>
        <w:t> </w:t>
      </w:r>
      <w:r>
        <w:rPr>
          <w:spacing w:val="-5"/>
        </w:rPr>
        <w:t>层，主营业务：技术开发、服务、转让、咨</w:t>
      </w:r>
    </w:p>
    <w:p>
      <w:pPr>
        <w:pStyle w:val="BodyText"/>
        <w:spacing w:line="240" w:lineRule="auto" w:before="20"/>
        <w:ind w:right="210"/>
        <w:jc w:val="left"/>
      </w:pPr>
      <w:r>
        <w:rPr/>
        <w:t>询</w:t>
      </w:r>
    </w:p>
    <w:p>
      <w:pPr>
        <w:spacing w:line="240" w:lineRule="auto" w:before="8"/>
        <w:rPr>
          <w:rFonts w:ascii="宋体" w:hAnsi="宋体" w:cs="宋体" w:eastAsia="宋体" w:hint="default"/>
          <w:sz w:val="26"/>
          <w:szCs w:val="26"/>
        </w:rPr>
      </w:pPr>
    </w:p>
    <w:p>
      <w:pPr>
        <w:pStyle w:val="BodyText"/>
        <w:spacing w:line="357" w:lineRule="auto"/>
        <w:ind w:right="90" w:firstLine="480"/>
        <w:jc w:val="left"/>
      </w:pPr>
      <w:r>
        <w:rPr/>
        <w:t>经开元信德会计师事务所有限公司审计的财务报表，截止2008年12月31日，诚和伟业的 总资产9,231,138.06元，同比增长21.61%，净资产6,361,608.25元，同比增长7.49%。2008 </w:t>
      </w:r>
      <w:r>
        <w:rPr>
          <w:spacing w:val="-2"/>
        </w:rPr>
        <w:t>年度诚和伟业实现营业务收入25,900,000.00元,同比增长3.72，净利润443,148.35元,同比下</w:t>
      </w:r>
      <w:r>
        <w:rPr>
          <w:spacing w:val="-92"/>
        </w:rPr>
        <w:t> </w:t>
      </w:r>
      <w:r>
        <w:rPr>
          <w:spacing w:val="-92"/>
        </w:rPr>
      </w:r>
      <w:r>
        <w:rPr/>
        <w:t>降39.56%。</w:t>
      </w:r>
    </w:p>
    <w:p>
      <w:pPr>
        <w:spacing w:line="240" w:lineRule="auto" w:before="0"/>
        <w:rPr>
          <w:rFonts w:ascii="宋体" w:hAnsi="宋体" w:cs="宋体" w:eastAsia="宋体" w:hint="default"/>
          <w:sz w:val="24"/>
          <w:szCs w:val="24"/>
        </w:rPr>
      </w:pPr>
    </w:p>
    <w:p>
      <w:pPr>
        <w:pStyle w:val="BodyText"/>
        <w:spacing w:line="240" w:lineRule="auto" w:before="190"/>
        <w:ind w:left="634" w:right="210"/>
        <w:jc w:val="left"/>
      </w:pPr>
      <w:r>
        <w:rPr/>
        <w:t>（2）全资子公司——鞍山荣信科技有限公司(以下简称“荣信科技”)</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240" w:lineRule="auto"/>
        <w:ind w:left="634" w:right="90"/>
        <w:jc w:val="left"/>
      </w:pPr>
      <w:r>
        <w:rPr/>
        <w:t>荣信科技成立于</w:t>
      </w:r>
      <w:r>
        <w:rPr>
          <w:spacing w:val="-59"/>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6"/>
        </w:rPr>
        <w:t>日，注册资本</w:t>
      </w:r>
      <w:r>
        <w:rPr>
          <w:spacing w:val="-59"/>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spacing w:val="-5"/>
        </w:rPr>
        <w:t>万元，公司持有</w:t>
      </w:r>
      <w:r>
        <w:rPr>
          <w:spacing w:val="-59"/>
        </w:rPr>
        <w:t> </w:t>
      </w:r>
      <w:r>
        <w:rPr>
          <w:rFonts w:ascii="Times New Roman" w:hAnsi="Times New Roman" w:cs="Times New Roman" w:eastAsia="Times New Roman" w:hint="default"/>
          <w:spacing w:val="-4"/>
        </w:rPr>
        <w:t>100%</w:t>
      </w:r>
      <w:r>
        <w:rPr>
          <w:spacing w:val="-4"/>
        </w:rPr>
        <w:t>权益，荣信科技的</w:t>
      </w:r>
      <w:r>
        <w:rPr/>
      </w:r>
    </w:p>
    <w:p>
      <w:pPr>
        <w:pStyle w:val="BodyText"/>
        <w:spacing w:line="338" w:lineRule="auto" w:before="134"/>
        <w:ind w:right="172"/>
        <w:jc w:val="left"/>
      </w:pPr>
      <w:r>
        <w:rPr/>
        <w:t>住所为鞍山经济开发区联谊路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号，主营业务为行业应用软件服务、嵌入式软件服务及软件 销售；智能控制系统、自动化成套控制装置系统、自动化控制系统配件的开发。</w:t>
      </w:r>
    </w:p>
    <w:p>
      <w:pPr>
        <w:spacing w:line="240" w:lineRule="auto" w:before="3"/>
        <w:rPr>
          <w:rFonts w:ascii="宋体" w:hAnsi="宋体" w:cs="宋体" w:eastAsia="宋体" w:hint="default"/>
          <w:sz w:val="19"/>
          <w:szCs w:val="19"/>
        </w:rPr>
      </w:pPr>
    </w:p>
    <w:p>
      <w:pPr>
        <w:pStyle w:val="BodyText"/>
        <w:spacing w:line="240" w:lineRule="auto"/>
        <w:ind w:left="634" w:right="90"/>
        <w:jc w:val="left"/>
      </w:pPr>
      <w:r>
        <w:rPr/>
        <w:t>经开元信德会计师事务所有限公司审计的财务报表，截止2008年12月31日，荣信科技的</w:t>
      </w:r>
    </w:p>
    <w:p>
      <w:pPr>
        <w:spacing w:after="0" w:line="240" w:lineRule="auto"/>
        <w:jc w:val="left"/>
        <w:sectPr>
          <w:pgSz w:w="11910" w:h="16840"/>
          <w:pgMar w:header="747" w:footer="669" w:top="980" w:bottom="860" w:left="980" w:right="9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357" w:lineRule="auto" w:before="26"/>
        <w:ind w:right="267"/>
        <w:jc w:val="both"/>
      </w:pPr>
      <w:r>
        <w:rPr/>
        <w:t>总资产2,702,825.31元，同比增长26.92%，净资产1,767,365.42元，同比增长7.68%。2008 </w:t>
      </w:r>
      <w:r>
        <w:rPr>
          <w:spacing w:val="-2"/>
        </w:rPr>
        <w:t>年度荣信科技实现营业务收入7,739,316.26元，同比增长34.60%，净利润126,104.33元，同</w:t>
      </w:r>
      <w:r>
        <w:rPr>
          <w:spacing w:val="-93"/>
        </w:rPr>
        <w:t> </w:t>
      </w:r>
      <w:r>
        <w:rPr>
          <w:spacing w:val="-93"/>
        </w:rPr>
      </w:r>
      <w:r>
        <w:rPr/>
        <w:t>比下降88.59%。</w:t>
      </w:r>
    </w:p>
    <w:p>
      <w:pPr>
        <w:pStyle w:val="BodyText"/>
        <w:spacing w:line="860" w:lineRule="exact" w:before="96"/>
        <w:ind w:left="634" w:right="136"/>
        <w:jc w:val="left"/>
      </w:pPr>
      <w:r>
        <w:rPr/>
        <w:t>（3）全资子公司——荣信嘉时（北京）科技发展有限公司(以下简称“荣信嘉时”) 荣信嘉时成立于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spacing w:val="-6"/>
        </w:rPr>
        <w:t>日，注册资本</w:t>
      </w:r>
      <w:r>
        <w:rPr>
          <w:spacing w:val="-59"/>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spacing w:val="-5"/>
        </w:rPr>
        <w:t>万元，公司持有</w:t>
      </w:r>
      <w:r>
        <w:rPr>
          <w:spacing w:val="-59"/>
        </w:rPr>
        <w:t> </w:t>
      </w:r>
      <w:r>
        <w:rPr>
          <w:rFonts w:ascii="Times New Roman" w:hAnsi="Times New Roman" w:cs="Times New Roman" w:eastAsia="Times New Roman" w:hint="default"/>
          <w:spacing w:val="-4"/>
        </w:rPr>
        <w:t>100%</w:t>
      </w:r>
      <w:r>
        <w:rPr>
          <w:spacing w:val="-4"/>
        </w:rPr>
        <w:t>权益，荣信嘉时</w:t>
      </w:r>
    </w:p>
    <w:p>
      <w:pPr>
        <w:pStyle w:val="BodyText"/>
        <w:spacing w:line="357" w:lineRule="auto" w:before="14"/>
        <w:ind w:left="153" w:right="151"/>
        <w:jc w:val="both"/>
      </w:pPr>
      <w:r>
        <w:rPr/>
        <w:t>的住所为北京市海淀区海淀北二街</w:t>
      </w:r>
      <w:r>
        <w:rPr>
          <w:spacing w:val="-59"/>
        </w:rPr>
        <w:t> </w:t>
      </w:r>
      <w:r>
        <w:rPr/>
        <w:t>10</w:t>
      </w:r>
      <w:r>
        <w:rPr>
          <w:spacing w:val="-59"/>
        </w:rPr>
        <w:t> </w:t>
      </w:r>
      <w:r>
        <w:rPr/>
        <w:t>号泰鹏大厦</w:t>
      </w:r>
      <w:r>
        <w:rPr>
          <w:spacing w:val="-59"/>
        </w:rPr>
        <w:t> </w:t>
      </w:r>
      <w:r>
        <w:rPr/>
        <w:t>8</w:t>
      </w:r>
      <w:r>
        <w:rPr>
          <w:spacing w:val="-59"/>
        </w:rPr>
        <w:t> </w:t>
      </w:r>
      <w:r>
        <w:rPr>
          <w:spacing w:val="-5"/>
        </w:rPr>
        <w:t>层，主营业务为智能控制系统、自动化成</w:t>
      </w:r>
      <w:r>
        <w:rPr/>
        <w:t> 套控制装置系统、自动化控制系统配件的开发、设计、销售。</w:t>
      </w:r>
    </w:p>
    <w:p>
      <w:pPr>
        <w:spacing w:line="240" w:lineRule="auto" w:before="8"/>
        <w:rPr>
          <w:rFonts w:ascii="宋体" w:hAnsi="宋体" w:cs="宋体" w:eastAsia="宋体" w:hint="default"/>
          <w:sz w:val="17"/>
          <w:szCs w:val="17"/>
        </w:rPr>
      </w:pPr>
    </w:p>
    <w:p>
      <w:pPr>
        <w:pStyle w:val="BodyText"/>
        <w:spacing w:line="357" w:lineRule="auto"/>
        <w:ind w:left="153" w:right="171" w:firstLine="480"/>
        <w:jc w:val="left"/>
      </w:pPr>
      <w:r>
        <w:rPr>
          <w:spacing w:val="-2"/>
        </w:rPr>
        <w:t>经开元信德会计师事务所有限公司审计的财务报表，截止2008年12月31日，荣信嘉时的</w:t>
      </w:r>
      <w:r>
        <w:rPr/>
        <w:t> 总资产4,383,081.37元，同比增长6.69%，净资产4,282,761.76元，同比增长4.64%。2008 年度荣信嘉时实现营业务收入14,500,000.00元，净利润189,797.42元，同比增长120.93%。</w:t>
      </w:r>
    </w:p>
    <w:p>
      <w:pPr>
        <w:pStyle w:val="BodyText"/>
        <w:spacing w:line="860" w:lineRule="exact" w:before="96"/>
        <w:ind w:left="633" w:right="137"/>
        <w:jc w:val="left"/>
      </w:pPr>
      <w:r>
        <w:rPr/>
        <w:t>（4）全资子公司——上海清方荣信电子有限公司(以下简称“清方荣信”) 清方荣信成立于</w:t>
      </w:r>
      <w:r>
        <w:rPr>
          <w:spacing w:val="-5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6"/>
        </w:rPr>
        <w:t>日，注册资本</w:t>
      </w:r>
      <w:r>
        <w:rPr>
          <w:spacing w:val="-59"/>
        </w:rPr>
        <w:t> </w:t>
      </w:r>
      <w:r>
        <w:rPr>
          <w:rFonts w:ascii="Times New Roman" w:hAnsi="Times New Roman" w:cs="Times New Roman" w:eastAsia="Times New Roman" w:hint="default"/>
        </w:rPr>
        <w:t>200</w:t>
      </w:r>
      <w:r>
        <w:rPr>
          <w:rFonts w:ascii="Times New Roman" w:hAnsi="Times New Roman" w:cs="Times New Roman" w:eastAsia="Times New Roman" w:hint="default"/>
          <w:spacing w:val="1"/>
        </w:rPr>
        <w:t> </w:t>
      </w:r>
      <w:r>
        <w:rPr>
          <w:spacing w:val="-5"/>
        </w:rPr>
        <w:t>万元，公司持有</w:t>
      </w:r>
      <w:r>
        <w:rPr>
          <w:spacing w:val="-59"/>
        </w:rPr>
        <w:t> </w:t>
      </w:r>
      <w:r>
        <w:rPr>
          <w:rFonts w:ascii="Times New Roman" w:hAnsi="Times New Roman" w:cs="Times New Roman" w:eastAsia="Times New Roman" w:hint="default"/>
          <w:spacing w:val="-4"/>
        </w:rPr>
        <w:t>100%</w:t>
      </w:r>
      <w:r>
        <w:rPr>
          <w:spacing w:val="-4"/>
        </w:rPr>
        <w:t>权益，清方荣信</w:t>
      </w:r>
    </w:p>
    <w:p>
      <w:pPr>
        <w:pStyle w:val="BodyText"/>
        <w:spacing w:line="338" w:lineRule="auto" w:before="14"/>
        <w:ind w:left="0" w:right="151"/>
        <w:jc w:val="right"/>
      </w:pPr>
      <w:r>
        <w:rPr/>
        <w:t>的住所为上海市浦东新区凌白路</w:t>
      </w:r>
      <w:r>
        <w:rPr>
          <w:spacing w:val="-54"/>
        </w:rPr>
        <w:t> </w:t>
      </w:r>
      <w:r>
        <w:rPr>
          <w:rFonts w:ascii="Times New Roman" w:hAnsi="Times New Roman" w:cs="Times New Roman" w:eastAsia="Times New Roman" w:hint="default"/>
        </w:rPr>
        <w:t>1081</w:t>
      </w:r>
      <w:r>
        <w:rPr>
          <w:rFonts w:ascii="Times New Roman" w:hAnsi="Times New Roman" w:cs="Times New Roman" w:eastAsia="Times New Roman" w:hint="default"/>
          <w:spacing w:val="6"/>
        </w:rPr>
        <w:t> </w:t>
      </w:r>
      <w:r>
        <w:rPr>
          <w:spacing w:val="-4"/>
        </w:rPr>
        <w:t>号，主营业务为电子产品、电气设备的设计、销售、计</w:t>
      </w:r>
      <w:r>
        <w:rPr/>
        <w:t> 算机软件开发、应用、销售，机械设备、仪器仪表的销售、从事货物与技术的进出口业务。</w:t>
      </w:r>
    </w:p>
    <w:p>
      <w:pPr>
        <w:pStyle w:val="BodyText"/>
        <w:spacing w:line="357" w:lineRule="auto" w:before="94"/>
        <w:ind w:left="153" w:right="188" w:firstLine="480"/>
        <w:jc w:val="left"/>
      </w:pPr>
      <w:r>
        <w:rPr/>
        <w:t>经开元信德会计师事务所有限公司审计的财务报表，截止2008年12月31日，清方荣信的 总资产1,981,072.35元，同比增长20.44%，净资产1,608,968.52元，同比下降2.19%。2008 年度清方荣信实现营业务收入3,428,041.00，净利润-35,952.76元，同比增长89.87%。</w:t>
      </w:r>
    </w:p>
    <w:p>
      <w:pPr>
        <w:spacing w:line="240" w:lineRule="auto" w:before="0"/>
        <w:rPr>
          <w:rFonts w:ascii="宋体" w:hAnsi="宋体" w:cs="宋体" w:eastAsia="宋体" w:hint="default"/>
          <w:sz w:val="24"/>
          <w:szCs w:val="24"/>
        </w:rPr>
      </w:pPr>
    </w:p>
    <w:p>
      <w:pPr>
        <w:pStyle w:val="BodyText"/>
        <w:spacing w:line="357" w:lineRule="auto" w:before="188"/>
        <w:ind w:left="633" w:right="143" w:firstLine="2"/>
        <w:jc w:val="left"/>
      </w:pPr>
      <w:r>
        <w:rPr/>
        <w:t>（5）控股子公司—北京信力筑正新能源技术有限公司（以下简称“信力筑正”） </w:t>
      </w:r>
      <w:r>
        <w:rPr>
          <w:spacing w:val="-2"/>
        </w:rPr>
        <w:t>信力筑正成立于2007年12月10日，注册资本3000万元，公司持有60%权益，信力筑正的住</w:t>
      </w:r>
    </w:p>
    <w:p>
      <w:pPr>
        <w:pStyle w:val="BodyText"/>
        <w:spacing w:line="357" w:lineRule="auto" w:before="35"/>
        <w:ind w:left="153" w:right="151"/>
        <w:jc w:val="both"/>
      </w:pPr>
      <w:r>
        <w:rPr>
          <w:spacing w:val="-2"/>
        </w:rPr>
        <w:t>所为北京市石景山区实兴东街八号，主营业务为高炉炉顶余压发电节能系统（TRT），喷煤节</w:t>
      </w:r>
      <w:r>
        <w:rPr/>
        <w:t> 能项目，烧结余热发电及鼓风脱湿节能系统；转炉干法除尘、湿法除尘系统，重力干法除尘 余热发电节能系统；三电设计和干熄焦项目的工程总包。</w:t>
      </w:r>
    </w:p>
    <w:p>
      <w:pPr>
        <w:pStyle w:val="BodyText"/>
        <w:spacing w:line="357" w:lineRule="auto" w:before="35"/>
        <w:ind w:left="153" w:right="171" w:firstLine="480"/>
        <w:jc w:val="left"/>
      </w:pPr>
      <w:r>
        <w:rPr/>
        <w:t>经开元信德会计师事务所有限公司审计的财务报表，截止2008年12月31日，信力筑正的 总资产40,176,420.59元，净资产30,761,000.15元。2008年度信力筑正实现营业务收入</w:t>
      </w:r>
    </w:p>
    <w:p>
      <w:pPr>
        <w:spacing w:after="0" w:line="357"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240" w:lineRule="auto" w:before="26"/>
        <w:ind w:right="92"/>
        <w:jc w:val="left"/>
      </w:pPr>
      <w:r>
        <w:rPr/>
        <w:t>6,036,653.60，净利润503,300.15元。</w:t>
      </w:r>
    </w:p>
    <w:p>
      <w:pPr>
        <w:spacing w:line="240" w:lineRule="auto" w:before="6"/>
        <w:rPr>
          <w:rFonts w:ascii="宋体" w:hAnsi="宋体" w:cs="宋体" w:eastAsia="宋体" w:hint="default"/>
          <w:sz w:val="35"/>
          <w:szCs w:val="35"/>
        </w:rPr>
      </w:pPr>
    </w:p>
    <w:p>
      <w:pPr>
        <w:pStyle w:val="BodyText"/>
        <w:spacing w:line="357" w:lineRule="auto"/>
        <w:ind w:left="634" w:right="336"/>
        <w:jc w:val="left"/>
      </w:pPr>
      <w:r>
        <w:rPr/>
        <w:t>（6）参股公司——北京荣信电通科技发展有限公司 </w:t>
      </w:r>
      <w:r>
        <w:rPr>
          <w:spacing w:val="-2"/>
        </w:rPr>
        <w:t>注册资本1000万元，法定代表人为宋联忠。公司出资100万元，占注册资本的10%。该公</w:t>
      </w:r>
    </w:p>
    <w:p>
      <w:pPr>
        <w:pStyle w:val="BodyText"/>
        <w:spacing w:line="240" w:lineRule="auto" w:before="35"/>
        <w:ind w:right="92"/>
        <w:jc w:val="left"/>
      </w:pPr>
      <w:r>
        <w:rPr/>
        <w:t>司的主营业务为高压电气销售。</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pStyle w:val="Heading4"/>
        <w:tabs>
          <w:tab w:pos="7744" w:val="left" w:leader="none"/>
        </w:tabs>
        <w:spacing w:line="240" w:lineRule="auto" w:before="0"/>
        <w:ind w:left="634" w:right="92"/>
        <w:jc w:val="left"/>
        <w:rPr>
          <w:b w:val="0"/>
          <w:bCs w:val="0"/>
        </w:rPr>
      </w:pPr>
      <w:r>
        <w:rPr>
          <w:w w:val="95"/>
        </w:rPr>
        <w:t>8、主要债权、债务变动分析</w:t>
        <w:tab/>
      </w:r>
      <w:r>
        <w:rPr/>
        <w:t>单位:万元</w:t>
      </w:r>
      <w:r>
        <w:rPr>
          <w:b w:val="0"/>
          <w:bCs w:val="0"/>
        </w:rPr>
      </w:r>
    </w:p>
    <w:p>
      <w:pPr>
        <w:spacing w:line="240" w:lineRule="auto" w:before="9"/>
        <w:rPr>
          <w:rFonts w:ascii="宋体" w:hAnsi="宋体" w:cs="宋体" w:eastAsia="宋体" w:hint="default"/>
          <w:b/>
          <w:bCs/>
          <w:sz w:val="14"/>
          <w:szCs w:val="14"/>
        </w:rPr>
      </w:pPr>
    </w:p>
    <w:tbl>
      <w:tblPr>
        <w:tblW w:w="0" w:type="auto"/>
        <w:jc w:val="left"/>
        <w:tblInd w:w="793" w:type="dxa"/>
        <w:tblLayout w:type="fixed"/>
        <w:tblCellMar>
          <w:top w:w="0" w:type="dxa"/>
          <w:left w:w="0" w:type="dxa"/>
          <w:bottom w:w="0" w:type="dxa"/>
          <w:right w:w="0" w:type="dxa"/>
        </w:tblCellMar>
        <w:tblLook w:val="01E0"/>
      </w:tblPr>
      <w:tblGrid>
        <w:gridCol w:w="1740"/>
        <w:gridCol w:w="1720"/>
        <w:gridCol w:w="1721"/>
        <w:gridCol w:w="1519"/>
        <w:gridCol w:w="1640"/>
      </w:tblGrid>
      <w:tr>
        <w:trPr>
          <w:trHeight w:val="320" w:hRule="exact"/>
        </w:trPr>
        <w:tc>
          <w:tcPr>
            <w:tcW w:w="17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6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64"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274" w:right="0"/>
              <w:jc w:val="left"/>
              <w:rPr>
                <w:rFonts w:ascii="宋体" w:hAnsi="宋体" w:cs="宋体" w:eastAsia="宋体" w:hint="default"/>
                <w:sz w:val="24"/>
                <w:szCs w:val="24"/>
              </w:rPr>
            </w:pPr>
            <w:r>
              <w:rPr>
                <w:rFonts w:ascii="宋体" w:hAnsi="宋体" w:cs="宋体" w:eastAsia="宋体" w:hint="default"/>
                <w:sz w:val="24"/>
                <w:szCs w:val="24"/>
              </w:rPr>
              <w:t>同比增减</w:t>
            </w:r>
          </w:p>
        </w:tc>
        <w:tc>
          <w:tcPr>
            <w:tcW w:w="16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24"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430" w:hRule="exact"/>
        </w:trPr>
        <w:tc>
          <w:tcPr>
            <w:tcW w:w="174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51"/>
              <w:ind w:right="2"/>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7,000.00</w:t>
            </w:r>
          </w:p>
        </w:tc>
        <w:tc>
          <w:tcPr>
            <w:tcW w:w="1721" w:type="dxa"/>
            <w:tcBorders>
              <w:top w:val="single" w:sz="4" w:space="0" w:color="000000"/>
              <w:left w:val="single" w:sz="4" w:space="0" w:color="000000"/>
              <w:bottom w:val="single" w:sz="4" w:space="0" w:color="000000"/>
              <w:right w:val="single" w:sz="4" w:space="0" w:color="000000"/>
            </w:tcBorders>
          </w:tcPr>
          <w:p>
            <w:pPr/>
          </w:p>
        </w:tc>
        <w:tc>
          <w:tcPr>
            <w:tcW w:w="1519"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1,280.00</w:t>
            </w:r>
          </w:p>
        </w:tc>
      </w:tr>
      <w:tr>
        <w:trPr>
          <w:trHeight w:val="335" w:hRule="exact"/>
        </w:trPr>
        <w:tc>
          <w:tcPr>
            <w:tcW w:w="17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9,640.01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5,211.02</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w w:val="95"/>
                <w:sz w:val="18"/>
              </w:rPr>
              <w:t>84.99%</w:t>
            </w:r>
            <w:r>
              <w:rPr>
                <w:rFonts w:ascii="Times New Roman"/>
                <w:sz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3,634.79</w:t>
            </w:r>
          </w:p>
        </w:tc>
      </w:tr>
      <w:tr>
        <w:trPr>
          <w:trHeight w:val="336" w:hRule="exact"/>
        </w:trPr>
        <w:tc>
          <w:tcPr>
            <w:tcW w:w="17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应收帐款</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33,567.10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20,232.64</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w w:val="95"/>
                <w:sz w:val="18"/>
              </w:rPr>
              <w:t>65.91%</w:t>
            </w:r>
            <w:r>
              <w:rPr>
                <w:rFonts w:ascii="Times New Roman"/>
                <w:sz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9,824.49</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BodyText"/>
        <w:spacing w:line="357" w:lineRule="auto" w:before="26"/>
        <w:ind w:right="111" w:firstLine="480"/>
        <w:jc w:val="both"/>
      </w:pPr>
      <w:r>
        <w:rPr/>
        <w:t>报告期公司应收帐款比期初增加</w:t>
      </w:r>
      <w:r>
        <w:rPr>
          <w:spacing w:val="-68"/>
        </w:rPr>
        <w:t> </w:t>
      </w:r>
      <w:r>
        <w:rPr/>
        <w:t>84.99%，是由于销售收入增加所致。公司客户一般为国</w:t>
      </w:r>
      <w:r>
        <w:rPr/>
        <w:t> 有大型企业，实行严格的内部审批制度，由于客户内部决策原因，造成付款延迟的现象较为</w:t>
      </w:r>
      <w:r>
        <w:rPr>
          <w:spacing w:val="-83"/>
        </w:rPr>
        <w:t> </w:t>
      </w:r>
      <w:r>
        <w:rPr>
          <w:spacing w:val="-83"/>
        </w:rPr>
      </w:r>
      <w:r>
        <w:rPr/>
        <w:t>普遍，不能严格按合同规定时间付款，90%的货款回款期通常需要 6 个月—12 月，还有</w:t>
      </w:r>
      <w:r>
        <w:rPr>
          <w:spacing w:val="-84"/>
        </w:rPr>
        <w:t> </w:t>
      </w:r>
      <w:r>
        <w:rPr/>
        <w:t>10%</w:t>
      </w:r>
      <w:r>
        <w:rPr/>
        <w:t> </w:t>
      </w:r>
      <w:r>
        <w:rPr>
          <w:spacing w:val="-2"/>
        </w:rPr>
        <w:t>的货款作为质保，要一年以后才能收回，致使公司应收帐款随着销售规模的扩大而逐年增加。</w:t>
      </w:r>
    </w:p>
    <w:p>
      <w:pPr>
        <w:pStyle w:val="BodyText"/>
        <w:spacing w:line="357" w:lineRule="auto" w:before="74"/>
        <w:ind w:right="268" w:firstLine="480"/>
        <w:jc w:val="both"/>
      </w:pPr>
      <w:r>
        <w:rPr/>
        <w:t>本行业客户一般为大型企业，信誉好，支付能力有保证。公司产品售出后要为客户提供 软件升级、维护等售后服务，客户为享受优质的售后服务，保证设备持续稳定运行，主观上 也不愿意拖欠货款，另外公司的应收帐款投保了中国出口信用保险公司辽宁分公司，公司可 以根据需要通过融信达业务将应收帐款收回，且这种方式是无追索权的，进一步降低了应收 帐款回收的风险，所以公司应收帐款可回收性强。</w:t>
      </w:r>
    </w:p>
    <w:p>
      <w:pPr>
        <w:pStyle w:val="BodyText"/>
        <w:spacing w:line="357" w:lineRule="auto" w:before="35"/>
        <w:ind w:left="634" w:right="970"/>
        <w:jc w:val="left"/>
      </w:pPr>
      <w:r>
        <w:rPr/>
        <w:t>报告期公司应付帐款同比增加84.99%，是由于订单增长，原材料采购增加所致。 短期借款增加是因为银行贷款增加所致。</w:t>
      </w:r>
    </w:p>
    <w:p>
      <w:pPr>
        <w:spacing w:line="240" w:lineRule="auto" w:before="7"/>
        <w:rPr>
          <w:rFonts w:ascii="宋体" w:hAnsi="宋体" w:cs="宋体" w:eastAsia="宋体" w:hint="default"/>
          <w:sz w:val="26"/>
          <w:szCs w:val="26"/>
        </w:rPr>
      </w:pPr>
    </w:p>
    <w:p>
      <w:pPr>
        <w:pStyle w:val="Heading4"/>
        <w:spacing w:line="240" w:lineRule="auto" w:before="0"/>
        <w:ind w:left="634" w:right="92"/>
        <w:jc w:val="left"/>
        <w:rPr>
          <w:b w:val="0"/>
          <w:bCs w:val="0"/>
        </w:rPr>
      </w:pPr>
      <w:r>
        <w:rPr/>
        <w:t>9、偿债能力分析</w:t>
      </w:r>
      <w:r>
        <w:rPr>
          <w:b w:val="0"/>
          <w:bCs w:val="0"/>
        </w:rPr>
      </w:r>
    </w:p>
    <w:p>
      <w:pPr>
        <w:spacing w:line="240" w:lineRule="auto" w:before="9"/>
        <w:rPr>
          <w:rFonts w:ascii="宋体" w:hAnsi="宋体" w:cs="宋体" w:eastAsia="宋体" w:hint="default"/>
          <w:b/>
          <w:bCs/>
          <w:sz w:val="14"/>
          <w:szCs w:val="14"/>
        </w:rPr>
      </w:pPr>
    </w:p>
    <w:tbl>
      <w:tblPr>
        <w:tblW w:w="0" w:type="auto"/>
        <w:jc w:val="left"/>
        <w:tblInd w:w="793" w:type="dxa"/>
        <w:tblLayout w:type="fixed"/>
        <w:tblCellMar>
          <w:top w:w="0" w:type="dxa"/>
          <w:left w:w="0" w:type="dxa"/>
          <w:bottom w:w="0" w:type="dxa"/>
          <w:right w:w="0" w:type="dxa"/>
        </w:tblCellMar>
        <w:tblLook w:val="01E0"/>
      </w:tblPr>
      <w:tblGrid>
        <w:gridCol w:w="1740"/>
        <w:gridCol w:w="1720"/>
        <w:gridCol w:w="1721"/>
        <w:gridCol w:w="1519"/>
        <w:gridCol w:w="1640"/>
      </w:tblGrid>
      <w:tr>
        <w:trPr>
          <w:trHeight w:val="321" w:hRule="exact"/>
        </w:trPr>
        <w:tc>
          <w:tcPr>
            <w:tcW w:w="17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6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64"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274" w:right="0"/>
              <w:jc w:val="left"/>
              <w:rPr>
                <w:rFonts w:ascii="宋体" w:hAnsi="宋体" w:cs="宋体" w:eastAsia="宋体" w:hint="default"/>
                <w:sz w:val="24"/>
                <w:szCs w:val="24"/>
              </w:rPr>
            </w:pPr>
            <w:r>
              <w:rPr>
                <w:rFonts w:ascii="宋体" w:hAnsi="宋体" w:cs="宋体" w:eastAsia="宋体" w:hint="default"/>
                <w:sz w:val="24"/>
                <w:szCs w:val="24"/>
              </w:rPr>
              <w:t>同比增减</w:t>
            </w:r>
          </w:p>
        </w:tc>
        <w:tc>
          <w:tcPr>
            <w:tcW w:w="16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24"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329" w:hRule="exact"/>
        </w:trPr>
        <w:tc>
          <w:tcPr>
            <w:tcW w:w="174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2.05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3.50</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-1.45</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2.46</w:t>
            </w:r>
          </w:p>
        </w:tc>
      </w:tr>
      <w:tr>
        <w:trPr>
          <w:trHeight w:val="336" w:hRule="exact"/>
        </w:trPr>
        <w:tc>
          <w:tcPr>
            <w:tcW w:w="17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1.64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3.07</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z w:val="18"/>
              </w:rPr>
              <w:t>-1.43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2.11</w:t>
            </w:r>
          </w:p>
        </w:tc>
      </w:tr>
      <w:tr>
        <w:trPr>
          <w:trHeight w:val="335" w:hRule="exact"/>
        </w:trPr>
        <w:tc>
          <w:tcPr>
            <w:tcW w:w="17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24"/>
              <w:ind w:right="4"/>
              <w:jc w:val="center"/>
              <w:rPr>
                <w:rFonts w:ascii="宋体" w:hAnsi="宋体" w:cs="宋体" w:eastAsia="宋体" w:hint="default"/>
                <w:sz w:val="20"/>
                <w:szCs w:val="20"/>
              </w:rPr>
            </w:pPr>
            <w:r>
              <w:rPr>
                <w:rFonts w:ascii="宋体" w:hAnsi="宋体" w:cs="宋体" w:eastAsia="宋体" w:hint="default"/>
                <w:sz w:val="18"/>
                <w:szCs w:val="18"/>
              </w:rPr>
              <w:t>资产负债率</w:t>
            </w:r>
            <w:r>
              <w:rPr>
                <w:rFonts w:ascii="宋体" w:hAnsi="宋体" w:cs="宋体" w:eastAsia="宋体" w:hint="default"/>
                <w:sz w:val="20"/>
                <w:szCs w:val="20"/>
              </w:rPr>
              <w:t>（%）</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5"/>
                <w:sz w:val="18"/>
              </w:rPr>
              <w:t>38.01%</w:t>
            </w:r>
            <w:r>
              <w:rPr>
                <w:rFonts w:ascii="Times New Roman"/>
                <w:sz w:val="18"/>
              </w:rPr>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w w:val="95"/>
                <w:sz w:val="18"/>
              </w:rPr>
              <w:t>29.07%</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w w:val="95"/>
                <w:sz w:val="18"/>
              </w:rPr>
              <w:t>8.94%</w:t>
            </w:r>
            <w:r>
              <w:rPr>
                <w:rFonts w:ascii="Times New Roman"/>
                <w:sz w:val="18"/>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w w:val="95"/>
                <w:sz w:val="18"/>
              </w:rPr>
              <w:t>43.10%</w:t>
            </w:r>
            <w:r>
              <w:rPr>
                <w:rFonts w:ascii="Times New Roman"/>
                <w:sz w:val="18"/>
              </w:rPr>
            </w:r>
          </w:p>
        </w:tc>
      </w:tr>
    </w:tbl>
    <w:p>
      <w:pPr>
        <w:spacing w:line="240" w:lineRule="auto" w:before="11"/>
        <w:rPr>
          <w:rFonts w:ascii="宋体" w:hAnsi="宋体" w:cs="宋体" w:eastAsia="宋体" w:hint="default"/>
          <w:b/>
          <w:bCs/>
          <w:sz w:val="18"/>
          <w:szCs w:val="18"/>
        </w:rPr>
      </w:pPr>
    </w:p>
    <w:p>
      <w:pPr>
        <w:pStyle w:val="BodyText"/>
        <w:spacing w:line="357" w:lineRule="auto" w:before="26"/>
        <w:ind w:right="268" w:firstLine="480"/>
        <w:jc w:val="both"/>
      </w:pPr>
      <w:r>
        <w:rPr/>
        <w:t>报告期，公司流动比率和速动比率下降的原因是流动负债同比增加99.53%所致，流动负 债主要是短期借款、应付帐款和预收帐款增加所致，其中预收帐款不存在偿债压力。公司资 产负债率保持在合理水平。综合公司的偿债能力指标，我们认为，公司的资产主要以流动资</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spacing w:line="712" w:lineRule="auto" w:before="26"/>
        <w:ind w:left="634" w:right="410" w:hanging="480"/>
        <w:jc w:val="left"/>
        <w:rPr>
          <w:rFonts w:ascii="宋体" w:hAnsi="宋体" w:cs="宋体" w:eastAsia="宋体" w:hint="default"/>
          <w:sz w:val="24"/>
          <w:szCs w:val="24"/>
        </w:rPr>
      </w:pPr>
      <w:r>
        <w:rPr/>
        <w:pict>
          <v:shape style="position:absolute;margin-left:88.68pt;margin-top:73.275932pt;width:418pt;height:50.1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0"/>
                    <w:gridCol w:w="1720"/>
                    <w:gridCol w:w="1721"/>
                    <w:gridCol w:w="1519"/>
                    <w:gridCol w:w="1640"/>
                  </w:tblGrid>
                  <w:tr>
                    <w:trPr>
                      <w:trHeight w:val="322" w:hRule="exact"/>
                    </w:trPr>
                    <w:tc>
                      <w:tcPr>
                        <w:tcW w:w="17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64"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72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64"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519"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274" w:right="0"/>
                          <w:jc w:val="left"/>
                          <w:rPr>
                            <w:rFonts w:ascii="宋体" w:hAnsi="宋体" w:cs="宋体" w:eastAsia="宋体" w:hint="default"/>
                            <w:sz w:val="24"/>
                            <w:szCs w:val="24"/>
                          </w:rPr>
                        </w:pPr>
                        <w:r>
                          <w:rPr>
                            <w:rFonts w:ascii="宋体" w:hAnsi="宋体" w:cs="宋体" w:eastAsia="宋体" w:hint="default"/>
                            <w:sz w:val="24"/>
                            <w:szCs w:val="24"/>
                          </w:rPr>
                          <w:t>同比增减</w:t>
                        </w:r>
                      </w:p>
                    </w:tc>
                    <w:tc>
                      <w:tcPr>
                        <w:tcW w:w="164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424"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330" w:hRule="exact"/>
                    </w:trPr>
                    <w:tc>
                      <w:tcPr>
                        <w:tcW w:w="174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应收帐款周转率</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2.01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2.28</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8"/>
                            <w:szCs w:val="18"/>
                          </w:rPr>
                        </w:pPr>
                        <w:r>
                          <w:rPr>
                            <w:rFonts w:ascii="Times New Roman"/>
                            <w:sz w:val="18"/>
                          </w:rPr>
                          <w:t>-0.27</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2.66</w:t>
                        </w:r>
                      </w:p>
                    </w:tc>
                  </w:tr>
                  <w:tr>
                    <w:trPr>
                      <w:trHeight w:val="336" w:hRule="exact"/>
                    </w:trPr>
                    <w:tc>
                      <w:tcPr>
                        <w:tcW w:w="174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存货周转率</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2.55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2"/>
                          <w:jc w:val="right"/>
                          <w:rPr>
                            <w:rFonts w:ascii="Times New Roman" w:hAnsi="Times New Roman" w:cs="Times New Roman" w:eastAsia="Times New Roman" w:hint="default"/>
                            <w:sz w:val="18"/>
                            <w:szCs w:val="18"/>
                          </w:rPr>
                        </w:pPr>
                        <w:r>
                          <w:rPr>
                            <w:rFonts w:ascii="Times New Roman"/>
                            <w:sz w:val="18"/>
                          </w:rPr>
                          <w:t>3.21</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0"/>
                          <w:jc w:val="right"/>
                          <w:rPr>
                            <w:rFonts w:ascii="Times New Roman" w:hAnsi="Times New Roman" w:cs="Times New Roman" w:eastAsia="Times New Roman" w:hint="default"/>
                            <w:sz w:val="18"/>
                            <w:szCs w:val="18"/>
                          </w:rPr>
                        </w:pPr>
                        <w:r>
                          <w:rPr>
                            <w:rFonts w:ascii="Times New Roman"/>
                            <w:sz w:val="18"/>
                          </w:rPr>
                          <w:t>-0.66</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01"/>
                          <w:jc w:val="right"/>
                          <w:rPr>
                            <w:rFonts w:ascii="Times New Roman" w:hAnsi="Times New Roman" w:cs="Times New Roman" w:eastAsia="Times New Roman" w:hint="default"/>
                            <w:sz w:val="18"/>
                            <w:szCs w:val="18"/>
                          </w:rPr>
                        </w:pPr>
                        <w:r>
                          <w:rPr>
                            <w:rFonts w:ascii="Times New Roman"/>
                            <w:sz w:val="18"/>
                          </w:rPr>
                          <w:t>3.66</w:t>
                        </w:r>
                      </w:p>
                    </w:tc>
                  </w:tr>
                </w:tbl>
                <w:p>
                  <w:pPr/>
                </w:p>
              </w:txbxContent>
            </v:textbox>
            <w10:wrap type="none"/>
          </v:shape>
        </w:pict>
      </w:r>
      <w:r>
        <w:rPr>
          <w:rFonts w:ascii="宋体" w:hAnsi="宋体" w:cs="宋体" w:eastAsia="宋体" w:hint="default"/>
          <w:sz w:val="24"/>
          <w:szCs w:val="24"/>
        </w:rPr>
        <w:t>产为主，变现能力较强，银行资信优良，银行授信额度充足，因此公司不存在偿债风险。 </w:t>
      </w:r>
      <w:r>
        <w:rPr>
          <w:rFonts w:ascii="宋体" w:hAnsi="宋体" w:cs="宋体" w:eastAsia="宋体" w:hint="default"/>
          <w:b/>
          <w:bCs/>
          <w:sz w:val="24"/>
          <w:szCs w:val="24"/>
        </w:rPr>
        <w:t>10、资产营运能力分析</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357" w:lineRule="auto" w:before="26"/>
        <w:ind w:right="188" w:firstLine="480"/>
        <w:jc w:val="both"/>
      </w:pPr>
      <w:r>
        <w:rPr/>
        <w:t>报告期，公司应收帐款周转率同比降低0.27，公司将通过加大催款力度，采用荣信达业 务等方式加快应收帐款周转。存货周转率同比下降0.66是由于增加原材料储备所致。公司是 以销定产不存在产品积压问题。</w:t>
      </w:r>
    </w:p>
    <w:p>
      <w:pPr>
        <w:pStyle w:val="Heading4"/>
        <w:tabs>
          <w:tab w:pos="7748" w:val="left" w:leader="none"/>
        </w:tabs>
        <w:spacing w:line="240" w:lineRule="auto" w:before="35"/>
        <w:ind w:left="636" w:right="0"/>
        <w:jc w:val="left"/>
        <w:rPr>
          <w:b w:val="0"/>
          <w:bCs w:val="0"/>
        </w:rPr>
      </w:pPr>
      <w:r>
        <w:rPr>
          <w:w w:val="95"/>
        </w:rPr>
        <w:t>11、研发投入</w:t>
        <w:tab/>
      </w:r>
      <w:r>
        <w:rPr/>
        <w:t>单位:万元</w:t>
      </w:r>
      <w:r>
        <w:rPr>
          <w:b w:val="0"/>
          <w:bCs w:val="0"/>
        </w:rPr>
      </w:r>
    </w:p>
    <w:p>
      <w:pPr>
        <w:spacing w:line="240" w:lineRule="auto" w:before="9"/>
        <w:rPr>
          <w:rFonts w:ascii="宋体" w:hAnsi="宋体" w:cs="宋体" w:eastAsia="宋体" w:hint="default"/>
          <w:b/>
          <w:bCs/>
          <w:sz w:val="14"/>
          <w:szCs w:val="14"/>
        </w:rPr>
      </w:pPr>
    </w:p>
    <w:tbl>
      <w:tblPr>
        <w:tblW w:w="0" w:type="auto"/>
        <w:jc w:val="left"/>
        <w:tblInd w:w="758" w:type="dxa"/>
        <w:tblLayout w:type="fixed"/>
        <w:tblCellMar>
          <w:top w:w="0" w:type="dxa"/>
          <w:left w:w="0" w:type="dxa"/>
          <w:bottom w:w="0" w:type="dxa"/>
          <w:right w:w="0" w:type="dxa"/>
        </w:tblCellMar>
        <w:tblLook w:val="01E0"/>
      </w:tblPr>
      <w:tblGrid>
        <w:gridCol w:w="2539"/>
        <w:gridCol w:w="2100"/>
        <w:gridCol w:w="1860"/>
        <w:gridCol w:w="1920"/>
      </w:tblGrid>
      <w:tr>
        <w:trPr>
          <w:trHeight w:val="322" w:hRule="exact"/>
        </w:trPr>
        <w:tc>
          <w:tcPr>
            <w:tcW w:w="2539" w:type="dxa"/>
            <w:tcBorders>
              <w:top w:val="single" w:sz="4" w:space="0" w:color="000000"/>
              <w:left w:val="single" w:sz="4" w:space="0" w:color="000000"/>
              <w:bottom w:val="single" w:sz="4" w:space="0" w:color="000000"/>
              <w:right w:val="single" w:sz="4" w:space="0" w:color="000000"/>
            </w:tcBorders>
            <w:shd w:val="clear" w:color="auto" w:fill="969696"/>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left="655"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860"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left="535"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1920" w:type="dxa"/>
            <w:tcBorders>
              <w:top w:val="single" w:sz="4" w:space="0" w:color="000000"/>
              <w:left w:val="single" w:sz="4" w:space="0" w:color="000000"/>
              <w:bottom w:val="single" w:sz="4" w:space="0" w:color="000000"/>
              <w:right w:val="single" w:sz="4" w:space="0" w:color="000000"/>
            </w:tcBorders>
            <w:shd w:val="clear" w:color="auto" w:fill="969696"/>
          </w:tcPr>
          <w:p>
            <w:pPr>
              <w:pStyle w:val="TableParagraph"/>
              <w:spacing w:line="275" w:lineRule="exact"/>
              <w:ind w:left="565"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p>
        </w:tc>
      </w:tr>
      <w:tr>
        <w:trPr>
          <w:trHeight w:val="295"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研发投入</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5,505.58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5,204.79</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2,931.18</w:t>
            </w:r>
          </w:p>
        </w:tc>
      </w:tr>
      <w:tr>
        <w:trPr>
          <w:trHeight w:val="295" w:hRule="exact"/>
        </w:trPr>
        <w:tc>
          <w:tcPr>
            <w:tcW w:w="2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占销售收入比重%</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9.45%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sz w:val="18"/>
              </w:rPr>
              <w:t>14.18%</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pacing w:val="-1"/>
                <w:sz w:val="21"/>
              </w:rPr>
              <w:t>12.50%</w:t>
            </w:r>
          </w:p>
        </w:tc>
      </w:tr>
    </w:tbl>
    <w:p>
      <w:pPr>
        <w:spacing w:line="240" w:lineRule="auto" w:before="0"/>
        <w:rPr>
          <w:rFonts w:ascii="宋体" w:hAnsi="宋体" w:cs="宋体" w:eastAsia="宋体" w:hint="default"/>
          <w:b/>
          <w:bCs/>
          <w:sz w:val="20"/>
          <w:szCs w:val="20"/>
        </w:rPr>
      </w:pPr>
    </w:p>
    <w:p>
      <w:pPr>
        <w:pStyle w:val="Heading2"/>
        <w:spacing w:line="240" w:lineRule="auto" w:before="159"/>
        <w:ind w:left="634" w:right="0"/>
        <w:jc w:val="left"/>
        <w:rPr>
          <w:b w:val="0"/>
          <w:bCs w:val="0"/>
        </w:rPr>
      </w:pPr>
      <w:r>
        <w:rPr/>
        <w:t>(二)对公司未来发展情况的展望</w:t>
      </w:r>
      <w:r>
        <w:rPr>
          <w:b w:val="0"/>
          <w:bCs w:val="0"/>
        </w:rPr>
      </w:r>
    </w:p>
    <w:p>
      <w:pPr>
        <w:pStyle w:val="Heading4"/>
        <w:spacing w:line="240" w:lineRule="auto" w:before="225"/>
        <w:ind w:left="636" w:right="0"/>
        <w:jc w:val="left"/>
        <w:rPr>
          <w:b w:val="0"/>
          <w:bCs w:val="0"/>
        </w:rPr>
      </w:pPr>
      <w:r>
        <w:rPr/>
        <w:t>1、公司所处行业的发展趋势及面临的市场竞争格局</w:t>
      </w:r>
      <w:r>
        <w:rPr>
          <w:b w:val="0"/>
          <w:bCs w:val="0"/>
        </w:rPr>
      </w:r>
    </w:p>
    <w:p>
      <w:pPr>
        <w:pStyle w:val="BodyText"/>
        <w:spacing w:line="386" w:lineRule="auto" w:before="193"/>
        <w:ind w:left="633" w:right="0"/>
        <w:jc w:val="left"/>
      </w:pPr>
      <w:r>
        <w:rPr/>
        <w:t>①行业发展的趋势 节能大功率电力电子设备制造业是一个新兴行业，涉及重大节能技术，为先进制造业、</w:t>
      </w:r>
    </w:p>
    <w:p>
      <w:pPr>
        <w:pStyle w:val="BodyText"/>
        <w:spacing w:line="386" w:lineRule="auto" w:before="6"/>
        <w:ind w:left="634" w:right="0" w:hanging="480"/>
        <w:jc w:val="left"/>
      </w:pPr>
      <w:r>
        <w:rPr/>
        <w:t>国家重大装备制造业及高技术产业，受国家多项政策支持</w:t>
      </w:r>
      <w:r>
        <w:rPr>
          <w:sz w:val="18"/>
          <w:szCs w:val="18"/>
        </w:rPr>
        <w:t>。</w:t>
      </w:r>
      <w:r>
        <w:rPr>
          <w:sz w:val="18"/>
          <w:szCs w:val="18"/>
        </w:rPr>
        <w:t> </w:t>
      </w:r>
      <w:r>
        <w:rPr/>
        <w:t>节能大功率电力电子设备制造业运用的技术主要为电力电子技术。近年来，电力电子技</w:t>
      </w:r>
    </w:p>
    <w:p>
      <w:pPr>
        <w:pStyle w:val="BodyText"/>
        <w:spacing w:line="357" w:lineRule="auto" w:before="7"/>
        <w:ind w:left="153" w:right="148"/>
        <w:jc w:val="both"/>
      </w:pPr>
      <w:r>
        <w:rPr/>
        <w:t>术和相关产业在国内外飞速发展，已经渗透到电能的产生、输送、分配和应用的各个环节，</w:t>
      </w:r>
      <w:r>
        <w:rPr>
          <w:spacing w:val="-83"/>
        </w:rPr>
        <w:t> </w:t>
      </w:r>
      <w:r>
        <w:rPr>
          <w:spacing w:val="-83"/>
        </w:rPr>
      </w:r>
      <w:r>
        <w:rPr/>
        <w:t>广泛应用到工业系统、电力系统、交通系统、通信系统、计算机系统、新能源系统和日常生</w:t>
      </w:r>
      <w:r>
        <w:rPr>
          <w:spacing w:val="-83"/>
        </w:rPr>
        <w:t> </w:t>
      </w:r>
      <w:r>
        <w:rPr>
          <w:spacing w:val="-83"/>
        </w:rPr>
      </w:r>
      <w:r>
        <w:rPr/>
        <w:t>活中，是使用电能的其他所有产业的基础技术，面临着巨大的市场需求。</w:t>
      </w:r>
    </w:p>
    <w:p>
      <w:pPr>
        <w:pStyle w:val="BodyText"/>
        <w:spacing w:line="357" w:lineRule="auto" w:before="74"/>
        <w:ind w:right="151" w:firstLine="480"/>
        <w:jc w:val="both"/>
      </w:pPr>
      <w:r>
        <w:rPr/>
        <w:t>国际上本行业的技术领先者主要以瑞士</w:t>
      </w:r>
      <w:r>
        <w:rPr>
          <w:spacing w:val="-51"/>
        </w:rPr>
        <w:t> </w:t>
      </w:r>
      <w:r>
        <w:rPr/>
        <w:t>ABB、德国</w:t>
      </w:r>
      <w:r>
        <w:rPr>
          <w:spacing w:val="-51"/>
        </w:rPr>
        <w:t> </w:t>
      </w:r>
      <w:r>
        <w:rPr/>
        <w:t>SIEMENS、法国</w:t>
      </w:r>
      <w:r>
        <w:rPr>
          <w:spacing w:val="-51"/>
        </w:rPr>
        <w:t> </w:t>
      </w:r>
      <w:r>
        <w:rPr/>
        <w:t>AREVA、日本</w:t>
      </w:r>
      <w:r>
        <w:rPr>
          <w:spacing w:val="-51"/>
        </w:rPr>
        <w:t> </w:t>
      </w:r>
      <w:r>
        <w:rPr/>
        <w:t>TOSHIBA</w:t>
      </w:r>
      <w:r>
        <w:rPr/>
        <w:t> 等大企业为主。</w:t>
      </w:r>
    </w:p>
    <w:p>
      <w:pPr>
        <w:pStyle w:val="BodyText"/>
        <w:spacing w:line="357" w:lineRule="auto" w:before="74"/>
        <w:ind w:right="188" w:firstLine="480"/>
        <w:jc w:val="both"/>
      </w:pPr>
      <w:r>
        <w:rPr/>
        <w:t>国内企业均是20世纪90年代开始，在学习消化吸收国外先进技术的基础上成长起来的， 基本上都属于中小企业。但依靠自主创新能力、本土化制造的优势以及国家政策的引导与支 持，这些企业正在迅速成长，并已在SVC、HVC等诸多领域完成了替代进口的任务。</w:t>
      </w:r>
    </w:p>
    <w:p>
      <w:pPr>
        <w:pStyle w:val="BodyText"/>
        <w:spacing w:line="357" w:lineRule="auto" w:before="35"/>
        <w:ind w:left="633" w:right="171" w:firstLine="2"/>
        <w:jc w:val="left"/>
      </w:pPr>
      <w:r>
        <w:rPr/>
        <w:t>②面临的市场竞争格局 节能大功率电力电子设备制造业目前处于新兴产业的初级阶段，成为国内外公司重点研</w:t>
      </w:r>
    </w:p>
    <w:p>
      <w:pPr>
        <w:spacing w:after="0" w:line="357"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268"/>
        <w:jc w:val="both"/>
      </w:pPr>
      <w:r>
        <w:rPr/>
        <w:t>发和投资的领域，该行业受国家政策支持和高层的重视，在节能减排的宏观背景下，市场空 间急剧放大，导致包括许多上市公司在内的企业加入到电力电子高端设备生产制造中来，市 场竞争逐渐加剧。</w:t>
      </w:r>
    </w:p>
    <w:p>
      <w:pPr>
        <w:pStyle w:val="Heading4"/>
        <w:spacing w:line="240" w:lineRule="auto" w:before="191"/>
        <w:ind w:left="634" w:right="92"/>
        <w:jc w:val="left"/>
        <w:rPr>
          <w:b w:val="0"/>
          <w:bCs w:val="0"/>
        </w:rPr>
      </w:pPr>
      <w:r>
        <w:rPr/>
        <w:t>2、机遇与挑战及公司的发展战略</w:t>
      </w:r>
      <w:r>
        <w:rPr>
          <w:b w:val="0"/>
          <w:bCs w:val="0"/>
        </w:rPr>
      </w:r>
    </w:p>
    <w:p>
      <w:pPr>
        <w:pStyle w:val="BodyText"/>
        <w:spacing w:line="357" w:lineRule="auto" w:before="154"/>
        <w:ind w:right="250" w:firstLine="480"/>
        <w:jc w:val="left"/>
      </w:pPr>
      <w:r>
        <w:rPr/>
        <w:t>2009年机遇与挑战并存。在国家对先进制造业的大力支持下促进了公司所处行业的发 展，在全社会提倡节能减排和安全生产宏观背景下，公司主导产品市场需求仍将保持增长， </w:t>
      </w:r>
      <w:r>
        <w:rPr>
          <w:spacing w:val="-3"/>
        </w:rPr>
        <w:t>市场空间逐步扩大，给公司经营与发展带来良好的机遇与广阔的空间。同时，世界性的金融</w:t>
      </w:r>
      <w:r>
        <w:rPr>
          <w:spacing w:val="-81"/>
        </w:rPr>
        <w:t> </w:t>
      </w:r>
      <w:r>
        <w:rPr>
          <w:spacing w:val="-81"/>
        </w:rPr>
      </w:r>
      <w:r>
        <w:rPr>
          <w:spacing w:val="-2"/>
        </w:rPr>
        <w:t>危机也使公司部分行业用户需求放缓，需要公司进一步开拓新的市场领域，加快新产品产业</w:t>
      </w:r>
      <w:r>
        <w:rPr/>
        <w:t> 化进程及扩大销售规模来应对金融危机带来的影响。</w:t>
      </w:r>
    </w:p>
    <w:p>
      <w:pPr>
        <w:pStyle w:val="BodyText"/>
        <w:spacing w:line="357" w:lineRule="auto" w:before="36"/>
        <w:ind w:right="347" w:firstLine="480"/>
        <w:jc w:val="both"/>
      </w:pPr>
      <w:r>
        <w:rPr>
          <w:spacing w:val="-3"/>
        </w:rPr>
        <w:t>本公司秉承“发展世界一流的电力电子技术，创建世界一流的电力电子企业；创造中国</w:t>
      </w:r>
      <w:r>
        <w:rPr/>
        <w:t> </w:t>
      </w:r>
      <w:r>
        <w:rPr>
          <w:spacing w:val="-3"/>
        </w:rPr>
        <w:t>的世界名牌，创造世界的中国名牌，为振兴中国的民族工业做出贡献”经营愿景，以节能大</w:t>
      </w:r>
      <w:r>
        <w:rPr>
          <w:spacing w:val="-84"/>
        </w:rPr>
        <w:t> </w:t>
      </w:r>
      <w:r>
        <w:rPr>
          <w:spacing w:val="-84"/>
        </w:rPr>
      </w:r>
      <w:r>
        <w:rPr>
          <w:spacing w:val="-2"/>
        </w:rPr>
        <w:t>功率电力电子设备制造为主营业务方向，在不断提高现有业务经营管理水平的同时，通过新</w:t>
      </w:r>
      <w:r>
        <w:rPr/>
        <w:t> 产品研制开发、引进培养人才、自主创新、积极开拓国内国际市场等手段，保持公司SVC、 HVC等主导产品优势并不断拓宽产品线与产品业务，巩固公司在节能大功率电力电子设备制 </w:t>
      </w:r>
      <w:r>
        <w:rPr>
          <w:spacing w:val="-3"/>
        </w:rPr>
        <w:t>造业的领先地位，确保公司持续、快速、健康发展，争取10年内成为中国输配电业务与工业</w:t>
      </w:r>
      <w:r>
        <w:rPr>
          <w:spacing w:val="-81"/>
        </w:rPr>
        <w:t> </w:t>
      </w:r>
      <w:r>
        <w:rPr>
          <w:spacing w:val="-81"/>
        </w:rPr>
      </w:r>
      <w:r>
        <w:rPr/>
        <w:t>电气业务的第一领导者，20年内成为中国的ABB，成为全球输配电与工业电气业务的主要制 造商之一。</w:t>
      </w:r>
    </w:p>
    <w:p>
      <w:pPr>
        <w:spacing w:line="240" w:lineRule="auto" w:before="8"/>
        <w:rPr>
          <w:rFonts w:ascii="宋体" w:hAnsi="宋体" w:cs="宋体" w:eastAsia="宋体" w:hint="default"/>
          <w:sz w:val="26"/>
          <w:szCs w:val="26"/>
        </w:rPr>
      </w:pPr>
    </w:p>
    <w:p>
      <w:pPr>
        <w:pStyle w:val="Heading4"/>
        <w:spacing w:line="240" w:lineRule="auto" w:before="0"/>
        <w:ind w:left="636" w:right="92"/>
        <w:jc w:val="left"/>
        <w:rPr>
          <w:b w:val="0"/>
          <w:bCs w:val="0"/>
        </w:rPr>
      </w:pPr>
      <w:r>
        <w:rPr/>
        <w:t>3、公司2009年的经营计划和主要目标</w:t>
      </w:r>
      <w:r>
        <w:rPr>
          <w:b w:val="0"/>
          <w:bCs w:val="0"/>
        </w:rPr>
      </w:r>
    </w:p>
    <w:p>
      <w:pPr>
        <w:pStyle w:val="BodyText"/>
        <w:spacing w:line="357" w:lineRule="auto" w:before="192"/>
        <w:ind w:right="228" w:firstLine="480"/>
        <w:jc w:val="both"/>
      </w:pPr>
      <w:r>
        <w:rPr>
          <w:spacing w:val="-3"/>
        </w:rPr>
        <w:t>（1）进一步开拓市场，加快新的市场领域的开发，加大智能瓦斯排放装置（MABZ）、高</w:t>
      </w:r>
      <w:r>
        <w:rPr>
          <w:spacing w:val="2"/>
        </w:rPr>
        <w:t> </w:t>
      </w:r>
      <w:r>
        <w:rPr>
          <w:spacing w:val="-8"/>
        </w:rPr>
        <w:t>压变频装置（HVC）、高压软启动装置（VFS）、高压大功率静止无功发生器（SVG）市场开拓力</w:t>
      </w:r>
      <w:r>
        <w:rPr>
          <w:spacing w:val="-79"/>
        </w:rPr>
        <w:t> </w:t>
      </w:r>
      <w:r>
        <w:rPr>
          <w:spacing w:val="-79"/>
        </w:rPr>
      </w:r>
      <w:r>
        <w:rPr/>
        <w:t>度，加快公司主导产品国际化进程，确保公司业绩较上年增长</w:t>
      </w:r>
      <w:r>
        <w:rPr>
          <w:spacing w:val="-60"/>
        </w:rPr>
        <w:t> </w:t>
      </w:r>
      <w:r>
        <w:rPr/>
        <w:t>30%以上。</w:t>
      </w:r>
    </w:p>
    <w:p>
      <w:pPr>
        <w:pStyle w:val="BodyText"/>
        <w:spacing w:line="240" w:lineRule="auto" w:before="74"/>
        <w:ind w:left="634" w:right="92"/>
        <w:jc w:val="left"/>
      </w:pPr>
      <w:r>
        <w:rPr>
          <w:spacing w:val="-6"/>
        </w:rPr>
        <w:t>（2）优化生产布局，继续完成募集资金投入，保证募集资金的使用质量，实现预期效益。</w:t>
      </w:r>
    </w:p>
    <w:p>
      <w:pPr>
        <w:pStyle w:val="BodyText"/>
        <w:spacing w:line="357" w:lineRule="auto" w:before="192"/>
        <w:ind w:right="231" w:firstLine="480"/>
        <w:jc w:val="both"/>
      </w:pPr>
      <w:r>
        <w:rPr>
          <w:spacing w:val="-3"/>
        </w:rPr>
        <w:t>（3）经济危机是挑战，更是机遇，利用公司资金、技术和管理优势和进行适度的企业并</w:t>
      </w:r>
      <w:r>
        <w:rPr/>
        <w:t> 购与投资，推进本行业内优势资源整合，延伸主流产品线，拓展产业链，投资上游产品如电 抗器等，满足企业的业务拓展需要，增强企业的综合竞争优势。</w:t>
      </w:r>
    </w:p>
    <w:p>
      <w:pPr>
        <w:pStyle w:val="BodyText"/>
        <w:spacing w:line="357" w:lineRule="auto" w:before="35"/>
        <w:ind w:right="231" w:firstLine="482"/>
        <w:jc w:val="both"/>
      </w:pPr>
      <w:r>
        <w:rPr>
          <w:spacing w:val="-3"/>
        </w:rPr>
        <w:t>（4）增强自主创新能力，加大新产品研发投入，实施客户经营策略，完成现有产品升级</w:t>
      </w:r>
      <w:r>
        <w:rPr/>
        <w:t> 及系列化生产。加快风电逆变装置、机车变频主传动系统、百MVA级STATCOM、超大功率变频 器等重大产品研制进度，争取尽快投运。</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57" w:lineRule="auto" w:before="26"/>
        <w:ind w:left="153" w:right="187" w:firstLine="482"/>
        <w:jc w:val="both"/>
      </w:pPr>
      <w:r>
        <w:rPr/>
        <w:t>（5）提高公司的管理水平，推进271绩效考核及量化激励体系实施，建立满足快速发展 要求的卓越高效团队。</w:t>
      </w:r>
    </w:p>
    <w:p>
      <w:pPr>
        <w:pStyle w:val="BodyText"/>
        <w:spacing w:line="240" w:lineRule="auto" w:before="35"/>
        <w:ind w:left="636" w:right="0"/>
        <w:jc w:val="left"/>
      </w:pPr>
      <w:r>
        <w:rPr/>
        <w:t>（6）建立适应公司发展的培训体系。</w:t>
      </w:r>
    </w:p>
    <w:p>
      <w:pPr>
        <w:pStyle w:val="BodyText"/>
        <w:spacing w:line="357" w:lineRule="auto" w:before="152"/>
        <w:ind w:left="633" w:right="169" w:firstLine="2"/>
        <w:jc w:val="left"/>
      </w:pPr>
      <w:r>
        <w:rPr/>
        <w:t>（7）继续推进组织机构改革,完善事业部制管理体系，优化部门设置, 提高整体效率。 </w:t>
      </w:r>
      <w:r>
        <w:rPr>
          <w:rFonts w:ascii="宋体" w:hAnsi="宋体" w:cs="宋体" w:eastAsia="宋体" w:hint="default"/>
          <w:b/>
          <w:bCs/>
        </w:rPr>
        <w:t>4、为实现公司发展战略的资金使用安排</w:t>
      </w:r>
      <w:r>
        <w:rPr>
          <w:rFonts w:ascii="宋体" w:hAnsi="宋体" w:cs="宋体" w:eastAsia="宋体" w:hint="default"/>
          <w:b/>
          <w:bCs/>
          <w:spacing w:val="1"/>
          <w:w w:val="99"/>
        </w:rPr>
        <w:t> </w:t>
      </w:r>
      <w:r>
        <w:rPr/>
        <w:t>实现公司的发展战略需要更多的资金支持。公司一方面继续完成募集资金投入，保证募</w:t>
      </w:r>
    </w:p>
    <w:p>
      <w:pPr>
        <w:pStyle w:val="BodyText"/>
        <w:spacing w:line="357" w:lineRule="auto" w:before="35"/>
        <w:ind w:left="153" w:right="188"/>
        <w:jc w:val="both"/>
      </w:pPr>
      <w:r>
        <w:rPr/>
        <w:t>集资金的使用质量，实现预期效益。另一方面根据资金需求情况将利用自有资金、银行贷款 以及通过再融资的方式保证项目资金的需求。</w:t>
      </w:r>
    </w:p>
    <w:p>
      <w:pPr>
        <w:spacing w:line="760" w:lineRule="atLeast" w:before="57"/>
        <w:ind w:left="756" w:right="0" w:hanging="120"/>
        <w:jc w:val="left"/>
        <w:rPr>
          <w:rFonts w:ascii="宋体" w:hAnsi="宋体" w:cs="宋体" w:eastAsia="宋体" w:hint="default"/>
          <w:sz w:val="24"/>
          <w:szCs w:val="24"/>
        </w:rPr>
      </w:pPr>
      <w:r>
        <w:rPr>
          <w:rFonts w:ascii="宋体" w:hAnsi="宋体" w:cs="宋体" w:eastAsia="宋体" w:hint="default"/>
          <w:b/>
          <w:bCs/>
          <w:sz w:val="24"/>
          <w:szCs w:val="24"/>
        </w:rPr>
        <w:t>5、风险因素</w:t>
      </w:r>
      <w:r>
        <w:rPr>
          <w:rFonts w:ascii="宋体" w:hAnsi="宋体" w:cs="宋体" w:eastAsia="宋体" w:hint="default"/>
          <w:b/>
          <w:bCs/>
          <w:spacing w:val="1"/>
          <w:w w:val="99"/>
          <w:sz w:val="24"/>
          <w:szCs w:val="24"/>
        </w:rPr>
        <w:t> </w:t>
      </w:r>
      <w:r>
        <w:rPr>
          <w:rFonts w:ascii="宋体" w:hAnsi="宋体" w:cs="宋体" w:eastAsia="宋体" w:hint="default"/>
          <w:b/>
          <w:bCs/>
          <w:w w:val="95"/>
          <w:sz w:val="24"/>
          <w:szCs w:val="24"/>
        </w:rPr>
        <w:t>(1)人力资源风险。</w:t>
      </w:r>
      <w:r>
        <w:rPr>
          <w:rFonts w:ascii="宋体" w:hAnsi="宋体" w:cs="宋体" w:eastAsia="宋体" w:hint="default"/>
          <w:w w:val="95"/>
          <w:sz w:val="24"/>
          <w:szCs w:val="24"/>
        </w:rPr>
        <w:t>本公司从事的节能大功率电力电子设备制造业是一个技术密集型行</w:t>
      </w:r>
    </w:p>
    <w:p>
      <w:pPr>
        <w:pStyle w:val="BodyText"/>
        <w:spacing w:line="357" w:lineRule="auto" w:before="152"/>
        <w:ind w:left="153" w:right="188"/>
        <w:jc w:val="both"/>
      </w:pPr>
      <w:r>
        <w:rPr/>
        <w:t>业，对高级技术人才的依赖性很高，公司地处东北，高端人才较为匮乏，如果人才引进得不 到保障，将影响公司的发展。公司通过在中心城市（北京、上海）设立研发和销售中心、建 设优秀的企业文化及实施有效的持股计划等措施吸引高级人才，保证了核心管理人员和技术 人员的稳定。公司成功上市后，股权的激励和约束作用将进一步发挥，公司的凝聚力将进一 步增强，这也为公司不断引入行业内优秀的技术人才和销售人才创造了条件。</w:t>
      </w:r>
    </w:p>
    <w:p>
      <w:pPr>
        <w:pStyle w:val="BodyText"/>
        <w:spacing w:line="357" w:lineRule="auto" w:before="35"/>
        <w:ind w:right="151" w:firstLine="482"/>
        <w:jc w:val="both"/>
      </w:pPr>
      <w:r>
        <w:rPr>
          <w:rFonts w:ascii="宋体" w:hAnsi="宋体" w:cs="宋体" w:eastAsia="宋体" w:hint="default"/>
          <w:b/>
          <w:bCs/>
          <w:spacing w:val="-3"/>
        </w:rPr>
        <w:t>（2）管理风险。</w:t>
      </w:r>
      <w:r>
        <w:rPr>
          <w:spacing w:val="-3"/>
        </w:rPr>
        <w:t>企业经营规模的扩张，将对公司管理团队的管理和协调能力提出较高的</w:t>
      </w:r>
      <w:r>
        <w:rPr/>
        <w:t> 要求，为此公司将进一步加强管理队伍建设，通过加强对现有管理人员的培训，不断提高其 管理水平和协调能力。完善公司治理的经营管理机制，形成更加科学有效的决策机制，同时 不断完善绩效考核机制，形成更加有效的激励约束机制，使公司的经营模式和管理机制能够 更加符合公司发展需要。</w:t>
      </w:r>
    </w:p>
    <w:p>
      <w:pPr>
        <w:pStyle w:val="BodyText"/>
        <w:spacing w:line="357" w:lineRule="auto" w:before="35"/>
        <w:ind w:left="153" w:right="151" w:firstLine="482"/>
        <w:jc w:val="both"/>
      </w:pPr>
      <w:r>
        <w:rPr>
          <w:rFonts w:ascii="宋体" w:hAnsi="宋体" w:cs="宋体" w:eastAsia="宋体" w:hint="default"/>
          <w:b/>
          <w:bCs/>
          <w:spacing w:val="-3"/>
        </w:rPr>
        <w:t>（3）毛利下降风险。</w:t>
      </w:r>
      <w:r>
        <w:rPr>
          <w:spacing w:val="-3"/>
        </w:rPr>
        <w:t>随着公司产品市场需求的迅速增长，参与竞争的企业将逐步增加及</w:t>
      </w:r>
      <w:r>
        <w:rPr/>
        <w:t> 人力成本的提高使公司产品的毛利有下降的趋势。公司将通过增加研发投入，走高端路线保 持产品高技术含量、推进产业技术升级、扩大销售规模，提高订单的整体质量、投资公司原 材料占比较高的上游产品如热管、电抗器以降低生产成本等方式来稳定产品的利润水平。</w:t>
      </w:r>
    </w:p>
    <w:p>
      <w:pPr>
        <w:pStyle w:val="BodyText"/>
        <w:spacing w:line="357" w:lineRule="auto" w:before="35"/>
        <w:ind w:right="151" w:firstLine="482"/>
        <w:jc w:val="both"/>
      </w:pPr>
      <w:r>
        <w:rPr>
          <w:rFonts w:ascii="宋体" w:hAnsi="宋体" w:cs="宋体" w:eastAsia="宋体" w:hint="default"/>
          <w:b/>
          <w:bCs/>
          <w:spacing w:val="-3"/>
        </w:rPr>
        <w:t>（4）市场风险。</w:t>
      </w:r>
      <w:r>
        <w:rPr>
          <w:spacing w:val="-3"/>
        </w:rPr>
        <w:t>由于本行业在国家政策支持和在节能减排的宏观背景下，市场空间急剧</w:t>
      </w:r>
      <w:r>
        <w:rPr/>
        <w:t> 放大，市场参与者逐渐增加，市场竞争逐渐加剧以及由于经济危机的因素导致部分周期性行 业客户需求减少，形成市场份额下降及销售规模增速放缓的市场风险。公司将通过开拓新的 市场领域，加快技术升级速度，加快新产品产业化进程保证市场竞争力，实现销售规模快速</w:t>
      </w:r>
    </w:p>
    <w:p>
      <w:pPr>
        <w:spacing w:after="0" w:line="357" w:lineRule="auto"/>
        <w:jc w:val="both"/>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240" w:lineRule="auto" w:before="26"/>
        <w:ind w:right="1890"/>
        <w:jc w:val="left"/>
      </w:pPr>
      <w:r>
        <w:rPr/>
        <w:t>增长。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0"/>
          <w:szCs w:val="20"/>
        </w:rPr>
      </w:pPr>
    </w:p>
    <w:p>
      <w:pPr>
        <w:pStyle w:val="BodyText"/>
        <w:spacing w:line="357" w:lineRule="auto"/>
        <w:ind w:right="296" w:firstLine="590"/>
        <w:jc w:val="left"/>
        <w:rPr>
          <w:rFonts w:ascii="黑体" w:hAnsi="黑体" w:cs="黑体" w:eastAsia="黑体" w:hint="default"/>
        </w:rPr>
      </w:pPr>
      <w:r>
        <w:rPr>
          <w:rFonts w:ascii="黑体" w:hAnsi="黑体" w:cs="黑体" w:eastAsia="黑体" w:hint="default"/>
          <w:spacing w:val="-2"/>
        </w:rPr>
        <w:t>（三）报告期，公司具有融资性质的分期收款销售商品的会计处理及其对公司财务状况</w:t>
      </w:r>
      <w:r>
        <w:rPr>
          <w:rFonts w:ascii="黑体" w:hAnsi="黑体" w:cs="黑体" w:eastAsia="黑体" w:hint="default"/>
        </w:rPr>
        <w:t> 和经营成果的影响：</w:t>
      </w:r>
    </w:p>
    <w:p>
      <w:pPr>
        <w:spacing w:line="240" w:lineRule="auto" w:before="1"/>
        <w:rPr>
          <w:rFonts w:ascii="黑体" w:hAnsi="黑体" w:cs="黑体" w:eastAsia="黑体" w:hint="default"/>
          <w:sz w:val="24"/>
          <w:szCs w:val="24"/>
        </w:rPr>
      </w:pPr>
    </w:p>
    <w:p>
      <w:pPr>
        <w:pStyle w:val="BodyText"/>
        <w:spacing w:line="357" w:lineRule="auto"/>
        <w:ind w:right="308" w:firstLine="480"/>
        <w:jc w:val="both"/>
      </w:pPr>
      <w:r>
        <w:rPr/>
        <w:t>报告期，根据销售合同，公司部分产品销售属于分期收款销售商品，销售收入确认是按</w:t>
      </w:r>
      <w:r>
        <w:rPr>
          <w:spacing w:val="1"/>
        </w:rPr>
        <w:t> </w:t>
      </w:r>
      <w:r>
        <w:rPr/>
        <w:t>照合同价款的未来现金流量现值确认销售收入，应收的合同价款与其公允价值（未来现金流</w:t>
      </w:r>
      <w:r>
        <w:rPr>
          <w:spacing w:val="-83"/>
        </w:rPr>
        <w:t> </w:t>
      </w:r>
      <w:r>
        <w:rPr>
          <w:spacing w:val="-83"/>
        </w:rPr>
      </w:r>
      <w:r>
        <w:rPr/>
        <w:t>量现值）之间的差额，在合同期间内，按照应收款项的摊余成本和折现率计算确定的金额进</w:t>
      </w:r>
      <w:r>
        <w:rPr>
          <w:spacing w:val="-83"/>
        </w:rPr>
        <w:t> </w:t>
      </w:r>
      <w:r>
        <w:rPr>
          <w:spacing w:val="-83"/>
        </w:rPr>
      </w:r>
      <w:r>
        <w:rPr/>
        <w:t>行摊销，作为财务费用的抵减处理。</w:t>
      </w:r>
    </w:p>
    <w:p>
      <w:pPr>
        <w:pStyle w:val="BodyText"/>
        <w:spacing w:line="357" w:lineRule="auto" w:before="35"/>
        <w:ind w:left="634" w:right="92"/>
        <w:jc w:val="left"/>
      </w:pPr>
      <w:r>
        <w:rPr/>
        <w:t>折现率是以三年期国债利率为基准，确定为</w:t>
      </w:r>
      <w:r>
        <w:rPr>
          <w:spacing w:val="-60"/>
        </w:rPr>
        <w:t> </w:t>
      </w:r>
      <w:r>
        <w:rPr/>
        <w:t>6%。</w:t>
      </w:r>
      <w:r>
        <w:rPr/>
        <w:t> </w:t>
      </w:r>
      <w:r>
        <w:rPr>
          <w:spacing w:val="-3"/>
        </w:rPr>
        <w:t>长期应收款坏帐准备的计提，对于已到收款期的长期应收款按帐龄分析法提取坏帐准备，</w:t>
      </w:r>
    </w:p>
    <w:p>
      <w:pPr>
        <w:pStyle w:val="BodyText"/>
        <w:spacing w:line="357" w:lineRule="auto" w:before="35"/>
        <w:ind w:left="642" w:right="92" w:hanging="489"/>
        <w:jc w:val="left"/>
      </w:pPr>
      <w:r>
        <w:rPr>
          <w:spacing w:val="5"/>
        </w:rPr>
        <w:t>对未到收款期且经单独测试后未减值的的长期应收款不计提坏账准备。</w:t>
      </w:r>
      <w:r>
        <w:rPr>
          <w:spacing w:val="-117"/>
        </w:rPr>
        <w:t> </w:t>
      </w:r>
      <w:r>
        <w:rPr>
          <w:spacing w:val="-117"/>
        </w:rPr>
      </w:r>
      <w:r>
        <w:rPr/>
        <w:t>报告期，采用分期收款方式销售商品计入长期应收款净值31,025,337.76元，与原销售</w:t>
      </w:r>
    </w:p>
    <w:p>
      <w:pPr>
        <w:pStyle w:val="BodyText"/>
        <w:spacing w:line="357" w:lineRule="auto" w:before="35"/>
        <w:ind w:right="1130"/>
        <w:jc w:val="left"/>
      </w:pPr>
      <w:r>
        <w:rPr/>
        <w:t>模式相比，报告期内，减少销售收入4,040,630.00元，抵减财务费用1,174,471.65</w:t>
      </w:r>
      <w:r>
        <w:rPr>
          <w:spacing w:val="-66"/>
        </w:rPr>
        <w:t> </w:t>
      </w:r>
      <w:r>
        <w:rPr>
          <w:spacing w:val="-6"/>
        </w:rPr>
        <w:t>元，未实</w:t>
      </w:r>
      <w:r>
        <w:rPr/>
        <w:t> 现融资收益（减少利润）2,866,158.35 元。</w:t>
      </w:r>
    </w:p>
    <w:p>
      <w:pPr>
        <w:pStyle w:val="Heading4"/>
        <w:spacing w:line="240" w:lineRule="auto" w:before="36"/>
        <w:ind w:left="643" w:right="92"/>
        <w:jc w:val="left"/>
        <w:rPr>
          <w:b w:val="0"/>
          <w:bCs w:val="0"/>
        </w:rPr>
      </w:pPr>
      <w:r>
        <w:rPr>
          <w:spacing w:val="8"/>
        </w:rPr>
        <w:t>本公司二零零八年度未发生会计政策、会计估计变更及重大前期差错更正事项。</w:t>
      </w:r>
      <w:r>
        <w:rPr>
          <w:b w:val="0"/>
          <w:bCs w:val="0"/>
        </w:rPr>
      </w: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30"/>
          <w:szCs w:val="30"/>
        </w:rPr>
      </w:pPr>
    </w:p>
    <w:p>
      <w:pPr>
        <w:pStyle w:val="Heading2"/>
        <w:spacing w:line="240" w:lineRule="auto"/>
        <w:ind w:left="715" w:right="1890"/>
        <w:jc w:val="left"/>
        <w:rPr>
          <w:b w:val="0"/>
          <w:bCs w:val="0"/>
        </w:rPr>
      </w:pPr>
      <w:r>
        <w:rPr/>
        <w:t>二、公司投资情况</w:t>
      </w:r>
      <w:r>
        <w:rPr>
          <w:b w:val="0"/>
          <w:bCs w:val="0"/>
        </w:rPr>
      </w:r>
    </w:p>
    <w:p>
      <w:pPr>
        <w:spacing w:line="240" w:lineRule="auto" w:before="8"/>
        <w:rPr>
          <w:rFonts w:ascii="宋体" w:hAnsi="宋体" w:cs="宋体" w:eastAsia="宋体" w:hint="default"/>
          <w:b/>
          <w:bCs/>
          <w:sz w:val="21"/>
          <w:szCs w:val="21"/>
        </w:rPr>
      </w:pPr>
    </w:p>
    <w:p>
      <w:pPr>
        <w:pStyle w:val="Heading4"/>
        <w:spacing w:line="240" w:lineRule="auto" w:before="0"/>
        <w:ind w:left="625" w:right="1890"/>
        <w:jc w:val="left"/>
        <w:rPr>
          <w:rFonts w:ascii="黑体" w:hAnsi="黑体" w:cs="黑体" w:eastAsia="黑体" w:hint="default"/>
          <w:b w:val="0"/>
          <w:bCs w:val="0"/>
        </w:rPr>
      </w:pPr>
      <w:r>
        <w:rPr/>
        <w:t>（</w:t>
      </w:r>
      <w:r>
        <w:rPr>
          <w:rFonts w:ascii="黑体" w:hAnsi="黑体" w:cs="黑体" w:eastAsia="黑体" w:hint="default"/>
        </w:rPr>
        <w:t>一）报告期内募集资金的使用情况</w:t>
      </w:r>
      <w:r>
        <w:rPr>
          <w:rFonts w:ascii="黑体" w:hAnsi="黑体" w:cs="黑体" w:eastAsia="黑体" w:hint="default"/>
          <w:b w:val="0"/>
          <w:bCs w:val="0"/>
        </w:rPr>
      </w:r>
    </w:p>
    <w:p>
      <w:pPr>
        <w:spacing w:line="240" w:lineRule="auto" w:before="2"/>
        <w:rPr>
          <w:rFonts w:ascii="黑体" w:hAnsi="黑体" w:cs="黑体" w:eastAsia="黑体" w:hint="default"/>
          <w:b/>
          <w:bCs/>
          <w:sz w:val="33"/>
          <w:szCs w:val="33"/>
        </w:rPr>
      </w:pPr>
    </w:p>
    <w:p>
      <w:pPr>
        <w:pStyle w:val="BodyText"/>
        <w:spacing w:line="357" w:lineRule="auto"/>
        <w:ind w:right="175" w:firstLine="540"/>
        <w:jc w:val="left"/>
      </w:pPr>
      <w:r>
        <w:rPr/>
        <w:t>经中国证券监督管理委员会证监发行字[2007]47</w:t>
      </w:r>
      <w:r>
        <w:rPr>
          <w:spacing w:val="-60"/>
        </w:rPr>
        <w:t> </w:t>
      </w:r>
      <w:r>
        <w:rPr/>
        <w:t>号文核准，并经深圳证券交易所同意，</w:t>
      </w:r>
      <w:r>
        <w:rPr/>
        <w:t> 公司发行人民币普通股(A</w:t>
      </w:r>
      <w:r>
        <w:rPr>
          <w:spacing w:val="-65"/>
        </w:rPr>
        <w:t> </w:t>
      </w:r>
      <w:r>
        <w:rPr/>
        <w:t>股)股票</w:t>
      </w:r>
      <w:r>
        <w:rPr>
          <w:spacing w:val="-65"/>
        </w:rPr>
        <w:t> </w:t>
      </w:r>
      <w:r>
        <w:rPr/>
        <w:t>16,000,000</w:t>
      </w:r>
      <w:r>
        <w:rPr>
          <w:spacing w:val="-65"/>
        </w:rPr>
        <w:t> </w:t>
      </w:r>
      <w:r>
        <w:rPr/>
        <w:t>股，募集资金总额人民币</w:t>
      </w:r>
      <w:r>
        <w:rPr>
          <w:spacing w:val="-65"/>
        </w:rPr>
        <w:t> </w:t>
      </w:r>
      <w:r>
        <w:rPr/>
        <w:t>302,400,000.00</w:t>
      </w:r>
      <w:r>
        <w:rPr>
          <w:spacing w:val="-65"/>
        </w:rPr>
        <w:t> </w:t>
      </w:r>
      <w:r>
        <w:rPr/>
        <w:t>元，</w:t>
      </w:r>
    </w:p>
    <w:p>
      <w:pPr>
        <w:pStyle w:val="BodyText"/>
        <w:spacing w:line="240" w:lineRule="auto" w:before="35"/>
        <w:ind w:right="1890"/>
        <w:jc w:val="left"/>
      </w:pPr>
      <w:r>
        <w:rPr/>
        <w:t>扣减发行费后，公司本次发行募集资金净额为人民币</w:t>
      </w:r>
      <w:r>
        <w:rPr>
          <w:spacing w:val="-60"/>
        </w:rPr>
        <w:t> </w:t>
      </w:r>
      <w:r>
        <w:rPr/>
        <w:t>285,885,083.00</w:t>
      </w:r>
      <w:r>
        <w:rPr>
          <w:spacing w:val="-60"/>
        </w:rPr>
        <w:t> </w:t>
      </w:r>
      <w:r>
        <w:rPr/>
        <w:t>元。</w:t>
      </w:r>
    </w:p>
    <w:p>
      <w:pPr>
        <w:spacing w:line="240" w:lineRule="auto" w:before="8"/>
        <w:rPr>
          <w:rFonts w:ascii="宋体" w:hAnsi="宋体" w:cs="宋体" w:eastAsia="宋体" w:hint="default"/>
          <w:sz w:val="26"/>
          <w:szCs w:val="26"/>
        </w:rPr>
      </w:pPr>
    </w:p>
    <w:p>
      <w:pPr>
        <w:pStyle w:val="BodyText"/>
        <w:spacing w:line="355" w:lineRule="auto"/>
        <w:ind w:right="323" w:firstLine="480"/>
        <w:jc w:val="both"/>
      </w:pPr>
      <w:r>
        <w:rPr>
          <w:spacing w:val="-4"/>
        </w:rPr>
        <w:t>报告期，公司投入募集资金项目</w:t>
      </w:r>
      <w:r>
        <w:rPr>
          <w:spacing w:val="-36"/>
        </w:rPr>
        <w:t> </w:t>
      </w:r>
      <w:r>
        <w:rPr/>
        <w:t>133,648,111.21元，累计使用募集资金269,253,833.99</w:t>
      </w:r>
      <w:r>
        <w:rPr/>
        <w:t> </w:t>
      </w:r>
      <w:r>
        <w:rPr>
          <w:spacing w:val="-2"/>
        </w:rPr>
        <w:t>元，尚未使用的募集资金余额为16,631,249.01元。公司2008年12月31日募集资金专户余额为</w:t>
      </w:r>
      <w:r>
        <w:rPr>
          <w:spacing w:val="-112"/>
        </w:rPr>
        <w:t> </w:t>
      </w:r>
      <w:r>
        <w:rPr>
          <w:spacing w:val="-112"/>
        </w:rPr>
      </w:r>
      <w:r>
        <w:rPr/>
        <w:t>21,211,813.16元，与尚未使用的募集资金余额的差异 4,580,564.15元，系募集资金账户银</w:t>
      </w:r>
    </w:p>
    <w:p>
      <w:pPr>
        <w:pStyle w:val="BodyText"/>
        <w:spacing w:line="240" w:lineRule="auto" w:before="37"/>
        <w:ind w:right="1890"/>
        <w:jc w:val="left"/>
      </w:pPr>
      <w:r>
        <w:rPr/>
        <w:t>行利息收入增加所致。</w:t>
      </w:r>
    </w:p>
    <w:p>
      <w:pPr>
        <w:spacing w:before="46"/>
        <w:ind w:left="0" w:right="3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16"/>
        <w:gridCol w:w="1925"/>
        <w:gridCol w:w="2808"/>
        <w:gridCol w:w="2080"/>
      </w:tblGrid>
      <w:tr>
        <w:trPr>
          <w:trHeight w:val="324" w:hRule="exact"/>
        </w:trPr>
        <w:tc>
          <w:tcPr>
            <w:tcW w:w="3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71" w:right="0"/>
              <w:jc w:val="left"/>
              <w:rPr>
                <w:rFonts w:ascii="Times New Roman" w:hAnsi="Times New Roman" w:cs="Times New Roman" w:eastAsia="Times New Roman" w:hint="default"/>
                <w:sz w:val="18"/>
                <w:szCs w:val="18"/>
              </w:rPr>
            </w:pPr>
            <w:r>
              <w:rPr>
                <w:rFonts w:ascii="Times New Roman"/>
                <w:sz w:val="18"/>
              </w:rPr>
              <w:t>28,588.51</w:t>
            </w: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13,364.81</w:t>
            </w:r>
          </w:p>
        </w:tc>
      </w:tr>
      <w:tr>
        <w:trPr>
          <w:trHeight w:val="323" w:hRule="exact"/>
        </w:trPr>
        <w:tc>
          <w:tcPr>
            <w:tcW w:w="30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变更用途的募集资金总额</w:t>
            </w:r>
          </w:p>
        </w:tc>
        <w:tc>
          <w:tcPr>
            <w:tcW w:w="1925" w:type="dxa"/>
            <w:tcBorders>
              <w:top w:val="single" w:sz="4" w:space="0" w:color="000000"/>
              <w:left w:val="single" w:sz="4" w:space="0" w:color="000000"/>
              <w:bottom w:val="single" w:sz="4" w:space="0" w:color="000000"/>
              <w:right w:val="single" w:sz="4" w:space="0" w:color="000000"/>
            </w:tcBorders>
          </w:tcPr>
          <w:p>
            <w:pPr/>
          </w:p>
        </w:tc>
        <w:tc>
          <w:tcPr>
            <w:tcW w:w="28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Times New Roman" w:hAnsi="Times New Roman" w:cs="Times New Roman" w:eastAsia="Times New Roman" w:hint="default"/>
                <w:sz w:val="18"/>
                <w:szCs w:val="18"/>
              </w:rPr>
            </w:pPr>
            <w:r>
              <w:rPr>
                <w:rFonts w:ascii="Times New Roman"/>
                <w:sz w:val="18"/>
              </w:rPr>
              <w:t>26,925.39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1820"/>
        <w:gridCol w:w="547"/>
        <w:gridCol w:w="637"/>
        <w:gridCol w:w="673"/>
        <w:gridCol w:w="614"/>
        <w:gridCol w:w="661"/>
        <w:gridCol w:w="624"/>
        <w:gridCol w:w="716"/>
        <w:gridCol w:w="587"/>
        <w:gridCol w:w="869"/>
        <w:gridCol w:w="271"/>
        <w:gridCol w:w="780"/>
        <w:gridCol w:w="520"/>
        <w:gridCol w:w="508"/>
      </w:tblGrid>
      <w:tr>
        <w:trPr>
          <w:trHeight w:val="324" w:hRule="exact"/>
        </w:trPr>
        <w:tc>
          <w:tcPr>
            <w:tcW w:w="3004"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32" w:right="0"/>
              <w:jc w:val="left"/>
              <w:rPr>
                <w:rFonts w:ascii="宋体" w:hAnsi="宋体" w:cs="宋体" w:eastAsia="宋体" w:hint="default"/>
                <w:sz w:val="18"/>
                <w:szCs w:val="18"/>
              </w:rPr>
            </w:pPr>
            <w:r>
              <w:rPr>
                <w:rFonts w:ascii="宋体" w:hAnsi="宋体" w:cs="宋体" w:eastAsia="宋体" w:hint="default"/>
                <w:sz w:val="18"/>
                <w:szCs w:val="18"/>
              </w:rPr>
              <w:t>变更用途的募集资金总额比例</w:t>
            </w:r>
          </w:p>
        </w:tc>
        <w:tc>
          <w:tcPr>
            <w:tcW w:w="1948" w:type="dxa"/>
            <w:gridSpan w:val="3"/>
            <w:tcBorders>
              <w:top w:val="single" w:sz="4" w:space="0" w:color="000000"/>
              <w:left w:val="single" w:sz="13" w:space="0" w:color="DCDCDC"/>
              <w:bottom w:val="single" w:sz="4" w:space="0" w:color="000000"/>
              <w:right w:val="single" w:sz="4" w:space="0" w:color="000000"/>
            </w:tcBorders>
          </w:tcPr>
          <w:p>
            <w:pPr/>
          </w:p>
        </w:tc>
        <w:tc>
          <w:tcPr>
            <w:tcW w:w="2797" w:type="dxa"/>
            <w:gridSpan w:val="4"/>
            <w:tcBorders>
              <w:top w:val="single" w:sz="4" w:space="0" w:color="000000"/>
              <w:left w:val="single" w:sz="4" w:space="0" w:color="000000"/>
              <w:bottom w:val="single" w:sz="4" w:space="0" w:color="000000"/>
              <w:right w:val="single" w:sz="4" w:space="0" w:color="000000"/>
            </w:tcBorders>
            <w:shd w:val="clear" w:color="auto" w:fill="DCDCDC"/>
          </w:tcPr>
          <w:p>
            <w:pPr/>
          </w:p>
        </w:tc>
        <w:tc>
          <w:tcPr>
            <w:tcW w:w="2080" w:type="dxa"/>
            <w:gridSpan w:val="4"/>
            <w:tcBorders>
              <w:top w:val="single" w:sz="4" w:space="0" w:color="000000"/>
              <w:left w:val="single" w:sz="4" w:space="0" w:color="000000"/>
              <w:bottom w:val="single" w:sz="46" w:space="0" w:color="DCDCDC"/>
              <w:right w:val="single" w:sz="4" w:space="0" w:color="000000"/>
            </w:tcBorders>
          </w:tcPr>
          <w:p>
            <w:pPr/>
          </w:p>
        </w:tc>
      </w:tr>
      <w:tr>
        <w:trPr>
          <w:trHeight w:val="121" w:hRule="exact"/>
        </w:trPr>
        <w:tc>
          <w:tcPr>
            <w:tcW w:w="1820" w:type="dxa"/>
            <w:vMerge w:val="restart"/>
            <w:tcBorders>
              <w:top w:val="single" w:sz="4" w:space="0" w:color="000000"/>
              <w:left w:val="single" w:sz="4" w:space="0" w:color="000000"/>
              <w:right w:val="single" w:sz="4" w:space="0" w:color="000000"/>
            </w:tcBorders>
            <w:shd w:val="clear" w:color="auto" w:fill="DCDCDC"/>
          </w:tcPr>
          <w:p>
            <w:pPr/>
          </w:p>
        </w:tc>
        <w:tc>
          <w:tcPr>
            <w:tcW w:w="547" w:type="dxa"/>
            <w:vMerge w:val="restart"/>
            <w:tcBorders>
              <w:top w:val="single" w:sz="4" w:space="0" w:color="000000"/>
              <w:left w:val="single" w:sz="4" w:space="0" w:color="000000"/>
              <w:right w:val="single" w:sz="4" w:space="0" w:color="000000"/>
            </w:tcBorders>
            <w:shd w:val="clear" w:color="auto" w:fill="DCDCDC"/>
          </w:tcPr>
          <w:p>
            <w:pPr/>
          </w:p>
        </w:tc>
        <w:tc>
          <w:tcPr>
            <w:tcW w:w="637" w:type="dxa"/>
            <w:vMerge w:val="restart"/>
            <w:tcBorders>
              <w:top w:val="single" w:sz="4" w:space="0" w:color="000000"/>
              <w:left w:val="single" w:sz="4" w:space="0" w:color="000000"/>
              <w:right w:val="single" w:sz="4" w:space="0" w:color="000000"/>
            </w:tcBorders>
            <w:shd w:val="clear" w:color="auto" w:fill="DCDCDC"/>
          </w:tcPr>
          <w:p>
            <w:pPr/>
          </w:p>
        </w:tc>
        <w:tc>
          <w:tcPr>
            <w:tcW w:w="673" w:type="dxa"/>
            <w:vMerge w:val="restart"/>
            <w:tcBorders>
              <w:top w:val="single" w:sz="4" w:space="0" w:color="000000"/>
              <w:left w:val="single" w:sz="4" w:space="0" w:color="000000"/>
              <w:right w:val="single" w:sz="4" w:space="0" w:color="000000"/>
            </w:tcBorders>
            <w:shd w:val="clear" w:color="auto" w:fill="DCDCDC"/>
          </w:tcPr>
          <w:p>
            <w:pPr/>
          </w:p>
        </w:tc>
        <w:tc>
          <w:tcPr>
            <w:tcW w:w="614" w:type="dxa"/>
            <w:vMerge w:val="restart"/>
            <w:tcBorders>
              <w:top w:val="single" w:sz="4" w:space="0" w:color="000000"/>
              <w:left w:val="single" w:sz="4" w:space="0" w:color="000000"/>
              <w:right w:val="single" w:sz="4" w:space="0" w:color="000000"/>
            </w:tcBorders>
            <w:shd w:val="clear" w:color="auto" w:fill="DCDCDC"/>
          </w:tcPr>
          <w:p>
            <w:pPr/>
          </w:p>
        </w:tc>
        <w:tc>
          <w:tcPr>
            <w:tcW w:w="661" w:type="dxa"/>
            <w:vMerge w:val="restart"/>
            <w:tcBorders>
              <w:top w:val="single" w:sz="4" w:space="0" w:color="000000"/>
              <w:left w:val="single" w:sz="4" w:space="0" w:color="000000"/>
              <w:right w:val="single" w:sz="4" w:space="0" w:color="000000"/>
            </w:tcBorders>
            <w:shd w:val="clear" w:color="auto" w:fill="DCDCDC"/>
          </w:tcPr>
          <w:p>
            <w:pPr/>
          </w:p>
        </w:tc>
        <w:tc>
          <w:tcPr>
            <w:tcW w:w="624" w:type="dxa"/>
            <w:vMerge w:val="restart"/>
            <w:tcBorders>
              <w:top w:val="single" w:sz="4" w:space="0" w:color="000000"/>
              <w:left w:val="single" w:sz="4" w:space="0" w:color="000000"/>
              <w:right w:val="single" w:sz="4" w:space="0" w:color="000000"/>
            </w:tcBorders>
            <w:shd w:val="clear" w:color="auto" w:fill="DCDCDC"/>
          </w:tcPr>
          <w:p>
            <w:pPr/>
          </w:p>
        </w:tc>
        <w:tc>
          <w:tcPr>
            <w:tcW w:w="716" w:type="dxa"/>
            <w:vMerge w:val="restart"/>
            <w:tcBorders>
              <w:top w:val="single" w:sz="4" w:space="0" w:color="000000"/>
              <w:left w:val="single" w:sz="4" w:space="0" w:color="000000"/>
              <w:right w:val="single" w:sz="4" w:space="0" w:color="000000"/>
            </w:tcBorders>
            <w:shd w:val="clear" w:color="auto" w:fill="DCDCDC"/>
          </w:tcPr>
          <w:p>
            <w:pPr>
              <w:pStyle w:val="TableParagraph"/>
              <w:spacing w:line="237" w:lineRule="auto" w:before="11"/>
              <w:ind w:left="61" w:right="73"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额与承 诺投入 金额的 差额</w:t>
            </w:r>
            <w:r>
              <w:rPr>
                <w:rFonts w:ascii="Times New Roman" w:hAnsi="Times New Roman" w:cs="Times New Roman" w:eastAsia="Times New Roman" w:hint="default"/>
                <w:sz w:val="18"/>
                <w:szCs w:val="18"/>
              </w:rPr>
              <w:t>(3)</w:t>
            </w:r>
          </w:p>
          <w:p>
            <w:pPr>
              <w:pStyle w:val="TableParagraph"/>
              <w:spacing w:line="234" w:lineRule="exact"/>
              <w:ind w:left="1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587" w:type="dxa"/>
            <w:vMerge w:val="restart"/>
            <w:tcBorders>
              <w:top w:val="single" w:sz="4" w:space="0" w:color="000000"/>
              <w:left w:val="single" w:sz="4" w:space="0" w:color="000000"/>
              <w:right w:val="single" w:sz="4" w:space="0" w:color="000000"/>
            </w:tcBorders>
            <w:shd w:val="clear" w:color="auto" w:fill="DCDCDC"/>
          </w:tcPr>
          <w:p>
            <w:pPr/>
          </w:p>
        </w:tc>
        <w:tc>
          <w:tcPr>
            <w:tcW w:w="1141" w:type="dxa"/>
            <w:gridSpan w:val="2"/>
            <w:vMerge w:val="restart"/>
            <w:tcBorders>
              <w:top w:val="single" w:sz="4" w:space="0" w:color="000000"/>
              <w:left w:val="single" w:sz="4" w:space="0" w:color="000000"/>
              <w:right w:val="single" w:sz="4" w:space="0" w:color="000000"/>
            </w:tcBorders>
            <w:shd w:val="clear" w:color="auto" w:fill="DCDCDC"/>
          </w:tcPr>
          <w:p>
            <w:pPr/>
          </w:p>
        </w:tc>
        <w:tc>
          <w:tcPr>
            <w:tcW w:w="780" w:type="dxa"/>
            <w:vMerge w:val="restart"/>
            <w:tcBorders>
              <w:top w:val="single" w:sz="4" w:space="0" w:color="000000"/>
              <w:left w:val="single" w:sz="4" w:space="0" w:color="000000"/>
              <w:right w:val="single" w:sz="4" w:space="0" w:color="000000"/>
            </w:tcBorders>
            <w:shd w:val="clear" w:color="auto" w:fill="DCDCDC"/>
          </w:tcPr>
          <w:p>
            <w:pPr/>
          </w:p>
        </w:tc>
        <w:tc>
          <w:tcPr>
            <w:tcW w:w="520" w:type="dxa"/>
            <w:vMerge w:val="restart"/>
            <w:tcBorders>
              <w:top w:val="single" w:sz="4" w:space="0" w:color="000000"/>
              <w:left w:val="single" w:sz="4" w:space="0" w:color="000000"/>
              <w:right w:val="single" w:sz="4" w:space="0" w:color="000000"/>
            </w:tcBorders>
            <w:shd w:val="clear" w:color="auto" w:fill="DCDCDC"/>
          </w:tcPr>
          <w:p>
            <w:pPr/>
          </w:p>
        </w:tc>
        <w:tc>
          <w:tcPr>
            <w:tcW w:w="50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23"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bottom w:val="nil" w:sz="6" w:space="0" w:color="auto"/>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bottom w:val="nil" w:sz="6" w:space="0" w:color="auto"/>
              <w:right w:val="single" w:sz="4" w:space="0" w:color="000000"/>
            </w:tcBorders>
            <w:shd w:val="clear" w:color="auto" w:fill="DCDCDC"/>
          </w:tcPr>
          <w:p>
            <w:pPr/>
          </w:p>
        </w:tc>
        <w:tc>
          <w:tcPr>
            <w:tcW w:w="1141"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62" w:right="73"/>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227" w:hRule="exact"/>
        </w:trPr>
        <w:tc>
          <w:tcPr>
            <w:tcW w:w="1820" w:type="dxa"/>
            <w:vMerge/>
            <w:tcBorders>
              <w:left w:val="single" w:sz="4" w:space="0" w:color="000000"/>
              <w:right w:val="single" w:sz="4" w:space="0" w:color="000000"/>
            </w:tcBorders>
            <w:shd w:val="clear" w:color="auto" w:fill="DCDCDC"/>
          </w:tcPr>
          <w:p>
            <w:pPr/>
          </w:p>
        </w:tc>
        <w:tc>
          <w:tcPr>
            <w:tcW w:w="54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5"/>
              <w:ind w:left="22" w:right="-26" w:hanging="39"/>
              <w:jc w:val="center"/>
              <w:rPr>
                <w:rFonts w:ascii="宋体" w:hAnsi="宋体" w:cs="宋体" w:eastAsia="宋体" w:hint="default"/>
                <w:sz w:val="18"/>
                <w:szCs w:val="18"/>
              </w:rPr>
            </w:pPr>
            <w:r>
              <w:rPr>
                <w:rFonts w:ascii="宋体" w:hAnsi="宋体" w:cs="宋体" w:eastAsia="宋体" w:hint="default"/>
                <w:sz w:val="18"/>
                <w:szCs w:val="18"/>
              </w:rPr>
              <w:t>是否 已变 更项 </w:t>
            </w:r>
            <w:r>
              <w:rPr>
                <w:rFonts w:ascii="宋体" w:hAnsi="宋体" w:cs="宋体" w:eastAsia="宋体" w:hint="default"/>
                <w:spacing w:val="-13"/>
                <w:sz w:val="18"/>
                <w:szCs w:val="18"/>
              </w:rPr>
              <w:t>目（含</w:t>
            </w:r>
            <w:r>
              <w:rPr>
                <w:rFonts w:ascii="宋体" w:hAnsi="宋体" w:cs="宋体" w:eastAsia="宋体" w:hint="default"/>
                <w:sz w:val="18"/>
                <w:szCs w:val="18"/>
              </w:rPr>
              <w:t> 部分 变更）</w:t>
            </w:r>
          </w:p>
        </w:tc>
        <w:tc>
          <w:tcPr>
            <w:tcW w:w="637" w:type="dxa"/>
            <w:vMerge/>
            <w:tcBorders>
              <w:left w:val="single" w:sz="4" w:space="0" w:color="000000"/>
              <w:bottom w:val="nil" w:sz="6" w:space="0" w:color="auto"/>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bottom w:val="nil" w:sz="6" w:space="0" w:color="auto"/>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8"/>
              <w:ind w:left="24" w:right="10"/>
              <w:jc w:val="both"/>
              <w:rPr>
                <w:rFonts w:ascii="宋体" w:hAnsi="宋体" w:cs="宋体" w:eastAsia="宋体" w:hint="default"/>
                <w:sz w:val="18"/>
                <w:szCs w:val="18"/>
              </w:rPr>
            </w:pPr>
            <w:r>
              <w:rPr>
                <w:rFonts w:ascii="宋体" w:hAnsi="宋体" w:cs="宋体" w:eastAsia="宋体" w:hint="default"/>
                <w:sz w:val="18"/>
                <w:szCs w:val="18"/>
              </w:rPr>
              <w:t>截至期 末投入 进度</w:t>
            </w:r>
          </w:p>
          <w:p>
            <w:pPr>
              <w:pStyle w:val="TableParagraph"/>
              <w:spacing w:line="237" w:lineRule="auto"/>
              <w:ind w:left="59" w:right="26" w:hanging="21"/>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1141"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55" w:right="29"/>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673" w:type="dxa"/>
            <w:vMerge/>
            <w:tcBorders>
              <w:left w:val="single" w:sz="4" w:space="0" w:color="000000"/>
              <w:bottom w:val="nil" w:sz="6" w:space="0" w:color="auto"/>
              <w:right w:val="single" w:sz="4" w:space="0" w:color="000000"/>
            </w:tcBorders>
            <w:shd w:val="clear" w:color="auto" w:fill="DCDCDC"/>
          </w:tcPr>
          <w:p>
            <w:pPr/>
          </w:p>
        </w:tc>
        <w:tc>
          <w:tcPr>
            <w:tcW w:w="61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31" w:right="3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末承诺 投入金 额</w:t>
            </w:r>
            <w:r>
              <w:rPr>
                <w:rFonts w:ascii="Times New Roman" w:hAnsi="Times New Roman" w:cs="Times New Roman" w:eastAsia="Times New Roman" w:hint="default"/>
                <w:sz w:val="18"/>
                <w:szCs w:val="18"/>
              </w:rPr>
              <w:t>(1)</w:t>
            </w:r>
          </w:p>
        </w:tc>
        <w:tc>
          <w:tcPr>
            <w:tcW w:w="661" w:type="dxa"/>
            <w:vMerge/>
            <w:tcBorders>
              <w:left w:val="single" w:sz="4" w:space="0" w:color="000000"/>
              <w:bottom w:val="nil" w:sz="6" w:space="0" w:color="auto"/>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24" w:right="4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41" w:type="dxa"/>
            <w:gridSpan w:val="2"/>
            <w:vMerge/>
            <w:tcBorders>
              <w:left w:val="single" w:sz="4" w:space="0" w:color="000000"/>
              <w:bottom w:val="nil" w:sz="6" w:space="0" w:color="auto"/>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1"/>
              <w:ind w:left="63" w:right="8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508" w:type="dxa"/>
            <w:vMerge/>
            <w:tcBorders>
              <w:left w:val="single" w:sz="4" w:space="0" w:color="000000"/>
              <w:right w:val="single" w:sz="4" w:space="0" w:color="000000"/>
            </w:tcBorders>
            <w:shd w:val="clear" w:color="auto" w:fill="DCDCDC"/>
          </w:tcPr>
          <w:p>
            <w:pPr/>
          </w:p>
        </w:tc>
      </w:tr>
      <w:tr>
        <w:trPr>
          <w:trHeight w:val="117"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61" w:right="59"/>
              <w:jc w:val="center"/>
              <w:rPr>
                <w:rFonts w:ascii="宋体" w:hAnsi="宋体" w:cs="宋体" w:eastAsia="宋体" w:hint="default"/>
                <w:sz w:val="18"/>
                <w:szCs w:val="18"/>
              </w:rPr>
            </w:pPr>
            <w:r>
              <w:rPr>
                <w:rFonts w:ascii="宋体" w:hAnsi="宋体" w:cs="宋体" w:eastAsia="宋体" w:hint="default"/>
                <w:sz w:val="18"/>
                <w:szCs w:val="18"/>
              </w:rPr>
              <w:t>调整后 投资总 额</w:t>
            </w:r>
          </w:p>
        </w:tc>
        <w:tc>
          <w:tcPr>
            <w:tcW w:w="614" w:type="dxa"/>
            <w:vMerge/>
            <w:tcBorders>
              <w:left w:val="single" w:sz="4" w:space="0" w:color="000000"/>
              <w:right w:val="single" w:sz="4" w:space="0" w:color="000000"/>
            </w:tcBorders>
            <w:shd w:val="clear" w:color="auto" w:fill="DCDCDC"/>
          </w:tcPr>
          <w:p>
            <w:pPr/>
          </w:p>
        </w:tc>
        <w:tc>
          <w:tcPr>
            <w:tcW w:w="661" w:type="dxa"/>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55" w:right="53"/>
              <w:jc w:val="center"/>
              <w:rPr>
                <w:rFonts w:ascii="宋体" w:hAnsi="宋体" w:cs="宋体" w:eastAsia="宋体" w:hint="default"/>
                <w:sz w:val="18"/>
                <w:szCs w:val="18"/>
              </w:rPr>
            </w:pPr>
            <w:r>
              <w:rPr>
                <w:rFonts w:ascii="宋体" w:hAnsi="宋体" w:cs="宋体" w:eastAsia="宋体" w:hint="default"/>
                <w:sz w:val="18"/>
                <w:szCs w:val="18"/>
              </w:rPr>
              <w:t>本年度 投入金 额</w:t>
            </w: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41" w:type="dxa"/>
            <w:gridSpan w:val="2"/>
            <w:vMerge w:val="restart"/>
            <w:tcBorders>
              <w:top w:val="nil" w:sz="6" w:space="0" w:color="auto"/>
              <w:left w:val="single" w:sz="4" w:space="0" w:color="000000"/>
              <w:right w:val="single" w:sz="4" w:space="0" w:color="000000"/>
            </w:tcBorders>
            <w:shd w:val="clear" w:color="auto" w:fill="DCDCDC"/>
          </w:tcPr>
          <w:p>
            <w:pPr>
              <w:pStyle w:val="TableParagraph"/>
              <w:spacing w:line="237" w:lineRule="auto" w:before="12"/>
              <w:ind w:left="114" w:right="114"/>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80"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7" w:hRule="exact"/>
        </w:trPr>
        <w:tc>
          <w:tcPr>
            <w:tcW w:w="1820" w:type="dxa"/>
            <w:vMerge/>
            <w:tcBorders>
              <w:left w:val="single" w:sz="4" w:space="0" w:color="000000"/>
              <w:bottom w:val="nil" w:sz="6" w:space="0" w:color="auto"/>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41" w:type="dxa"/>
            <w:gridSpan w:val="2"/>
            <w:vMerge/>
            <w:tcBorders>
              <w:left w:val="single" w:sz="4" w:space="0" w:color="000000"/>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Style w:val="TableParagraph"/>
              <w:spacing w:line="232" w:lineRule="exact" w:before="33"/>
              <w:ind w:left="13" w:right="35"/>
              <w:jc w:val="left"/>
              <w:rPr>
                <w:rFonts w:ascii="宋体" w:hAnsi="宋体" w:cs="宋体" w:eastAsia="宋体" w:hint="default"/>
                <w:sz w:val="18"/>
                <w:szCs w:val="18"/>
              </w:rPr>
            </w:pPr>
            <w:r>
              <w:rPr>
                <w:rFonts w:ascii="宋体" w:hAnsi="宋体" w:cs="宋体" w:eastAsia="宋体" w:hint="default"/>
                <w:sz w:val="18"/>
                <w:szCs w:val="18"/>
              </w:rPr>
              <w:t>本年度实 现的效益</w:t>
            </w: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314" w:hRule="exact"/>
        </w:trPr>
        <w:tc>
          <w:tcPr>
            <w:tcW w:w="182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承诺投资项目</w:t>
            </w: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41"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6" w:hRule="exact"/>
        </w:trPr>
        <w:tc>
          <w:tcPr>
            <w:tcW w:w="1820" w:type="dxa"/>
            <w:vMerge w:val="restart"/>
            <w:tcBorders>
              <w:top w:val="nil" w:sz="6" w:space="0" w:color="auto"/>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41"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bottom w:val="nil" w:sz="6" w:space="0" w:color="auto"/>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7"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right w:val="single" w:sz="4" w:space="0" w:color="000000"/>
            </w:tcBorders>
            <w:shd w:val="clear" w:color="auto" w:fill="DCDCDC"/>
          </w:tcPr>
          <w:p>
            <w:pPr/>
          </w:p>
        </w:tc>
        <w:tc>
          <w:tcPr>
            <w:tcW w:w="673" w:type="dxa"/>
            <w:vMerge/>
            <w:tcBorders>
              <w:left w:val="single" w:sz="4" w:space="0" w:color="000000"/>
              <w:bottom w:val="nil" w:sz="6" w:space="0" w:color="auto"/>
              <w:right w:val="single" w:sz="4" w:space="0" w:color="000000"/>
            </w:tcBorders>
            <w:shd w:val="clear" w:color="auto" w:fill="DCDCDC"/>
          </w:tcPr>
          <w:p>
            <w:pPr/>
          </w:p>
        </w:tc>
        <w:tc>
          <w:tcPr>
            <w:tcW w:w="614" w:type="dxa"/>
            <w:vMerge/>
            <w:tcBorders>
              <w:left w:val="single" w:sz="4" w:space="0" w:color="000000"/>
              <w:right w:val="single" w:sz="4" w:space="0" w:color="000000"/>
            </w:tcBorders>
            <w:shd w:val="clear" w:color="auto" w:fill="DCDCDC"/>
          </w:tcPr>
          <w:p>
            <w:pPr/>
          </w:p>
        </w:tc>
        <w:tc>
          <w:tcPr>
            <w:tcW w:w="661" w:type="dxa"/>
            <w:vMerge/>
            <w:tcBorders>
              <w:left w:val="single" w:sz="4" w:space="0" w:color="000000"/>
              <w:bottom w:val="nil" w:sz="6" w:space="0" w:color="auto"/>
              <w:right w:val="single" w:sz="4" w:space="0" w:color="000000"/>
            </w:tcBorders>
            <w:shd w:val="clear" w:color="auto" w:fill="DCDCDC"/>
          </w:tcPr>
          <w:p>
            <w:pPr/>
          </w:p>
        </w:tc>
        <w:tc>
          <w:tcPr>
            <w:tcW w:w="624" w:type="dxa"/>
            <w:vMerge/>
            <w:tcBorders>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41" w:type="dxa"/>
            <w:gridSpan w:val="2"/>
            <w:vMerge/>
            <w:tcBorders>
              <w:left w:val="single" w:sz="4" w:space="0" w:color="000000"/>
              <w:bottom w:val="nil" w:sz="6" w:space="0" w:color="auto"/>
              <w:right w:val="single" w:sz="4" w:space="0" w:color="000000"/>
            </w:tcBorders>
            <w:shd w:val="clear" w:color="auto" w:fill="DCDCDC"/>
          </w:tcPr>
          <w:p>
            <w:pPr/>
          </w:p>
        </w:tc>
        <w:tc>
          <w:tcPr>
            <w:tcW w:w="780" w:type="dxa"/>
            <w:vMerge w:val="restart"/>
            <w:tcBorders>
              <w:top w:val="nil" w:sz="6" w:space="0" w:color="auto"/>
              <w:left w:val="single" w:sz="4" w:space="0" w:color="000000"/>
              <w:right w:val="single" w:sz="4" w:space="0" w:color="000000"/>
            </w:tcBorders>
            <w:shd w:val="clear" w:color="auto" w:fill="DCDCDC"/>
          </w:tcPr>
          <w:p>
            <w:pPr/>
          </w:p>
        </w:tc>
        <w:tc>
          <w:tcPr>
            <w:tcW w:w="520" w:type="dxa"/>
            <w:vMerge/>
            <w:tcBorders>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117"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right w:val="single" w:sz="4" w:space="0" w:color="000000"/>
            </w:tcBorders>
            <w:shd w:val="clear" w:color="auto" w:fill="DCDCDC"/>
          </w:tcPr>
          <w:p>
            <w:pPr/>
          </w:p>
        </w:tc>
        <w:tc>
          <w:tcPr>
            <w:tcW w:w="637" w:type="dxa"/>
            <w:vMerge/>
            <w:tcBorders>
              <w:left w:val="single" w:sz="4" w:space="0" w:color="000000"/>
              <w:bottom w:val="nil" w:sz="6" w:space="0" w:color="auto"/>
              <w:right w:val="single" w:sz="4" w:space="0" w:color="000000"/>
            </w:tcBorders>
            <w:shd w:val="clear" w:color="auto" w:fill="DCDCDC"/>
          </w:tcPr>
          <w:p>
            <w:pPr/>
          </w:p>
        </w:tc>
        <w:tc>
          <w:tcPr>
            <w:tcW w:w="673" w:type="dxa"/>
            <w:vMerge w:val="restart"/>
            <w:tcBorders>
              <w:top w:val="nil" w:sz="6" w:space="0" w:color="auto"/>
              <w:left w:val="single" w:sz="4" w:space="0" w:color="000000"/>
              <w:right w:val="single" w:sz="4" w:space="0" w:color="000000"/>
            </w:tcBorders>
            <w:shd w:val="clear" w:color="auto" w:fill="DCDCDC"/>
          </w:tcPr>
          <w:p>
            <w:pPr/>
          </w:p>
        </w:tc>
        <w:tc>
          <w:tcPr>
            <w:tcW w:w="614" w:type="dxa"/>
            <w:vMerge/>
            <w:tcBorders>
              <w:left w:val="single" w:sz="4" w:space="0" w:color="000000"/>
              <w:bottom w:val="nil" w:sz="6" w:space="0" w:color="auto"/>
              <w:right w:val="single" w:sz="4" w:space="0" w:color="000000"/>
            </w:tcBorders>
            <w:shd w:val="clear" w:color="auto" w:fill="DCDCDC"/>
          </w:tcPr>
          <w:p>
            <w:pPr/>
          </w:p>
        </w:tc>
        <w:tc>
          <w:tcPr>
            <w:tcW w:w="661" w:type="dxa"/>
            <w:vMerge w:val="restart"/>
            <w:tcBorders>
              <w:top w:val="nil" w:sz="6" w:space="0" w:color="auto"/>
              <w:left w:val="single" w:sz="4" w:space="0" w:color="000000"/>
              <w:right w:val="single" w:sz="4" w:space="0" w:color="000000"/>
            </w:tcBorders>
            <w:shd w:val="clear" w:color="auto" w:fill="DCDCDC"/>
          </w:tcPr>
          <w:p>
            <w:pPr/>
          </w:p>
        </w:tc>
        <w:tc>
          <w:tcPr>
            <w:tcW w:w="624" w:type="dxa"/>
            <w:vMerge/>
            <w:tcBorders>
              <w:left w:val="single" w:sz="4" w:space="0" w:color="000000"/>
              <w:bottom w:val="nil" w:sz="6" w:space="0" w:color="auto"/>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right w:val="single" w:sz="4" w:space="0" w:color="000000"/>
            </w:tcBorders>
            <w:shd w:val="clear" w:color="auto" w:fill="DCDCDC"/>
          </w:tcPr>
          <w:p>
            <w:pPr/>
          </w:p>
        </w:tc>
        <w:tc>
          <w:tcPr>
            <w:tcW w:w="1141" w:type="dxa"/>
            <w:gridSpan w:val="2"/>
            <w:vMerge w:val="restart"/>
            <w:tcBorders>
              <w:top w:val="nil" w:sz="6" w:space="0" w:color="auto"/>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tcBorders>
              <w:left w:val="single" w:sz="4" w:space="0" w:color="000000"/>
              <w:bottom w:val="nil" w:sz="6" w:space="0" w:color="auto"/>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226" w:hRule="exact"/>
        </w:trPr>
        <w:tc>
          <w:tcPr>
            <w:tcW w:w="1820" w:type="dxa"/>
            <w:vMerge/>
            <w:tcBorders>
              <w:left w:val="single" w:sz="4" w:space="0" w:color="000000"/>
              <w:right w:val="single" w:sz="4" w:space="0" w:color="000000"/>
            </w:tcBorders>
            <w:shd w:val="clear" w:color="auto" w:fill="DCDCDC"/>
          </w:tcPr>
          <w:p>
            <w:pPr/>
          </w:p>
        </w:tc>
        <w:tc>
          <w:tcPr>
            <w:tcW w:w="547" w:type="dxa"/>
            <w:vMerge/>
            <w:tcBorders>
              <w:left w:val="single" w:sz="4" w:space="0" w:color="000000"/>
              <w:bottom w:val="nil" w:sz="6" w:space="0" w:color="auto"/>
              <w:right w:val="single" w:sz="4" w:space="0" w:color="000000"/>
            </w:tcBorders>
            <w:shd w:val="clear" w:color="auto" w:fill="DCDCDC"/>
          </w:tcPr>
          <w:p>
            <w:pPr/>
          </w:p>
        </w:tc>
        <w:tc>
          <w:tcPr>
            <w:tcW w:w="637" w:type="dxa"/>
            <w:vMerge w:val="restart"/>
            <w:tcBorders>
              <w:top w:val="nil" w:sz="6" w:space="0" w:color="auto"/>
              <w:left w:val="single" w:sz="4" w:space="0" w:color="000000"/>
              <w:right w:val="single" w:sz="4" w:space="0" w:color="000000"/>
            </w:tcBorders>
            <w:shd w:val="clear" w:color="auto" w:fill="DCDCDC"/>
          </w:tcPr>
          <w:p>
            <w:pPr/>
          </w:p>
        </w:tc>
        <w:tc>
          <w:tcPr>
            <w:tcW w:w="673" w:type="dxa"/>
            <w:vMerge/>
            <w:tcBorders>
              <w:left w:val="single" w:sz="4" w:space="0" w:color="000000"/>
              <w:right w:val="single" w:sz="4" w:space="0" w:color="000000"/>
            </w:tcBorders>
            <w:shd w:val="clear" w:color="auto" w:fill="DCDCDC"/>
          </w:tcPr>
          <w:p>
            <w:pPr/>
          </w:p>
        </w:tc>
        <w:tc>
          <w:tcPr>
            <w:tcW w:w="614" w:type="dxa"/>
            <w:vMerge w:val="restart"/>
            <w:tcBorders>
              <w:top w:val="nil" w:sz="6" w:space="0" w:color="auto"/>
              <w:left w:val="single" w:sz="4" w:space="0" w:color="000000"/>
              <w:right w:val="single" w:sz="4" w:space="0" w:color="000000"/>
            </w:tcBorders>
            <w:shd w:val="clear" w:color="auto" w:fill="DCDCDC"/>
          </w:tcPr>
          <w:p>
            <w:pPr/>
          </w:p>
        </w:tc>
        <w:tc>
          <w:tcPr>
            <w:tcW w:w="661" w:type="dxa"/>
            <w:vMerge/>
            <w:tcBorders>
              <w:left w:val="single" w:sz="4" w:space="0" w:color="000000"/>
              <w:right w:val="single" w:sz="4" w:space="0" w:color="000000"/>
            </w:tcBorders>
            <w:shd w:val="clear" w:color="auto" w:fill="DCDCDC"/>
          </w:tcPr>
          <w:p>
            <w:pPr/>
          </w:p>
        </w:tc>
        <w:tc>
          <w:tcPr>
            <w:tcW w:w="624" w:type="dxa"/>
            <w:vMerge w:val="restart"/>
            <w:tcBorders>
              <w:top w:val="nil" w:sz="6" w:space="0" w:color="auto"/>
              <w:left w:val="single" w:sz="4" w:space="0" w:color="000000"/>
              <w:right w:val="single" w:sz="4" w:space="0" w:color="000000"/>
            </w:tcBorders>
            <w:shd w:val="clear" w:color="auto" w:fill="DCDCDC"/>
          </w:tcPr>
          <w:p>
            <w:pPr/>
          </w:p>
        </w:tc>
        <w:tc>
          <w:tcPr>
            <w:tcW w:w="716" w:type="dxa"/>
            <w:vMerge/>
            <w:tcBorders>
              <w:left w:val="single" w:sz="4" w:space="0" w:color="000000"/>
              <w:right w:val="single" w:sz="4" w:space="0" w:color="000000"/>
            </w:tcBorders>
            <w:shd w:val="clear" w:color="auto" w:fill="DCDCDC"/>
          </w:tcPr>
          <w:p>
            <w:pPr/>
          </w:p>
        </w:tc>
        <w:tc>
          <w:tcPr>
            <w:tcW w:w="587" w:type="dxa"/>
            <w:vMerge/>
            <w:tcBorders>
              <w:left w:val="single" w:sz="4" w:space="0" w:color="000000"/>
              <w:bottom w:val="nil" w:sz="6" w:space="0" w:color="auto"/>
              <w:right w:val="single" w:sz="4" w:space="0" w:color="000000"/>
            </w:tcBorders>
            <w:shd w:val="clear" w:color="auto" w:fill="DCDCDC"/>
          </w:tcPr>
          <w:p>
            <w:pPr/>
          </w:p>
        </w:tc>
        <w:tc>
          <w:tcPr>
            <w:tcW w:w="1141" w:type="dxa"/>
            <w:gridSpan w:val="2"/>
            <w:vMerge/>
            <w:tcBorders>
              <w:left w:val="single" w:sz="4" w:space="0" w:color="000000"/>
              <w:right w:val="single" w:sz="4" w:space="0" w:color="000000"/>
            </w:tcBorders>
            <w:shd w:val="clear" w:color="auto" w:fill="DCDCDC"/>
          </w:tcPr>
          <w:p>
            <w:pPr/>
          </w:p>
        </w:tc>
        <w:tc>
          <w:tcPr>
            <w:tcW w:w="780" w:type="dxa"/>
            <w:vMerge/>
            <w:tcBorders>
              <w:left w:val="single" w:sz="4" w:space="0" w:color="000000"/>
              <w:right w:val="single" w:sz="4" w:space="0" w:color="000000"/>
            </w:tcBorders>
            <w:shd w:val="clear" w:color="auto" w:fill="DCDCDC"/>
          </w:tcPr>
          <w:p>
            <w:pPr/>
          </w:p>
        </w:tc>
        <w:tc>
          <w:tcPr>
            <w:tcW w:w="520" w:type="dxa"/>
            <w:vMerge w:val="restart"/>
            <w:tcBorders>
              <w:top w:val="nil" w:sz="6" w:space="0" w:color="auto"/>
              <w:left w:val="single" w:sz="4" w:space="0" w:color="000000"/>
              <w:right w:val="single" w:sz="4" w:space="0" w:color="000000"/>
            </w:tcBorders>
            <w:shd w:val="clear" w:color="auto" w:fill="DCDCDC"/>
          </w:tcPr>
          <w:p>
            <w:pPr/>
          </w:p>
        </w:tc>
        <w:tc>
          <w:tcPr>
            <w:tcW w:w="508" w:type="dxa"/>
            <w:vMerge/>
            <w:tcBorders>
              <w:left w:val="single" w:sz="4" w:space="0" w:color="000000"/>
              <w:right w:val="single" w:sz="4" w:space="0" w:color="000000"/>
            </w:tcBorders>
            <w:shd w:val="clear" w:color="auto" w:fill="DCDCDC"/>
          </w:tcPr>
          <w:p>
            <w:pPr/>
          </w:p>
        </w:tc>
      </w:tr>
      <w:tr>
        <w:trPr>
          <w:trHeight w:val="247" w:hRule="exact"/>
        </w:trPr>
        <w:tc>
          <w:tcPr>
            <w:tcW w:w="1820" w:type="dxa"/>
            <w:vMerge/>
            <w:tcBorders>
              <w:left w:val="single" w:sz="4" w:space="0" w:color="000000"/>
              <w:bottom w:val="single" w:sz="4" w:space="0" w:color="000000"/>
              <w:right w:val="single" w:sz="4" w:space="0" w:color="000000"/>
            </w:tcBorders>
            <w:shd w:val="clear" w:color="auto" w:fill="DCDCDC"/>
          </w:tcPr>
          <w:p>
            <w:pPr/>
          </w:p>
        </w:tc>
        <w:tc>
          <w:tcPr>
            <w:tcW w:w="547" w:type="dxa"/>
            <w:tcBorders>
              <w:top w:val="nil" w:sz="6" w:space="0" w:color="auto"/>
              <w:left w:val="single" w:sz="4" w:space="0" w:color="000000"/>
              <w:bottom w:val="single" w:sz="4" w:space="0" w:color="000000"/>
              <w:right w:val="single" w:sz="4" w:space="0" w:color="000000"/>
            </w:tcBorders>
            <w:shd w:val="clear" w:color="auto" w:fill="DCDCDC"/>
          </w:tcPr>
          <w:p>
            <w:pPr/>
          </w:p>
        </w:tc>
        <w:tc>
          <w:tcPr>
            <w:tcW w:w="637" w:type="dxa"/>
            <w:vMerge/>
            <w:tcBorders>
              <w:left w:val="single" w:sz="4" w:space="0" w:color="000000"/>
              <w:bottom w:val="single" w:sz="4" w:space="0" w:color="000000"/>
              <w:right w:val="single" w:sz="4" w:space="0" w:color="000000"/>
            </w:tcBorders>
            <w:shd w:val="clear" w:color="auto" w:fill="DCDCDC"/>
          </w:tcPr>
          <w:p>
            <w:pPr/>
          </w:p>
        </w:tc>
        <w:tc>
          <w:tcPr>
            <w:tcW w:w="673" w:type="dxa"/>
            <w:vMerge/>
            <w:tcBorders>
              <w:left w:val="single" w:sz="4" w:space="0" w:color="000000"/>
              <w:bottom w:val="single" w:sz="4" w:space="0" w:color="000000"/>
              <w:right w:val="single" w:sz="4" w:space="0" w:color="000000"/>
            </w:tcBorders>
            <w:shd w:val="clear" w:color="auto" w:fill="DCDCDC"/>
          </w:tcPr>
          <w:p>
            <w:pPr/>
          </w:p>
        </w:tc>
        <w:tc>
          <w:tcPr>
            <w:tcW w:w="614" w:type="dxa"/>
            <w:vMerge/>
            <w:tcBorders>
              <w:left w:val="single" w:sz="4" w:space="0" w:color="000000"/>
              <w:bottom w:val="single" w:sz="4" w:space="0" w:color="000000"/>
              <w:right w:val="single" w:sz="4" w:space="0" w:color="000000"/>
            </w:tcBorders>
            <w:shd w:val="clear" w:color="auto" w:fill="DCDCDC"/>
          </w:tcPr>
          <w:p>
            <w:pPr/>
          </w:p>
        </w:tc>
        <w:tc>
          <w:tcPr>
            <w:tcW w:w="661" w:type="dxa"/>
            <w:vMerge/>
            <w:tcBorders>
              <w:left w:val="single" w:sz="4" w:space="0" w:color="000000"/>
              <w:bottom w:val="single" w:sz="4" w:space="0" w:color="000000"/>
              <w:right w:val="single" w:sz="4" w:space="0" w:color="000000"/>
            </w:tcBorders>
            <w:shd w:val="clear" w:color="auto" w:fill="DCDCDC"/>
          </w:tcPr>
          <w:p>
            <w:pPr/>
          </w:p>
        </w:tc>
        <w:tc>
          <w:tcPr>
            <w:tcW w:w="624" w:type="dxa"/>
            <w:vMerge/>
            <w:tcBorders>
              <w:left w:val="single" w:sz="4" w:space="0" w:color="000000"/>
              <w:bottom w:val="single" w:sz="4" w:space="0" w:color="000000"/>
              <w:right w:val="single" w:sz="4" w:space="0" w:color="000000"/>
            </w:tcBorders>
            <w:shd w:val="clear" w:color="auto" w:fill="DCDCDC"/>
          </w:tcPr>
          <w:p>
            <w:pPr/>
          </w:p>
        </w:tc>
        <w:tc>
          <w:tcPr>
            <w:tcW w:w="716" w:type="dxa"/>
            <w:vMerge/>
            <w:tcBorders>
              <w:left w:val="single" w:sz="4" w:space="0" w:color="000000"/>
              <w:bottom w:val="single" w:sz="4" w:space="0" w:color="000000"/>
              <w:right w:val="single" w:sz="4" w:space="0" w:color="000000"/>
            </w:tcBorders>
            <w:shd w:val="clear" w:color="auto" w:fill="DCDCDC"/>
          </w:tcPr>
          <w:p>
            <w:pPr/>
          </w:p>
        </w:tc>
        <w:tc>
          <w:tcPr>
            <w:tcW w:w="58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41" w:type="dxa"/>
            <w:gridSpan w:val="2"/>
            <w:vMerge/>
            <w:tcBorders>
              <w:left w:val="single" w:sz="4" w:space="0" w:color="000000"/>
              <w:bottom w:val="single" w:sz="4" w:space="0" w:color="000000"/>
              <w:right w:val="single" w:sz="4" w:space="0" w:color="000000"/>
            </w:tcBorders>
            <w:shd w:val="clear" w:color="auto" w:fill="DCDCDC"/>
          </w:tcPr>
          <w:p>
            <w:pPr/>
          </w:p>
        </w:tc>
        <w:tc>
          <w:tcPr>
            <w:tcW w:w="780" w:type="dxa"/>
            <w:vMerge/>
            <w:tcBorders>
              <w:left w:val="single" w:sz="4" w:space="0" w:color="000000"/>
              <w:bottom w:val="single" w:sz="4" w:space="0" w:color="000000"/>
              <w:right w:val="single" w:sz="4" w:space="0" w:color="000000"/>
            </w:tcBorders>
            <w:shd w:val="clear" w:color="auto" w:fill="DCDCDC"/>
          </w:tcPr>
          <w:p>
            <w:pPr/>
          </w:p>
        </w:tc>
        <w:tc>
          <w:tcPr>
            <w:tcW w:w="520" w:type="dxa"/>
            <w:vMerge/>
            <w:tcBorders>
              <w:left w:val="single" w:sz="4" w:space="0" w:color="000000"/>
              <w:bottom w:val="single" w:sz="4" w:space="0" w:color="000000"/>
              <w:right w:val="single" w:sz="4" w:space="0" w:color="000000"/>
            </w:tcBorders>
            <w:shd w:val="clear" w:color="auto" w:fill="DCDCDC"/>
          </w:tcPr>
          <w:p>
            <w:pPr/>
          </w:p>
        </w:tc>
        <w:tc>
          <w:tcPr>
            <w:tcW w:w="508" w:type="dxa"/>
            <w:vMerge/>
            <w:tcBorders>
              <w:left w:val="single" w:sz="4" w:space="0" w:color="000000"/>
              <w:bottom w:val="single" w:sz="4" w:space="0" w:color="000000"/>
              <w:right w:val="single" w:sz="4" w:space="0" w:color="000000"/>
            </w:tcBorders>
            <w:shd w:val="clear" w:color="auto" w:fill="DCDCDC"/>
          </w:tcPr>
          <w:p>
            <w:pP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5"/>
              <w:jc w:val="left"/>
              <w:rPr>
                <w:rFonts w:ascii="宋体" w:hAnsi="宋体" w:cs="宋体" w:eastAsia="宋体" w:hint="default"/>
                <w:sz w:val="18"/>
                <w:szCs w:val="18"/>
              </w:rPr>
            </w:pPr>
            <w:r>
              <w:rPr>
                <w:rFonts w:ascii="宋体" w:hAnsi="宋体" w:cs="宋体" w:eastAsia="宋体" w:hint="default"/>
                <w:sz w:val="18"/>
                <w:szCs w:val="18"/>
              </w:rPr>
              <w:t>高压动态无功补偿装 置</w:t>
            </w:r>
            <w:r>
              <w:rPr>
                <w:rFonts w:ascii="Times New Roman" w:hAnsi="Times New Roman" w:cs="Times New Roman" w:eastAsia="Times New Roman" w:hint="default"/>
                <w:sz w:val="18"/>
                <w:szCs w:val="18"/>
              </w:rPr>
              <w:t>(SVC)</w:t>
            </w:r>
            <w:r>
              <w:rPr>
                <w:rFonts w:ascii="宋体" w:hAnsi="宋体" w:cs="宋体" w:eastAsia="宋体" w:hint="default"/>
                <w:sz w:val="18"/>
                <w:szCs w:val="18"/>
              </w:rPr>
              <w:t>产业升级项目</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13,976.</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1"/>
              <w:jc w:val="right"/>
              <w:rPr>
                <w:rFonts w:ascii="Times New Roman" w:hAnsi="Times New Roman" w:cs="Times New Roman" w:eastAsia="Times New Roman" w:hint="default"/>
                <w:sz w:val="18"/>
                <w:szCs w:val="18"/>
              </w:rPr>
            </w:pPr>
            <w:r>
              <w:rPr>
                <w:rFonts w:ascii="Times New Roman"/>
                <w:sz w:val="18"/>
              </w:rPr>
              <w:t>13,976.</w:t>
            </w: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
              <w:jc w:val="right"/>
              <w:rPr>
                <w:rFonts w:ascii="Times New Roman" w:hAnsi="Times New Roman" w:cs="Times New Roman" w:eastAsia="Times New Roman" w:hint="default"/>
                <w:sz w:val="18"/>
                <w:szCs w:val="18"/>
              </w:rPr>
            </w:pPr>
            <w:r>
              <w:rPr>
                <w:rFonts w:ascii="Times New Roman"/>
                <w:sz w:val="18"/>
              </w:rPr>
              <w:t>12,229.</w:t>
            </w: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00</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2"/>
              <w:jc w:val="right"/>
              <w:rPr>
                <w:rFonts w:ascii="Times New Roman" w:hAnsi="Times New Roman" w:cs="Times New Roman" w:eastAsia="Times New Roman" w:hint="default"/>
                <w:sz w:val="18"/>
                <w:szCs w:val="18"/>
              </w:rPr>
            </w:pPr>
            <w:r>
              <w:rPr>
                <w:rFonts w:ascii="Times New Roman"/>
                <w:sz w:val="18"/>
              </w:rPr>
              <w:t>9,865.5</w:t>
            </w: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8" w:right="0"/>
              <w:jc w:val="left"/>
              <w:rPr>
                <w:rFonts w:ascii="Times New Roman" w:hAnsi="Times New Roman" w:cs="Times New Roman" w:eastAsia="Times New Roman" w:hint="default"/>
                <w:sz w:val="18"/>
                <w:szCs w:val="18"/>
              </w:rPr>
            </w:pPr>
            <w:r>
              <w:rPr>
                <w:rFonts w:ascii="Times New Roman"/>
                <w:sz w:val="18"/>
              </w:rPr>
              <w:t>13,041.</w:t>
            </w: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61</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4" w:right="0"/>
              <w:jc w:val="center"/>
              <w:rPr>
                <w:rFonts w:ascii="Times New Roman" w:hAnsi="Times New Roman" w:cs="Times New Roman" w:eastAsia="Times New Roman" w:hint="default"/>
                <w:sz w:val="18"/>
                <w:szCs w:val="18"/>
              </w:rPr>
            </w:pPr>
            <w:r>
              <w:rPr>
                <w:rFonts w:ascii="Times New Roman"/>
                <w:sz w:val="18"/>
              </w:rPr>
              <w:t>812.61</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z w:val="18"/>
              </w:rPr>
              <w:t>106.64</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3,986.46</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8"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72"/>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15"/>
              <w:ind w:left="22" w:right="167"/>
              <w:jc w:val="both"/>
              <w:rPr>
                <w:rFonts w:ascii="宋体" w:hAnsi="宋体" w:cs="宋体" w:eastAsia="宋体" w:hint="default"/>
                <w:sz w:val="18"/>
                <w:szCs w:val="18"/>
              </w:rPr>
            </w:pPr>
            <w:r>
              <w:rPr>
                <w:rFonts w:ascii="宋体" w:hAnsi="宋体" w:cs="宋体" w:eastAsia="宋体" w:hint="default"/>
                <w:sz w:val="18"/>
                <w:szCs w:val="18"/>
              </w:rPr>
              <w:t>大型煤矿瓦斯安全监 控与排放自动化成套 系统</w:t>
            </w:r>
            <w:r>
              <w:rPr>
                <w:rFonts w:ascii="Times New Roman" w:hAnsi="Times New Roman" w:cs="Times New Roman" w:eastAsia="Times New Roman" w:hint="default"/>
                <w:sz w:val="18"/>
                <w:szCs w:val="18"/>
              </w:rPr>
              <w:t>(RGM)</w:t>
            </w:r>
            <w:r>
              <w:rPr>
                <w:rFonts w:ascii="宋体" w:hAnsi="宋体" w:cs="宋体" w:eastAsia="宋体" w:hint="default"/>
                <w:sz w:val="18"/>
                <w:szCs w:val="18"/>
              </w:rPr>
              <w:t>产业化项 目</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7,834.0</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7,834.0</w:t>
            </w: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6,854.7</w:t>
            </w: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5</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3,499.2</w:t>
            </w: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7,105.2</w:t>
            </w: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250.52</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103.65</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2" w:lineRule="exact"/>
              <w:ind w:left="3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664.16</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8"/>
              <w:jc w:val="right"/>
              <w:rPr>
                <w:rFonts w:ascii="Times New Roman" w:hAnsi="Times New Roman" w:cs="Times New Roman" w:eastAsia="Times New Roman" w:hint="default"/>
                <w:sz w:val="18"/>
                <w:szCs w:val="18"/>
              </w:rPr>
            </w:pPr>
            <w:r>
              <w:rPr>
                <w:rFonts w:ascii="Times New Roman"/>
                <w:sz w:val="18"/>
              </w:rPr>
              <w:t>21,810.</w:t>
            </w: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00</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1"/>
              <w:jc w:val="right"/>
              <w:rPr>
                <w:rFonts w:ascii="Times New Roman" w:hAnsi="Times New Roman" w:cs="Times New Roman" w:eastAsia="Times New Roman" w:hint="default"/>
                <w:sz w:val="18"/>
                <w:szCs w:val="18"/>
              </w:rPr>
            </w:pPr>
            <w:r>
              <w:rPr>
                <w:rFonts w:ascii="Times New Roman"/>
                <w:sz w:val="18"/>
              </w:rPr>
              <w:t>21,810.</w:t>
            </w: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00</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
              <w:jc w:val="right"/>
              <w:rPr>
                <w:rFonts w:ascii="Times New Roman" w:hAnsi="Times New Roman" w:cs="Times New Roman" w:eastAsia="Times New Roman" w:hint="default"/>
                <w:sz w:val="18"/>
                <w:szCs w:val="18"/>
              </w:rPr>
            </w:pPr>
            <w:r>
              <w:rPr>
                <w:rFonts w:ascii="Times New Roman"/>
                <w:sz w:val="18"/>
              </w:rPr>
              <w:t>19,083.</w:t>
            </w: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z w:val="18"/>
              </w:rPr>
              <w:t>75</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2"/>
              <w:jc w:val="right"/>
              <w:rPr>
                <w:rFonts w:ascii="Times New Roman" w:hAnsi="Times New Roman" w:cs="Times New Roman" w:eastAsia="Times New Roman" w:hint="default"/>
                <w:sz w:val="18"/>
                <w:szCs w:val="18"/>
              </w:rPr>
            </w:pPr>
            <w:r>
              <w:rPr>
                <w:rFonts w:ascii="Times New Roman"/>
                <w:sz w:val="18"/>
              </w:rPr>
              <w:t>13,364.</w:t>
            </w:r>
          </w:p>
          <w:p>
            <w:pPr>
              <w:pStyle w:val="TableParagraph"/>
              <w:spacing w:line="240" w:lineRule="auto"/>
              <w:ind w:right="33"/>
              <w:jc w:val="right"/>
              <w:rPr>
                <w:rFonts w:ascii="Times New Roman" w:hAnsi="Times New Roman" w:cs="Times New Roman" w:eastAsia="Times New Roman" w:hint="default"/>
                <w:sz w:val="18"/>
                <w:szCs w:val="18"/>
              </w:rPr>
            </w:pPr>
            <w:r>
              <w:rPr>
                <w:rFonts w:ascii="Times New Roman"/>
                <w:sz w:val="18"/>
              </w:rPr>
              <w:t>81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 w:right="0"/>
              <w:jc w:val="left"/>
              <w:rPr>
                <w:rFonts w:ascii="Times New Roman" w:hAnsi="Times New Roman" w:cs="Times New Roman" w:eastAsia="Times New Roman" w:hint="default"/>
                <w:sz w:val="18"/>
                <w:szCs w:val="18"/>
              </w:rPr>
            </w:pPr>
            <w:r>
              <w:rPr>
                <w:rFonts w:ascii="Times New Roman"/>
                <w:sz w:val="18"/>
              </w:rPr>
              <w:t>20,146.</w:t>
            </w:r>
          </w:p>
          <w:p>
            <w:pPr>
              <w:pStyle w:val="TableParagraph"/>
              <w:spacing w:line="240" w:lineRule="auto"/>
              <w:ind w:left="398" w:right="0"/>
              <w:jc w:val="left"/>
              <w:rPr>
                <w:rFonts w:ascii="Times New Roman" w:hAnsi="Times New Roman" w:cs="Times New Roman" w:eastAsia="Times New Roman" w:hint="default"/>
                <w:sz w:val="18"/>
                <w:szCs w:val="18"/>
              </w:rPr>
            </w:pPr>
            <w:r>
              <w:rPr>
                <w:rFonts w:ascii="Times New Roman"/>
                <w:sz w:val="18"/>
              </w:rPr>
              <w:t>88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8" w:right="0"/>
              <w:jc w:val="center"/>
              <w:rPr>
                <w:rFonts w:ascii="Times New Roman" w:hAnsi="Times New Roman" w:cs="Times New Roman" w:eastAsia="Times New Roman" w:hint="default"/>
                <w:sz w:val="18"/>
                <w:szCs w:val="18"/>
              </w:rPr>
            </w:pPr>
            <w:r>
              <w:rPr>
                <w:rFonts w:ascii="Times New Roman"/>
                <w:sz w:val="18"/>
              </w:rPr>
              <w:t>1,063.13</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33"/>
              <w:jc w:val="right"/>
              <w:rPr>
                <w:rFonts w:ascii="Times New Roman" w:hAnsi="Times New Roman" w:cs="Times New Roman" w:eastAsia="Times New Roman" w:hint="default"/>
                <w:sz w:val="18"/>
                <w:szCs w:val="18"/>
              </w:rPr>
            </w:pPr>
            <w:r>
              <w:rPr>
                <w:rFonts w:ascii="Times New Roman"/>
                <w:sz w:val="18"/>
              </w:rPr>
              <w:t>4,650.62</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9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center"/>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33" w:lineRule="exact"/>
              <w:ind w:right="1"/>
              <w:jc w:val="center"/>
              <w:rPr>
                <w:rFonts w:ascii="宋体" w:hAnsi="宋体" w:cs="宋体" w:eastAsia="宋体" w:hint="default"/>
                <w:sz w:val="18"/>
                <w:szCs w:val="18"/>
              </w:rPr>
            </w:pPr>
            <w:r>
              <w:rPr>
                <w:rFonts w:ascii="宋体" w:hAnsi="宋体" w:cs="宋体" w:eastAsia="宋体" w:hint="default"/>
                <w:sz w:val="18"/>
                <w:szCs w:val="18"/>
              </w:rPr>
              <w:t>（分具体项目）</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达到计划进度</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74" w:right="95" w:hanging="180"/>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募集资金实施地点未变更</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74" w:right="95" w:hanging="180"/>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募集资金实施方式未调整</w:t>
            </w:r>
          </w:p>
        </w:tc>
      </w:tr>
      <w:tr>
        <w:trPr>
          <w:trHeight w:val="1024"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30" w:lineRule="auto" w:before="18"/>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日公司第三届董事会第一次会议审议通过了《关于用募集资金置换预先已投入募集资 </w:t>
            </w:r>
            <w:r>
              <w:rPr>
                <w:rFonts w:ascii="宋体" w:hAnsi="宋体" w:cs="宋体" w:eastAsia="宋体" w:hint="default"/>
                <w:spacing w:val="-4"/>
                <w:sz w:val="18"/>
                <w:szCs w:val="18"/>
              </w:rPr>
              <w:t>金投资项目的自筹资金的议案》。为了加速投资项目的进程，公司前期已使用自筹资金投入募集资金投</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资项目。截至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日止，公司以自筹资金预先投入募集资金投资项目的总金额为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2,779.15 </w:t>
            </w:r>
            <w:r>
              <w:rPr>
                <w:rFonts w:ascii="宋体" w:hAnsi="宋体" w:cs="宋体" w:eastAsia="宋体" w:hint="default"/>
                <w:sz w:val="18"/>
                <w:szCs w:val="18"/>
              </w:rPr>
              <w:t>万元。</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84" w:right="95" w:hanging="90"/>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未发生用闲置募集资金暂时补充流动资金的情况</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94" w:right="9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募集资金项目建设已基本完成</w:t>
            </w:r>
            <w:r>
              <w:rPr>
                <w:rFonts w:ascii="Times New Roman" w:hAnsi="Times New Roman" w:cs="Times New Roman" w:eastAsia="Times New Roman" w:hint="default"/>
                <w:sz w:val="18"/>
                <w:szCs w:val="18"/>
              </w:rPr>
              <w:t>,</w:t>
            </w:r>
            <w:r>
              <w:rPr>
                <w:rFonts w:ascii="宋体" w:hAnsi="宋体" w:cs="宋体" w:eastAsia="宋体" w:hint="default"/>
                <w:sz w:val="18"/>
                <w:szCs w:val="18"/>
              </w:rPr>
              <w:t>剩余募集资金为项目铺底流动资金</w:t>
            </w: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454" w:right="95" w:hanging="360"/>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尚未使用的募集资金将继续投入募集资金项目</w:t>
            </w:r>
          </w:p>
        </w:tc>
      </w:tr>
      <w:tr>
        <w:trPr>
          <w:trHeight w:val="791" w:hRule="exact"/>
        </w:trPr>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94" w:right="95"/>
              <w:jc w:val="center"/>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800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日公司二届七次董事会审议通过</w:t>
            </w:r>
            <w:r>
              <w:rPr>
                <w:rFonts w:ascii="宋体" w:hAnsi="宋体" w:cs="宋体" w:eastAsia="宋体" w:hint="default"/>
                <w:spacing w:val="-6"/>
                <w:sz w:val="18"/>
                <w:szCs w:val="18"/>
              </w:rPr>
              <w:t>了</w:t>
            </w:r>
            <w:r>
              <w:rPr>
                <w:rFonts w:ascii="宋体" w:hAnsi="宋体" w:cs="宋体" w:eastAsia="宋体" w:hint="default"/>
                <w:sz w:val="18"/>
                <w:szCs w:val="18"/>
              </w:rPr>
              <w:t>《关于本次募集资金使用的议案</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本次实际募集资</w:t>
            </w:r>
          </w:p>
          <w:p>
            <w:pPr>
              <w:pStyle w:val="TableParagraph"/>
              <w:spacing w:line="232" w:lineRule="exact" w:before="17"/>
              <w:ind w:left="22" w:right="54" w:hanging="1"/>
              <w:jc w:val="left"/>
              <w:rPr>
                <w:rFonts w:ascii="宋体" w:hAnsi="宋体" w:cs="宋体" w:eastAsia="宋体" w:hint="default"/>
                <w:sz w:val="18"/>
                <w:szCs w:val="18"/>
              </w:rPr>
            </w:pPr>
            <w:r>
              <w:rPr>
                <w:rFonts w:ascii="宋体" w:hAnsi="宋体" w:cs="宋体" w:eastAsia="宋体" w:hint="default"/>
                <w:sz w:val="18"/>
                <w:szCs w:val="18"/>
              </w:rPr>
              <w:t>金净额超过项目投资计划部分共计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6,778.51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万元，根据《招股说明书》计划安排，用于补充公司流动 资金。</w:t>
            </w:r>
          </w:p>
        </w:tc>
      </w:tr>
    </w:tbl>
    <w:p>
      <w:pPr>
        <w:spacing w:line="240" w:lineRule="auto" w:before="8"/>
        <w:rPr>
          <w:rFonts w:ascii="宋体" w:hAnsi="宋体" w:cs="宋体" w:eastAsia="宋体" w:hint="default"/>
          <w:sz w:val="16"/>
          <w:szCs w:val="16"/>
        </w:rPr>
      </w:pPr>
    </w:p>
    <w:p>
      <w:pPr>
        <w:spacing w:line="338" w:lineRule="auto" w:before="35"/>
        <w:ind w:left="153" w:right="294"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、募集资金项目处于建设期，尚未完全达到预计可使用状态，公司未预计募集资金项目建设期内 产生的效益。</w:t>
      </w:r>
    </w:p>
    <w:p>
      <w:pPr>
        <w:spacing w:line="338" w:lineRule="auto" w:before="86"/>
        <w:ind w:left="153" w:right="201"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、高压动态无功补偿装置</w:t>
      </w:r>
      <w:r>
        <w:rPr>
          <w:rFonts w:ascii="Times New Roman" w:hAnsi="Times New Roman" w:cs="Times New Roman" w:eastAsia="Times New Roman" w:hint="default"/>
          <w:sz w:val="21"/>
          <w:szCs w:val="21"/>
        </w:rPr>
        <w:t>(SVC)</w:t>
      </w:r>
      <w:r>
        <w:rPr>
          <w:rFonts w:ascii="宋体" w:hAnsi="宋体" w:cs="宋体" w:eastAsia="宋体" w:hint="default"/>
          <w:sz w:val="21"/>
          <w:szCs w:val="21"/>
        </w:rPr>
        <w:t>产业升级项目报告期内投入的部分固定资产达到预计可使用状态， 新增产能 </w:t>
      </w:r>
      <w:r>
        <w:rPr>
          <w:rFonts w:ascii="Times New Roman" w:hAnsi="Times New Roman" w:cs="Times New Roman" w:eastAsia="Times New Roman" w:hint="default"/>
          <w:sz w:val="21"/>
          <w:szCs w:val="21"/>
        </w:rPr>
        <w:t>52 </w:t>
      </w:r>
      <w:r>
        <w:rPr>
          <w:rFonts w:ascii="宋体" w:hAnsi="宋体" w:cs="宋体" w:eastAsia="宋体" w:hint="default"/>
          <w:sz w:val="21"/>
          <w:szCs w:val="21"/>
        </w:rPr>
        <w:t>套，实现效益是依据报告期内公司募集资金投入新增固定资产及补充流动资金所带来的</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SVC</w:t>
      </w:r>
      <w:r>
        <w:rPr>
          <w:rFonts w:ascii="Times New Roman" w:hAnsi="Times New Roman" w:cs="Times New Roman" w:eastAsia="Times New Roman" w:hint="default"/>
          <w:spacing w:val="-1"/>
          <w:w w:val="99"/>
          <w:sz w:val="21"/>
          <w:szCs w:val="21"/>
        </w:rPr>
        <w:t> </w:t>
      </w:r>
      <w:r>
        <w:rPr>
          <w:rFonts w:ascii="宋体" w:hAnsi="宋体" w:cs="宋体" w:eastAsia="宋体" w:hint="default"/>
          <w:sz w:val="21"/>
          <w:szCs w:val="21"/>
        </w:rPr>
        <w:t>新增产能和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SVC</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产品销售毛利占全部产品总的毛利的比例为权重对</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年度扣除非经常性损益的利润总 额分摊计算得出。</w:t>
      </w:r>
    </w:p>
    <w:p>
      <w:pPr>
        <w:spacing w:line="338" w:lineRule="auto" w:before="86"/>
        <w:ind w:left="153" w:right="297" w:firstLine="42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、大型煤矿瓦斯安全监控与排放自动化成套系统</w:t>
      </w:r>
      <w:r>
        <w:rPr>
          <w:rFonts w:ascii="Times New Roman" w:hAnsi="Times New Roman" w:cs="Times New Roman" w:eastAsia="Times New Roman" w:hint="default"/>
          <w:sz w:val="21"/>
          <w:szCs w:val="21"/>
        </w:rPr>
        <w:t>(RGM)</w:t>
      </w:r>
      <w:r>
        <w:rPr>
          <w:rFonts w:ascii="宋体" w:hAnsi="宋体" w:cs="宋体" w:eastAsia="宋体" w:hint="default"/>
          <w:sz w:val="21"/>
          <w:szCs w:val="21"/>
        </w:rPr>
        <w:t>产业化项目报告期内投入的部分固定资产 </w:t>
      </w:r>
      <w:r>
        <w:rPr>
          <w:rFonts w:ascii="宋体" w:hAnsi="宋体" w:cs="宋体" w:eastAsia="宋体" w:hint="default"/>
          <w:spacing w:val="-3"/>
          <w:sz w:val="21"/>
          <w:szCs w:val="21"/>
        </w:rPr>
        <w:t>达到预计可使用状态，新增</w:t>
      </w:r>
      <w:r>
        <w:rPr>
          <w:rFonts w:ascii="宋体" w:hAnsi="宋体" w:cs="宋体" w:eastAsia="宋体" w:hint="default"/>
          <w:spacing w:val="-55"/>
          <w:sz w:val="21"/>
          <w:szCs w:val="21"/>
        </w:rPr>
        <w:t> </w:t>
      </w:r>
      <w:r>
        <w:rPr>
          <w:rFonts w:ascii="Times New Roman" w:hAnsi="Times New Roman" w:cs="Times New Roman" w:eastAsia="Times New Roman" w:hint="default"/>
          <w:spacing w:val="-5"/>
          <w:sz w:val="21"/>
          <w:szCs w:val="21"/>
        </w:rPr>
        <w:t>HVC</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RGM</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分项产品之一）产能</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套，实现效益是依据报告期内公司募集资</w:t>
      </w:r>
    </w:p>
    <w:p>
      <w:pPr>
        <w:spacing w:after="0" w:line="338" w:lineRule="auto"/>
        <w:jc w:val="left"/>
        <w:rPr>
          <w:rFonts w:ascii="宋体" w:hAnsi="宋体" w:cs="宋体" w:eastAsia="宋体" w:hint="default"/>
          <w:sz w:val="21"/>
          <w:szCs w:val="21"/>
        </w:rPr>
        <w:sectPr>
          <w:pgSz w:w="11910" w:h="16840"/>
          <w:pgMar w:header="747" w:footer="669" w:top="980" w:bottom="860" w:left="980" w:right="820"/>
        </w:sectPr>
      </w:pPr>
    </w:p>
    <w:p>
      <w:pPr>
        <w:spacing w:line="240" w:lineRule="auto" w:before="2"/>
        <w:rPr>
          <w:rFonts w:ascii="宋体" w:hAnsi="宋体" w:cs="宋体" w:eastAsia="宋体" w:hint="default"/>
          <w:sz w:val="29"/>
          <w:szCs w:val="29"/>
        </w:rPr>
      </w:pPr>
    </w:p>
    <w:p>
      <w:pPr>
        <w:spacing w:line="336" w:lineRule="auto" w:before="35"/>
        <w:ind w:left="153" w:right="141" w:firstLine="0"/>
        <w:jc w:val="left"/>
        <w:rPr>
          <w:rFonts w:ascii="宋体" w:hAnsi="宋体" w:cs="宋体" w:eastAsia="宋体" w:hint="default"/>
          <w:sz w:val="21"/>
          <w:szCs w:val="21"/>
        </w:rPr>
      </w:pPr>
      <w:r>
        <w:rPr>
          <w:rFonts w:ascii="宋体" w:hAnsi="宋体" w:cs="宋体" w:eastAsia="宋体" w:hint="default"/>
          <w:sz w:val="21"/>
          <w:szCs w:val="21"/>
        </w:rPr>
        <w:t>金投入新增固定资产及补充流动资金所带来的</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HVC</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新增产能和</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HVC</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产品销售毛利占全部产品总的毛利的 比例为权重对</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年度扣除非经常性损益的利润总额分摊计算得出。</w:t>
      </w:r>
    </w:p>
    <w:p>
      <w:pPr>
        <w:spacing w:line="372" w:lineRule="auto" w:before="65"/>
        <w:ind w:left="633" w:right="171" w:hanging="61"/>
        <w:jc w:val="left"/>
        <w:rPr>
          <w:rFonts w:ascii="宋体" w:hAnsi="宋体" w:cs="宋体" w:eastAsia="宋体" w:hint="default"/>
          <w:sz w:val="24"/>
          <w:szCs w:val="24"/>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宋体" w:hAnsi="宋体" w:cs="宋体" w:eastAsia="宋体" w:hint="default"/>
          <w:sz w:val="21"/>
          <w:szCs w:val="21"/>
        </w:rPr>
        <w:t>4、效益核算使用的指标是</w:t>
      </w:r>
      <w:r>
        <w:rPr>
          <w:rFonts w:ascii="宋体" w:hAnsi="宋体" w:cs="宋体" w:eastAsia="宋体" w:hint="default"/>
          <w:spacing w:val="-54"/>
          <w:sz w:val="21"/>
          <w:szCs w:val="21"/>
        </w:rPr>
        <w:t> </w:t>
      </w: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年度扣除非经常性损益的利润总额。</w:t>
      </w:r>
      <w:r>
        <w:rPr>
          <w:rFonts w:ascii="宋体" w:hAnsi="宋体" w:cs="宋体" w:eastAsia="宋体" w:hint="default"/>
          <w:spacing w:val="-1"/>
          <w:sz w:val="21"/>
          <w:szCs w:val="21"/>
        </w:rPr>
        <w:t> </w:t>
      </w:r>
      <w:r>
        <w:rPr>
          <w:rFonts w:ascii="宋体" w:hAnsi="宋体" w:cs="宋体" w:eastAsia="宋体" w:hint="default"/>
          <w:b/>
          <w:bCs/>
          <w:sz w:val="24"/>
          <w:szCs w:val="24"/>
        </w:rPr>
        <w:t>会计师事务所对募集资金年度专项审核的结论性意见：</w:t>
      </w:r>
      <w:r>
        <w:rPr>
          <w:rFonts w:ascii="宋体" w:hAnsi="宋体" w:cs="宋体" w:eastAsia="宋体" w:hint="default"/>
          <w:b/>
          <w:bCs/>
          <w:spacing w:val="1"/>
          <w:w w:val="99"/>
          <w:sz w:val="24"/>
          <w:szCs w:val="24"/>
        </w:rPr>
        <w:t> </w:t>
      </w:r>
      <w:r>
        <w:rPr>
          <w:rFonts w:ascii="宋体" w:hAnsi="宋体" w:cs="宋体" w:eastAsia="宋体" w:hint="default"/>
          <w:sz w:val="24"/>
          <w:szCs w:val="24"/>
        </w:rPr>
        <w:t>开元信德会计师事务所有限公司对公司截止</w:t>
      </w:r>
      <w:r>
        <w:rPr>
          <w:rFonts w:ascii="Times New Roman" w:hAnsi="Times New Roman" w:cs="Times New Roman" w:eastAsia="Times New Roman" w:hint="default"/>
          <w:sz w:val="24"/>
          <w:szCs w:val="24"/>
        </w:rPr>
        <w:t>2008</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日募集资金使用情况进行专项</w:t>
      </w:r>
    </w:p>
    <w:p>
      <w:pPr>
        <w:pStyle w:val="BodyText"/>
        <w:spacing w:line="348" w:lineRule="auto"/>
        <w:ind w:left="153" w:right="0"/>
        <w:jc w:val="left"/>
      </w:pPr>
      <w:r>
        <w:rPr>
          <w:spacing w:val="2"/>
        </w:rPr>
        <w:t>审核，出具了开元信德深专审字(2009)第013号《募集资金年度专项鉴证报告》，认为公司</w:t>
      </w:r>
      <w:r>
        <w:rPr>
          <w:spacing w:val="-101"/>
        </w:rPr>
        <w:t> </w:t>
      </w:r>
      <w:r>
        <w:rPr>
          <w:spacing w:val="-101"/>
        </w:rPr>
      </w:r>
      <w:r>
        <w:rPr/>
        <w:t>募集资金专项报告的编制符合中国证监会《前次募集资金使用情况报告的规定》</w:t>
      </w:r>
      <w:r>
        <w:rPr>
          <w:rFonts w:ascii="Times New Roman" w:hAnsi="Times New Roman" w:cs="Times New Roman" w:eastAsia="Times New Roman" w:hint="default"/>
        </w:rPr>
        <w:t>(</w:t>
      </w:r>
      <w:r>
        <w:rPr/>
        <w:t>证监发行 </w:t>
      </w:r>
      <w:r>
        <w:rPr>
          <w:rFonts w:ascii="Times New Roman" w:hAnsi="Times New Roman" w:cs="Times New Roman" w:eastAsia="Times New Roman" w:hint="default"/>
          <w:spacing w:val="-3"/>
        </w:rPr>
        <w:t>[2007]500</w:t>
      </w:r>
      <w:r>
        <w:rPr>
          <w:spacing w:val="-3"/>
        </w:rPr>
        <w:t>号</w:t>
      </w:r>
      <w:r>
        <w:rPr>
          <w:rFonts w:ascii="Times New Roman" w:hAnsi="Times New Roman" w:cs="Times New Roman" w:eastAsia="Times New Roman" w:hint="default"/>
          <w:spacing w:val="-3"/>
        </w:rPr>
        <w:t>)</w:t>
      </w:r>
      <w:r>
        <w:rPr>
          <w:spacing w:val="-3"/>
        </w:rPr>
        <w:t>、《深圳证劵交易所中小企业板块上市公司特别规定》及《中小企业板上市公司</w:t>
      </w:r>
      <w:r>
        <w:rPr>
          <w:spacing w:val="-109"/>
        </w:rPr>
        <w:t> </w:t>
      </w:r>
      <w:r>
        <w:rPr>
          <w:spacing w:val="-109"/>
        </w:rPr>
      </w:r>
      <w:r>
        <w:rPr>
          <w:spacing w:val="-3"/>
        </w:rPr>
        <w:t>募集资金管理细则》，在所有重大方面反映了荣信股份二零零八年度募集资金存放与使用情</w:t>
      </w:r>
      <w:r>
        <w:rPr/>
        <w:t> 况。</w:t>
      </w:r>
    </w:p>
    <w:p>
      <w:pPr>
        <w:spacing w:line="240" w:lineRule="auto" w:before="10"/>
        <w:rPr>
          <w:rFonts w:ascii="宋体" w:hAnsi="宋体" w:cs="宋体" w:eastAsia="宋体" w:hint="default"/>
          <w:sz w:val="24"/>
          <w:szCs w:val="24"/>
        </w:rPr>
      </w:pPr>
    </w:p>
    <w:p>
      <w:pPr>
        <w:pStyle w:val="BodyText"/>
        <w:spacing w:line="240" w:lineRule="auto"/>
        <w:ind w:left="624" w:right="0"/>
        <w:jc w:val="left"/>
        <w:rPr>
          <w:rFonts w:ascii="黑体" w:hAnsi="黑体" w:cs="黑体" w:eastAsia="黑体" w:hint="default"/>
        </w:rPr>
      </w:pPr>
      <w:r>
        <w:rPr>
          <w:rFonts w:ascii="黑体" w:hAnsi="黑体" w:cs="黑体" w:eastAsia="黑体" w:hint="default"/>
        </w:rPr>
        <w:t>（二）重大非募集资金投资项目情况</w:t>
      </w:r>
    </w:p>
    <w:p>
      <w:pPr>
        <w:spacing w:line="240" w:lineRule="auto" w:before="2"/>
        <w:rPr>
          <w:rFonts w:ascii="黑体" w:hAnsi="黑体" w:cs="黑体" w:eastAsia="黑体" w:hint="default"/>
          <w:sz w:val="33"/>
          <w:szCs w:val="33"/>
        </w:rPr>
      </w:pPr>
    </w:p>
    <w:p>
      <w:pPr>
        <w:pStyle w:val="BodyText"/>
        <w:spacing w:line="240" w:lineRule="auto"/>
        <w:ind w:left="633" w:right="0"/>
        <w:jc w:val="left"/>
      </w:pPr>
      <w:r>
        <w:rPr/>
        <w:t>报告期内，公司没有重大非募集资金投资项目。</w:t>
      </w:r>
    </w:p>
    <w:p>
      <w:pPr>
        <w:spacing w:line="240" w:lineRule="auto" w:before="9"/>
        <w:rPr>
          <w:rFonts w:ascii="宋体" w:hAnsi="宋体" w:cs="宋体" w:eastAsia="宋体" w:hint="default"/>
          <w:sz w:val="20"/>
          <w:szCs w:val="20"/>
        </w:rPr>
      </w:pPr>
    </w:p>
    <w:p>
      <w:pPr>
        <w:pStyle w:val="Heading3"/>
        <w:spacing w:line="240" w:lineRule="auto"/>
        <w:ind w:left="702" w:right="0"/>
        <w:jc w:val="left"/>
      </w:pPr>
      <w:r>
        <w:rPr/>
        <w:t>三、公司董事会日常工作情况</w:t>
      </w:r>
    </w:p>
    <w:p>
      <w:pPr>
        <w:spacing w:line="240" w:lineRule="auto" w:before="0"/>
        <w:rPr>
          <w:rFonts w:ascii="黑体" w:hAnsi="黑体" w:cs="黑体" w:eastAsia="黑体" w:hint="default"/>
          <w:sz w:val="28"/>
          <w:szCs w:val="28"/>
        </w:rPr>
      </w:pPr>
    </w:p>
    <w:p>
      <w:pPr>
        <w:spacing w:line="240" w:lineRule="auto" w:before="6"/>
        <w:rPr>
          <w:rFonts w:ascii="黑体" w:hAnsi="黑体" w:cs="黑体" w:eastAsia="黑体" w:hint="default"/>
          <w:sz w:val="19"/>
          <w:szCs w:val="19"/>
        </w:rPr>
      </w:pPr>
    </w:p>
    <w:p>
      <w:pPr>
        <w:pStyle w:val="BodyText"/>
        <w:spacing w:line="331" w:lineRule="auto"/>
        <w:ind w:left="634" w:right="3050" w:hanging="120"/>
        <w:jc w:val="left"/>
      </w:pPr>
      <w:r>
        <w:rPr/>
        <w:t>(一)董事会的会议情况及决议内容 报告期内，公司董事会共召开了八次会议，具体情况如下：</w:t>
      </w:r>
    </w:p>
    <w:p>
      <w:pPr>
        <w:pStyle w:val="BodyText"/>
        <w:spacing w:line="357" w:lineRule="auto" w:before="180"/>
        <w:ind w:right="133" w:firstLine="480"/>
        <w:jc w:val="left"/>
      </w:pPr>
      <w:r>
        <w:rPr>
          <w:spacing w:val="19"/>
        </w:rPr>
        <w:t>1、2008年2月</w:t>
      </w:r>
      <w:r>
        <w:rPr>
          <w:spacing w:val="-67"/>
        </w:rPr>
        <w:t> </w:t>
      </w:r>
      <w:r>
        <w:rPr/>
        <w:t>14</w:t>
      </w:r>
      <w:r>
        <w:rPr>
          <w:spacing w:val="-67"/>
        </w:rPr>
        <w:t> </w:t>
      </w:r>
      <w:r>
        <w:rPr/>
        <w:t>日，公司召开第三届董事会第八次会议，本次会议的决议公告刊登于</w:t>
      </w:r>
      <w:r>
        <w:rPr/>
        <w:t> </w:t>
      </w:r>
      <w:r>
        <w:rPr>
          <w:spacing w:val="25"/>
        </w:rPr>
        <w:t>2008年2月</w:t>
      </w:r>
      <w:r>
        <w:rPr>
          <w:spacing w:val="-58"/>
        </w:rPr>
        <w:t> </w:t>
      </w:r>
      <w:r>
        <w:rPr/>
        <w:t>15</w:t>
      </w:r>
      <w:r>
        <w:rPr>
          <w:spacing w:val="-58"/>
        </w:rPr>
        <w:t> </w:t>
      </w:r>
      <w:hyperlink r:id="rId11">
        <w:r>
          <w:rPr/>
          <w:t>日的《证券时报》及巨潮资讯网（http://www.cninfo.com.cn）上。</w:t>
        </w:r>
      </w:hyperlink>
    </w:p>
    <w:p>
      <w:pPr>
        <w:pStyle w:val="BodyText"/>
        <w:spacing w:line="357" w:lineRule="auto" w:before="155"/>
        <w:ind w:right="135" w:firstLine="480"/>
        <w:jc w:val="left"/>
      </w:pPr>
      <w:r>
        <w:rPr>
          <w:spacing w:val="31"/>
        </w:rPr>
        <w:t>2、2008年4月7</w:t>
      </w:r>
      <w:r>
        <w:rPr>
          <w:spacing w:val="-35"/>
        </w:rPr>
        <w:t> </w:t>
      </w:r>
      <w:r>
        <w:rPr/>
        <w:t>日，公司召开第三届董事会第九次会议，本次会议的决议公告刊登于</w:t>
      </w:r>
      <w:r>
        <w:rPr/>
        <w:t> </w:t>
      </w:r>
      <w:r>
        <w:rPr>
          <w:spacing w:val="30"/>
        </w:rPr>
        <w:t>2008年4月9</w:t>
      </w:r>
      <w:r>
        <w:rPr>
          <w:spacing w:val="-60"/>
        </w:rPr>
        <w:t> </w:t>
      </w:r>
      <w:hyperlink r:id="rId11">
        <w:r>
          <w:rPr/>
          <w:t>日的《证券时报》及巨潮资讯网（http://www.cninfo.com.cn）上。</w:t>
        </w:r>
      </w:hyperlink>
    </w:p>
    <w:p>
      <w:pPr>
        <w:pStyle w:val="BodyText"/>
        <w:spacing w:line="357" w:lineRule="auto" w:before="76"/>
        <w:ind w:right="0" w:firstLine="480"/>
        <w:jc w:val="left"/>
      </w:pPr>
      <w:r>
        <w:rPr>
          <w:spacing w:val="-8"/>
        </w:rPr>
        <w:t>3、2008年5月23日，公司召开第三届董事会第十次会议，本次会议的决议公告刊登于2008</w:t>
      </w:r>
      <w:hyperlink r:id="rId11">
        <w:r>
          <w:rPr/>
          <w:t> 年5月24日的《证券时报》及巨潮资讯网（http://www.cninfo.com.cn）上。</w:t>
        </w:r>
      </w:hyperlink>
    </w:p>
    <w:p>
      <w:pPr>
        <w:pStyle w:val="BodyText"/>
        <w:spacing w:line="357" w:lineRule="auto" w:before="35"/>
        <w:ind w:right="290" w:firstLine="480"/>
        <w:jc w:val="left"/>
      </w:pPr>
      <w:r>
        <w:rPr/>
        <w:t>4、2008年6月4日，公司召开第三届董事会第十一次会议，本次会议的决议公告刊登于</w:t>
      </w:r>
      <w:hyperlink r:id="rId11">
        <w:r>
          <w:rPr/>
          <w:t> 2008年6月5日的《证券时报》及巨潮资讯网（http://www.cninfo.com.cn）上。</w:t>
        </w:r>
      </w:hyperlink>
    </w:p>
    <w:p>
      <w:pPr>
        <w:pStyle w:val="BodyText"/>
        <w:spacing w:line="357" w:lineRule="auto" w:before="35"/>
        <w:ind w:right="254" w:firstLine="480"/>
        <w:jc w:val="left"/>
      </w:pPr>
      <w:r>
        <w:rPr>
          <w:spacing w:val="-2"/>
        </w:rPr>
        <w:t>5、2008年6月23日，公司召开第三届董事会第十二次会议，本次会议的决议公告刊登于</w:t>
      </w:r>
      <w:hyperlink r:id="rId11">
        <w:r>
          <w:rPr/>
          <w:t> 2008年6月24日的《证券时报》及巨潮资讯网（http://www.cninfo.com.cn）上。</w:t>
        </w:r>
      </w:hyperlink>
    </w:p>
    <w:p>
      <w:pPr>
        <w:pStyle w:val="BodyText"/>
        <w:spacing w:line="357" w:lineRule="auto" w:before="35"/>
        <w:ind w:right="254" w:firstLine="480"/>
        <w:jc w:val="left"/>
      </w:pPr>
      <w:r>
        <w:rPr>
          <w:spacing w:val="-2"/>
        </w:rPr>
        <w:t>6、2008年7月20日，公司召开第三届董事会第十三次会议，本次会议的决议公告刊登于</w:t>
      </w:r>
      <w:hyperlink r:id="rId11">
        <w:r>
          <w:rPr/>
          <w:t> 2008年7月22日的《证券时报》及巨潮资讯网（http://www.cninfo.com.cn）上。</w:t>
        </w:r>
      </w:hyperlink>
    </w:p>
    <w:p>
      <w:pPr>
        <w:spacing w:after="0" w:line="357"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334" w:firstLine="480"/>
        <w:jc w:val="left"/>
      </w:pPr>
      <w:r>
        <w:rPr>
          <w:spacing w:val="-2"/>
        </w:rPr>
        <w:t>7、2008年7月28日，公司召开第三届董事会第十四次会议，本次会议的决议公告刊登于</w:t>
      </w:r>
      <w:hyperlink r:id="rId11">
        <w:r>
          <w:rPr/>
          <w:t> 2008年7月29日的《证券时报》及巨潮资讯网（http://www.cninfo.com.cn）上。</w:t>
        </w:r>
      </w:hyperlink>
    </w:p>
    <w:p>
      <w:pPr>
        <w:pStyle w:val="BodyText"/>
        <w:spacing w:line="357" w:lineRule="auto" w:before="35"/>
        <w:ind w:right="342" w:firstLine="480"/>
        <w:jc w:val="left"/>
      </w:pPr>
      <w:r>
        <w:rPr>
          <w:spacing w:val="-2"/>
        </w:rPr>
        <w:t>8、2008年10月8日，公司召开第三届董事会第十五次会议，该报告刊登于2008年10月10</w:t>
      </w:r>
      <w:hyperlink r:id="rId11">
        <w:r>
          <w:rPr/>
          <w:t> 日的《证券时报》及巨潮资讯网（http://www.cninfo.com.cn）上。</w:t>
        </w:r>
      </w:hyperlink>
    </w:p>
    <w:p>
      <w:pPr>
        <w:spacing w:line="240" w:lineRule="auto" w:before="7"/>
        <w:rPr>
          <w:rFonts w:ascii="宋体" w:hAnsi="宋体" w:cs="宋体" w:eastAsia="宋体" w:hint="default"/>
          <w:sz w:val="26"/>
          <w:szCs w:val="26"/>
        </w:rPr>
      </w:pPr>
    </w:p>
    <w:p>
      <w:pPr>
        <w:spacing w:line="386" w:lineRule="auto" w:before="0"/>
        <w:ind w:left="633" w:right="251" w:firstLine="2"/>
        <w:jc w:val="left"/>
        <w:rPr>
          <w:rFonts w:ascii="宋体" w:hAnsi="宋体" w:cs="宋体" w:eastAsia="宋体" w:hint="default"/>
          <w:sz w:val="24"/>
          <w:szCs w:val="24"/>
        </w:rPr>
      </w:pPr>
      <w:r>
        <w:rPr>
          <w:rFonts w:ascii="宋体" w:hAnsi="宋体" w:cs="宋体" w:eastAsia="宋体" w:hint="default"/>
          <w:b/>
          <w:bCs/>
          <w:sz w:val="24"/>
          <w:szCs w:val="24"/>
        </w:rPr>
        <w:t>(二)董事会对股东大会决议的执行情况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报告期内公司董事会根据《公司法》、《公司章程》及其他相关法律法规的要求，严格</w:t>
      </w:r>
    </w:p>
    <w:p>
      <w:pPr>
        <w:pStyle w:val="BodyText"/>
        <w:spacing w:line="357" w:lineRule="auto" w:before="6"/>
        <w:ind w:left="153" w:right="251"/>
        <w:jc w:val="left"/>
      </w:pPr>
      <w:r>
        <w:rPr/>
        <w:t>按照股东大会的决议及授权，认真执行股东大会通过的各项决议，完成了利润分配及修改公 司章程等事项。</w:t>
      </w:r>
    </w:p>
    <w:p>
      <w:pPr>
        <w:pStyle w:val="BodyText"/>
        <w:spacing w:line="348" w:lineRule="auto" w:before="76"/>
        <w:ind w:right="231" w:firstLine="480"/>
        <w:jc w:val="both"/>
      </w:pPr>
      <w:r>
        <w:rPr>
          <w:spacing w:val="-5"/>
        </w:rPr>
        <w:t>根据公司</w:t>
      </w:r>
      <w:r>
        <w:rPr>
          <w:rFonts w:ascii="Times New Roman" w:hAnsi="Times New Roman" w:cs="Times New Roman" w:eastAsia="Times New Roman" w:hint="default"/>
          <w:spacing w:val="-5"/>
        </w:rPr>
        <w:t>2007</w:t>
      </w:r>
      <w:r>
        <w:rPr>
          <w:spacing w:val="-5"/>
        </w:rPr>
        <w:t>年度股东大会决议，</w:t>
      </w:r>
      <w:r>
        <w:rPr>
          <w:rFonts w:ascii="Times New Roman" w:hAnsi="Times New Roman" w:cs="Times New Roman" w:eastAsia="Times New Roman" w:hint="default"/>
          <w:spacing w:val="-5"/>
        </w:rPr>
        <w:t>2007</w:t>
      </w:r>
      <w:r>
        <w:rPr>
          <w:spacing w:val="-5"/>
        </w:rPr>
        <w:t>年度利润分配方案：公司以现有总股本64,000,000</w:t>
      </w:r>
      <w:r>
        <w:rPr/>
        <w:t> </w:t>
      </w:r>
      <w:r>
        <w:rPr>
          <w:spacing w:val="-2"/>
        </w:rPr>
        <w:t>股为基数,向全体股东每10股送4股红股、派0.5元人民币现金（含税），同时，公司以现有总</w:t>
      </w:r>
      <w:r>
        <w:rPr>
          <w:spacing w:val="-117"/>
        </w:rPr>
        <w:t> </w:t>
      </w:r>
      <w:r>
        <w:rPr>
          <w:spacing w:val="-117"/>
        </w:rPr>
      </w:r>
      <w:r>
        <w:rPr/>
        <w:t>股本64,000,000股为基数，以资本公积金转增股本方式，向全体股东每10股转增6股。</w:t>
      </w:r>
    </w:p>
    <w:p>
      <w:pPr>
        <w:pStyle w:val="BodyText"/>
        <w:spacing w:line="240" w:lineRule="auto" w:before="84"/>
        <w:ind w:left="634" w:right="0"/>
        <w:jc w:val="left"/>
      </w:pPr>
      <w:r>
        <w:rPr/>
        <w:t>2008</w:t>
      </w:r>
      <w:r>
        <w:rPr>
          <w:spacing w:val="-65"/>
        </w:rPr>
        <w:t> </w:t>
      </w:r>
      <w:r>
        <w:rPr/>
        <w:t>年</w:t>
      </w:r>
      <w:r>
        <w:rPr>
          <w:spacing w:val="-65"/>
        </w:rPr>
        <w:t> </w:t>
      </w:r>
      <w:r>
        <w:rPr/>
        <w:t>5</w:t>
      </w:r>
      <w:r>
        <w:rPr>
          <w:spacing w:val="-64"/>
        </w:rPr>
        <w:t> </w:t>
      </w:r>
      <w:r>
        <w:rPr/>
        <w:t>月</w:t>
      </w:r>
      <w:r>
        <w:rPr>
          <w:spacing w:val="-65"/>
        </w:rPr>
        <w:t> </w:t>
      </w:r>
      <w:r>
        <w:rPr/>
        <w:t>16</w:t>
      </w:r>
      <w:r>
        <w:rPr>
          <w:spacing w:val="-65"/>
        </w:rPr>
        <w:t> </w:t>
      </w:r>
      <w:r>
        <w:rPr/>
        <w:t>日公司根据股东大会决议实施了利润分配和资本公积金转增股本的方案。</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31"/>
          <w:szCs w:val="31"/>
        </w:rPr>
      </w:pPr>
    </w:p>
    <w:p>
      <w:pPr>
        <w:spacing w:line="360" w:lineRule="auto" w:before="0"/>
        <w:ind w:left="633" w:right="251" w:firstLine="81"/>
        <w:jc w:val="left"/>
        <w:rPr>
          <w:rFonts w:ascii="宋体" w:hAnsi="宋体" w:cs="宋体" w:eastAsia="宋体" w:hint="default"/>
          <w:sz w:val="24"/>
          <w:szCs w:val="24"/>
        </w:rPr>
      </w:pPr>
      <w:r>
        <w:rPr>
          <w:rFonts w:ascii="宋体" w:hAnsi="宋体" w:cs="宋体" w:eastAsia="宋体" w:hint="default"/>
          <w:b/>
          <w:bCs/>
          <w:sz w:val="28"/>
          <w:szCs w:val="28"/>
        </w:rPr>
        <w:t>四、公司2008年度利润分配及资本公积转增股本预案</w:t>
      </w:r>
      <w:r>
        <w:rPr>
          <w:rFonts w:ascii="宋体" w:hAnsi="宋体" w:cs="宋体" w:eastAsia="宋体" w:hint="default"/>
          <w:b/>
          <w:bCs/>
          <w:spacing w:val="1"/>
          <w:w w:val="99"/>
          <w:sz w:val="28"/>
          <w:szCs w:val="28"/>
        </w:rPr>
        <w:t> </w:t>
      </w:r>
      <w:r>
        <w:rPr>
          <w:rFonts w:ascii="宋体" w:hAnsi="宋体" w:cs="宋体" w:eastAsia="宋体" w:hint="default"/>
          <w:b/>
          <w:bCs/>
          <w:sz w:val="24"/>
          <w:szCs w:val="24"/>
        </w:rPr>
        <w:t>公司2008年度利润分配方案为：10转增6股派现金2元。</w:t>
      </w:r>
      <w:r>
        <w:rPr>
          <w:rFonts w:ascii="宋体" w:hAnsi="宋体" w:cs="宋体" w:eastAsia="宋体" w:hint="default"/>
          <w:b/>
          <w:bCs/>
          <w:w w:val="99"/>
          <w:sz w:val="24"/>
          <w:szCs w:val="24"/>
        </w:rPr>
        <w:t> </w:t>
      </w:r>
      <w:r>
        <w:rPr>
          <w:rFonts w:ascii="宋体" w:hAnsi="宋体" w:cs="宋体" w:eastAsia="宋体" w:hint="default"/>
          <w:sz w:val="24"/>
          <w:szCs w:val="24"/>
        </w:rPr>
        <w:t>经开元信德会计师事务所有限公司审计，公司2008年度实现合并净利润130,222,769.59</w:t>
      </w:r>
    </w:p>
    <w:p>
      <w:pPr>
        <w:pStyle w:val="BodyText"/>
        <w:spacing w:line="357" w:lineRule="auto" w:before="32"/>
        <w:ind w:left="153" w:right="92"/>
        <w:jc w:val="left"/>
      </w:pPr>
      <w:r>
        <w:rPr/>
        <w:t>元，减去按10%提取法定盈余公积金共计12,797,163.24元，减去已分配2007年股利 </w:t>
      </w:r>
      <w:r>
        <w:rPr>
          <w:spacing w:val="-2"/>
        </w:rPr>
        <w:t>28,800,000.00元，加上年初未分配利润158,163,622.79元，本年度实际可供股东分配利润为</w:t>
      </w:r>
    </w:p>
    <w:p>
      <w:pPr>
        <w:pStyle w:val="BodyText"/>
        <w:spacing w:line="338" w:lineRule="auto" w:before="36"/>
        <w:ind w:left="633" w:right="92" w:hanging="480"/>
        <w:jc w:val="left"/>
      </w:pPr>
      <w:r>
        <w:rPr/>
        <w:t>246,789,256.14元。截止2008年12月31日，公司资本公积金余额为</w:t>
      </w:r>
      <w:r>
        <w:rPr>
          <w:rFonts w:ascii="Times New Roman" w:hAnsi="Times New Roman" w:cs="Times New Roman" w:eastAsia="Times New Roman" w:hint="default"/>
        </w:rPr>
        <w:t>234,226,390.14</w:t>
      </w:r>
      <w:r>
        <w:rPr/>
        <w:t>元。 </w:t>
      </w:r>
      <w:r>
        <w:rPr>
          <w:spacing w:val="-2"/>
        </w:rPr>
        <w:t>公司以2008年12月31日公司总股本128,000,000股为基数,拟按每10股派2元（含税），共</w:t>
      </w:r>
    </w:p>
    <w:p>
      <w:pPr>
        <w:pStyle w:val="BodyText"/>
        <w:spacing w:line="240" w:lineRule="auto" w:before="54"/>
        <w:ind w:left="153" w:right="92"/>
        <w:jc w:val="left"/>
      </w:pPr>
      <w:r>
        <w:rPr/>
        <w:t>计25,600,000元。</w:t>
      </w:r>
    </w:p>
    <w:p>
      <w:pPr>
        <w:pStyle w:val="BodyText"/>
        <w:spacing w:line="357" w:lineRule="auto" w:before="152"/>
        <w:ind w:left="153" w:right="227" w:firstLine="480"/>
        <w:jc w:val="left"/>
      </w:pPr>
      <w:r>
        <w:rPr>
          <w:spacing w:val="-2"/>
        </w:rPr>
        <w:t>同时，公司以2008年12月31日公司总股本128,000,000股为基数，拟以资本公积金（股本</w:t>
      </w:r>
      <w:r>
        <w:rPr/>
        <w:t> 溢价）转增股本方式，向全体股东每10股转增6股，共计76,800,000元；</w:t>
      </w:r>
    </w:p>
    <w:p>
      <w:pPr>
        <w:pStyle w:val="BodyText"/>
        <w:spacing w:line="357" w:lineRule="auto" w:before="35"/>
        <w:ind w:left="633" w:right="491"/>
        <w:jc w:val="left"/>
      </w:pPr>
      <w:r>
        <w:rPr/>
        <w:t>经上述分配后，公司总股本为：204,800,000 股，剩余的未分配利润结转下一年度。 公司施行持续稳定的股利分配政策,前三年现金分红情况如下：</w:t>
      </w:r>
    </w:p>
    <w:p>
      <w:pPr>
        <w:spacing w:line="240" w:lineRule="auto" w:before="9"/>
        <w:rPr>
          <w:rFonts w:ascii="宋体" w:hAnsi="宋体" w:cs="宋体" w:eastAsia="宋体" w:hint="default"/>
          <w:sz w:val="5"/>
          <w:szCs w:val="5"/>
        </w:rPr>
      </w:pPr>
    </w:p>
    <w:tbl>
      <w:tblPr>
        <w:tblW w:w="0" w:type="auto"/>
        <w:jc w:val="left"/>
        <w:tblInd w:w="620" w:type="dxa"/>
        <w:tblLayout w:type="fixed"/>
        <w:tblCellMar>
          <w:top w:w="0" w:type="dxa"/>
          <w:left w:w="0" w:type="dxa"/>
          <w:bottom w:w="0" w:type="dxa"/>
          <w:right w:w="0" w:type="dxa"/>
        </w:tblCellMar>
        <w:tblLook w:val="01E0"/>
      </w:tblPr>
      <w:tblGrid>
        <w:gridCol w:w="4614"/>
        <w:gridCol w:w="1360"/>
        <w:gridCol w:w="1360"/>
        <w:gridCol w:w="1361"/>
      </w:tblGrid>
      <w:tr>
        <w:trPr>
          <w:trHeight w:val="321" w:hRule="exact"/>
        </w:trPr>
        <w:tc>
          <w:tcPr>
            <w:tcW w:w="4614" w:type="dxa"/>
            <w:tcBorders>
              <w:top w:val="single" w:sz="4" w:space="0" w:color="000000"/>
              <w:left w:val="single" w:sz="4" w:space="0" w:color="000000"/>
              <w:bottom w:val="single" w:sz="4" w:space="0" w:color="000000"/>
              <w:right w:val="single" w:sz="4" w:space="0" w:color="000000"/>
            </w:tcBorders>
            <w:shd w:val="clear" w:color="auto" w:fill="C0C0C0"/>
          </w:tcPr>
          <w:p>
            <w:pPr/>
          </w:p>
        </w:tc>
        <w:tc>
          <w:tcPr>
            <w:tcW w:w="13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164" w:right="0"/>
              <w:jc w:val="left"/>
              <w:rPr>
                <w:rFonts w:ascii="宋体" w:hAnsi="宋体" w:cs="宋体" w:eastAsia="宋体" w:hint="default"/>
                <w:sz w:val="24"/>
                <w:szCs w:val="24"/>
              </w:rPr>
            </w:pP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136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left="164"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年度</w:t>
            </w:r>
          </w:p>
        </w:tc>
        <w:tc>
          <w:tcPr>
            <w:tcW w:w="1361"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年度</w:t>
            </w:r>
          </w:p>
        </w:tc>
      </w:tr>
      <w:tr>
        <w:trPr>
          <w:trHeight w:val="296" w:hRule="exact"/>
        </w:trPr>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现金分红（万元）</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22" w:right="0"/>
              <w:jc w:val="left"/>
              <w:rPr>
                <w:rFonts w:ascii="宋体" w:hAnsi="宋体" w:cs="宋体" w:eastAsia="宋体" w:hint="default"/>
                <w:sz w:val="21"/>
                <w:szCs w:val="21"/>
              </w:rPr>
            </w:pPr>
            <w:r>
              <w:rPr>
                <w:rFonts w:ascii="宋体"/>
                <w:sz w:val="21"/>
              </w:rPr>
              <w:t>320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1440</w:t>
            </w:r>
          </w:p>
        </w:tc>
      </w:tr>
      <w:tr>
        <w:trPr>
          <w:trHeight w:val="294" w:hRule="exact"/>
        </w:trPr>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净利润（万元）</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07" w:right="0"/>
              <w:jc w:val="left"/>
              <w:rPr>
                <w:rFonts w:ascii="宋体" w:hAnsi="宋体" w:cs="宋体" w:eastAsia="宋体" w:hint="default"/>
                <w:sz w:val="21"/>
                <w:szCs w:val="21"/>
              </w:rPr>
            </w:pPr>
            <w:r>
              <w:rPr>
                <w:rFonts w:ascii="宋体"/>
                <w:sz w:val="21"/>
              </w:rPr>
              <w:t>8332.18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307" w:right="0"/>
              <w:jc w:val="left"/>
              <w:rPr>
                <w:rFonts w:ascii="宋体" w:hAnsi="宋体" w:cs="宋体" w:eastAsia="宋体" w:hint="default"/>
                <w:sz w:val="21"/>
                <w:szCs w:val="21"/>
              </w:rPr>
            </w:pPr>
            <w:r>
              <w:rPr>
                <w:rFonts w:ascii="宋体"/>
                <w:sz w:val="21"/>
              </w:rPr>
              <w:t>5074.37</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0"/>
              <w:jc w:val="center"/>
              <w:rPr>
                <w:rFonts w:ascii="宋体" w:hAnsi="宋体" w:cs="宋体" w:eastAsia="宋体" w:hint="default"/>
                <w:sz w:val="21"/>
                <w:szCs w:val="21"/>
              </w:rPr>
            </w:pPr>
            <w:r>
              <w:rPr>
                <w:rFonts w:ascii="宋体"/>
                <w:sz w:val="21"/>
              </w:rPr>
              <w:t>3551.51</w:t>
            </w:r>
          </w:p>
        </w:tc>
      </w:tr>
      <w:tr>
        <w:trPr>
          <w:trHeight w:val="296" w:hRule="exact"/>
        </w:trPr>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现金分红与净利润比率（%）</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13" w:right="0"/>
              <w:jc w:val="left"/>
              <w:rPr>
                <w:rFonts w:ascii="宋体" w:hAnsi="宋体" w:cs="宋体" w:eastAsia="宋体" w:hint="default"/>
                <w:sz w:val="21"/>
                <w:szCs w:val="21"/>
              </w:rPr>
            </w:pPr>
            <w:r>
              <w:rPr>
                <w:rFonts w:ascii="宋体"/>
                <w:sz w:val="21"/>
              </w:rPr>
              <w:t>3.84%</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2" w:right="0"/>
              <w:jc w:val="center"/>
              <w:rPr>
                <w:rFonts w:ascii="宋体" w:hAnsi="宋体" w:cs="宋体" w:eastAsia="宋体" w:hint="default"/>
                <w:sz w:val="21"/>
                <w:szCs w:val="21"/>
              </w:rPr>
            </w:pPr>
            <w:r>
              <w:rPr>
                <w:rFonts w:ascii="宋体"/>
                <w:sz w:val="21"/>
              </w:rPr>
              <w:t>-</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sz w:val="21"/>
              </w:rPr>
              <w:t>40.55%</w:t>
            </w:r>
          </w:p>
        </w:tc>
      </w:tr>
    </w:tbl>
    <w:p>
      <w:pPr>
        <w:spacing w:after="0" w:line="253" w:lineRule="exact"/>
        <w:jc w:val="center"/>
        <w:rPr>
          <w:rFonts w:ascii="宋体" w:hAnsi="宋体" w:cs="宋体" w:eastAsia="宋体" w:hint="default"/>
          <w:sz w:val="21"/>
          <w:szCs w:val="21"/>
        </w:rPr>
        <w:sectPr>
          <w:pgSz w:w="11910" w:h="16840"/>
          <w:pgMar w:header="747" w:footer="669" w:top="980" w:bottom="860" w:left="980" w:right="900"/>
        </w:sectPr>
      </w:pPr>
    </w:p>
    <w:p>
      <w:pPr>
        <w:spacing w:line="240" w:lineRule="auto" w:before="12"/>
        <w:rPr>
          <w:rFonts w:ascii="宋体" w:hAnsi="宋体" w:cs="宋体" w:eastAsia="宋体" w:hint="default"/>
          <w:sz w:val="29"/>
          <w:szCs w:val="29"/>
        </w:rPr>
      </w:pPr>
    </w:p>
    <w:p>
      <w:pPr>
        <w:pStyle w:val="Heading3"/>
        <w:spacing w:line="240" w:lineRule="auto" w:before="13"/>
        <w:ind w:left="634" w:right="0"/>
        <w:jc w:val="left"/>
      </w:pPr>
      <w:r>
        <w:rPr/>
        <w:t>五、董事会审计委员会履职情况汇报总结</w:t>
      </w:r>
    </w:p>
    <w:p>
      <w:pPr>
        <w:pStyle w:val="BodyText"/>
        <w:spacing w:line="357" w:lineRule="auto" w:before="185"/>
        <w:ind w:right="188" w:firstLine="480"/>
        <w:jc w:val="both"/>
      </w:pPr>
      <w:r>
        <w:rPr/>
        <w:t>报告期内，审计委员会根据《审计委员会议事规则》赋予的职责和权限切实履行了审议 内部审计部门提交的审计计划和工作报告、审核公司的财务信息及其披露</w:t>
      </w:r>
      <w:r>
        <w:rPr>
          <w:rFonts w:ascii="宋体" w:hAnsi="宋体" w:cs="宋体" w:eastAsia="宋体" w:hint="default"/>
        </w:rPr>
        <w:t>、</w:t>
      </w:r>
      <w:r>
        <w:rPr/>
        <w:t>监督公司的内部 审计制度及其实施、负责内部审计与外部审计沟通等职责。公司制定了《董事会审计委员会 年报工作规程》，在2008年公司财务报告审计工作中做了如下工作：</w:t>
      </w:r>
    </w:p>
    <w:p>
      <w:pPr>
        <w:pStyle w:val="BodyText"/>
        <w:spacing w:line="357" w:lineRule="auto" w:before="35"/>
        <w:ind w:right="151" w:firstLine="480"/>
        <w:jc w:val="both"/>
      </w:pPr>
      <w:r>
        <w:rPr>
          <w:spacing w:val="-2"/>
        </w:rPr>
        <w:t>1、审计委员会与公司2008年度审计机构开元信德会计师事务所有限公司充分沟通的基础</w:t>
      </w:r>
      <w:r>
        <w:rPr/>
        <w:t> 上协商确定了2008年度财务报告审计的进度安排；</w:t>
      </w:r>
    </w:p>
    <w:p>
      <w:pPr>
        <w:pStyle w:val="BodyText"/>
        <w:spacing w:line="357" w:lineRule="auto" w:before="35"/>
        <w:ind w:right="151" w:firstLine="480"/>
        <w:jc w:val="both"/>
      </w:pPr>
      <w:r>
        <w:rPr>
          <w:spacing w:val="-3"/>
        </w:rPr>
        <w:t>2、审计委员会在年审注册会计师进场前审阅了公司编制的财务会计报告后，发表意见如</w:t>
      </w:r>
      <w:r>
        <w:rPr/>
        <w:t> 下：同意将公司按照《企业会计准则》及有关补充规定编制的财务报告提交开元信德会计师 事务所有限公司审计。</w:t>
      </w:r>
    </w:p>
    <w:p>
      <w:pPr>
        <w:pStyle w:val="BodyText"/>
        <w:spacing w:line="357" w:lineRule="auto" w:before="35"/>
        <w:ind w:right="151" w:firstLine="480"/>
        <w:jc w:val="both"/>
      </w:pPr>
      <w:r>
        <w:rPr>
          <w:spacing w:val="-3"/>
        </w:rPr>
        <w:t>3、审计委员会在年审注册会计师审计期间与其针对审计过程中的问题进行了充分的交流</w:t>
      </w:r>
      <w:r>
        <w:rPr/>
        <w:t> 与沟通，并对其发出《关于按时提交审计报告的督促函》，督促其在约定的时限内提交审计 报告。</w:t>
      </w:r>
    </w:p>
    <w:p>
      <w:pPr>
        <w:pStyle w:val="BodyText"/>
        <w:spacing w:line="357" w:lineRule="auto" w:before="35"/>
        <w:ind w:right="151" w:firstLine="480"/>
        <w:jc w:val="both"/>
      </w:pPr>
      <w:r>
        <w:rPr>
          <w:spacing w:val="-3"/>
        </w:rPr>
        <w:t>4、审计委员会审阅了注册会计师出具的初步审计意见后形成书面审核意见：经开元信德</w:t>
      </w:r>
      <w:r>
        <w:rPr/>
        <w:t> 会计师事务所初步审计，对公司在2008年财务报告编制过程中存在的会计估计、会计重分类 等差错予以认同，并同意根据初步审计意见进行相应调整。</w:t>
      </w:r>
    </w:p>
    <w:p>
      <w:pPr>
        <w:pStyle w:val="BodyText"/>
        <w:spacing w:line="240" w:lineRule="auto" w:before="35"/>
        <w:ind w:left="634" w:right="0"/>
        <w:jc w:val="left"/>
      </w:pPr>
      <w:r>
        <w:rPr>
          <w:spacing w:val="-3"/>
        </w:rPr>
        <w:t>5、审计委员会召开临时会议，并形成如下决议：①同意开元信德会计师事务所对本公司</w:t>
      </w:r>
    </w:p>
    <w:p>
      <w:pPr>
        <w:pStyle w:val="BodyText"/>
        <w:spacing w:line="357" w:lineRule="auto" w:before="152"/>
        <w:ind w:right="188"/>
        <w:jc w:val="both"/>
      </w:pPr>
      <w:r>
        <w:rPr/>
        <w:t>2008年财务报告的审计结果的议案，并将财务审计结果提交公司董事会审核；②关于开元信 德会计师事务所2008年度审计工作总结的议案③同意聘请开元信德会计师事务所有限公司为 本公司2009年度审计机构的议案，并提交公司董事会审议。</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3"/>
        <w:spacing w:line="240" w:lineRule="auto"/>
        <w:ind w:left="634" w:right="0"/>
        <w:jc w:val="left"/>
      </w:pPr>
      <w:r>
        <w:rPr/>
        <w:t>六、董事会薪酬与考核委员会履职情况汇报总结</w:t>
      </w:r>
    </w:p>
    <w:p>
      <w:pPr>
        <w:pStyle w:val="BodyText"/>
        <w:spacing w:line="357" w:lineRule="auto" w:before="185"/>
        <w:ind w:right="188" w:firstLine="480"/>
        <w:jc w:val="both"/>
      </w:pPr>
      <w:r>
        <w:rPr/>
        <w:t>报告期末，公司董事会薪酬与考核委员会依据公司年初制定的经营目标及主要经济指标 和管理指标的完成情况对董事、监事和高级管理人员的业绩、工作能力、履职情况进行考评 并发表审核意见如下：公司董事、监事、高级管理人员较好的完成了年初制定的经营目标， 领取的薪酬与公司披露的情况相符。</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2"/>
        <w:spacing w:line="240" w:lineRule="auto"/>
        <w:ind w:left="634" w:right="0"/>
        <w:jc w:val="left"/>
        <w:rPr>
          <w:b w:val="0"/>
          <w:bCs w:val="0"/>
        </w:rPr>
      </w:pPr>
      <w:r>
        <w:rPr/>
        <w:t>七、其他需要披露的事项</w:t>
      </w:r>
      <w:r>
        <w:rPr>
          <w:b w:val="0"/>
          <w:bCs w:val="0"/>
        </w:rPr>
      </w:r>
    </w:p>
    <w:p>
      <w:pPr>
        <w:pStyle w:val="BodyText"/>
        <w:spacing w:line="240" w:lineRule="auto" w:before="185"/>
        <w:ind w:left="670" w:right="0"/>
        <w:jc w:val="left"/>
      </w:pPr>
      <w:r>
        <w:rPr/>
        <w:t>（一）公司投资者关系管理</w:t>
      </w:r>
    </w:p>
    <w:p>
      <w:pPr>
        <w:spacing w:after="0" w:line="240"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left="634" w:right="92"/>
        <w:jc w:val="left"/>
      </w:pPr>
      <w:r>
        <w:rPr/>
        <w:t>公司一直非常重视投资者关系管理，报告期内更是做了大量的工作： </w:t>
      </w:r>
      <w:r>
        <w:rPr>
          <w:spacing w:val="-6"/>
        </w:rPr>
        <w:t>1、公司指定董事会秘书作为投资者关系管理负责人，安排专人做好投资者来访接待工作，</w:t>
      </w:r>
    </w:p>
    <w:p>
      <w:pPr>
        <w:pStyle w:val="BodyText"/>
        <w:spacing w:line="357" w:lineRule="auto" w:before="35"/>
        <w:ind w:left="634" w:right="92" w:hanging="480"/>
        <w:jc w:val="left"/>
      </w:pPr>
      <w:r>
        <w:rPr/>
        <w:t>并认真做好各次接待的资料存档工作。报告期内，公司接待投资者来访50多人次。 </w:t>
      </w:r>
      <w:r>
        <w:rPr>
          <w:spacing w:val="-3"/>
        </w:rPr>
        <w:t>2、公司在全景网建立了与投资者网络联系的互动平台，在公司网站开设了投资者关系管</w:t>
      </w:r>
    </w:p>
    <w:p>
      <w:pPr>
        <w:pStyle w:val="BodyText"/>
        <w:spacing w:line="357" w:lineRule="auto" w:before="35"/>
        <w:ind w:right="250"/>
        <w:jc w:val="left"/>
      </w:pPr>
      <w:r>
        <w:rPr/>
        <w:t>理专栏和投资者联系信箱；平时专人负责投资者的咨询电话、传真、邮件、留言的回复等工 作，最大限度地保证投资者与公司信息交流渠道的畅通。</w:t>
      </w:r>
    </w:p>
    <w:p>
      <w:pPr>
        <w:pStyle w:val="BodyText"/>
        <w:spacing w:line="357" w:lineRule="auto" w:before="35"/>
        <w:ind w:right="285" w:firstLine="516"/>
        <w:jc w:val="both"/>
      </w:pPr>
      <w:r>
        <w:rPr>
          <w:spacing w:val="-2"/>
        </w:rPr>
        <w:t>通过上述形式，投资者能够及时、准确、平等的了解到公司的经营发展情况，并充分表</w:t>
      </w:r>
      <w:r>
        <w:rPr/>
        <w:t> </w:t>
      </w:r>
      <w:r>
        <w:rPr>
          <w:spacing w:val="-1"/>
        </w:rPr>
        <w:t>达对公司经营发展的建议和意见，公司在决策时也会重视及参考机构投资者的意见，对公司</w:t>
      </w:r>
      <w:r>
        <w:rPr>
          <w:spacing w:val="-98"/>
        </w:rPr>
        <w:t> </w:t>
      </w:r>
      <w:r>
        <w:rPr>
          <w:spacing w:val="-98"/>
        </w:rPr>
      </w:r>
      <w:r>
        <w:rPr/>
        <w:t>发展起到促进作用。</w:t>
      </w:r>
    </w:p>
    <w:p>
      <w:pPr>
        <w:pStyle w:val="BodyText"/>
        <w:spacing w:line="240" w:lineRule="auto" w:before="191"/>
        <w:ind w:left="634" w:right="92"/>
        <w:jc w:val="left"/>
      </w:pPr>
      <w:r>
        <w:rPr/>
        <w:t>（二）公司指定信息披露的报纸为《证券时报》《中国证券报》和巨潮资讯网</w:t>
      </w:r>
    </w:p>
    <w:p>
      <w:pPr>
        <w:pStyle w:val="BodyText"/>
        <w:spacing w:line="240" w:lineRule="auto" w:before="154"/>
        <w:ind w:right="92"/>
        <w:jc w:val="left"/>
      </w:pPr>
      <w:hyperlink r:id="rId11">
        <w:r>
          <w:rPr/>
          <w:t>（http://www.cninfo.com.cn）为刊登公司公告和其他需要披露信息的媒体。</w:t>
        </w:r>
      </w:hyperlink>
    </w:p>
    <w:p>
      <w:pPr>
        <w:spacing w:after="0" w:line="240"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1"/>
        <w:spacing w:line="240" w:lineRule="auto"/>
        <w:ind w:left="3692" w:right="92"/>
        <w:jc w:val="left"/>
        <w:rPr>
          <w:b w:val="0"/>
          <w:bCs w:val="0"/>
        </w:rPr>
      </w:pPr>
      <w:bookmarkStart w:name="第八节 监事会报告" w:id="12"/>
      <w:bookmarkEnd w:id="12"/>
      <w:r>
        <w:rPr>
          <w:b w:val="0"/>
          <w:bCs w:val="0"/>
        </w:rPr>
      </w:r>
      <w:bookmarkStart w:name="_bookmark7" w:id="13"/>
      <w:bookmarkEnd w:id="13"/>
      <w:r>
        <w:rPr>
          <w:b w:val="0"/>
          <w:bCs w:val="0"/>
        </w:rPr>
      </w:r>
      <w:r>
        <w:rPr/>
        <w:t>第八节</w:t>
      </w:r>
      <w:r>
        <w:rPr>
          <w:spacing w:val="-2"/>
        </w:rPr>
        <w:t> </w:t>
      </w:r>
      <w:r>
        <w:rPr/>
        <w:t>监事会报告</w:t>
      </w:r>
      <w:r>
        <w:rPr>
          <w:b w:val="0"/>
          <w:bCs w:val="0"/>
        </w:rPr>
      </w:r>
    </w:p>
    <w:p>
      <w:pPr>
        <w:spacing w:line="240" w:lineRule="auto" w:before="10"/>
        <w:rPr>
          <w:rFonts w:ascii="黑体" w:hAnsi="黑体" w:cs="黑体" w:eastAsia="黑体" w:hint="default"/>
          <w:b/>
          <w:bCs/>
          <w:sz w:val="36"/>
          <w:szCs w:val="36"/>
        </w:rPr>
      </w:pPr>
    </w:p>
    <w:p>
      <w:pPr>
        <w:pStyle w:val="BodyText"/>
        <w:spacing w:line="357" w:lineRule="auto"/>
        <w:ind w:right="92" w:firstLine="468"/>
        <w:jc w:val="left"/>
      </w:pPr>
      <w:bookmarkStart w:name="    报告期内，公司监事会全体成员按照《公司法》、《公司章程》以及相关法规要求" w:id="14"/>
      <w:bookmarkEnd w:id="14"/>
      <w:r>
        <w:rPr/>
      </w:r>
      <w:r>
        <w:rPr/>
        <w:t>报告期内，公司监事会全体成员按照《公司法》、《公司章程》以及相关法规要求，勤</w:t>
      </w:r>
      <w:r>
        <w:rPr>
          <w:spacing w:val="1"/>
        </w:rPr>
        <w:t> </w:t>
      </w:r>
      <w:r>
        <w:rPr>
          <w:spacing w:val="-3"/>
        </w:rPr>
        <w:t>勉、诚实地履行自己职能，依法独立行使职权，以保障公司规范运作，维护公司和股东利益。</w:t>
      </w:r>
      <w:r>
        <w:rPr>
          <w:spacing w:val="-81"/>
        </w:rPr>
        <w:t> </w:t>
      </w:r>
      <w:r>
        <w:rPr>
          <w:spacing w:val="-81"/>
        </w:rPr>
      </w:r>
      <w:r>
        <w:rPr/>
        <w:t>监事会对公司长远发展计划、生产经营活动、重大事项、财务状况以及董事、高级管理人员</w:t>
      </w:r>
      <w:r>
        <w:rPr>
          <w:spacing w:val="-83"/>
        </w:rPr>
        <w:t> </w:t>
      </w:r>
      <w:r>
        <w:rPr>
          <w:spacing w:val="-83"/>
        </w:rPr>
      </w:r>
      <w:r>
        <w:rPr/>
        <w:t>履行职责情况进行了监督，促进了公司规范运作、健康发展。现将监事会在本年度的主要工</w:t>
      </w:r>
      <w:r>
        <w:rPr>
          <w:spacing w:val="-83"/>
        </w:rPr>
        <w:t> </w:t>
      </w:r>
      <w:r>
        <w:rPr>
          <w:spacing w:val="-83"/>
        </w:rPr>
      </w:r>
      <w:r>
        <w:rPr/>
        <w:t>作报告如下:</w:t>
      </w:r>
    </w:p>
    <w:p>
      <w:pPr>
        <w:spacing w:line="240" w:lineRule="auto" w:before="8"/>
        <w:rPr>
          <w:rFonts w:ascii="宋体" w:hAnsi="宋体" w:cs="宋体" w:eastAsia="宋体" w:hint="default"/>
          <w:sz w:val="23"/>
          <w:szCs w:val="23"/>
        </w:rPr>
      </w:pPr>
    </w:p>
    <w:p>
      <w:pPr>
        <w:pStyle w:val="Heading3"/>
        <w:spacing w:line="240" w:lineRule="auto"/>
        <w:ind w:right="92"/>
        <w:jc w:val="left"/>
      </w:pPr>
      <w:r>
        <w:rPr/>
        <w:t>一、监事会会议情况</w:t>
      </w:r>
    </w:p>
    <w:p>
      <w:pPr>
        <w:pStyle w:val="BodyText"/>
        <w:spacing w:line="240" w:lineRule="auto" w:before="225"/>
        <w:ind w:left="634" w:right="92"/>
        <w:jc w:val="left"/>
      </w:pPr>
      <w:r>
        <w:rPr/>
        <w:t>报告期内，监事会共召开了三次会议，具体情况如下：</w:t>
      </w:r>
    </w:p>
    <w:p>
      <w:pPr>
        <w:pStyle w:val="BodyText"/>
        <w:spacing w:line="357" w:lineRule="auto" w:before="192"/>
        <w:ind w:right="231" w:firstLine="480"/>
        <w:jc w:val="both"/>
      </w:pPr>
      <w:r>
        <w:rPr/>
        <w:t>1、2008</w:t>
      </w:r>
      <w:r>
        <w:rPr>
          <w:spacing w:val="-54"/>
        </w:rPr>
        <w:t> </w:t>
      </w:r>
      <w:r>
        <w:rPr/>
        <w:t>年</w:t>
      </w:r>
      <w:r>
        <w:rPr>
          <w:spacing w:val="-53"/>
        </w:rPr>
        <w:t> </w:t>
      </w:r>
      <w:r>
        <w:rPr>
          <w:spacing w:val="44"/>
        </w:rPr>
        <w:t>4月7</w:t>
      </w:r>
      <w:r>
        <w:rPr>
          <w:spacing w:val="-54"/>
        </w:rPr>
        <w:t> </w:t>
      </w:r>
      <w:r>
        <w:rPr/>
        <w:t>日，公司召开第三届监事会第五次会议，会议审议并通过了《2007</w:t>
      </w:r>
      <w:r>
        <w:rPr>
          <w:spacing w:val="-54"/>
        </w:rPr>
        <w:t> </w:t>
      </w:r>
      <w:r>
        <w:rPr/>
        <w:t>年</w:t>
      </w:r>
      <w:r>
        <w:rPr/>
        <w:t> </w:t>
      </w:r>
      <w:r>
        <w:rPr>
          <w:spacing w:val="-16"/>
        </w:rPr>
        <w:t>度监事会工作报告》、《2007</w:t>
      </w:r>
      <w:r>
        <w:rPr/>
        <w:t> </w:t>
      </w:r>
      <w:r>
        <w:rPr>
          <w:spacing w:val="-16"/>
        </w:rPr>
        <w:t>年度财务决算报告》、《2007</w:t>
      </w:r>
      <w:r>
        <w:rPr>
          <w:spacing w:val="11"/>
        </w:rPr>
        <w:t> </w:t>
      </w:r>
      <w:r>
        <w:rPr>
          <w:spacing w:val="-15"/>
        </w:rPr>
        <w:t>年年度报告及摘要》、《董事会审计</w:t>
      </w:r>
      <w:r>
        <w:rPr/>
        <w:t> </w:t>
      </w:r>
      <w:r>
        <w:rPr>
          <w:spacing w:val="-10"/>
        </w:rPr>
        <w:t>委员会关于公司内部控制的自我评估报告》、《2008</w:t>
      </w:r>
      <w:r>
        <w:rPr>
          <w:spacing w:val="-50"/>
        </w:rPr>
        <w:t> </w:t>
      </w:r>
      <w:r>
        <w:rPr/>
        <w:t>年第一季度报告及摘要》五个议案；</w:t>
      </w:r>
    </w:p>
    <w:p>
      <w:pPr>
        <w:pStyle w:val="BodyText"/>
        <w:spacing w:line="357" w:lineRule="auto" w:before="74"/>
        <w:ind w:right="231" w:firstLine="480"/>
        <w:jc w:val="both"/>
      </w:pPr>
      <w:r>
        <w:rPr>
          <w:spacing w:val="19"/>
        </w:rPr>
        <w:t>2、2008年7月</w:t>
      </w:r>
      <w:r>
        <w:rPr>
          <w:spacing w:val="-67"/>
        </w:rPr>
        <w:t> </w:t>
      </w:r>
      <w:r>
        <w:rPr/>
        <w:t>20</w:t>
      </w:r>
      <w:r>
        <w:rPr>
          <w:spacing w:val="-67"/>
        </w:rPr>
        <w:t> </w:t>
      </w:r>
      <w:r>
        <w:rPr/>
        <w:t>日，公司召开第三届监事会第六次会议，会议审议并通过了《荣信电</w:t>
      </w:r>
      <w:r>
        <w:rPr/>
        <w:t> 力电子股份有限公司</w:t>
      </w:r>
      <w:r>
        <w:rPr>
          <w:spacing w:val="-60"/>
        </w:rPr>
        <w:t> </w:t>
      </w:r>
      <w:r>
        <w:rPr/>
        <w:t>2008</w:t>
      </w:r>
      <w:r>
        <w:rPr>
          <w:spacing w:val="-60"/>
        </w:rPr>
        <w:t> </w:t>
      </w:r>
      <w:r>
        <w:rPr/>
        <w:t>年半年度报告》及《2008</w:t>
      </w:r>
      <w:r>
        <w:rPr>
          <w:spacing w:val="-60"/>
        </w:rPr>
        <w:t> </w:t>
      </w:r>
      <w:r>
        <w:rPr/>
        <w:t>年半年度报告摘要》的议案。</w:t>
      </w:r>
    </w:p>
    <w:p>
      <w:pPr>
        <w:pStyle w:val="BodyText"/>
        <w:spacing w:line="357" w:lineRule="auto" w:before="74"/>
        <w:ind w:right="231" w:firstLine="480"/>
        <w:jc w:val="both"/>
      </w:pPr>
      <w:r>
        <w:rPr>
          <w:spacing w:val="7"/>
        </w:rPr>
        <w:t>3、2008年</w:t>
      </w:r>
      <w:r>
        <w:rPr>
          <w:spacing w:val="-67"/>
        </w:rPr>
        <w:t> </w:t>
      </w:r>
      <w:r>
        <w:rPr>
          <w:spacing w:val="30"/>
        </w:rPr>
        <w:t>10月8</w:t>
      </w:r>
      <w:r>
        <w:rPr>
          <w:spacing w:val="-67"/>
        </w:rPr>
        <w:t> </w:t>
      </w:r>
      <w:r>
        <w:rPr/>
        <w:t>日，公司召开第三届监事会第七次会议，会议审议并通过了《荣信电</w:t>
      </w:r>
      <w:r>
        <w:rPr/>
        <w:t> 力电子股份有限公司</w:t>
      </w:r>
      <w:r>
        <w:rPr>
          <w:spacing w:val="-60"/>
        </w:rPr>
        <w:t> </w:t>
      </w:r>
      <w:r>
        <w:rPr/>
        <w:t>2008</w:t>
      </w:r>
      <w:r>
        <w:rPr>
          <w:spacing w:val="-60"/>
        </w:rPr>
        <w:t> </w:t>
      </w:r>
      <w:r>
        <w:rPr/>
        <w:t>年第三季度报告及摘要》的议案。</w:t>
      </w:r>
    </w:p>
    <w:p>
      <w:pPr>
        <w:spacing w:line="240" w:lineRule="auto" w:before="1"/>
        <w:rPr>
          <w:rFonts w:ascii="宋体" w:hAnsi="宋体" w:cs="宋体" w:eastAsia="宋体" w:hint="default"/>
          <w:sz w:val="28"/>
          <w:szCs w:val="28"/>
        </w:rPr>
      </w:pPr>
    </w:p>
    <w:p>
      <w:pPr>
        <w:pStyle w:val="Heading3"/>
        <w:spacing w:line="240" w:lineRule="auto"/>
        <w:ind w:left="192" w:right="92"/>
        <w:jc w:val="left"/>
      </w:pPr>
      <w:bookmarkStart w:name="二、监事会对公司2008年度有关事项发表的独立意见 " w:id="15"/>
      <w:bookmarkEnd w:id="15"/>
      <w:r>
        <w:rPr/>
      </w:r>
      <w:r>
        <w:rPr/>
        <w:t>二、监事会对公司</w:t>
      </w:r>
      <w:r>
        <w:rPr>
          <w:spacing w:val="-75"/>
        </w:rPr>
        <w:t> </w:t>
      </w:r>
      <w:r>
        <w:rPr/>
        <w:t>2008</w:t>
      </w:r>
      <w:r>
        <w:rPr>
          <w:spacing w:val="-75"/>
        </w:rPr>
        <w:t> </w:t>
      </w:r>
      <w:r>
        <w:rPr/>
        <w:t>年度有关事项发表的独立意见</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388" w:lineRule="auto"/>
        <w:ind w:left="634" w:right="92"/>
        <w:jc w:val="left"/>
      </w:pPr>
      <w:r>
        <w:rPr/>
        <w:t>1、公司依法运作情况 </w:t>
      </w:r>
      <w:r>
        <w:rPr>
          <w:spacing w:val="-6"/>
        </w:rPr>
        <w:t>监事会认真履行《公司法》、《公司章程》等相关法律法规赋予的职权，积极参加股东大</w:t>
      </w:r>
    </w:p>
    <w:p>
      <w:pPr>
        <w:pStyle w:val="BodyText"/>
        <w:spacing w:line="357" w:lineRule="auto" w:before="4"/>
        <w:ind w:right="130"/>
        <w:jc w:val="left"/>
      </w:pPr>
      <w:r>
        <w:rPr/>
        <w:t>会，列席董事会会议，对公司</w:t>
      </w:r>
      <w:r>
        <w:rPr>
          <w:spacing w:val="-60"/>
        </w:rPr>
        <w:t> </w:t>
      </w:r>
      <w:r>
        <w:rPr/>
        <w:t>2008</w:t>
      </w:r>
      <w:r>
        <w:rPr>
          <w:spacing w:val="-60"/>
        </w:rPr>
        <w:t> </w:t>
      </w:r>
      <w:r>
        <w:rPr/>
        <w:t>年依法运作情况进行了监督，认为：公司决策程序合法，</w:t>
      </w:r>
      <w:r>
        <w:rPr/>
        <w:t> 董事会运作规范、决策合理，认真执行股东大会的各项决议，忠实履行了诚信义务；公司董</w:t>
      </w:r>
      <w:r>
        <w:rPr>
          <w:spacing w:val="-83"/>
        </w:rPr>
        <w:t> </w:t>
      </w:r>
      <w:r>
        <w:rPr>
          <w:spacing w:val="-83"/>
        </w:rPr>
      </w:r>
      <w:r>
        <w:rPr/>
        <w:t>事、高级管理人员认真执行公司职务，无违反法律法规、公司章程或损害公司利益的行为</w:t>
      </w:r>
    </w:p>
    <w:p>
      <w:pPr>
        <w:pStyle w:val="BodyText"/>
        <w:spacing w:line="240" w:lineRule="auto" w:before="74"/>
        <w:ind w:left="634" w:right="92"/>
        <w:jc w:val="left"/>
      </w:pPr>
      <w:r>
        <w:rPr/>
        <w:t>2、检查公司财务的情况</w:t>
      </w:r>
    </w:p>
    <w:p>
      <w:pPr>
        <w:pStyle w:val="BodyText"/>
        <w:spacing w:line="357" w:lineRule="auto" w:before="193"/>
        <w:ind w:right="228" w:firstLine="480"/>
        <w:jc w:val="both"/>
      </w:pPr>
      <w:r>
        <w:rPr>
          <w:spacing w:val="-5"/>
        </w:rPr>
        <w:t>报告期内，监事会对</w:t>
      </w:r>
      <w:r>
        <w:rPr>
          <w:spacing w:val="-78"/>
        </w:rPr>
        <w:t> </w:t>
      </w:r>
      <w:r>
        <w:rPr/>
        <w:t>2008</w:t>
      </w:r>
      <w:r>
        <w:rPr>
          <w:spacing w:val="-78"/>
        </w:rPr>
        <w:t> </w:t>
      </w:r>
      <w:r>
        <w:rPr/>
        <w:t>年度公司及控股子公司的财务状况、财务管理等进行了认真细</w:t>
      </w:r>
      <w:r>
        <w:rPr/>
        <w:t> 致的监督、检查和审核，认为：公司财务制度健全、内控制度较完善，财务运作规范、财务</w:t>
      </w:r>
      <w:r>
        <w:rPr>
          <w:spacing w:val="-83"/>
        </w:rPr>
        <w:t> </w:t>
      </w:r>
      <w:r>
        <w:rPr>
          <w:spacing w:val="-83"/>
        </w:rPr>
      </w:r>
      <w:r>
        <w:rPr/>
        <w:t>状况良好，没有发生公司资产被非法侵占和资产流失情况，财务报告真实、客观和公正地反</w:t>
      </w:r>
    </w:p>
    <w:p>
      <w:pPr>
        <w:spacing w:after="0" w:line="357" w:lineRule="auto"/>
        <w:jc w:val="both"/>
        <w:sectPr>
          <w:pgSz w:w="11910" w:h="16840"/>
          <w:pgMar w:header="747" w:footer="669" w:top="980" w:bottom="860" w:left="980" w:right="900"/>
        </w:sectPr>
      </w:pPr>
    </w:p>
    <w:p>
      <w:pPr>
        <w:spacing w:line="240" w:lineRule="auto" w:before="7"/>
        <w:rPr>
          <w:rFonts w:ascii="宋体" w:hAnsi="宋体" w:cs="宋体" w:eastAsia="宋体" w:hint="default"/>
          <w:sz w:val="29"/>
          <w:szCs w:val="29"/>
        </w:rPr>
      </w:pPr>
    </w:p>
    <w:p>
      <w:pPr>
        <w:pStyle w:val="BodyText"/>
        <w:spacing w:line="386" w:lineRule="auto" w:before="26"/>
        <w:ind w:left="634" w:right="5170" w:hanging="480"/>
        <w:jc w:val="left"/>
      </w:pPr>
      <w:r>
        <w:rPr/>
        <w:t>映了公司</w:t>
      </w:r>
      <w:r>
        <w:rPr>
          <w:spacing w:val="-60"/>
        </w:rPr>
        <w:t> </w:t>
      </w:r>
      <w:r>
        <w:rPr/>
        <w:t>2008</w:t>
      </w:r>
      <w:r>
        <w:rPr>
          <w:spacing w:val="-60"/>
        </w:rPr>
        <w:t> </w:t>
      </w:r>
      <w:r>
        <w:rPr/>
        <w:t>年度的财务状况和经营成果。</w:t>
      </w:r>
      <w:r>
        <w:rPr/>
        <w:t> 3、募集资金使用情况</w:t>
      </w:r>
    </w:p>
    <w:p>
      <w:pPr>
        <w:pStyle w:val="BodyText"/>
        <w:spacing w:line="357" w:lineRule="auto" w:before="47"/>
        <w:ind w:right="95" w:firstLine="480"/>
        <w:jc w:val="left"/>
      </w:pPr>
      <w:r>
        <w:rPr/>
        <w:t>2008</w:t>
      </w:r>
      <w:r>
        <w:rPr>
          <w:spacing w:val="-57"/>
        </w:rPr>
        <w:t> </w:t>
      </w:r>
      <w:r>
        <w:rPr>
          <w:spacing w:val="-4"/>
        </w:rPr>
        <w:t>年，公司进一步修订了《募集资金使用管理办法》，以加强募集资金的管理和使用。</w:t>
      </w:r>
      <w:r>
        <w:rPr/>
        <w:t> 报告期内，公司严格按照《募集资金使用管理办法》对募集资金进行使用和管理，公司募集</w:t>
      </w:r>
      <w:r>
        <w:rPr>
          <w:spacing w:val="-83"/>
        </w:rPr>
        <w:t> </w:t>
      </w:r>
      <w:r>
        <w:rPr>
          <w:spacing w:val="-83"/>
        </w:rPr>
      </w:r>
      <w:r>
        <w:rPr/>
        <w:t>资金实际投入项目与承诺投入项目一致，没有变更投向和用途，使用效果良好。</w:t>
      </w:r>
    </w:p>
    <w:p>
      <w:pPr>
        <w:pStyle w:val="BodyText"/>
        <w:spacing w:line="240" w:lineRule="auto" w:before="74"/>
        <w:ind w:left="634" w:right="92"/>
        <w:jc w:val="left"/>
      </w:pPr>
      <w:r>
        <w:rPr/>
        <w:t>4、公司收购、出售资产情况</w:t>
      </w:r>
    </w:p>
    <w:p>
      <w:pPr>
        <w:pStyle w:val="BodyText"/>
        <w:spacing w:line="386" w:lineRule="auto" w:before="193"/>
        <w:ind w:left="634" w:right="4450"/>
        <w:jc w:val="left"/>
      </w:pPr>
      <w:r>
        <w:rPr/>
        <w:t>公司</w:t>
      </w:r>
      <w:r>
        <w:rPr>
          <w:spacing w:val="-60"/>
        </w:rPr>
        <w:t> </w:t>
      </w:r>
      <w:r>
        <w:rPr/>
        <w:t>2008</w:t>
      </w:r>
      <w:r>
        <w:rPr>
          <w:spacing w:val="-60"/>
        </w:rPr>
        <w:t> </w:t>
      </w:r>
      <w:r>
        <w:rPr/>
        <w:t>年度无重大收购和出售资产的情况。</w:t>
      </w:r>
      <w:r>
        <w:rPr/>
        <w:t> 5、关联交易及关联方占用资金的情况</w:t>
      </w:r>
    </w:p>
    <w:p>
      <w:pPr>
        <w:pStyle w:val="BodyText"/>
        <w:spacing w:line="357" w:lineRule="auto" w:before="47"/>
        <w:ind w:left="153" w:right="92" w:firstLine="480"/>
        <w:jc w:val="left"/>
      </w:pPr>
      <w:r>
        <w:rPr/>
        <w:t>报告期，公司未发生与日常经营相关的关联交易、资产收购和出售发生的关联交易，不</w:t>
      </w:r>
      <w:r>
        <w:rPr>
          <w:spacing w:val="1"/>
        </w:rPr>
        <w:t> </w:t>
      </w:r>
      <w:r>
        <w:rPr/>
        <w:t>存在与关联方在非经营性债权债务往来或担保事项。</w:t>
      </w:r>
    </w:p>
    <w:p>
      <w:pPr>
        <w:pStyle w:val="BodyText"/>
        <w:spacing w:line="240" w:lineRule="auto" w:before="74"/>
        <w:ind w:left="633" w:right="92"/>
        <w:jc w:val="left"/>
      </w:pPr>
      <w:r>
        <w:rPr/>
        <w:t>报告期内，公司不存在控股股东及其它关联方非经营性占用公司资金的情况。</w:t>
      </w:r>
    </w:p>
    <w:p>
      <w:pPr>
        <w:spacing w:after="0" w:line="240" w:lineRule="auto"/>
        <w:jc w:val="left"/>
        <w:sectPr>
          <w:pgSz w:w="11910" w:h="16840"/>
          <w:pgMar w:header="747" w:footer="669" w:top="980" w:bottom="860" w:left="980" w:right="900"/>
        </w:sectPr>
      </w:pPr>
    </w:p>
    <w:p>
      <w:pPr>
        <w:spacing w:line="240" w:lineRule="auto" w:before="0"/>
        <w:rPr>
          <w:rFonts w:ascii="宋体" w:hAnsi="宋体" w:cs="宋体" w:eastAsia="宋体" w:hint="default"/>
          <w:sz w:val="20"/>
          <w:szCs w:val="20"/>
        </w:rPr>
      </w:pPr>
    </w:p>
    <w:p>
      <w:pPr>
        <w:spacing w:before="137"/>
        <w:ind w:left="3757" w:right="3892" w:firstLine="0"/>
        <w:jc w:val="center"/>
        <w:rPr>
          <w:rFonts w:ascii="黑体" w:hAnsi="黑体" w:cs="黑体" w:eastAsia="黑体" w:hint="default"/>
          <w:sz w:val="32"/>
          <w:szCs w:val="32"/>
        </w:rPr>
      </w:pPr>
      <w:bookmarkStart w:name="_bookmark8" w:id="16"/>
      <w:bookmarkEnd w:id="16"/>
      <w:r>
        <w:rPr/>
      </w:r>
      <w:r>
        <w:rPr>
          <w:rFonts w:ascii="黑体" w:hAnsi="黑体" w:cs="黑体" w:eastAsia="黑体" w:hint="default"/>
          <w:sz w:val="32"/>
          <w:szCs w:val="32"/>
        </w:rPr>
        <w:t>第九节</w:t>
      </w:r>
      <w:r>
        <w:rPr>
          <w:rFonts w:ascii="黑体" w:hAnsi="黑体" w:cs="黑体" w:eastAsia="黑体" w:hint="default"/>
          <w:spacing w:val="-5"/>
          <w:sz w:val="32"/>
          <w:szCs w:val="32"/>
        </w:rPr>
        <w:t> </w:t>
      </w:r>
      <w:r>
        <w:rPr>
          <w:rFonts w:ascii="黑体" w:hAnsi="黑体" w:cs="黑体" w:eastAsia="黑体" w:hint="default"/>
          <w:sz w:val="32"/>
          <w:szCs w:val="32"/>
        </w:rPr>
        <w:t>重要事项</w:t>
      </w:r>
    </w:p>
    <w:p>
      <w:pPr>
        <w:spacing w:line="240" w:lineRule="auto" w:before="8"/>
        <w:rPr>
          <w:rFonts w:ascii="黑体" w:hAnsi="黑体" w:cs="黑体" w:eastAsia="黑体" w:hint="default"/>
          <w:sz w:val="20"/>
          <w:szCs w:val="20"/>
        </w:rPr>
      </w:pPr>
    </w:p>
    <w:p>
      <w:pPr>
        <w:pStyle w:val="Heading3"/>
        <w:spacing w:line="240" w:lineRule="auto" w:before="13"/>
        <w:ind w:left="691" w:right="150"/>
        <w:jc w:val="left"/>
      </w:pPr>
      <w:r>
        <w:rPr/>
        <w:t>一、重大诉讼、仲裁事项</w:t>
      </w:r>
    </w:p>
    <w:p>
      <w:pPr>
        <w:spacing w:line="240" w:lineRule="auto" w:before="6"/>
        <w:rPr>
          <w:rFonts w:ascii="黑体" w:hAnsi="黑体" w:cs="黑体" w:eastAsia="黑体" w:hint="default"/>
          <w:sz w:val="35"/>
          <w:szCs w:val="35"/>
        </w:rPr>
      </w:pPr>
    </w:p>
    <w:p>
      <w:pPr>
        <w:pStyle w:val="BodyText"/>
        <w:spacing w:line="240" w:lineRule="auto"/>
        <w:ind w:left="634" w:right="150"/>
        <w:jc w:val="left"/>
      </w:pPr>
      <w:r>
        <w:rPr/>
        <w:t>报告期内，公司无重大诉讼、仲裁事项。</w:t>
      </w:r>
    </w:p>
    <w:p>
      <w:pPr>
        <w:spacing w:line="240" w:lineRule="auto" w:before="0"/>
        <w:rPr>
          <w:rFonts w:ascii="宋体" w:hAnsi="宋体" w:cs="宋体" w:eastAsia="宋体" w:hint="default"/>
          <w:sz w:val="24"/>
          <w:szCs w:val="24"/>
        </w:rPr>
      </w:pPr>
    </w:p>
    <w:p>
      <w:pPr>
        <w:pStyle w:val="Heading3"/>
        <w:spacing w:line="240" w:lineRule="auto" w:before="172"/>
        <w:ind w:left="192" w:right="150"/>
        <w:jc w:val="left"/>
      </w:pPr>
      <w:bookmarkStart w:name="二、投资金融企业和拟上市公司、证券投资情况" w:id="17"/>
      <w:bookmarkEnd w:id="17"/>
      <w:r>
        <w:rPr/>
      </w:r>
      <w:r>
        <w:rPr/>
        <w:t>二、投资金融企业和拟上市公司、证券投资情况</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240" w:lineRule="auto"/>
        <w:ind w:left="634" w:right="150"/>
        <w:jc w:val="left"/>
      </w:pPr>
      <w:r>
        <w:rPr/>
        <w:t>报告期内，公司无证券投资情况，无持有非上市金融企业和拟上市公司股权情况。</w:t>
      </w:r>
    </w:p>
    <w:p>
      <w:pPr>
        <w:spacing w:line="240" w:lineRule="auto" w:before="0"/>
        <w:rPr>
          <w:rFonts w:ascii="宋体" w:hAnsi="宋体" w:cs="宋体" w:eastAsia="宋体" w:hint="default"/>
          <w:sz w:val="24"/>
          <w:szCs w:val="24"/>
        </w:rPr>
      </w:pPr>
    </w:p>
    <w:p>
      <w:pPr>
        <w:pStyle w:val="Heading3"/>
        <w:spacing w:line="240" w:lineRule="auto" w:before="171"/>
        <w:ind w:left="192" w:right="150"/>
        <w:jc w:val="left"/>
      </w:pPr>
      <w:bookmarkStart w:name="三、报告期内收购及出售资产、吸收合并事项" w:id="18"/>
      <w:bookmarkEnd w:id="18"/>
      <w:r>
        <w:rPr/>
      </w:r>
      <w:r>
        <w:rPr/>
        <w:t>三、报告期内收购及出售资产、吸收合并事项</w:t>
      </w:r>
    </w:p>
    <w:p>
      <w:pPr>
        <w:spacing w:line="240" w:lineRule="auto" w:before="0"/>
        <w:rPr>
          <w:rFonts w:ascii="黑体" w:hAnsi="黑体" w:cs="黑体" w:eastAsia="黑体" w:hint="default"/>
          <w:sz w:val="28"/>
          <w:szCs w:val="28"/>
        </w:rPr>
      </w:pPr>
    </w:p>
    <w:p>
      <w:pPr>
        <w:spacing w:line="240" w:lineRule="auto" w:before="4"/>
        <w:rPr>
          <w:rFonts w:ascii="黑体" w:hAnsi="黑体" w:cs="黑体" w:eastAsia="黑体" w:hint="default"/>
          <w:sz w:val="37"/>
          <w:szCs w:val="37"/>
        </w:rPr>
      </w:pPr>
    </w:p>
    <w:p>
      <w:pPr>
        <w:spacing w:before="0"/>
        <w:ind w:left="0" w:right="2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90"/>
          <w:sz w:val="18"/>
          <w:szCs w:val="18"/>
        </w:rPr>
        <w:t>：</w:t>
      </w:r>
      <w:r>
        <w:rPr>
          <w:rFonts w:ascii="宋体" w:hAnsi="宋体" w:cs="宋体" w:eastAsia="宋体" w:hint="default"/>
          <w:sz w:val="18"/>
          <w:szCs w:val="18"/>
        </w:rPr>
        <w:t>（人民币）万元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76"/>
        <w:gridCol w:w="974"/>
        <w:gridCol w:w="1170"/>
        <w:gridCol w:w="910"/>
        <w:gridCol w:w="1040"/>
        <w:gridCol w:w="1196"/>
        <w:gridCol w:w="715"/>
        <w:gridCol w:w="767"/>
        <w:gridCol w:w="649"/>
        <w:gridCol w:w="650"/>
        <w:gridCol w:w="767"/>
      </w:tblGrid>
      <w:tr>
        <w:trPr>
          <w:trHeight w:val="1490" w:hRule="exact"/>
        </w:trPr>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32" w:right="31"/>
              <w:jc w:val="left"/>
              <w:rPr>
                <w:rFonts w:ascii="宋体" w:hAnsi="宋体" w:cs="宋体" w:eastAsia="宋体" w:hint="default"/>
                <w:sz w:val="18"/>
                <w:szCs w:val="18"/>
              </w:rPr>
            </w:pPr>
            <w:r>
              <w:rPr>
                <w:rFonts w:ascii="宋体" w:hAnsi="宋体" w:cs="宋体" w:eastAsia="宋体" w:hint="default"/>
                <w:sz w:val="18"/>
                <w:szCs w:val="18"/>
              </w:rPr>
              <w:t>交易对方或 最终控制方</w:t>
            </w:r>
          </w:p>
        </w:tc>
        <w:tc>
          <w:tcPr>
            <w:tcW w:w="9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2" w:right="0"/>
              <w:jc w:val="left"/>
              <w:rPr>
                <w:rFonts w:ascii="宋体" w:hAnsi="宋体" w:cs="宋体" w:eastAsia="宋体" w:hint="default"/>
                <w:sz w:val="18"/>
                <w:szCs w:val="18"/>
              </w:rPr>
            </w:pPr>
            <w:r>
              <w:rPr>
                <w:rFonts w:ascii="宋体" w:hAnsi="宋体" w:cs="宋体" w:eastAsia="宋体" w:hint="default"/>
                <w:sz w:val="18"/>
                <w:szCs w:val="18"/>
              </w:rPr>
              <w:t>被收购资产</w:t>
            </w:r>
          </w:p>
        </w:tc>
        <w:tc>
          <w:tcPr>
            <w:tcW w:w="1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0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9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90" w:right="0"/>
              <w:jc w:val="left"/>
              <w:rPr>
                <w:rFonts w:ascii="宋体" w:hAnsi="宋体" w:cs="宋体" w:eastAsia="宋体" w:hint="default"/>
                <w:sz w:val="18"/>
                <w:szCs w:val="18"/>
              </w:rPr>
            </w:pPr>
            <w:r>
              <w:rPr>
                <w:rFonts w:ascii="宋体" w:hAnsi="宋体" w:cs="宋体" w:eastAsia="宋体" w:hint="default"/>
                <w:sz w:val="18"/>
                <w:szCs w:val="18"/>
              </w:rPr>
              <w:t>收购价格</w:t>
            </w:r>
          </w:p>
        </w:tc>
        <w:tc>
          <w:tcPr>
            <w:tcW w:w="1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right="0"/>
              <w:jc w:val="left"/>
              <w:rPr>
                <w:rFonts w:ascii="宋体" w:hAnsi="宋体" w:cs="宋体" w:eastAsia="宋体" w:hint="default"/>
                <w:sz w:val="18"/>
                <w:szCs w:val="18"/>
              </w:rPr>
            </w:pPr>
          </w:p>
          <w:p>
            <w:pPr>
              <w:pStyle w:val="TableParagraph"/>
              <w:spacing w:line="237" w:lineRule="auto"/>
              <w:ind w:left="66" w:right="62"/>
              <w:jc w:val="center"/>
              <w:rPr>
                <w:rFonts w:ascii="宋体" w:hAnsi="宋体" w:cs="宋体" w:eastAsia="宋体" w:hint="default"/>
                <w:sz w:val="18"/>
                <w:szCs w:val="18"/>
              </w:rPr>
            </w:pPr>
            <w:r>
              <w:rPr>
                <w:rFonts w:ascii="宋体" w:hAnsi="宋体" w:cs="宋体" w:eastAsia="宋体" w:hint="default"/>
                <w:sz w:val="18"/>
                <w:szCs w:val="18"/>
              </w:rPr>
              <w:t>自购买日起 至本年末为 公司贡献的 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52" w:right="53"/>
              <w:jc w:val="center"/>
              <w:rPr>
                <w:rFonts w:ascii="宋体" w:hAnsi="宋体" w:cs="宋体" w:eastAsia="宋体" w:hint="default"/>
                <w:sz w:val="18"/>
                <w:szCs w:val="18"/>
              </w:rPr>
            </w:pPr>
            <w:r>
              <w:rPr>
                <w:rFonts w:ascii="宋体" w:hAnsi="宋体" w:cs="宋体" w:eastAsia="宋体" w:hint="default"/>
                <w:sz w:val="18"/>
                <w:szCs w:val="18"/>
              </w:rPr>
              <w:t>本年初至本年 末为公司贡献 的净利润（适 用于同一控制 下的企业合 并）</w:t>
            </w:r>
          </w:p>
        </w:tc>
        <w:tc>
          <w:tcPr>
            <w:tcW w:w="7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1"/>
              <w:ind w:left="22" w:right="23" w:hanging="2"/>
              <w:jc w:val="center"/>
              <w:rPr>
                <w:rFonts w:ascii="宋体" w:hAnsi="宋体" w:cs="宋体" w:eastAsia="宋体" w:hint="default"/>
                <w:sz w:val="18"/>
                <w:szCs w:val="18"/>
              </w:rPr>
            </w:pPr>
            <w:r>
              <w:rPr>
                <w:rFonts w:ascii="宋体" w:hAnsi="宋体" w:cs="宋体" w:eastAsia="宋体" w:hint="default"/>
                <w:sz w:val="18"/>
                <w:szCs w:val="18"/>
              </w:rPr>
              <w:t>是否为 关联交 易（如 </w:t>
            </w:r>
            <w:r>
              <w:rPr>
                <w:rFonts w:ascii="宋体" w:hAnsi="宋体" w:cs="宋体" w:eastAsia="宋体" w:hint="default"/>
                <w:spacing w:val="-16"/>
                <w:sz w:val="18"/>
                <w:szCs w:val="18"/>
              </w:rPr>
              <w:t>是，说明</w:t>
            </w:r>
            <w:r>
              <w:rPr>
                <w:rFonts w:ascii="宋体" w:hAnsi="宋体" w:cs="宋体" w:eastAsia="宋体" w:hint="default"/>
                <w:sz w:val="18"/>
                <w:szCs w:val="18"/>
              </w:rPr>
              <w:t> 定价原 则）</w:t>
            </w:r>
          </w:p>
        </w:tc>
        <w:tc>
          <w:tcPr>
            <w:tcW w:w="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107" w:right="107"/>
              <w:jc w:val="left"/>
              <w:rPr>
                <w:rFonts w:ascii="宋体" w:hAnsi="宋体" w:cs="宋体" w:eastAsia="宋体" w:hint="default"/>
                <w:sz w:val="18"/>
                <w:szCs w:val="18"/>
              </w:rPr>
            </w:pPr>
            <w:r>
              <w:rPr>
                <w:rFonts w:ascii="宋体" w:hAnsi="宋体" w:cs="宋体" w:eastAsia="宋体" w:hint="default"/>
                <w:sz w:val="18"/>
                <w:szCs w:val="18"/>
              </w:rPr>
              <w:t>定价原 则说明</w:t>
            </w:r>
          </w:p>
        </w:tc>
        <w:tc>
          <w:tcPr>
            <w:tcW w:w="6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49" w:right="48"/>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128"/>
              <w:ind w:left="50" w:right="48"/>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32" w:lineRule="exact"/>
              <w:ind w:left="287" w:right="107" w:hanging="180"/>
              <w:jc w:val="left"/>
              <w:rPr>
                <w:rFonts w:ascii="宋体" w:hAnsi="宋体" w:cs="宋体" w:eastAsia="宋体" w:hint="default"/>
                <w:sz w:val="18"/>
                <w:szCs w:val="18"/>
              </w:rPr>
            </w:pPr>
            <w:r>
              <w:rPr>
                <w:rFonts w:ascii="宋体" w:hAnsi="宋体" w:cs="宋体" w:eastAsia="宋体" w:hint="default"/>
                <w:sz w:val="18"/>
                <w:szCs w:val="18"/>
              </w:rPr>
              <w:t>关联关 系</w:t>
            </w:r>
          </w:p>
        </w:tc>
      </w:tr>
      <w:tr>
        <w:trPr>
          <w:trHeight w:val="1024" w:hRule="exact"/>
        </w:trPr>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8"/>
              <w:ind w:left="22" w:right="41"/>
              <w:jc w:val="both"/>
              <w:rPr>
                <w:rFonts w:ascii="宋体" w:hAnsi="宋体" w:cs="宋体" w:eastAsia="宋体" w:hint="default"/>
                <w:sz w:val="18"/>
                <w:szCs w:val="18"/>
              </w:rPr>
            </w:pPr>
            <w:r>
              <w:rPr>
                <w:rFonts w:ascii="宋体" w:hAnsi="宋体" w:cs="宋体" w:eastAsia="宋体" w:hint="default"/>
                <w:sz w:val="18"/>
                <w:szCs w:val="18"/>
              </w:rPr>
              <w:t>北京信力筑 正新能源技 术有限公司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41"/>
              <w:jc w:val="both"/>
              <w:rPr>
                <w:rFonts w:ascii="宋体" w:hAnsi="宋体" w:cs="宋体" w:eastAsia="宋体" w:hint="default"/>
                <w:sz w:val="18"/>
                <w:szCs w:val="18"/>
              </w:rPr>
            </w:pPr>
            <w:r>
              <w:rPr>
                <w:rFonts w:ascii="宋体" w:hAnsi="宋体" w:cs="宋体" w:eastAsia="宋体" w:hint="default"/>
                <w:sz w:val="18"/>
                <w:szCs w:val="18"/>
              </w:rPr>
              <w:t>北京信力筑 正新能源技 术有限公司 </w:t>
            </w:r>
            <w:r>
              <w:rPr>
                <w:rFonts w:ascii="Times New Roman" w:hAnsi="Times New Roman" w:cs="Times New Roman" w:eastAsia="Times New Roman" w:hint="default"/>
                <w:sz w:val="18"/>
                <w:szCs w:val="18"/>
              </w:rPr>
              <w:t>60%</w:t>
            </w:r>
            <w:r>
              <w:rPr>
                <w:rFonts w:ascii="宋体" w:hAnsi="宋体" w:cs="宋体" w:eastAsia="宋体" w:hint="default"/>
                <w:sz w:val="18"/>
                <w:szCs w:val="18"/>
              </w:rPr>
              <w:t>的股权</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2"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2,160.00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12" w:right="0"/>
              <w:jc w:val="left"/>
              <w:rPr>
                <w:rFonts w:ascii="Times New Roman" w:hAnsi="Times New Roman" w:cs="Times New Roman" w:eastAsia="Times New Roman" w:hint="default"/>
                <w:sz w:val="18"/>
                <w:szCs w:val="18"/>
              </w:rPr>
            </w:pPr>
            <w:r>
              <w:rPr>
                <w:rFonts w:ascii="Times New Roman"/>
                <w:sz w:val="18"/>
              </w:rPr>
              <w:t>159.05</w:t>
            </w:r>
          </w:p>
        </w:tc>
        <w:tc>
          <w:tcPr>
            <w:tcW w:w="1196"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67" w:type="dxa"/>
            <w:tcBorders>
              <w:top w:val="single" w:sz="4" w:space="0" w:color="000000"/>
              <w:left w:val="single" w:sz="4" w:space="0" w:color="000000"/>
              <w:bottom w:val="single" w:sz="4" w:space="0" w:color="000000"/>
              <w:right w:val="single" w:sz="4" w:space="0" w:color="000000"/>
            </w:tcBorders>
          </w:tcPr>
          <w:p>
            <w:pP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192"/>
              <w:jc w:val="left"/>
              <w:rPr>
                <w:rFonts w:ascii="宋体" w:hAnsi="宋体" w:cs="宋体" w:eastAsia="宋体" w:hint="default"/>
                <w:sz w:val="18"/>
                <w:szCs w:val="18"/>
              </w:rPr>
            </w:pPr>
            <w:r>
              <w:rPr>
                <w:rFonts w:ascii="宋体" w:hAnsi="宋体" w:cs="宋体" w:eastAsia="宋体" w:hint="default"/>
                <w:sz w:val="18"/>
                <w:szCs w:val="18"/>
              </w:rPr>
              <w:t>控股子 公司</w:t>
            </w:r>
          </w:p>
        </w:tc>
      </w:tr>
    </w:tbl>
    <w:p>
      <w:pPr>
        <w:spacing w:line="240" w:lineRule="auto" w:before="0"/>
        <w:rPr>
          <w:rFonts w:ascii="宋体" w:hAnsi="宋体" w:cs="宋体" w:eastAsia="宋体" w:hint="default"/>
          <w:sz w:val="20"/>
          <w:szCs w:val="20"/>
        </w:rPr>
      </w:pPr>
    </w:p>
    <w:p>
      <w:pPr>
        <w:pStyle w:val="BodyText"/>
        <w:spacing w:line="357" w:lineRule="auto" w:before="193"/>
        <w:ind w:right="150" w:firstLine="480"/>
        <w:jc w:val="left"/>
      </w:pPr>
      <w:r>
        <w:rPr>
          <w:spacing w:val="9"/>
        </w:rPr>
        <w:t>经公司总经理办公会议批准，2008年5月</w:t>
      </w:r>
      <w:r>
        <w:rPr>
          <w:spacing w:val="-60"/>
        </w:rPr>
        <w:t> </w:t>
      </w:r>
      <w:r>
        <w:rPr/>
        <w:t>26</w:t>
      </w:r>
      <w:r>
        <w:rPr>
          <w:spacing w:val="-60"/>
        </w:rPr>
        <w:t> </w:t>
      </w:r>
      <w:r>
        <w:rPr/>
        <w:t>日，本公司与自然人于富就荣信股份收购</w:t>
      </w:r>
      <w:r>
        <w:rPr/>
        <w:t> 于富所持北京信力筑正新能源技术有限公司</w:t>
      </w:r>
      <w:r>
        <w:rPr>
          <w:spacing w:val="-80"/>
        </w:rPr>
        <w:t> </w:t>
      </w:r>
      <w:r>
        <w:rPr/>
        <w:t>60%的股权事宜签订了股权转让协议，协议约定，</w:t>
      </w:r>
      <w:r>
        <w:rPr/>
        <w:t> 本公司以</w:t>
      </w:r>
      <w:r>
        <w:rPr>
          <w:spacing w:val="-80"/>
        </w:rPr>
        <w:t> </w:t>
      </w:r>
      <w:r>
        <w:rPr/>
        <w:t>2,160</w:t>
      </w:r>
      <w:r>
        <w:rPr>
          <w:spacing w:val="-80"/>
        </w:rPr>
        <w:t> </w:t>
      </w:r>
      <w:r>
        <w:rPr/>
        <w:t>万元人民币受让于富所持信力筑正公司</w:t>
      </w:r>
      <w:r>
        <w:rPr>
          <w:spacing w:val="-80"/>
        </w:rPr>
        <w:t> </w:t>
      </w:r>
      <w:r>
        <w:rPr/>
        <w:t>3,000</w:t>
      </w:r>
      <w:r>
        <w:rPr>
          <w:spacing w:val="-80"/>
        </w:rPr>
        <w:t> </w:t>
      </w:r>
      <w:r>
        <w:rPr/>
        <w:t>万元出资中的</w:t>
      </w:r>
      <w:r>
        <w:rPr>
          <w:spacing w:val="-80"/>
        </w:rPr>
        <w:t> </w:t>
      </w:r>
      <w:r>
        <w:rPr/>
        <w:t>1,800</w:t>
      </w:r>
      <w:r>
        <w:rPr>
          <w:spacing w:val="-80"/>
        </w:rPr>
        <w:t> </w:t>
      </w:r>
      <w:r>
        <w:rPr/>
        <w:t>万元出资，</w:t>
      </w:r>
      <w:r>
        <w:rPr>
          <w:spacing w:val="-1"/>
        </w:rPr>
        <w:t> </w:t>
      </w:r>
      <w:r>
        <w:rPr/>
        <w:t>收购完成后本公司占信力筑正公司注册资本的</w:t>
      </w:r>
      <w:r>
        <w:rPr>
          <w:spacing w:val="-60"/>
        </w:rPr>
        <w:t> </w:t>
      </w:r>
      <w:r>
        <w:rPr/>
        <w:t>60%，成为信力筑正公司的控股股东。目前股</w:t>
      </w:r>
      <w:r>
        <w:rPr/>
        <w:t> 权转让款项已支付完毕，工商变更手续已办理完毕。</w:t>
      </w:r>
    </w:p>
    <w:p>
      <w:pPr>
        <w:pStyle w:val="BodyText"/>
        <w:spacing w:line="357" w:lineRule="auto" w:before="76"/>
        <w:ind w:right="150" w:firstLine="480"/>
        <w:jc w:val="left"/>
      </w:pPr>
      <w:r>
        <w:rPr>
          <w:spacing w:val="-3"/>
        </w:rPr>
        <w:t>本公司此次对信力筑正公司的收购，是公司节能设备制造主业横向发展战略的具体实施。</w:t>
      </w:r>
      <w:r>
        <w:rPr/>
        <w:t> 由于双方销售客户市场重叠，荣信股份在冶金等行业的销售网络优势将提高信力筑正公司的 市场份额，本公司也通过信力筑正公司销售网络和为信力筑正总包的工程项目做配套，拓宽 现有主导产品销售渠道，形成双方优势互补，同时，通过本次收购公司进入市场前景广阔的 新领域，将为公司带来新的收入来源和培育新的利润增长点，实现了双方共赢的目标。</w:t>
      </w:r>
    </w:p>
    <w:p>
      <w:pPr>
        <w:spacing w:after="0" w:line="357" w:lineRule="auto"/>
        <w:jc w:val="left"/>
        <w:sectPr>
          <w:pgSz w:w="11910" w:h="16840"/>
          <w:pgMar w:header="747" w:footer="669" w:top="980" w:bottom="860" w:left="980" w:right="840"/>
        </w:sectPr>
      </w:pPr>
    </w:p>
    <w:p>
      <w:pPr>
        <w:spacing w:line="240" w:lineRule="auto" w:before="12"/>
        <w:rPr>
          <w:rFonts w:ascii="宋体" w:hAnsi="宋体" w:cs="宋体" w:eastAsia="宋体" w:hint="default"/>
          <w:sz w:val="29"/>
          <w:szCs w:val="29"/>
        </w:rPr>
      </w:pPr>
    </w:p>
    <w:p>
      <w:pPr>
        <w:pStyle w:val="Heading3"/>
        <w:spacing w:line="240" w:lineRule="auto" w:before="13"/>
        <w:ind w:left="192" w:right="0"/>
        <w:jc w:val="both"/>
      </w:pPr>
      <w:bookmarkStart w:name="四、重大关联交易" w:id="19"/>
      <w:bookmarkEnd w:id="19"/>
      <w:r>
        <w:rPr/>
      </w:r>
      <w:r>
        <w:rPr/>
        <w:t>四、重大关联交易</w:t>
      </w:r>
    </w:p>
    <w:p>
      <w:pPr>
        <w:spacing w:line="240" w:lineRule="auto" w:before="0"/>
        <w:rPr>
          <w:rFonts w:ascii="黑体" w:hAnsi="黑体" w:cs="黑体" w:eastAsia="黑体" w:hint="default"/>
          <w:sz w:val="28"/>
          <w:szCs w:val="28"/>
        </w:rPr>
      </w:pPr>
    </w:p>
    <w:p>
      <w:pPr>
        <w:spacing w:line="240" w:lineRule="auto" w:before="8"/>
        <w:rPr>
          <w:rFonts w:ascii="黑体" w:hAnsi="黑体" w:cs="黑体" w:eastAsia="黑体" w:hint="default"/>
          <w:sz w:val="36"/>
          <w:szCs w:val="36"/>
        </w:rPr>
      </w:pPr>
    </w:p>
    <w:p>
      <w:pPr>
        <w:pStyle w:val="BodyText"/>
        <w:spacing w:line="357" w:lineRule="auto"/>
        <w:ind w:right="170" w:firstLine="480"/>
        <w:jc w:val="left"/>
      </w:pPr>
      <w:r>
        <w:rPr/>
        <w:t>报告期，公司未发生与日常经营相关的关联交易、资产收购和出售发生的关联交易，不 存在与关联方在非经营性债权债务往来或担保事项。</w:t>
      </w:r>
    </w:p>
    <w:p>
      <w:pPr>
        <w:spacing w:line="240" w:lineRule="auto" w:before="2"/>
        <w:rPr>
          <w:rFonts w:ascii="宋体" w:hAnsi="宋体" w:cs="宋体" w:eastAsia="宋体" w:hint="default"/>
          <w:sz w:val="28"/>
          <w:szCs w:val="28"/>
        </w:rPr>
      </w:pPr>
    </w:p>
    <w:p>
      <w:pPr>
        <w:pStyle w:val="Heading3"/>
        <w:spacing w:line="240" w:lineRule="auto"/>
        <w:ind w:left="192" w:right="0"/>
        <w:jc w:val="both"/>
      </w:pPr>
      <w:bookmarkStart w:name="五、报告期内重大合同及其履行情况" w:id="20"/>
      <w:bookmarkEnd w:id="20"/>
      <w:r>
        <w:rPr/>
      </w:r>
      <w:r>
        <w:rPr/>
        <w:t>五、报告期内重大合同及其履行情况</w:t>
      </w:r>
    </w:p>
    <w:p>
      <w:pPr>
        <w:spacing w:line="240" w:lineRule="auto" w:before="0"/>
        <w:rPr>
          <w:rFonts w:ascii="黑体" w:hAnsi="黑体" w:cs="黑体" w:eastAsia="黑体" w:hint="default"/>
          <w:sz w:val="28"/>
          <w:szCs w:val="28"/>
        </w:rPr>
      </w:pPr>
    </w:p>
    <w:p>
      <w:pPr>
        <w:spacing w:line="240" w:lineRule="auto" w:before="7"/>
        <w:rPr>
          <w:rFonts w:ascii="黑体" w:hAnsi="黑体" w:cs="黑体" w:eastAsia="黑体" w:hint="default"/>
          <w:sz w:val="36"/>
          <w:szCs w:val="36"/>
        </w:rPr>
      </w:pPr>
    </w:p>
    <w:p>
      <w:pPr>
        <w:pStyle w:val="BodyText"/>
        <w:spacing w:line="357" w:lineRule="auto"/>
        <w:ind w:right="0" w:firstLine="470"/>
        <w:jc w:val="left"/>
      </w:pPr>
      <w:r>
        <w:rPr/>
        <w:t>（一）报告期内，公司未发生且没有以前期间发生但延续到报告期的重大交易、托管、</w:t>
      </w:r>
      <w:r>
        <w:rPr>
          <w:spacing w:val="1"/>
        </w:rPr>
        <w:t> </w:t>
      </w:r>
      <w:r>
        <w:rPr/>
        <w:t>承包、租赁其他公司资产或其他公司托管、承包、租赁公司资产等事项。</w:t>
      </w:r>
    </w:p>
    <w:p>
      <w:pPr>
        <w:spacing w:line="240" w:lineRule="auto" w:before="1"/>
        <w:rPr>
          <w:rFonts w:ascii="宋体" w:hAnsi="宋体" w:cs="宋体" w:eastAsia="宋体" w:hint="default"/>
          <w:sz w:val="24"/>
          <w:szCs w:val="24"/>
        </w:rPr>
      </w:pPr>
    </w:p>
    <w:p>
      <w:pPr>
        <w:pStyle w:val="BodyText"/>
        <w:spacing w:line="240" w:lineRule="auto"/>
        <w:ind w:left="624" w:right="0"/>
        <w:jc w:val="left"/>
      </w:pPr>
      <w:r>
        <w:rPr/>
        <w:t>（二）报告期内对外担保情况</w:t>
      </w:r>
    </w:p>
    <w:p>
      <w:pPr>
        <w:spacing w:line="240" w:lineRule="auto" w:before="2"/>
        <w:rPr>
          <w:rFonts w:ascii="宋体" w:hAnsi="宋体" w:cs="宋体" w:eastAsia="宋体" w:hint="default"/>
          <w:sz w:val="33"/>
          <w:szCs w:val="33"/>
        </w:rPr>
      </w:pPr>
    </w:p>
    <w:p>
      <w:pPr>
        <w:pStyle w:val="BodyText"/>
        <w:spacing w:line="240" w:lineRule="auto"/>
        <w:ind w:left="634" w:right="0"/>
        <w:jc w:val="left"/>
      </w:pPr>
      <w:r>
        <w:rPr/>
        <w:t>1、报告期内，公司未发生且没有以前期间发生但延续到报告期的重大担保的事项。</w:t>
      </w:r>
    </w:p>
    <w:p>
      <w:pPr>
        <w:pStyle w:val="BodyText"/>
        <w:spacing w:line="357" w:lineRule="auto" w:before="152"/>
        <w:ind w:left="634" w:right="170"/>
        <w:jc w:val="left"/>
      </w:pPr>
      <w:r>
        <w:rPr/>
        <w:t>2、公司独立董事对关联方资金往来和对外担保情况的专项说明和独立意见。 公司独立董事郝智明先生、梅志明先生、贾莉女士发表了如下专项说明和独立意见： 根据中国证监会《关于规范上市公司与关联方资金往来及上市公司对外担保若干问题的</w:t>
      </w:r>
    </w:p>
    <w:p>
      <w:pPr>
        <w:pStyle w:val="BodyText"/>
        <w:spacing w:line="357" w:lineRule="auto" w:before="35"/>
        <w:ind w:right="149"/>
        <w:jc w:val="both"/>
      </w:pPr>
      <w:r>
        <w:rPr/>
        <w:t>通知》(证监发[2003]56</w:t>
      </w:r>
      <w:r>
        <w:rPr>
          <w:spacing w:val="-77"/>
        </w:rPr>
        <w:t> </w:t>
      </w:r>
      <w:r>
        <w:rPr/>
        <w:t>号)和《关于规范上市公司对外担保行为的通知》(证监发[2005]120</w:t>
      </w:r>
      <w:r>
        <w:rPr/>
        <w:t> </w:t>
      </w:r>
      <w:r>
        <w:rPr>
          <w:spacing w:val="-3"/>
        </w:rPr>
        <w:t>号)的规定和要求，同时根据中国证监会《关于在上市公司建立独立董事制度的指导意见》、</w:t>
      </w:r>
      <w:r>
        <w:rPr>
          <w:spacing w:val="-117"/>
        </w:rPr>
        <w:t> </w:t>
      </w:r>
      <w:r>
        <w:rPr>
          <w:spacing w:val="-117"/>
        </w:rPr>
      </w:r>
      <w:r>
        <w:rPr>
          <w:spacing w:val="-17"/>
        </w:rPr>
        <w:t>公司《章程》、《董事会议事规则》、《独立董事工作制度》、《内部控制检查监督办法》等有关</w:t>
      </w:r>
      <w:r>
        <w:rPr>
          <w:spacing w:val="-109"/>
        </w:rPr>
        <w:t> </w:t>
      </w:r>
      <w:r>
        <w:rPr>
          <w:spacing w:val="-109"/>
        </w:rPr>
      </w:r>
      <w:r>
        <w:rPr/>
        <w:t>规定赋予独立董事的职责，我们对公司报告期内对外担保、与关联方资金往来情况进行认真 的检查和落实，发表如下专项说明及独立意见：</w:t>
      </w:r>
    </w:p>
    <w:p>
      <w:pPr>
        <w:pStyle w:val="BodyText"/>
        <w:spacing w:line="357" w:lineRule="auto" w:before="35"/>
        <w:ind w:right="134" w:firstLine="480"/>
        <w:jc w:val="left"/>
      </w:pPr>
      <w:r>
        <w:rPr/>
        <w:t>经认真核查，我们认为：公司能够认真贯彻执行《通知》有关规定，严格控制对外担保 风险和关联方占用资金风险。截止</w:t>
      </w:r>
      <w:r>
        <w:rPr>
          <w:spacing w:val="-62"/>
        </w:rPr>
        <w:t> </w:t>
      </w:r>
      <w:r>
        <w:rPr/>
        <w:t>2008</w:t>
      </w:r>
      <w:r>
        <w:rPr>
          <w:spacing w:val="-62"/>
        </w:rPr>
        <w:t> </w:t>
      </w:r>
      <w:r>
        <w:rPr/>
        <w:t>年</w:t>
      </w:r>
      <w:r>
        <w:rPr>
          <w:spacing w:val="-62"/>
        </w:rPr>
        <w:t> </w:t>
      </w:r>
      <w:r>
        <w:rPr/>
        <w:t>12</w:t>
      </w:r>
      <w:r>
        <w:rPr>
          <w:spacing w:val="-62"/>
        </w:rPr>
        <w:t> </w:t>
      </w:r>
      <w:r>
        <w:rPr/>
        <w:t>月</w:t>
      </w:r>
      <w:r>
        <w:rPr>
          <w:spacing w:val="-62"/>
        </w:rPr>
        <w:t> </w:t>
      </w:r>
      <w:r>
        <w:rPr/>
        <w:t>31</w:t>
      </w:r>
      <w:r>
        <w:rPr>
          <w:spacing w:val="-62"/>
        </w:rPr>
        <w:t> </w:t>
      </w:r>
      <w:r>
        <w:rPr>
          <w:spacing w:val="-4"/>
        </w:rPr>
        <w:t>日，公司累计和当期无对外担保、违规对</w:t>
      </w:r>
      <w:r>
        <w:rPr/>
        <w:t> 外担保情况，也不存在公司控股股东及其他关联方、公司占</w:t>
      </w:r>
      <w:r>
        <w:rPr>
          <w:spacing w:val="-60"/>
        </w:rPr>
        <w:t> </w:t>
      </w:r>
      <w:r>
        <w:rPr/>
        <w:t>50%以下股份的关联方占用公司</w:t>
      </w:r>
      <w:r>
        <w:rPr/>
        <w:t> 资金的情况。</w:t>
      </w:r>
    </w:p>
    <w:p>
      <w:pPr>
        <w:spacing w:after="0" w:line="357" w:lineRule="auto"/>
        <w:jc w:val="left"/>
        <w:sectPr>
          <w:pgSz w:w="11910" w:h="16840"/>
          <w:pgMar w:header="747" w:footer="669" w:top="980" w:bottom="860" w:left="980" w:right="980"/>
        </w:sectPr>
      </w:pPr>
    </w:p>
    <w:p>
      <w:pPr>
        <w:spacing w:line="240" w:lineRule="auto" w:before="7"/>
        <w:rPr>
          <w:rFonts w:ascii="宋体" w:hAnsi="宋体" w:cs="宋体" w:eastAsia="宋体" w:hint="default"/>
          <w:sz w:val="29"/>
          <w:szCs w:val="29"/>
        </w:rPr>
      </w:pPr>
    </w:p>
    <w:p>
      <w:pPr>
        <w:pStyle w:val="BodyText"/>
        <w:spacing w:line="357" w:lineRule="auto" w:before="26"/>
        <w:ind w:right="148" w:firstLine="470"/>
        <w:jc w:val="both"/>
      </w:pPr>
      <w:r>
        <w:rPr/>
        <w:t>（三）报告期内，公司未发生且没有以前期间发生但延续到报告期的重大委托他人进行</w:t>
      </w:r>
      <w:r>
        <w:rPr>
          <w:spacing w:val="1"/>
        </w:rPr>
        <w:t> </w:t>
      </w:r>
      <w:r>
        <w:rPr/>
        <w:t>现金资产管理的事项。</w:t>
      </w:r>
    </w:p>
    <w:p>
      <w:pPr>
        <w:spacing w:line="240" w:lineRule="auto" w:before="1"/>
        <w:rPr>
          <w:rFonts w:ascii="宋体" w:hAnsi="宋体" w:cs="宋体" w:eastAsia="宋体" w:hint="default"/>
          <w:sz w:val="24"/>
          <w:szCs w:val="24"/>
        </w:rPr>
      </w:pPr>
    </w:p>
    <w:p>
      <w:pPr>
        <w:pStyle w:val="BodyText"/>
        <w:spacing w:line="240" w:lineRule="auto"/>
        <w:ind w:left="624" w:right="0"/>
        <w:jc w:val="left"/>
      </w:pPr>
      <w:r>
        <w:rPr/>
        <w:t>（四）日常经营重大合同的签署和履行情况</w:t>
      </w:r>
    </w:p>
    <w:p>
      <w:pPr>
        <w:spacing w:line="240" w:lineRule="auto" w:before="2"/>
        <w:rPr>
          <w:rFonts w:ascii="宋体" w:hAnsi="宋体" w:cs="宋体" w:eastAsia="宋体" w:hint="default"/>
          <w:sz w:val="33"/>
          <w:szCs w:val="33"/>
        </w:rPr>
      </w:pPr>
    </w:p>
    <w:p>
      <w:pPr>
        <w:pStyle w:val="BodyText"/>
        <w:spacing w:line="357" w:lineRule="auto"/>
        <w:ind w:right="151" w:firstLine="480"/>
        <w:jc w:val="both"/>
        <w:rPr>
          <w:rFonts w:ascii="宋体" w:hAnsi="宋体" w:cs="宋体" w:eastAsia="宋体" w:hint="default"/>
        </w:rPr>
      </w:pPr>
      <w:r>
        <w:rPr>
          <w:spacing w:val="31"/>
        </w:rPr>
        <w:t>1、2008年5月6</w:t>
      </w:r>
      <w:r>
        <w:rPr>
          <w:spacing w:val="-35"/>
        </w:rPr>
        <w:t> </w:t>
      </w:r>
      <w:r>
        <w:rPr/>
        <w:t>日本公司与神华集团陕西国华锦界能源有限责任公司签署了《陕西国</w:t>
      </w:r>
      <w:r>
        <w:rPr/>
        <w:t> 华锦界煤电项目解决串补输电次同步谐振</w:t>
      </w:r>
      <w:r>
        <w:rPr>
          <w:spacing w:val="-57"/>
        </w:rPr>
        <w:t> </w:t>
      </w:r>
      <w:r>
        <w:rPr/>
        <w:t>SVC</w:t>
      </w:r>
      <w:r>
        <w:rPr>
          <w:spacing w:val="-57"/>
        </w:rPr>
        <w:t> </w:t>
      </w:r>
      <w:r>
        <w:rPr>
          <w:spacing w:val="-10"/>
        </w:rPr>
        <w:t>工程承包合同书》。依据该合同，本公司作为承</w:t>
      </w:r>
      <w:r>
        <w:rPr/>
        <w:t> 包商承担陕西国华锦界煤电项目解决串补输电次同步谐振 SVC</w:t>
      </w:r>
      <w:r>
        <w:rPr>
          <w:spacing w:val="-82"/>
        </w:rPr>
        <w:t> </w:t>
      </w:r>
      <w:r>
        <w:rPr/>
        <w:t>工程设备研发及供货、材料供</w:t>
      </w:r>
      <w:r>
        <w:rPr/>
        <w:t> 货、施工、试验及调试、服务、竣工和保修等。合同金额为人民币</w:t>
      </w:r>
      <w:r>
        <w:rPr>
          <w:spacing w:val="-61"/>
        </w:rPr>
        <w:t> </w:t>
      </w:r>
      <w:r>
        <w:rPr>
          <w:rFonts w:ascii="宋体" w:hAnsi="宋体" w:cs="宋体" w:eastAsia="宋体" w:hint="default"/>
          <w:b/>
          <w:bCs/>
        </w:rPr>
        <w:t>85,804,130</w:t>
      </w:r>
      <w:r>
        <w:rPr>
          <w:rFonts w:ascii="宋体" w:hAnsi="宋体" w:cs="宋体" w:eastAsia="宋体" w:hint="default"/>
          <w:b/>
          <w:bCs/>
          <w:spacing w:val="-63"/>
        </w:rPr>
        <w:t> </w:t>
      </w:r>
      <w:r>
        <w:rPr>
          <w:rFonts w:ascii="宋体" w:hAnsi="宋体" w:cs="宋体" w:eastAsia="宋体" w:hint="default"/>
          <w:b/>
          <w:bCs/>
        </w:rPr>
        <w:t>元。</w:t>
      </w:r>
      <w:r>
        <w:rPr>
          <w:rFonts w:ascii="宋体" w:hAnsi="宋体" w:cs="宋体" w:eastAsia="宋体" w:hint="default"/>
        </w:rPr>
      </w:r>
    </w:p>
    <w:p>
      <w:pPr>
        <w:pStyle w:val="BodyText"/>
        <w:spacing w:line="240" w:lineRule="auto" w:before="74"/>
        <w:ind w:left="634" w:right="0"/>
        <w:jc w:val="left"/>
      </w:pPr>
      <w:r>
        <w:rPr/>
        <w:t>报告期内，该合同正常履行中。</w:t>
      </w:r>
    </w:p>
    <w:p>
      <w:pPr>
        <w:pStyle w:val="BodyText"/>
        <w:spacing w:line="240" w:lineRule="auto" w:before="193"/>
        <w:ind w:left="63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日，公司与中国银行鞍山铁东支行签署了三笔短期借款合同，借款金</w:t>
      </w:r>
    </w:p>
    <w:p>
      <w:pPr>
        <w:pStyle w:val="BodyText"/>
        <w:spacing w:line="240" w:lineRule="auto" w:before="134"/>
        <w:ind w:right="0"/>
        <w:jc w:val="left"/>
        <w:rPr>
          <w:rFonts w:ascii="Times New Roman" w:hAnsi="Times New Roman" w:cs="Times New Roman" w:eastAsia="Times New Roman" w:hint="default"/>
        </w:rPr>
      </w:pPr>
      <w:r>
        <w:rPr/>
        <w:t>额共计</w:t>
      </w:r>
      <w:r>
        <w:rPr>
          <w:spacing w:val="-58"/>
        </w:rPr>
        <w:t> </w:t>
      </w:r>
      <w:r>
        <w:rPr>
          <w:rFonts w:ascii="Times New Roman" w:hAnsi="Times New Roman" w:cs="Times New Roman" w:eastAsia="Times New Roman" w:hint="default"/>
        </w:rPr>
        <w:t>4,000</w:t>
      </w:r>
      <w:r>
        <w:rPr>
          <w:rFonts w:ascii="Times New Roman" w:hAnsi="Times New Roman" w:cs="Times New Roman" w:eastAsia="Times New Roman" w:hint="default"/>
          <w:spacing w:val="2"/>
        </w:rPr>
        <w:t> </w:t>
      </w:r>
      <w:r>
        <w:rPr/>
        <w:t>万元，借款期限为分别：第一笔</w:t>
      </w:r>
      <w:r>
        <w:rPr>
          <w:spacing w:val="-58"/>
        </w:rPr>
        <w:t> </w:t>
      </w:r>
      <w:r>
        <w:rPr>
          <w:rFonts w:ascii="Times New Roman" w:hAnsi="Times New Roman" w:cs="Times New Roman" w:eastAsia="Times New Roman" w:hint="default"/>
        </w:rPr>
        <w:t>1200</w:t>
      </w:r>
      <w:r>
        <w:rPr>
          <w:rFonts w:ascii="Times New Roman" w:hAnsi="Times New Roman" w:cs="Times New Roman" w:eastAsia="Times New Roman" w:hint="default"/>
          <w:spacing w:val="2"/>
        </w:rPr>
        <w:t> </w:t>
      </w:r>
      <w:r>
        <w:rPr/>
        <w:t>万元，</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8</w:t>
      </w:r>
    </w:p>
    <w:p>
      <w:pPr>
        <w:pStyle w:val="BodyText"/>
        <w:spacing w:line="240" w:lineRule="auto" w:before="134"/>
        <w:ind w:right="0"/>
        <w:jc w:val="left"/>
        <w:rPr>
          <w:rFonts w:ascii="Times New Roman" w:hAnsi="Times New Roman" w:cs="Times New Roman" w:eastAsia="Times New Roman" w:hint="default"/>
        </w:rPr>
      </w:pPr>
      <w:r>
        <w:rPr>
          <w:spacing w:val="-5"/>
        </w:rPr>
        <w:t>日；第二笔</w:t>
      </w:r>
      <w:r>
        <w:rPr>
          <w:spacing w:val="-60"/>
        </w:rPr>
        <w:t> </w:t>
      </w:r>
      <w:r>
        <w:rPr>
          <w:rFonts w:ascii="Times New Roman" w:hAnsi="Times New Roman" w:cs="Times New Roman" w:eastAsia="Times New Roman" w:hint="default"/>
        </w:rPr>
        <w:t>1300 </w:t>
      </w:r>
      <w:r>
        <w:rPr>
          <w:spacing w:val="-3"/>
        </w:rPr>
        <w:t>万元，</w:t>
      </w:r>
      <w:r>
        <w:rPr>
          <w:rFonts w:ascii="Times New Roman" w:hAnsi="Times New Roman" w:cs="Times New Roman" w:eastAsia="Times New Roman" w:hint="default"/>
          <w:spacing w:val="-3"/>
        </w:rPr>
        <w:t>2008</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8 </w:t>
      </w:r>
      <w:r>
        <w:rPr/>
        <w:t>日</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8 </w:t>
      </w:r>
      <w:r>
        <w:rPr>
          <w:spacing w:val="-5"/>
        </w:rPr>
        <w:t>日；第三笔</w:t>
      </w:r>
      <w:r>
        <w:rPr>
          <w:spacing w:val="-60"/>
        </w:rPr>
        <w:t> </w:t>
      </w:r>
      <w:r>
        <w:rPr>
          <w:rFonts w:ascii="Times New Roman" w:hAnsi="Times New Roman" w:cs="Times New Roman" w:eastAsia="Times New Roman" w:hint="default"/>
        </w:rPr>
        <w:t>1500 </w:t>
      </w:r>
      <w:r>
        <w:rPr>
          <w:spacing w:val="-3"/>
        </w:rPr>
        <w:t>万元，</w:t>
      </w:r>
      <w:r>
        <w:rPr>
          <w:rFonts w:ascii="Times New Roman" w:hAnsi="Times New Roman" w:cs="Times New Roman" w:eastAsia="Times New Roman" w:hint="default"/>
          <w:spacing w:val="-3"/>
        </w:rPr>
        <w:t>2008</w:t>
      </w:r>
      <w:r>
        <w:rPr>
          <w:rFonts w:ascii="Times New Roman" w:hAnsi="Times New Roman" w:cs="Times New Roman" w:eastAsia="Times New Roman" w:hint="default"/>
        </w:rPr>
        <w:t> </w:t>
      </w:r>
      <w:r>
        <w:rPr/>
        <w:t>年</w:t>
      </w:r>
      <w:r>
        <w:rPr>
          <w:spacing w:val="-60"/>
        </w:rPr>
        <w:t> </w:t>
      </w:r>
      <w:r>
        <w:rPr>
          <w:rFonts w:ascii="Times New Roman" w:hAnsi="Times New Roman" w:cs="Times New Roman" w:eastAsia="Times New Roman" w:hint="default"/>
        </w:rPr>
        <w:t>12</w:t>
      </w:r>
    </w:p>
    <w:p>
      <w:pPr>
        <w:pStyle w:val="BodyText"/>
        <w:spacing w:line="240" w:lineRule="auto" w:before="134"/>
        <w:ind w:right="0"/>
        <w:jc w:val="left"/>
      </w:pPr>
      <w:r>
        <w:rPr/>
        <w:t>月</w:t>
      </w:r>
      <w:r>
        <w:rPr>
          <w:spacing w:val="-60"/>
        </w:rPr>
        <w:t> </w:t>
      </w:r>
      <w:r>
        <w:rPr>
          <w:rFonts w:ascii="Times New Roman" w:hAnsi="Times New Roman" w:cs="Times New Roman" w:eastAsia="Times New Roman" w:hint="default"/>
        </w:rPr>
        <w:t>8 </w:t>
      </w:r>
      <w:r>
        <w:rPr/>
        <w:t>日</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8 </w:t>
      </w:r>
      <w:r>
        <w:rPr/>
        <w:t>日。公司以土地、房产、机器设备作为该项借款提供抵押。</w:t>
      </w:r>
    </w:p>
    <w:p>
      <w:pPr>
        <w:pStyle w:val="BodyText"/>
        <w:spacing w:line="240" w:lineRule="auto" w:before="174"/>
        <w:ind w:left="63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65"/>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65"/>
        </w:rPr>
        <w:t> </w:t>
      </w:r>
      <w:r>
        <w:rPr>
          <w:rFonts w:ascii="Times New Roman" w:hAnsi="Times New Roman" w:cs="Times New Roman" w:eastAsia="Times New Roman" w:hint="default"/>
        </w:rPr>
        <w:t>26</w:t>
      </w:r>
      <w:r>
        <w:rPr>
          <w:rFonts w:ascii="Times New Roman" w:hAnsi="Times New Roman" w:cs="Times New Roman" w:eastAsia="Times New Roman" w:hint="default"/>
          <w:spacing w:val="-5"/>
        </w:rPr>
        <w:t> </w:t>
      </w:r>
      <w:r>
        <w:rPr/>
        <w:t>日，公司与中信银行沈阳沈河支行签署了短期借款合同，借款金额为</w:t>
      </w:r>
    </w:p>
    <w:p>
      <w:pPr>
        <w:pStyle w:val="BodyText"/>
        <w:spacing w:line="367" w:lineRule="auto" w:before="134"/>
        <w:ind w:left="634" w:right="410" w:hanging="480"/>
        <w:jc w:val="left"/>
      </w:pPr>
      <w:r>
        <w:rPr>
          <w:rFonts w:ascii="Times New Roman" w:hAnsi="Times New Roman" w:cs="Times New Roman" w:eastAsia="Times New Roman" w:hint="default"/>
        </w:rPr>
        <w:t>3,000 </w:t>
      </w:r>
      <w:r>
        <w:rPr/>
        <w:t>万元，借款期限为：</w:t>
      </w:r>
      <w:r>
        <w:rPr>
          <w:rFonts w:ascii="Times New Roman" w:hAnsi="Times New Roman" w:cs="Times New Roman" w:eastAsia="Times New Roman" w:hint="default"/>
        </w:rPr>
        <w:t>2008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27 </w:t>
      </w:r>
      <w:r>
        <w:rPr/>
        <w:t>日</w:t>
      </w:r>
      <w:r>
        <w:rPr>
          <w:rFonts w:ascii="Times New Roman" w:hAnsi="Times New Roman" w:cs="Times New Roman" w:eastAsia="Times New Roman" w:hint="default"/>
        </w:rPr>
        <w:t>—2009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26 </w:t>
      </w:r>
      <w:r>
        <w:rPr/>
        <w:t>日。该项借款为信用借款。 上述借款合同正在履行中。</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7"/>
          <w:szCs w:val="17"/>
        </w:rPr>
      </w:pPr>
    </w:p>
    <w:p>
      <w:pPr>
        <w:pStyle w:val="Heading3"/>
        <w:spacing w:line="240" w:lineRule="auto"/>
        <w:ind w:right="0"/>
        <w:jc w:val="left"/>
      </w:pPr>
      <w:r>
        <w:rPr/>
        <w:t>六、公司股东在报告期或持续到报告期内的承诺事项</w:t>
      </w:r>
    </w:p>
    <w:p>
      <w:pPr>
        <w:spacing w:line="240" w:lineRule="auto" w:before="6"/>
        <w:rPr>
          <w:rFonts w:ascii="黑体" w:hAnsi="黑体" w:cs="黑体" w:eastAsia="黑体" w:hint="default"/>
          <w:sz w:val="35"/>
          <w:szCs w:val="35"/>
        </w:rPr>
      </w:pPr>
    </w:p>
    <w:p>
      <w:pPr>
        <w:pStyle w:val="BodyText"/>
        <w:spacing w:line="357" w:lineRule="auto"/>
        <w:ind w:right="151" w:firstLine="480"/>
        <w:jc w:val="both"/>
      </w:pPr>
      <w:r>
        <w:rPr/>
        <w:t>本公司控股股东左强、深圳市深港产学研创业投资有限公司及其一致行动人深圳市延宁 发展有限公司，</w:t>
      </w:r>
      <w:r>
        <w:rPr>
          <w:spacing w:val="-79"/>
        </w:rPr>
        <w:t> </w:t>
      </w:r>
      <w:r>
        <w:rPr/>
        <w:t>实际控制人左强先生、崔京涛女士和厉伟先生均承诺：自本公司股票上市之</w:t>
      </w:r>
      <w:r>
        <w:rPr/>
        <w:t> 日起三十六个月内，不转让或者委托他人管理其已直接和间接持有的本公司股份，也不由本 公司收购该部分股份。</w:t>
      </w:r>
    </w:p>
    <w:p>
      <w:pPr>
        <w:pStyle w:val="BodyText"/>
        <w:spacing w:line="357" w:lineRule="auto" w:before="35"/>
        <w:ind w:right="151" w:firstLine="480"/>
        <w:jc w:val="both"/>
      </w:pPr>
      <w:r>
        <w:rPr/>
        <w:t>为避免将来可能出现与本公司的同业竞争，本公司控股股东、实际控制人出具了《避免 </w:t>
      </w:r>
      <w:r>
        <w:rPr>
          <w:spacing w:val="-5"/>
        </w:rPr>
        <w:t>同业竞争的承诺函》，承诺将不会直接或间接从事与本公司相同、相似的业务，也不在与本公</w:t>
      </w:r>
      <w:r>
        <w:rPr/>
        <w:t> 司有相同、相似业务的其他企业任职。</w:t>
      </w:r>
    </w:p>
    <w:p>
      <w:pPr>
        <w:pStyle w:val="BodyText"/>
        <w:spacing w:line="240" w:lineRule="auto" w:before="35"/>
        <w:ind w:left="634" w:right="0"/>
        <w:jc w:val="left"/>
      </w:pPr>
      <w:r>
        <w:rPr/>
        <w:t>截止到本报告期末，上述承诺事项仍在严格履行中。</w:t>
      </w:r>
    </w:p>
    <w:p>
      <w:pPr>
        <w:spacing w:line="240" w:lineRule="auto" w:before="11"/>
        <w:rPr>
          <w:rFonts w:ascii="宋体" w:hAnsi="宋体" w:cs="宋体" w:eastAsia="宋体" w:hint="default"/>
          <w:sz w:val="33"/>
          <w:szCs w:val="33"/>
        </w:rPr>
      </w:pPr>
    </w:p>
    <w:p>
      <w:pPr>
        <w:pStyle w:val="Heading3"/>
        <w:spacing w:line="240" w:lineRule="auto"/>
        <w:ind w:right="0"/>
        <w:jc w:val="left"/>
      </w:pPr>
      <w:r>
        <w:rPr/>
        <w:t>七、公司聘任、解聘会计师事务所及支付给聘任会计师事务所的报酬情况</w:t>
      </w:r>
    </w:p>
    <w:p>
      <w:pPr>
        <w:spacing w:after="0" w:line="240" w:lineRule="auto"/>
        <w:jc w:val="left"/>
        <w:sectPr>
          <w:pgSz w:w="11910" w:h="16840"/>
          <w:pgMar w:header="747" w:footer="669" w:top="980" w:bottom="860" w:left="980" w:right="980"/>
        </w:sectPr>
      </w:pPr>
    </w:p>
    <w:p>
      <w:pPr>
        <w:spacing w:line="240" w:lineRule="auto" w:before="7"/>
        <w:rPr>
          <w:rFonts w:ascii="黑体" w:hAnsi="黑体" w:cs="黑体" w:eastAsia="黑体" w:hint="default"/>
          <w:sz w:val="29"/>
          <w:szCs w:val="29"/>
        </w:rPr>
      </w:pPr>
    </w:p>
    <w:p>
      <w:pPr>
        <w:pStyle w:val="BodyText"/>
        <w:spacing w:line="350" w:lineRule="auto" w:before="26"/>
        <w:ind w:left="214" w:right="222" w:firstLine="480"/>
        <w:jc w:val="left"/>
      </w:pPr>
      <w:r>
        <w:rPr/>
        <w:t>经公司2007年度股东大会审议批准,继续聘请开元信德会计师事务所有限公司为公司 </w:t>
      </w:r>
      <w:r>
        <w:rPr>
          <w:spacing w:val="-2"/>
        </w:rPr>
        <w:t>2008年度财务审计机构,支付2008年度审计费用25万元。截至本报告期末，开元信德会计师事</w:t>
      </w:r>
      <w:r>
        <w:rPr>
          <w:spacing w:val="-110"/>
        </w:rPr>
        <w:t> </w:t>
      </w:r>
      <w:r>
        <w:rPr>
          <w:spacing w:val="-110"/>
        </w:rPr>
      </w:r>
      <w:r>
        <w:rPr/>
        <w:t>务所有限公司已连续9年为公司提供审计服务，签字注册会计师连续为本公司提供审计服务</w:t>
      </w:r>
      <w:r>
        <w:rPr>
          <w:rFonts w:ascii="Times New Roman" w:hAnsi="Times New Roman" w:cs="Times New Roman" w:eastAsia="Times New Roman" w:hint="default"/>
        </w:rPr>
        <w:t>, </w:t>
      </w:r>
      <w:r>
        <w:rPr/>
        <w:t>未超过五年。</w:t>
      </w:r>
    </w:p>
    <w:p>
      <w:pPr>
        <w:spacing w:line="240" w:lineRule="auto" w:before="2"/>
        <w:rPr>
          <w:rFonts w:ascii="宋体" w:hAnsi="宋体" w:cs="宋体" w:eastAsia="宋体" w:hint="default"/>
          <w:sz w:val="24"/>
          <w:szCs w:val="24"/>
        </w:rPr>
      </w:pPr>
    </w:p>
    <w:p>
      <w:pPr>
        <w:pStyle w:val="Heading3"/>
        <w:spacing w:line="357" w:lineRule="auto"/>
        <w:ind w:left="214" w:right="352" w:firstLine="560"/>
        <w:jc w:val="both"/>
      </w:pPr>
      <w:r>
        <w:rPr>
          <w:w w:val="95"/>
        </w:rPr>
        <w:t>八、报告期内，公司及其董事、监事、高级管理人员、公司股东、实际控</w:t>
      </w:r>
      <w:r>
        <w:rPr>
          <w:w w:val="99"/>
        </w:rPr>
        <w:t> </w:t>
      </w:r>
      <w:r>
        <w:rPr>
          <w:w w:val="95"/>
        </w:rPr>
        <w:t>制人，未发生：受有权机关调查、司法纪检部门采取强制措施、被移送司法机</w:t>
      </w:r>
      <w:r>
        <w:rPr>
          <w:spacing w:val="64"/>
          <w:w w:val="95"/>
        </w:rPr>
        <w:t> </w:t>
      </w:r>
      <w:r>
        <w:rPr>
          <w:spacing w:val="64"/>
          <w:w w:val="95"/>
        </w:rPr>
      </w:r>
      <w:r>
        <w:rPr>
          <w:w w:val="95"/>
        </w:rPr>
        <w:t>关或追究刑事责任、中国证监会稽查、中国证监会行政处罚、证券市场禁入、</w:t>
      </w:r>
      <w:r>
        <w:rPr>
          <w:spacing w:val="64"/>
          <w:w w:val="95"/>
        </w:rPr>
        <w:t> </w:t>
      </w:r>
      <w:r>
        <w:rPr>
          <w:spacing w:val="64"/>
          <w:w w:val="95"/>
        </w:rPr>
      </w:r>
      <w:r>
        <w:rPr>
          <w:w w:val="95"/>
        </w:rPr>
        <w:t>通报批评、证券市场禁入、认定为不适当人选、被其他行政管理部门处罚及证</w:t>
      </w:r>
      <w:r>
        <w:rPr>
          <w:spacing w:val="64"/>
          <w:w w:val="95"/>
        </w:rPr>
        <w:t> </w:t>
      </w:r>
      <w:r>
        <w:rPr>
          <w:spacing w:val="64"/>
          <w:w w:val="95"/>
        </w:rPr>
      </w:r>
      <w:r>
        <w:rPr/>
        <w:t>券交易所公开谴责的情况。</w:t>
      </w:r>
    </w:p>
    <w:p>
      <w:pPr>
        <w:spacing w:line="240" w:lineRule="auto" w:before="0"/>
        <w:rPr>
          <w:rFonts w:ascii="黑体" w:hAnsi="黑体" w:cs="黑体" w:eastAsia="黑体" w:hint="default"/>
          <w:sz w:val="29"/>
          <w:szCs w:val="29"/>
        </w:rPr>
      </w:pPr>
    </w:p>
    <w:p>
      <w:pPr>
        <w:pStyle w:val="Heading3"/>
        <w:spacing w:line="240" w:lineRule="auto"/>
        <w:ind w:left="252" w:right="150"/>
        <w:jc w:val="left"/>
      </w:pPr>
      <w:bookmarkStart w:name="九、报告期内已披露的重要信息索引" w:id="21"/>
      <w:bookmarkEnd w:id="21"/>
      <w:r>
        <w:rPr/>
      </w:r>
      <w:r>
        <w:rPr/>
        <w:t>九、报告期内已披露的重要信息索引</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368"/>
        <w:gridCol w:w="1800"/>
        <w:gridCol w:w="5220"/>
        <w:gridCol w:w="1466"/>
      </w:tblGrid>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公告内容</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信息披露报纸</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会计师事务所名称变更的公告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年度业绩快报</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2008-003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荣信股份第三届董事会第八次会议决议公告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年第一次临时股东大会通知的公告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荣信电力电子股份有限公司关于享受所得税税收优惠的公告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年第一次临时股东大会决议公告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55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93"/>
              <w:jc w:val="left"/>
              <w:rPr>
                <w:rFonts w:ascii="宋体" w:hAnsi="宋体" w:cs="宋体" w:eastAsia="宋体" w:hint="default"/>
                <w:sz w:val="18"/>
                <w:szCs w:val="18"/>
              </w:rPr>
            </w:pPr>
            <w:r>
              <w:rPr>
                <w:rFonts w:ascii="宋体" w:hAnsi="宋体" w:cs="宋体" w:eastAsia="宋体" w:hint="default"/>
                <w:spacing w:val="5"/>
                <w:sz w:val="18"/>
                <w:szCs w:val="18"/>
              </w:rPr>
              <w:t>荣信电力电子股份有限公司与北京国华电力有限责任公司合作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开发“用于抑制次同步谐振的</w:t>
            </w:r>
            <w:r>
              <w:rPr>
                <w:rFonts w:ascii="宋体" w:hAnsi="宋体" w:cs="宋体" w:eastAsia="宋体" w:hint="default"/>
                <w:spacing w:val="-46"/>
                <w:sz w:val="18"/>
                <w:szCs w:val="18"/>
              </w:rPr>
              <w:t> </w:t>
            </w:r>
            <w:r>
              <w:rPr>
                <w:rFonts w:ascii="宋体" w:hAnsi="宋体" w:cs="宋体" w:eastAsia="宋体" w:hint="default"/>
                <w:sz w:val="18"/>
                <w:szCs w:val="18"/>
              </w:rPr>
              <w:t>SVC”的公告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2008-008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首次公开发行前已发行股份上市流通提示性公告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三届九次董事会会议决议公告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三届五次监事会会议决议公告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年年度报告摘要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董事会关于募集资金</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年度使用情况的专项报告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2008-013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年度股东大会通知的公告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年一季度报告摘要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2008-015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年年度报告网上说明会的公告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年度股东大会决议公告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重大合同公告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年度利润分配和资本公积金转增股本实施公告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荣信股份三届十次董事会会议决议公告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2008-020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关于收购北京信力筑正新能源技术有限公司股权的公告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2008-021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第三届董事会第十一次会议决议公告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bl>
    <w:p>
      <w:pPr>
        <w:spacing w:after="0" w:line="240" w:lineRule="auto"/>
        <w:jc w:val="center"/>
        <w:rPr>
          <w:rFonts w:ascii="宋体" w:hAnsi="宋体" w:cs="宋体" w:eastAsia="宋体" w:hint="default"/>
          <w:sz w:val="18"/>
          <w:szCs w:val="18"/>
        </w:rPr>
        <w:sectPr>
          <w:pgSz w:w="11910" w:h="16840"/>
          <w:pgMar w:header="747" w:footer="669" w:top="980" w:bottom="860" w:left="920" w:right="900"/>
        </w:sect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1368"/>
        <w:gridCol w:w="1800"/>
        <w:gridCol w:w="5220"/>
        <w:gridCol w:w="1466"/>
      </w:tblGrid>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2008-022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股权质押公告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2008-023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股权质押公告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34" w:hRule="exact"/>
        </w:trPr>
        <w:tc>
          <w:tcPr>
            <w:tcW w:w="136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2008-024</w:t>
            </w:r>
          </w:p>
        </w:tc>
        <w:tc>
          <w:tcPr>
            <w:tcW w:w="180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第三届董事会第十二次会议决议公告</w:t>
            </w:r>
          </w:p>
        </w:tc>
        <w:tc>
          <w:tcPr>
            <w:tcW w:w="14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1"/>
              <w:ind w:left="103" w:right="0"/>
              <w:jc w:val="left"/>
              <w:rPr>
                <w:rFonts w:ascii="Times New Roman" w:hAnsi="Times New Roman" w:cs="Times New Roman" w:eastAsia="Times New Roman" w:hint="default"/>
                <w:sz w:val="18"/>
                <w:szCs w:val="18"/>
              </w:rPr>
            </w:pPr>
            <w:r>
              <w:rPr>
                <w:rFonts w:ascii="Times New Roman"/>
                <w:sz w:val="18"/>
              </w:rPr>
              <w:t>2008-025</w:t>
            </w:r>
          </w:p>
        </w:tc>
        <w:tc>
          <w:tcPr>
            <w:tcW w:w="180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522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三届十三次董事会会议决议公告</w:t>
            </w:r>
          </w:p>
        </w:tc>
        <w:tc>
          <w:tcPr>
            <w:tcW w:w="146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三届六次监事会会议决议公告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年半年度报告摘要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2008-028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三届十四次董事会会议决议公告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2008-029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关于公司治理专项活动整改情况说明</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2008-030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年第三季度报告摘要</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18"/>
                <w:szCs w:val="18"/>
              </w:rPr>
            </w:pPr>
            <w:r>
              <w:rPr>
                <w:rFonts w:ascii="Times New Roman"/>
                <w:sz w:val="18"/>
              </w:rPr>
              <w:t>2008-031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三届十五次董事会会议决议公告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8" w:right="0"/>
              <w:jc w:val="left"/>
              <w:rPr>
                <w:rFonts w:ascii="宋体" w:hAnsi="宋体" w:cs="宋体" w:eastAsia="宋体" w:hint="default"/>
                <w:sz w:val="18"/>
                <w:szCs w:val="18"/>
              </w:rPr>
            </w:pPr>
            <w:r>
              <w:rPr>
                <w:rFonts w:ascii="宋体" w:hAnsi="宋体" w:cs="宋体" w:eastAsia="宋体" w:hint="default"/>
                <w:sz w:val="18"/>
                <w:szCs w:val="18"/>
              </w:rPr>
              <w:t>证券时报</w:t>
            </w:r>
          </w:p>
        </w:tc>
      </w:tr>
    </w:tbl>
    <w:p>
      <w:pPr>
        <w:pStyle w:val="BodyText"/>
        <w:spacing w:line="275" w:lineRule="exact"/>
        <w:ind w:left="214" w:right="150"/>
        <w:jc w:val="left"/>
      </w:pPr>
      <w:r>
        <w:rPr/>
        <w:t>上述信息披露网址：巨潮资讯（</w:t>
      </w:r>
      <w:r>
        <w:rPr>
          <w:color w:val="0000FF"/>
        </w:rPr>
      </w:r>
      <w:hyperlink r:id="rId11">
        <w:r>
          <w:rPr>
            <w:color w:val="0000FF"/>
            <w:u w:val="single" w:color="0000FF"/>
          </w:rPr>
          <w:t>http://www.cninfo.com.cn</w:t>
        </w:r>
        <w:r>
          <w:rPr>
            <w:color w:val="0000FF"/>
          </w:rPr>
        </w:r>
      </w:hyperlink>
      <w:r>
        <w:rPr/>
        <w:t>）。</w:t>
      </w:r>
    </w:p>
    <w:p>
      <w:pPr>
        <w:spacing w:after="0" w:line="275" w:lineRule="exact"/>
        <w:jc w:val="left"/>
        <w:sectPr>
          <w:pgSz w:w="11910" w:h="16840"/>
          <w:pgMar w:header="747" w:footer="669" w:top="980" w:bottom="860" w:left="920" w:right="9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7"/>
        <w:ind w:left="0" w:right="77" w:firstLine="0"/>
        <w:jc w:val="center"/>
        <w:rPr>
          <w:rFonts w:ascii="黑体" w:hAnsi="黑体" w:cs="黑体" w:eastAsia="黑体" w:hint="default"/>
          <w:sz w:val="30"/>
          <w:szCs w:val="30"/>
        </w:rPr>
      </w:pPr>
      <w:bookmarkStart w:name="_bookmark9" w:id="22"/>
      <w:bookmarkEnd w:id="22"/>
      <w:r>
        <w:rPr/>
      </w:r>
      <w:r>
        <w:rPr>
          <w:rFonts w:ascii="黑体" w:hAnsi="黑体" w:cs="黑体" w:eastAsia="黑体" w:hint="default"/>
          <w:sz w:val="30"/>
          <w:szCs w:val="30"/>
        </w:rPr>
        <w:t>第十节 财务报告</w:t>
      </w:r>
    </w:p>
    <w:p>
      <w:pPr>
        <w:spacing w:before="232"/>
        <w:ind w:left="0" w:right="77" w:firstLine="0"/>
        <w:jc w:val="center"/>
        <w:rPr>
          <w:rFonts w:ascii="黑体" w:hAnsi="黑体" w:cs="黑体" w:eastAsia="黑体" w:hint="default"/>
          <w:sz w:val="32"/>
          <w:szCs w:val="32"/>
        </w:rPr>
      </w:pPr>
      <w:r>
        <w:rPr>
          <w:rFonts w:ascii="黑体" w:hAnsi="黑体" w:cs="黑体" w:eastAsia="黑体" w:hint="default"/>
          <w:b/>
          <w:bCs/>
          <w:spacing w:val="8"/>
          <w:sz w:val="32"/>
          <w:szCs w:val="32"/>
        </w:rPr>
        <w:t>审计报告</w:t>
      </w:r>
      <w:r>
        <w:rPr>
          <w:rFonts w:ascii="黑体" w:hAnsi="黑体" w:cs="黑体" w:eastAsia="黑体" w:hint="default"/>
          <w:sz w:val="32"/>
          <w:szCs w:val="32"/>
        </w:rPr>
      </w:r>
    </w:p>
    <w:p>
      <w:pPr>
        <w:tabs>
          <w:tab w:pos="753" w:val="left" w:leader="none"/>
          <w:tab w:pos="6260" w:val="left" w:leader="none"/>
        </w:tabs>
        <w:spacing w:before="219"/>
        <w:ind w:left="0" w:right="77" w:firstLine="0"/>
        <w:jc w:val="center"/>
        <w:rPr>
          <w:rFonts w:ascii="宋体" w:hAnsi="宋体" w:cs="宋体" w:eastAsia="宋体" w:hint="default"/>
          <w:sz w:val="24"/>
          <w:szCs w:val="24"/>
        </w:rPr>
      </w:pPr>
      <w:r>
        <w:rPr>
          <w:rFonts w:ascii="黑体" w:hAnsi="黑体" w:cs="黑体" w:eastAsia="黑体" w:hint="default"/>
          <w:b/>
          <w:bCs/>
          <w:spacing w:val="4"/>
          <w:w w:val="95"/>
          <w:sz w:val="24"/>
          <w:szCs w:val="24"/>
        </w:rPr>
        <w:t>中国</w:t>
        <w:tab/>
        <w:t>鞍山</w:t>
        <w:tab/>
      </w:r>
      <w:r>
        <w:rPr>
          <w:rFonts w:ascii="宋体" w:hAnsi="宋体" w:cs="宋体" w:eastAsia="宋体" w:hint="default"/>
          <w:sz w:val="24"/>
          <w:szCs w:val="24"/>
        </w:rPr>
        <w:t>开元信德深审字(2009)第</w:t>
      </w:r>
      <w:r>
        <w:rPr>
          <w:rFonts w:ascii="宋体" w:hAnsi="宋体" w:cs="宋体" w:eastAsia="宋体" w:hint="default"/>
          <w:spacing w:val="-52"/>
          <w:sz w:val="24"/>
          <w:szCs w:val="24"/>
        </w:rPr>
        <w:t> </w:t>
      </w:r>
      <w:r>
        <w:rPr>
          <w:rFonts w:ascii="宋体" w:hAnsi="宋体" w:cs="宋体" w:eastAsia="宋体" w:hint="default"/>
          <w:sz w:val="24"/>
          <w:szCs w:val="24"/>
        </w:rPr>
        <w:t>122</w:t>
      </w:r>
      <w:r>
        <w:rPr>
          <w:rFonts w:ascii="宋体" w:hAnsi="宋体" w:cs="宋体" w:eastAsia="宋体" w:hint="default"/>
          <w:spacing w:val="-52"/>
          <w:sz w:val="24"/>
          <w:szCs w:val="24"/>
        </w:rPr>
        <w:t> </w:t>
      </w:r>
      <w:r>
        <w:rPr>
          <w:rFonts w:ascii="宋体" w:hAnsi="宋体" w:cs="宋体" w:eastAsia="宋体" w:hint="default"/>
          <w:sz w:val="24"/>
          <w:szCs w:val="24"/>
        </w:rPr>
        <w:t>号</w:t>
      </w:r>
    </w:p>
    <w:p>
      <w:pPr>
        <w:pStyle w:val="Heading4"/>
        <w:spacing w:line="240" w:lineRule="auto" w:before="205"/>
        <w:ind w:left="153" w:right="92"/>
        <w:jc w:val="left"/>
        <w:rPr>
          <w:rFonts w:ascii="黑体" w:hAnsi="黑体" w:cs="黑体" w:eastAsia="黑体" w:hint="default"/>
          <w:b w:val="0"/>
          <w:bCs w:val="0"/>
        </w:rPr>
      </w:pPr>
      <w:r>
        <w:rPr>
          <w:rFonts w:ascii="黑体" w:hAnsi="黑体" w:cs="黑体" w:eastAsia="黑体" w:hint="default"/>
          <w:spacing w:val="8"/>
        </w:rPr>
        <w:t>荣信电力电子股份有限公司全体股东：</w:t>
      </w:r>
      <w:r>
        <w:rPr>
          <w:rFonts w:ascii="黑体" w:hAnsi="黑体" w:cs="黑体" w:eastAsia="黑体" w:hint="default"/>
          <w:b w:val="0"/>
          <w:bCs w:val="0"/>
        </w:rPr>
      </w:r>
    </w:p>
    <w:p>
      <w:pPr>
        <w:spacing w:line="240" w:lineRule="auto" w:before="5"/>
        <w:rPr>
          <w:rFonts w:ascii="黑体" w:hAnsi="黑体" w:cs="黑体" w:eastAsia="黑体" w:hint="default"/>
          <w:b/>
          <w:bCs/>
          <w:sz w:val="17"/>
          <w:szCs w:val="17"/>
        </w:rPr>
      </w:pPr>
    </w:p>
    <w:p>
      <w:pPr>
        <w:pStyle w:val="BodyText"/>
        <w:spacing w:line="321" w:lineRule="auto"/>
        <w:ind w:left="153" w:right="104" w:firstLine="510"/>
        <w:jc w:val="left"/>
      </w:pPr>
      <w:r>
        <w:rPr>
          <w:spacing w:val="3"/>
        </w:rPr>
        <w:t>我们审计了后附的荣信电力电子股份有限公司(以下简称“荣信股份公司”)财务报表，</w:t>
      </w:r>
      <w:r>
        <w:rPr>
          <w:spacing w:val="7"/>
        </w:rPr>
        <w:t> </w:t>
      </w:r>
      <w:r>
        <w:rPr>
          <w:spacing w:val="3"/>
        </w:rPr>
        <w:t>包括</w:t>
      </w:r>
      <w:r>
        <w:rPr>
          <w:spacing w:val="-43"/>
        </w:rPr>
        <w:t> </w:t>
      </w:r>
      <w:r>
        <w:rPr>
          <w:spacing w:val="2"/>
        </w:rPr>
        <w:t>2008</w:t>
      </w:r>
      <w:r>
        <w:rPr>
          <w:spacing w:val="-48"/>
        </w:rPr>
        <w:t> </w:t>
      </w:r>
      <w:r>
        <w:rPr/>
        <w:t>年</w:t>
      </w:r>
      <w:r>
        <w:rPr>
          <w:spacing w:val="-44"/>
        </w:rPr>
        <w:t> </w:t>
      </w:r>
      <w:r>
        <w:rPr/>
        <w:t>12</w:t>
      </w:r>
      <w:r>
        <w:rPr>
          <w:spacing w:val="-48"/>
        </w:rPr>
        <w:t> </w:t>
      </w:r>
      <w:r>
        <w:rPr/>
        <w:t>月</w:t>
      </w:r>
      <w:r>
        <w:rPr>
          <w:spacing w:val="-44"/>
        </w:rPr>
        <w:t> </w:t>
      </w:r>
      <w:r>
        <w:rPr/>
        <w:t>31</w:t>
      </w:r>
      <w:r>
        <w:rPr>
          <w:spacing w:val="-49"/>
        </w:rPr>
        <w:t> </w:t>
      </w:r>
      <w:r>
        <w:rPr>
          <w:spacing w:val="6"/>
        </w:rPr>
        <w:t>日合并及母公司的资产负债表，2008</w:t>
      </w:r>
      <w:r>
        <w:rPr>
          <w:spacing w:val="-48"/>
        </w:rPr>
        <w:t> </w:t>
      </w:r>
      <w:r>
        <w:rPr>
          <w:spacing w:val="7"/>
        </w:rPr>
        <w:t>年度的合并及母公司利润表、</w:t>
      </w:r>
      <w:r>
        <w:rPr>
          <w:spacing w:val="-114"/>
        </w:rPr>
        <w:t> </w:t>
      </w:r>
      <w:r>
        <w:rPr>
          <w:spacing w:val="-114"/>
        </w:rPr>
      </w:r>
      <w:r>
        <w:rPr>
          <w:spacing w:val="6"/>
        </w:rPr>
        <w:t>合并及母公司现金流量表、合并及母公司所有者权益变动表以及合并及母公司财务报表附</w:t>
      </w:r>
      <w:r>
        <w:rPr>
          <w:spacing w:val="-89"/>
        </w:rPr>
        <w:t> </w:t>
      </w:r>
      <w:r>
        <w:rPr>
          <w:spacing w:val="-89"/>
        </w:rPr>
      </w:r>
      <w:r>
        <w:rPr>
          <w:spacing w:val="7"/>
        </w:rPr>
        <w:t>注。</w:t>
      </w:r>
      <w:r>
        <w:rPr/>
      </w:r>
    </w:p>
    <w:p>
      <w:pPr>
        <w:pStyle w:val="Heading4"/>
        <w:tabs>
          <w:tab w:pos="1380" w:val="left" w:leader="none"/>
        </w:tabs>
        <w:spacing w:line="240" w:lineRule="auto" w:before="144"/>
        <w:ind w:left="660" w:right="92"/>
        <w:jc w:val="left"/>
        <w:rPr>
          <w:rFonts w:ascii="黑体" w:hAnsi="黑体" w:cs="黑体" w:eastAsia="黑体" w:hint="default"/>
          <w:b w:val="0"/>
          <w:bCs w:val="0"/>
        </w:rPr>
      </w:pPr>
      <w:r>
        <w:rPr>
          <w:rFonts w:ascii="黑体" w:hAnsi="黑体" w:cs="黑体" w:eastAsia="黑体" w:hint="default"/>
          <w:spacing w:val="4"/>
          <w:w w:val="95"/>
        </w:rPr>
        <w:t>一、</w:t>
        <w:tab/>
      </w:r>
      <w:r>
        <w:rPr>
          <w:rFonts w:ascii="黑体" w:hAnsi="黑体" w:cs="黑体" w:eastAsia="黑体" w:hint="default"/>
          <w:spacing w:val="8"/>
        </w:rPr>
        <w:t>管理层对财务报表的责任</w:t>
      </w:r>
      <w:r>
        <w:rPr>
          <w:rFonts w:ascii="黑体" w:hAnsi="黑体" w:cs="黑体" w:eastAsia="黑体" w:hint="default"/>
          <w:b w:val="0"/>
          <w:bCs w:val="0"/>
        </w:rPr>
      </w:r>
    </w:p>
    <w:p>
      <w:pPr>
        <w:spacing w:line="240" w:lineRule="auto" w:before="3"/>
        <w:rPr>
          <w:rFonts w:ascii="黑体" w:hAnsi="黑体" w:cs="黑体" w:eastAsia="黑体" w:hint="default"/>
          <w:b/>
          <w:bCs/>
          <w:sz w:val="17"/>
          <w:szCs w:val="17"/>
        </w:rPr>
      </w:pPr>
    </w:p>
    <w:p>
      <w:pPr>
        <w:pStyle w:val="BodyText"/>
        <w:spacing w:line="321" w:lineRule="auto"/>
        <w:ind w:left="153" w:right="194" w:firstLine="506"/>
        <w:jc w:val="both"/>
      </w:pPr>
      <w:r>
        <w:rPr>
          <w:spacing w:val="13"/>
        </w:rPr>
        <w:t>按照企业会计准则的规定编制财务报表是荣信股份公司管理层的责任。这种责任包 </w:t>
      </w:r>
      <w:r>
        <w:rPr>
          <w:spacing w:val="9"/>
        </w:rPr>
        <w:t>括：(1)设计、实施和维护与财务报表编制相关的内部控制，以使财务报表不存在由于舞</w:t>
      </w:r>
      <w:r>
        <w:rPr>
          <w:spacing w:val="-99"/>
        </w:rPr>
        <w:t> </w:t>
      </w:r>
      <w:r>
        <w:rPr>
          <w:spacing w:val="-99"/>
        </w:rPr>
      </w:r>
      <w:r>
        <w:rPr>
          <w:spacing w:val="7"/>
        </w:rPr>
        <w:t>弊或错误而导致的重大错报；(2)选择和运用恰当的会计政策；(3)作出合理的会计估计。</w:t>
      </w:r>
      <w:r>
        <w:rPr/>
      </w:r>
    </w:p>
    <w:p>
      <w:pPr>
        <w:pStyle w:val="Heading4"/>
        <w:tabs>
          <w:tab w:pos="1380" w:val="left" w:leader="none"/>
        </w:tabs>
        <w:spacing w:line="240" w:lineRule="auto" w:before="144"/>
        <w:ind w:left="660" w:right="92"/>
        <w:jc w:val="left"/>
        <w:rPr>
          <w:rFonts w:ascii="黑体" w:hAnsi="黑体" w:cs="黑体" w:eastAsia="黑体" w:hint="default"/>
          <w:b w:val="0"/>
          <w:bCs w:val="0"/>
        </w:rPr>
      </w:pPr>
      <w:r>
        <w:rPr>
          <w:rFonts w:ascii="黑体" w:hAnsi="黑体" w:cs="黑体" w:eastAsia="黑体" w:hint="default"/>
          <w:spacing w:val="4"/>
          <w:w w:val="95"/>
        </w:rPr>
        <w:t>二、</w:t>
        <w:tab/>
      </w:r>
      <w:r>
        <w:rPr>
          <w:rFonts w:ascii="黑体" w:hAnsi="黑体" w:cs="黑体" w:eastAsia="黑体" w:hint="default"/>
          <w:spacing w:val="8"/>
        </w:rPr>
        <w:t>注册会计师的责任</w:t>
      </w:r>
      <w:r>
        <w:rPr>
          <w:rFonts w:ascii="黑体" w:hAnsi="黑体" w:cs="黑体" w:eastAsia="黑体" w:hint="default"/>
          <w:b w:val="0"/>
          <w:bCs w:val="0"/>
        </w:rPr>
      </w:r>
    </w:p>
    <w:p>
      <w:pPr>
        <w:spacing w:line="240" w:lineRule="auto" w:before="3"/>
        <w:rPr>
          <w:rFonts w:ascii="黑体" w:hAnsi="黑体" w:cs="黑体" w:eastAsia="黑体" w:hint="default"/>
          <w:b/>
          <w:bCs/>
          <w:sz w:val="17"/>
          <w:szCs w:val="17"/>
        </w:rPr>
      </w:pPr>
    </w:p>
    <w:p>
      <w:pPr>
        <w:pStyle w:val="BodyText"/>
        <w:spacing w:line="321" w:lineRule="auto"/>
        <w:ind w:left="153" w:right="229" w:firstLine="506"/>
        <w:jc w:val="both"/>
      </w:pPr>
      <w:r>
        <w:rPr>
          <w:spacing w:val="6"/>
        </w:rPr>
        <w:t>我们的责任是在实施审计工作的基础上对财务报表发表审计意见。我们按照中国注册</w:t>
      </w:r>
      <w:r>
        <w:rPr>
          <w:spacing w:val="7"/>
        </w:rPr>
        <w:t> </w:t>
      </w:r>
      <w:r>
        <w:rPr>
          <w:spacing w:val="6"/>
        </w:rPr>
        <w:t>会计师审计准则的规定执行了审计工作。中国注册会计师审计准则要求我们遵守职业道德</w:t>
      </w:r>
      <w:r>
        <w:rPr>
          <w:spacing w:val="-89"/>
        </w:rPr>
        <w:t> </w:t>
      </w:r>
      <w:r>
        <w:rPr>
          <w:spacing w:val="-89"/>
        </w:rPr>
      </w:r>
      <w:r>
        <w:rPr>
          <w:spacing w:val="7"/>
        </w:rPr>
        <w:t>规范，计划和实施审计工作以对财务报表是否不存在重大错报获取合理保证。</w:t>
      </w:r>
      <w:r>
        <w:rPr/>
      </w:r>
    </w:p>
    <w:p>
      <w:pPr>
        <w:pStyle w:val="BodyText"/>
        <w:spacing w:line="321" w:lineRule="auto" w:before="144"/>
        <w:ind w:left="153" w:right="228" w:firstLine="506"/>
        <w:jc w:val="both"/>
      </w:pPr>
      <w:r>
        <w:rPr>
          <w:spacing w:val="6"/>
        </w:rPr>
        <w:t>审计工作涉及实施审计程序，以获取有关财务报表金额和披露的审计证据。选择的审</w:t>
      </w:r>
      <w:r>
        <w:rPr>
          <w:spacing w:val="7"/>
        </w:rPr>
        <w:t> </w:t>
      </w:r>
      <w:r>
        <w:rPr>
          <w:spacing w:val="6"/>
        </w:rPr>
        <w:t>计程序取决于注册会计师的判断，包括对由于舞弊或错误导致的财务报表重大错报风险的</w:t>
      </w:r>
      <w:r>
        <w:rPr>
          <w:spacing w:val="-90"/>
        </w:rPr>
        <w:t> </w:t>
      </w:r>
      <w:r>
        <w:rPr>
          <w:spacing w:val="-90"/>
        </w:rPr>
      </w:r>
      <w:r>
        <w:rPr>
          <w:spacing w:val="7"/>
        </w:rPr>
        <w:t>评估。在进行风险评估时，我们考虑与财务报表编制相关的内部控制，以设计恰当的审计</w:t>
      </w:r>
      <w:r>
        <w:rPr>
          <w:spacing w:val="8"/>
        </w:rPr>
        <w:t> </w:t>
      </w:r>
      <w:r>
        <w:rPr>
          <w:spacing w:val="7"/>
        </w:rPr>
        <w:t>程序，但目的并非对内部控制的有效性发表意见。审计工作还包括评价管理层选用会计政</w:t>
      </w:r>
      <w:r>
        <w:rPr>
          <w:spacing w:val="8"/>
        </w:rPr>
        <w:t> </w:t>
      </w:r>
      <w:r>
        <w:rPr>
          <w:spacing w:val="7"/>
        </w:rPr>
        <w:t>策的恰当性和作出会计估计的合理性，以及评价财务报表的总体列报。</w:t>
      </w:r>
      <w:r>
        <w:rPr/>
      </w:r>
    </w:p>
    <w:p>
      <w:pPr>
        <w:pStyle w:val="BodyText"/>
        <w:spacing w:line="240" w:lineRule="auto" w:before="144"/>
        <w:ind w:left="660" w:right="92"/>
        <w:jc w:val="left"/>
      </w:pPr>
      <w:r>
        <w:rPr>
          <w:spacing w:val="7"/>
        </w:rPr>
        <w:t>我们相信，我们获取的审计证据是充分、适当的，为发表审计意见提供了基础。</w:t>
      </w:r>
      <w:r>
        <w:rPr/>
      </w:r>
    </w:p>
    <w:p>
      <w:pPr>
        <w:spacing w:line="240" w:lineRule="auto" w:before="4"/>
        <w:rPr>
          <w:rFonts w:ascii="宋体" w:hAnsi="宋体" w:cs="宋体" w:eastAsia="宋体" w:hint="default"/>
          <w:sz w:val="20"/>
          <w:szCs w:val="20"/>
        </w:rPr>
      </w:pPr>
    </w:p>
    <w:p>
      <w:pPr>
        <w:pStyle w:val="Heading4"/>
        <w:tabs>
          <w:tab w:pos="1380" w:val="left" w:leader="none"/>
        </w:tabs>
        <w:spacing w:line="240" w:lineRule="auto" w:before="0"/>
        <w:ind w:left="660" w:right="92"/>
        <w:jc w:val="left"/>
        <w:rPr>
          <w:rFonts w:ascii="黑体" w:hAnsi="黑体" w:cs="黑体" w:eastAsia="黑体" w:hint="default"/>
          <w:b w:val="0"/>
          <w:bCs w:val="0"/>
        </w:rPr>
      </w:pPr>
      <w:r>
        <w:rPr>
          <w:rFonts w:ascii="黑体" w:hAnsi="黑体" w:cs="黑体" w:eastAsia="黑体" w:hint="default"/>
          <w:spacing w:val="4"/>
          <w:w w:val="95"/>
        </w:rPr>
        <w:t>三、</w:t>
        <w:tab/>
      </w:r>
      <w:r>
        <w:rPr>
          <w:rFonts w:ascii="黑体" w:hAnsi="黑体" w:cs="黑体" w:eastAsia="黑体" w:hint="default"/>
          <w:spacing w:val="8"/>
        </w:rPr>
        <w:t>审计意见</w:t>
      </w:r>
      <w:r>
        <w:rPr>
          <w:rFonts w:ascii="黑体" w:hAnsi="黑体" w:cs="黑体" w:eastAsia="黑体" w:hint="default"/>
          <w:b w:val="0"/>
          <w:bCs w:val="0"/>
        </w:rPr>
      </w:r>
    </w:p>
    <w:p>
      <w:pPr>
        <w:pStyle w:val="BodyText"/>
        <w:spacing w:line="321" w:lineRule="auto" w:before="211"/>
        <w:ind w:left="153" w:right="226" w:firstLine="495"/>
        <w:jc w:val="both"/>
      </w:pPr>
      <w:r>
        <w:rPr>
          <w:spacing w:val="8"/>
        </w:rPr>
        <w:t>我们认为,</w:t>
      </w:r>
      <w:r>
        <w:rPr>
          <w:spacing w:val="36"/>
        </w:rPr>
        <w:t> </w:t>
      </w:r>
      <w:r>
        <w:rPr>
          <w:spacing w:val="9"/>
        </w:rPr>
        <w:t>荣信股份公司财务报表已按照企业会计准则的规定编制,在所有重大方面</w:t>
      </w:r>
      <w:r>
        <w:rPr>
          <w:spacing w:val="10"/>
        </w:rPr>
        <w:t> </w:t>
      </w:r>
      <w:r>
        <w:rPr>
          <w:spacing w:val="7"/>
        </w:rPr>
        <w:t>公允反映了荣信股份公司</w:t>
      </w:r>
      <w:r>
        <w:rPr>
          <w:spacing w:val="-43"/>
        </w:rPr>
        <w:t> </w:t>
      </w:r>
      <w:r>
        <w:rPr>
          <w:spacing w:val="2"/>
        </w:rPr>
        <w:t>2008</w:t>
      </w:r>
      <w:r>
        <w:rPr>
          <w:spacing w:val="-48"/>
        </w:rPr>
        <w:t> </w:t>
      </w:r>
      <w:r>
        <w:rPr/>
        <w:t>年</w:t>
      </w:r>
      <w:r>
        <w:rPr>
          <w:spacing w:val="-43"/>
        </w:rPr>
        <w:t> </w:t>
      </w:r>
      <w:r>
        <w:rPr/>
        <w:t>12</w:t>
      </w:r>
      <w:r>
        <w:rPr>
          <w:spacing w:val="-48"/>
        </w:rPr>
        <w:t> </w:t>
      </w:r>
      <w:r>
        <w:rPr/>
        <w:t>月</w:t>
      </w:r>
      <w:r>
        <w:rPr>
          <w:spacing w:val="-42"/>
        </w:rPr>
        <w:t> </w:t>
      </w:r>
      <w:r>
        <w:rPr/>
        <w:t>31</w:t>
      </w:r>
      <w:r>
        <w:rPr>
          <w:spacing w:val="-47"/>
        </w:rPr>
        <w:t> </w:t>
      </w:r>
      <w:r>
        <w:rPr>
          <w:spacing w:val="6"/>
        </w:rPr>
        <w:t>日的合并及母公司财务状况、2008</w:t>
      </w:r>
      <w:r>
        <w:rPr>
          <w:spacing w:val="-47"/>
        </w:rPr>
        <w:t> </w:t>
      </w:r>
      <w:r>
        <w:rPr>
          <w:spacing w:val="7"/>
        </w:rPr>
        <w:t>年度合并及</w:t>
      </w:r>
      <w:r>
        <w:rPr>
          <w:spacing w:val="8"/>
        </w:rPr>
        <w:t> </w:t>
      </w:r>
      <w:r>
        <w:rPr>
          <w:spacing w:val="7"/>
        </w:rPr>
        <w:t>母公司的经营成果和现金流量。</w:t>
      </w:r>
      <w:r>
        <w:rPr/>
      </w:r>
    </w:p>
    <w:p>
      <w:pPr>
        <w:pStyle w:val="BodyText"/>
        <w:tabs>
          <w:tab w:pos="1593" w:val="left" w:leader="none"/>
          <w:tab w:pos="5433" w:val="left" w:leader="none"/>
          <w:tab w:pos="5913" w:val="left" w:leader="none"/>
          <w:tab w:pos="8553" w:val="left" w:leader="none"/>
        </w:tabs>
        <w:spacing w:line="408" w:lineRule="auto" w:before="144"/>
        <w:ind w:left="873" w:right="748" w:hanging="240"/>
        <w:jc w:val="left"/>
      </w:pPr>
      <w:r>
        <w:rPr/>
        <w:t>开元信德会计师事务所</w:t>
        <w:tab/>
        <w:t>中国注册会计师：朱伟峰</w:t>
        <w:tab/>
        <w:t>金顺兴 中国</w:t>
        <w:tab/>
        <w:t>北京</w:t>
        <w:tab/>
        <w:tab/>
        <w:t>二零零九年二月二十四日</w:t>
      </w:r>
    </w:p>
    <w:p>
      <w:pPr>
        <w:spacing w:after="0" w:line="408" w:lineRule="auto"/>
        <w:jc w:val="left"/>
        <w:sectPr>
          <w:pgSz w:w="11910" w:h="16840"/>
          <w:pgMar w:header="747" w:footer="669" w:top="980" w:bottom="860" w:left="980" w:right="900"/>
        </w:sectPr>
      </w:pPr>
    </w:p>
    <w:p>
      <w:pPr>
        <w:spacing w:line="240" w:lineRule="auto" w:before="12"/>
        <w:rPr>
          <w:rFonts w:ascii="宋体" w:hAnsi="宋体" w:cs="宋体" w:eastAsia="宋体" w:hint="default"/>
          <w:sz w:val="29"/>
          <w:szCs w:val="29"/>
        </w:rPr>
      </w:pPr>
    </w:p>
    <w:p>
      <w:pPr>
        <w:pStyle w:val="Heading2"/>
        <w:spacing w:line="240" w:lineRule="auto" w:before="13"/>
        <w:ind w:right="156"/>
        <w:jc w:val="center"/>
        <w:rPr>
          <w:b w:val="0"/>
          <w:bCs w:val="0"/>
        </w:rPr>
      </w:pPr>
      <w:r>
        <w:rPr/>
        <w:t>资产负债表</w:t>
      </w:r>
      <w:r>
        <w:rPr>
          <w:b w:val="0"/>
          <w:bCs w:val="0"/>
        </w:rPr>
      </w:r>
    </w:p>
    <w:p>
      <w:pPr>
        <w:spacing w:line="240" w:lineRule="auto" w:before="0"/>
        <w:rPr>
          <w:rFonts w:ascii="宋体" w:hAnsi="宋体" w:cs="宋体" w:eastAsia="宋体" w:hint="default"/>
          <w:b/>
          <w:bCs/>
          <w:sz w:val="24"/>
          <w:szCs w:val="24"/>
        </w:rPr>
      </w:pPr>
    </w:p>
    <w:p>
      <w:pPr>
        <w:tabs>
          <w:tab w:pos="4847" w:val="left" w:leader="none"/>
          <w:tab w:pos="8132" w:val="left" w:leader="none"/>
        </w:tabs>
        <w:spacing w:before="0"/>
        <w:ind w:left="0" w:right="155" w:firstLine="0"/>
        <w:jc w:val="center"/>
        <w:rPr>
          <w:rFonts w:ascii="宋体" w:hAnsi="宋体" w:cs="宋体" w:eastAsia="宋体" w:hint="default"/>
          <w:sz w:val="18"/>
          <w:szCs w:val="18"/>
        </w:rPr>
      </w:pPr>
      <w:r>
        <w:rPr>
          <w:rFonts w:ascii="宋体" w:hAnsi="宋体" w:cs="宋体" w:eastAsia="宋体" w:hint="default"/>
          <w:sz w:val="18"/>
          <w:szCs w:val="18"/>
        </w:rPr>
        <w:t>编制单位</w:t>
      </w:r>
      <w:r>
        <w:rPr>
          <w:rFonts w:ascii="宋体" w:hAnsi="宋体" w:cs="宋体" w:eastAsia="宋体" w:hint="default"/>
          <w:spacing w:val="-13"/>
          <w:sz w:val="18"/>
          <w:szCs w:val="18"/>
        </w:rPr>
        <w:t>：</w:t>
      </w:r>
      <w:r>
        <w:rPr>
          <w:rFonts w:ascii="宋体" w:hAnsi="宋体" w:cs="宋体" w:eastAsia="宋体" w:hint="default"/>
          <w:sz w:val="18"/>
          <w:szCs w:val="18"/>
        </w:rPr>
        <w:t>荣信电力电子股份有限公司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103"/>
          <w:sz w:val="18"/>
          <w:szCs w:val="18"/>
        </w:rPr>
        <w:t>：</w:t>
      </w:r>
      <w:r>
        <w:rPr>
          <w:rFonts w:ascii="宋体" w:hAnsi="宋体" w:cs="宋体" w:eastAsia="宋体" w:hint="default"/>
          <w:sz w:val="18"/>
          <w:szCs w:val="18"/>
        </w:rPr>
        <w:t>（人民币</w:t>
      </w:r>
      <w:r>
        <w:rPr>
          <w:rFonts w:ascii="宋体" w:hAnsi="宋体" w:cs="宋体" w:eastAsia="宋体" w:hint="default"/>
          <w:spacing w:val="-13"/>
          <w:sz w:val="18"/>
          <w:szCs w:val="18"/>
        </w:rPr>
        <w:t>）</w:t>
      </w:r>
      <w:r>
        <w:rPr>
          <w:rFonts w:ascii="宋体" w:hAnsi="宋体" w:cs="宋体" w:eastAsia="宋体" w:hint="default"/>
          <w:sz w:val="18"/>
          <w:szCs w:val="18"/>
        </w:rPr>
        <w:t>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160"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9" w:space="0" w:color="DCDCDC"/>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157,355,474.07</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135,624,417.96</w:t>
            </w:r>
          </w:p>
        </w:tc>
        <w:tc>
          <w:tcPr>
            <w:tcW w:w="1819"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293,940,873.56</w:t>
            </w:r>
          </w:p>
        </w:tc>
        <w:tc>
          <w:tcPr>
            <w:tcW w:w="1820"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288,170,026.08</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25,134,500.30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21,634,500.30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24,801,922.90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24,801,922.90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335,671,012.90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330,625,338.90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202,326,355.98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202,263,175.98</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77,384,775.68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73,187,373.63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45,071,991.00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45,703,141.36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12,868,395.33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10,921,331.87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5,196,938.47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4,306,107.06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151,346,620.13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150,267,976.43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79,619,962.17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79,619,962.17</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1,348,223.82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1,030,061.92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1,956,901.55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1,679,380.53</w:t>
            </w: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32" w:type="dxa"/>
            <w:tcBorders>
              <w:top w:val="single" w:sz="4" w:space="0" w:color="000000"/>
              <w:left w:val="single" w:sz="9"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761,109,002.23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723,291,001.01</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652,914,945.63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646,543,716.08</w:t>
            </w:r>
          </w:p>
        </w:tc>
      </w:tr>
      <w:tr>
        <w:trPr>
          <w:trHeight w:val="30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32" w:type="dxa"/>
            <w:tcBorders>
              <w:top w:val="single" w:sz="6" w:space="0" w:color="DCDCDC"/>
              <w:left w:val="single" w:sz="9"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31,025,337.76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31,025,337.76</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pacing w:val="-1"/>
                <w:sz w:val="18"/>
              </w:rPr>
              <w:t>32,500,000.00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10,900,000.00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58,837,835.46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52,554,756.70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52,574,932.13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46,123,646.78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183,416,635.22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183,416,635.22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11,960,387.51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11,960,387.51</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17,429,519.08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10,090,294.08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10,646,073.56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10,370,073.56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4,733,906.33</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130,314.00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2,869,064.40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2,775,588.34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1,342,510.65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1,336,708.15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299,442,612.25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312,362,612.10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77,523,903.85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80,690,816.00</w:t>
            </w: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37" w:type="dxa"/>
            <w:tcBorders>
              <w:top w:val="single" w:sz="4" w:space="0" w:color="000000"/>
              <w:left w:val="single" w:sz="9" w:space="0" w:color="DCDCDC"/>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1,060,551,614.48</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1,035,653,613.11</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730,438,849.48</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727,234,532.08</w:t>
            </w:r>
          </w:p>
        </w:tc>
      </w:tr>
      <w:tr>
        <w:trPr>
          <w:trHeight w:val="31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37" w:type="dxa"/>
            <w:tcBorders>
              <w:top w:val="single" w:sz="10" w:space="0" w:color="DCDCDC"/>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819" w:type="dxa"/>
            <w:tcBorders>
              <w:top w:val="single" w:sz="10" w:space="0" w:color="DCDCDC"/>
              <w:left w:val="single" w:sz="4" w:space="0" w:color="000000"/>
              <w:bottom w:val="single" w:sz="4" w:space="0" w:color="000000"/>
              <w:right w:val="single" w:sz="4" w:space="0" w:color="000000"/>
            </w:tcBorders>
          </w:tcPr>
          <w:p>
            <w:pPr/>
          </w:p>
        </w:tc>
        <w:tc>
          <w:tcPr>
            <w:tcW w:w="1820" w:type="dxa"/>
            <w:tcBorders>
              <w:top w:val="single" w:sz="10"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130,950,450.00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127,350,450.00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89,372,317.90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89,372,317.90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96,400,110.31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100,290,552.95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52,110,152.41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52,766,732.41</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96,471,449.38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91,729,014.00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52,466,912.72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52,466,912.72</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627,600.21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278,886.28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698,442.60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342,406.44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-22,418,669.59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-24,490,948.86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-8,196,365.62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-8,238,418.09</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9,405.00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2,762.52</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37" w:type="dxa"/>
            <w:tcBorders>
              <w:top w:val="single" w:sz="4" w:space="0" w:color="000000"/>
              <w:left w:val="single" w:sz="9" w:space="0" w:color="DCDCDC"/>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372,040,345.31</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365,157,954.37</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186,454,222.53</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186,709,951.38</w:t>
            </w: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37" w:type="dxa"/>
            <w:tcBorders>
              <w:top w:val="single" w:sz="6" w:space="0" w:color="DCDCDC"/>
              <w:left w:val="single" w:sz="9" w:space="0" w:color="DCDCDC"/>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c>
          <w:tcPr>
            <w:tcW w:w="1819" w:type="dxa"/>
            <w:tcBorders>
              <w:top w:val="single" w:sz="6" w:space="0" w:color="DCDCDC"/>
              <w:left w:val="single" w:sz="4" w:space="0" w:color="000000"/>
              <w:bottom w:val="single" w:sz="4" w:space="0" w:color="000000"/>
              <w:right w:val="single" w:sz="4" w:space="0" w:color="000000"/>
            </w:tcBorders>
          </w:tcPr>
          <w:p>
            <w:pPr/>
          </w:p>
        </w:tc>
        <w:tc>
          <w:tcPr>
            <w:tcW w:w="1820" w:type="dxa"/>
            <w:tcBorders>
              <w:top w:val="single" w:sz="6" w:space="0" w:color="DCDCDC"/>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31,099,445.57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31,099,445.57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25,900,000.00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31,099,445.57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31,099,445.57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25,900,000.00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25,900,000.00</w:t>
            </w: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37" w:type="dxa"/>
            <w:tcBorders>
              <w:top w:val="single" w:sz="4" w:space="0" w:color="000000"/>
              <w:left w:val="single" w:sz="13" w:space="0" w:color="DCDCDC"/>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403,139,790.88</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396,257,399.94</w:t>
            </w:r>
          </w:p>
        </w:tc>
        <w:tc>
          <w:tcPr>
            <w:tcW w:w="1819"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212,354,222.53</w:t>
            </w:r>
          </w:p>
        </w:tc>
        <w:tc>
          <w:tcPr>
            <w:tcW w:w="1820" w:type="dxa"/>
            <w:tcBorders>
              <w:top w:val="single" w:sz="4" w:space="0" w:color="000000"/>
              <w:left w:val="single" w:sz="4" w:space="0" w:color="000000"/>
              <w:bottom w:val="single" w:sz="6"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212,609,951.38</w:t>
            </w:r>
          </w:p>
        </w:tc>
      </w:tr>
      <w:tr>
        <w:trPr>
          <w:trHeight w:val="30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91"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37" w:type="dxa"/>
            <w:tcBorders>
              <w:top w:val="single" w:sz="6" w:space="0" w:color="DCDCDC"/>
              <w:left w:val="single" w:sz="13" w:space="0" w:color="DCDCDC"/>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128,000,000.00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128,000,000.00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64,000,000.00</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pacing w:val="-1"/>
                <w:sz w:val="18"/>
              </w:rPr>
              <w:t>64,000,000.00</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234,226,390.14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234,226,390.14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272,626,390.14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272,626,390.14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36,091,777.26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36,091,777.26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23,294,614.02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23,294,614.02</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37"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246,789,256.14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241,078,045.77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158,163,622.79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154,703,576.54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645,107,423.54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639,396,213.17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518,084,626.95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514,624,580.70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12,304,400.06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657,411,823.60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639,396,213.17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518,084,626.95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514,624,580.70</w:t>
            </w: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1,060,551,614.48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1,035,653,613.11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730,438,849.48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727,234,532.08</w:t>
            </w:r>
          </w:p>
        </w:tc>
      </w:tr>
    </w:tbl>
    <w:p>
      <w:pPr>
        <w:tabs>
          <w:tab w:pos="2583" w:val="left" w:leader="none"/>
          <w:tab w:pos="6633" w:val="left" w:leader="none"/>
        </w:tabs>
        <w:spacing w:before="10"/>
        <w:ind w:left="154" w:right="92"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主管会计负责人：  龙浩</w:t>
        <w:tab/>
        <w:t>会计机构负责人：吴彩霞</w:t>
      </w:r>
    </w:p>
    <w:p>
      <w:pPr>
        <w:spacing w:line="240" w:lineRule="auto" w:before="8"/>
        <w:rPr>
          <w:rFonts w:ascii="宋体" w:hAnsi="宋体" w:cs="宋体" w:eastAsia="宋体" w:hint="default"/>
          <w:sz w:val="21"/>
          <w:szCs w:val="21"/>
        </w:rPr>
      </w:pPr>
    </w:p>
    <w:p>
      <w:pPr>
        <w:pStyle w:val="Heading2"/>
        <w:spacing w:line="240" w:lineRule="auto"/>
        <w:ind w:right="157"/>
        <w:jc w:val="center"/>
        <w:rPr>
          <w:b w:val="0"/>
          <w:bCs w:val="0"/>
        </w:rPr>
      </w:pPr>
      <w:r>
        <w:rPr/>
        <w:t>利润表</w:t>
      </w:r>
      <w:r>
        <w:rPr>
          <w:b w:val="0"/>
          <w:bCs w:val="0"/>
        </w:rPr>
      </w:r>
    </w:p>
    <w:p>
      <w:pPr>
        <w:spacing w:line="240" w:lineRule="auto" w:before="12"/>
        <w:rPr>
          <w:rFonts w:ascii="宋体" w:hAnsi="宋体" w:cs="宋体" w:eastAsia="宋体" w:hint="default"/>
          <w:b/>
          <w:bCs/>
          <w:sz w:val="23"/>
          <w:szCs w:val="23"/>
        </w:rPr>
      </w:pPr>
    </w:p>
    <w:p>
      <w:pPr>
        <w:tabs>
          <w:tab w:pos="4949" w:val="left" w:leader="none"/>
          <w:tab w:pos="8024" w:val="left" w:leader="none"/>
        </w:tabs>
        <w:spacing w:before="0"/>
        <w:ind w:left="0" w:right="239" w:firstLine="0"/>
        <w:jc w:val="center"/>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376"/>
        <w:gridCol w:w="1456"/>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2"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3"/>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1"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gridSpan w:val="2"/>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663" w:right="0"/>
              <w:jc w:val="left"/>
              <w:rPr>
                <w:rFonts w:ascii="Times New Roman" w:hAnsi="Times New Roman" w:cs="Times New Roman" w:eastAsia="Times New Roman" w:hint="default"/>
                <w:sz w:val="18"/>
                <w:szCs w:val="18"/>
              </w:rPr>
            </w:pPr>
            <w:r>
              <w:rPr>
                <w:rFonts w:ascii="Times New Roman"/>
                <w:sz w:val="18"/>
              </w:rPr>
              <w:t>582,637,476.67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576,372,782.07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367,156,976.76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367,156,976.76</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668" w:right="0"/>
              <w:jc w:val="left"/>
              <w:rPr>
                <w:rFonts w:ascii="Times New Roman" w:hAnsi="Times New Roman" w:cs="Times New Roman" w:eastAsia="Times New Roman" w:hint="default"/>
                <w:sz w:val="18"/>
                <w:szCs w:val="18"/>
              </w:rPr>
            </w:pPr>
            <w:r>
              <w:rPr>
                <w:rFonts w:ascii="Times New Roman"/>
                <w:sz w:val="18"/>
              </w:rPr>
              <w:t>582,637,476.67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576,372,782.07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367,156,976.76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367,156,976.76</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668" w:right="0"/>
              <w:jc w:val="left"/>
              <w:rPr>
                <w:rFonts w:ascii="Times New Roman" w:hAnsi="Times New Roman" w:cs="Times New Roman" w:eastAsia="Times New Roman" w:hint="default"/>
                <w:sz w:val="18"/>
                <w:szCs w:val="18"/>
              </w:rPr>
            </w:pPr>
            <w:r>
              <w:rPr>
                <w:rFonts w:ascii="Times New Roman"/>
                <w:sz w:val="18"/>
              </w:rPr>
              <w:t>487,956,339.74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479,945,450.75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316,044,867.76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309,165,536.98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668" w:right="0"/>
              <w:jc w:val="left"/>
              <w:rPr>
                <w:rFonts w:ascii="Times New Roman" w:hAnsi="Times New Roman" w:cs="Times New Roman" w:eastAsia="Times New Roman" w:hint="default"/>
                <w:sz w:val="18"/>
                <w:szCs w:val="18"/>
              </w:rPr>
            </w:pPr>
            <w:r>
              <w:rPr>
                <w:rFonts w:ascii="Times New Roman"/>
                <w:sz w:val="18"/>
              </w:rPr>
              <w:t>294,192,663.99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339,745,035.36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177,622,451.27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208,342,451.27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551"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Times New Roman"/>
                <w:sz w:val="18"/>
              </w:rPr>
              <w:t>5,280,131.79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4,249,854.90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3,215,251.49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2,686,188.62</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757" w:right="0"/>
              <w:jc w:val="left"/>
              <w:rPr>
                <w:rFonts w:ascii="Times New Roman" w:hAnsi="Times New Roman" w:cs="Times New Roman" w:eastAsia="Times New Roman" w:hint="default"/>
                <w:sz w:val="18"/>
                <w:szCs w:val="18"/>
              </w:rPr>
            </w:pPr>
            <w:r>
              <w:rPr>
                <w:rFonts w:ascii="Times New Roman"/>
                <w:sz w:val="18"/>
              </w:rPr>
              <w:t>73,889,156.64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52,621,421.84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46,829,436.01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35,788,775.63</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663" w:right="0"/>
              <w:jc w:val="left"/>
              <w:rPr>
                <w:rFonts w:ascii="Times New Roman" w:hAnsi="Times New Roman" w:cs="Times New Roman" w:eastAsia="Times New Roman" w:hint="default"/>
                <w:sz w:val="18"/>
                <w:szCs w:val="18"/>
              </w:rPr>
            </w:pPr>
            <w:r>
              <w:rPr>
                <w:rFonts w:ascii="Times New Roman"/>
                <w:sz w:val="18"/>
              </w:rPr>
              <w:t>101,779,410.10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70,106,841.48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82,468,258.57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56,431,623.31</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921" w:right="0"/>
              <w:jc w:val="left"/>
              <w:rPr>
                <w:rFonts w:ascii="Times New Roman" w:hAnsi="Times New Roman" w:cs="Times New Roman" w:eastAsia="Times New Roman" w:hint="default"/>
                <w:sz w:val="18"/>
                <w:szCs w:val="18"/>
              </w:rPr>
            </w:pPr>
            <w:r>
              <w:rPr>
                <w:rFonts w:ascii="Times New Roman"/>
                <w:sz w:val="18"/>
              </w:rPr>
              <w:t>-233,376.25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63,361.96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-714,269.62</w:t>
            </w:r>
            <w:r>
              <w:rPr>
                <w:rFonts w:ascii="Times New Roman"/>
                <w:sz w:val="18"/>
              </w:rPr>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w w:val="95"/>
                <w:sz w:val="18"/>
              </w:rPr>
              <w:t>-746,981.40</w:t>
            </w:r>
            <w:r>
              <w:rPr>
                <w:rFonts w:ascii="Times New Roman"/>
                <w:sz w:val="18"/>
              </w:rPr>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752" w:right="0"/>
              <w:jc w:val="left"/>
              <w:rPr>
                <w:rFonts w:ascii="Times New Roman" w:hAnsi="Times New Roman" w:cs="Times New Roman" w:eastAsia="Times New Roman" w:hint="default"/>
                <w:sz w:val="18"/>
                <w:szCs w:val="18"/>
              </w:rPr>
            </w:pPr>
            <w:r>
              <w:rPr>
                <w:rFonts w:ascii="Times New Roman"/>
                <w:sz w:val="18"/>
              </w:rPr>
              <w:t>13,048,353.47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13,158,935.21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6,623,740.04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6,663,479.55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0" w:firstLine="18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32" w:type="dxa"/>
            <w:gridSpan w:val="2"/>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38" w:firstLine="54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pacing w:val="-29"/>
                <w:sz w:val="18"/>
                <w:szCs w:val="18"/>
              </w:rPr>
              <w:t> </w:t>
            </w:r>
            <w:r>
              <w:rPr>
                <w:rFonts w:ascii="宋体" w:hAnsi="宋体" w:cs="宋体" w:eastAsia="宋体" w:hint="default"/>
                <w:sz w:val="18"/>
                <w:szCs w:val="18"/>
              </w:rPr>
              <w:t>填列）</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r>
              <w:rPr>
                <w:rFonts w:ascii="宋体" w:hAnsi="宋体" w:cs="宋体" w:eastAsia="宋体" w:hint="default"/>
                <w:sz w:val="18"/>
                <w:szCs w:val="18"/>
              </w:rPr>
              <w:t> 营企业的投资收益</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9" w:firstLine="36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z w:val="18"/>
                <w:szCs w:val="18"/>
              </w:rPr>
              <w:t> 列）</w:t>
            </w:r>
          </w:p>
        </w:tc>
        <w:tc>
          <w:tcPr>
            <w:tcW w:w="1832" w:type="dxa"/>
            <w:gridSpan w:val="2"/>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1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94,681,136.93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96,427,331.32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51,112,109.00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57,991,439.78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752" w:right="0"/>
              <w:jc w:val="left"/>
              <w:rPr>
                <w:rFonts w:ascii="Times New Roman" w:hAnsi="Times New Roman" w:cs="Times New Roman" w:eastAsia="Times New Roman" w:hint="default"/>
                <w:sz w:val="18"/>
                <w:szCs w:val="18"/>
              </w:rPr>
            </w:pPr>
            <w:r>
              <w:rPr>
                <w:rFonts w:ascii="Times New Roman"/>
                <w:sz w:val="18"/>
              </w:rPr>
              <w:t>46,363,322.75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40,751,825.55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35,260,768.62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27,631,009.17</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32" w:type="dxa"/>
            <w:gridSpan w:val="2"/>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left="981" w:right="0"/>
              <w:jc w:val="left"/>
              <w:rPr>
                <w:rFonts w:ascii="Times New Roman" w:hAnsi="Times New Roman" w:cs="Times New Roman" w:eastAsia="Times New Roman" w:hint="default"/>
                <w:sz w:val="18"/>
                <w:szCs w:val="18"/>
              </w:rPr>
            </w:pPr>
            <w:r>
              <w:rPr>
                <w:rFonts w:ascii="Times New Roman"/>
                <w:sz w:val="18"/>
              </w:rPr>
              <w:t>171,483.15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103,842.50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123,371.98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13,296.81</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32"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left="1066" w:right="0"/>
              <w:jc w:val="left"/>
              <w:rPr>
                <w:rFonts w:ascii="Times New Roman" w:hAnsi="Times New Roman" w:cs="Times New Roman" w:eastAsia="Times New Roman" w:hint="default"/>
                <w:sz w:val="18"/>
                <w:szCs w:val="18"/>
              </w:rPr>
            </w:pPr>
            <w:r>
              <w:rPr>
                <w:rFonts w:ascii="Times New Roman"/>
                <w:sz w:val="18"/>
              </w:rPr>
              <w:t>64,453.65</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2"/>
                <w:sz w:val="18"/>
              </w:rPr>
              <w:t>118,194.11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10,218.94</w:t>
            </w:r>
          </w:p>
        </w:tc>
      </w:tr>
      <w:tr>
        <w:trPr>
          <w:trHeight w:val="29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p>
        </w:tc>
        <w:tc>
          <w:tcPr>
            <w:tcW w:w="376"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15"/>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304" w:right="0"/>
              <w:jc w:val="left"/>
              <w:rPr>
                <w:rFonts w:ascii="Times New Roman" w:hAnsi="Times New Roman" w:cs="Times New Roman" w:eastAsia="Times New Roman" w:hint="default"/>
                <w:sz w:val="18"/>
                <w:szCs w:val="18"/>
              </w:rPr>
            </w:pPr>
            <w:r>
              <w:rPr>
                <w:rFonts w:ascii="Times New Roman"/>
                <w:sz w:val="18"/>
              </w:rPr>
              <w:t>140,872,976.53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137,075,314.37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86,249,505.64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18"/>
                <w:szCs w:val="18"/>
              </w:rPr>
            </w:pPr>
            <w:r>
              <w:rPr>
                <w:rFonts w:ascii="Times New Roman"/>
                <w:spacing w:val="-1"/>
                <w:sz w:val="18"/>
              </w:rPr>
              <w:t>85,609,152.14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520"/>
        <w:gridCol w:w="1837"/>
        <w:gridCol w:w="1820"/>
        <w:gridCol w:w="1819"/>
        <w:gridCol w:w="1820"/>
      </w:tblGrid>
      <w:tr>
        <w:trPr>
          <w:trHeight w:val="283"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837"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9,589,842.33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9,103,681.90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2,927,752.25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2,925,713.70</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4" w:lineRule="exact" w:before="32"/>
              <w:ind w:left="11" w:right="5"/>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列）</w:t>
            </w:r>
          </w:p>
        </w:tc>
        <w:tc>
          <w:tcPr>
            <w:tcW w:w="183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131,283,134.20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127,971,632.47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83,321,753.39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82,683,438.44</w:t>
            </w:r>
          </w:p>
        </w:tc>
      </w:tr>
      <w:tr>
        <w:trPr>
          <w:trHeight w:val="557"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58"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归属于母公司所有者的净 利润</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130,222,796.59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127,971,632.47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83,321,753.39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82,683,438.44</w:t>
            </w:r>
          </w:p>
        </w:tc>
      </w:tr>
      <w:tr>
        <w:trPr>
          <w:trHeight w:val="329"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37" w:type="dxa"/>
            <w:tcBorders>
              <w:top w:val="single" w:sz="4" w:space="0" w:color="000000"/>
              <w:left w:val="single" w:sz="9" w:space="0" w:color="DCDCDC"/>
              <w:bottom w:val="single" w:sz="9" w:space="0" w:color="DCDCDC"/>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1,060,337.61</w:t>
            </w:r>
          </w:p>
        </w:tc>
        <w:tc>
          <w:tcPr>
            <w:tcW w:w="1820" w:type="dxa"/>
            <w:tcBorders>
              <w:top w:val="single" w:sz="4" w:space="0" w:color="000000"/>
              <w:left w:val="single" w:sz="4" w:space="0" w:color="000000"/>
              <w:bottom w:val="single" w:sz="9" w:space="0" w:color="DCDCDC"/>
              <w:right w:val="single" w:sz="4" w:space="0" w:color="000000"/>
            </w:tcBorders>
          </w:tcPr>
          <w:p>
            <w:pPr/>
          </w:p>
        </w:tc>
        <w:tc>
          <w:tcPr>
            <w:tcW w:w="1819" w:type="dxa"/>
            <w:tcBorders>
              <w:top w:val="single" w:sz="4" w:space="0" w:color="000000"/>
              <w:left w:val="single" w:sz="4" w:space="0" w:color="000000"/>
              <w:bottom w:val="single" w:sz="9" w:space="0" w:color="DCDCDC"/>
              <w:right w:val="single" w:sz="4" w:space="0" w:color="000000"/>
            </w:tcBorders>
          </w:tcPr>
          <w:p>
            <w:pPr/>
          </w:p>
        </w:tc>
        <w:tc>
          <w:tcPr>
            <w:tcW w:w="1820" w:type="dxa"/>
            <w:tcBorders>
              <w:top w:val="single" w:sz="4" w:space="0" w:color="000000"/>
              <w:left w:val="single" w:sz="4" w:space="0" w:color="000000"/>
              <w:bottom w:val="single" w:sz="9" w:space="0" w:color="DCDCDC"/>
              <w:right w:val="single" w:sz="4" w:space="0" w:color="000000"/>
            </w:tcBorders>
          </w:tcPr>
          <w:p>
            <w:pPr/>
          </w:p>
        </w:tc>
      </w:tr>
      <w:tr>
        <w:trPr>
          <w:trHeight w:val="311"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3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518"/>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837" w:type="dxa"/>
            <w:tcBorders>
              <w:top w:val="single" w:sz="6" w:space="0" w:color="DCDCDC"/>
              <w:left w:val="single" w:sz="9" w:space="0" w:color="DCDCDC"/>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1.02</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z w:val="18"/>
              </w:rPr>
              <w:t>1.00</w:t>
            </w:r>
          </w:p>
        </w:tc>
        <w:tc>
          <w:tcPr>
            <w:tcW w:w="1819"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0.69</w:t>
            </w:r>
          </w:p>
        </w:tc>
        <w:tc>
          <w:tcPr>
            <w:tcW w:w="1820"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0.69</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518"/>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837"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1.00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0.69</w:t>
            </w:r>
          </w:p>
        </w:tc>
      </w:tr>
    </w:tbl>
    <w:p>
      <w:pPr>
        <w:tabs>
          <w:tab w:pos="2583" w:val="left" w:leader="none"/>
          <w:tab w:pos="6543" w:val="left" w:leader="none"/>
        </w:tabs>
        <w:spacing w:before="10"/>
        <w:ind w:left="154" w:right="92"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主管会计负责人：  龙浩</w:t>
        <w:tab/>
        <w:t>会计机构负责人：吴彩霞</w:t>
      </w:r>
    </w:p>
    <w:p>
      <w:pPr>
        <w:spacing w:line="240" w:lineRule="auto" w:before="8"/>
        <w:rPr>
          <w:rFonts w:ascii="宋体" w:hAnsi="宋体" w:cs="宋体" w:eastAsia="宋体" w:hint="default"/>
          <w:sz w:val="21"/>
          <w:szCs w:val="21"/>
        </w:rPr>
      </w:pPr>
    </w:p>
    <w:p>
      <w:pPr>
        <w:pStyle w:val="Heading2"/>
        <w:spacing w:line="240" w:lineRule="auto"/>
        <w:ind w:right="156"/>
        <w:jc w:val="center"/>
        <w:rPr>
          <w:b w:val="0"/>
          <w:bCs w:val="0"/>
        </w:rPr>
      </w:pPr>
      <w:r>
        <w:rPr/>
        <w:t>现金流量表</w:t>
      </w:r>
      <w:r>
        <w:rPr>
          <w:b w:val="0"/>
          <w:bCs w:val="0"/>
        </w:rPr>
      </w:r>
    </w:p>
    <w:p>
      <w:pPr>
        <w:spacing w:line="240" w:lineRule="auto" w:before="12"/>
        <w:rPr>
          <w:rFonts w:ascii="宋体" w:hAnsi="宋体" w:cs="宋体" w:eastAsia="宋体" w:hint="default"/>
          <w:b/>
          <w:bCs/>
          <w:sz w:val="23"/>
          <w:szCs w:val="23"/>
        </w:rPr>
      </w:pPr>
    </w:p>
    <w:p>
      <w:pPr>
        <w:tabs>
          <w:tab w:pos="4949" w:val="left" w:leader="none"/>
          <w:tab w:pos="8024" w:val="left" w:leader="none"/>
        </w:tabs>
        <w:spacing w:before="0"/>
        <w:ind w:left="0" w:right="239" w:firstLine="0"/>
        <w:jc w:val="center"/>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2"/>
        <w:rPr>
          <w:rFonts w:ascii="宋体" w:hAnsi="宋体" w:cs="宋体" w:eastAsia="宋体" w:hint="default"/>
          <w:sz w:val="4"/>
          <w:szCs w:val="4"/>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162" w:hRule="exact"/>
        </w:trPr>
        <w:tc>
          <w:tcPr>
            <w:tcW w:w="2525" w:type="dxa"/>
            <w:tcBorders>
              <w:top w:val="single" w:sz="4" w:space="0" w:color="000000"/>
              <w:left w:val="single" w:sz="4" w:space="0" w:color="000000"/>
              <w:bottom w:val="nil" w:sz="6" w:space="0" w:color="auto"/>
              <w:right w:val="single" w:sz="4" w:space="0" w:color="000000"/>
            </w:tcBorders>
            <w:shd w:val="clear" w:color="auto" w:fill="DCDCDC"/>
          </w:tcPr>
          <w:p>
            <w:pPr/>
          </w:p>
        </w:tc>
        <w:tc>
          <w:tcPr>
            <w:tcW w:w="365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161" w:hRule="exact"/>
        </w:trPr>
        <w:tc>
          <w:tcPr>
            <w:tcW w:w="2525" w:type="dxa"/>
            <w:vMerge w:val="restart"/>
            <w:tcBorders>
              <w:top w:val="nil" w:sz="6" w:space="0" w:color="auto"/>
              <w:left w:val="single" w:sz="4" w:space="0" w:color="000000"/>
              <w:right w:val="single" w:sz="4" w:space="0" w:color="000000"/>
            </w:tcBorders>
            <w:shd w:val="clear" w:color="auto" w:fill="DCDCDC"/>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52" w:type="dxa"/>
            <w:gridSpan w:val="2"/>
            <w:vMerge/>
            <w:tcBorders>
              <w:left w:val="single" w:sz="4" w:space="0" w:color="000000"/>
              <w:bottom w:val="single" w:sz="4" w:space="0" w:color="000000"/>
              <w:right w:val="single" w:sz="4" w:space="0" w:color="000000"/>
            </w:tcBorders>
            <w:shd w:val="clear" w:color="auto" w:fill="DCDCDC"/>
          </w:tcPr>
          <w:p>
            <w:pPr/>
          </w:p>
        </w:tc>
        <w:tc>
          <w:tcPr>
            <w:tcW w:w="3640" w:type="dxa"/>
            <w:gridSpan w:val="2"/>
            <w:vMerge/>
            <w:tcBorders>
              <w:left w:val="single" w:sz="4" w:space="0" w:color="000000"/>
              <w:bottom w:val="single" w:sz="4" w:space="0" w:color="000000"/>
              <w:right w:val="single" w:sz="4" w:space="0" w:color="000000"/>
            </w:tcBorders>
            <w:shd w:val="clear" w:color="auto" w:fill="DCDCDC"/>
          </w:tcPr>
          <w:p>
            <w:pPr/>
          </w:p>
        </w:tc>
      </w:tr>
      <w:tr>
        <w:trPr>
          <w:trHeight w:val="152" w:hRule="exact"/>
        </w:trPr>
        <w:tc>
          <w:tcPr>
            <w:tcW w:w="2525" w:type="dxa"/>
            <w:vMerge/>
            <w:tcBorders>
              <w:left w:val="single" w:sz="4" w:space="0" w:color="000000"/>
              <w:bottom w:val="nil" w:sz="6" w:space="0" w:color="auto"/>
              <w:right w:val="single" w:sz="4" w:space="0" w:color="000000"/>
            </w:tcBorders>
            <w:shd w:val="clear" w:color="auto" w:fill="DCDCDC"/>
          </w:tcPr>
          <w:p>
            <w:pPr/>
          </w:p>
        </w:tc>
        <w:tc>
          <w:tcPr>
            <w:tcW w:w="183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2"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19"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178" w:hRule="exact"/>
        </w:trPr>
        <w:tc>
          <w:tcPr>
            <w:tcW w:w="25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832"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c>
          <w:tcPr>
            <w:tcW w:w="1819" w:type="dxa"/>
            <w:vMerge/>
            <w:tcBorders>
              <w:left w:val="single" w:sz="4" w:space="0" w:color="000000"/>
              <w:bottom w:val="single" w:sz="4" w:space="0" w:color="000000"/>
              <w:right w:val="single" w:sz="4" w:space="0" w:color="000000"/>
            </w:tcBorders>
            <w:shd w:val="clear" w:color="auto" w:fill="DCDCDC"/>
          </w:tcPr>
          <w:p>
            <w:pPr/>
          </w:p>
        </w:tc>
        <w:tc>
          <w:tcPr>
            <w:tcW w:w="1820" w:type="dxa"/>
            <w:vMerge/>
            <w:tcBorders>
              <w:left w:val="single" w:sz="4" w:space="0" w:color="000000"/>
              <w:bottom w:val="single" w:sz="4" w:space="0" w:color="000000"/>
              <w:right w:val="single" w:sz="4" w:space="0" w:color="000000"/>
            </w:tcBorders>
            <w:shd w:val="clear" w:color="auto" w:fill="DCDCDC"/>
          </w:tcPr>
          <w:p>
            <w:pP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
              <w:ind w:left="11" w:right="-17"/>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56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1"/>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r>
              <w:rPr>
                <w:rFonts w:ascii="宋体" w:hAnsi="宋体" w:cs="宋体" w:eastAsia="宋体" w:hint="default"/>
                <w:sz w:val="18"/>
                <w:szCs w:val="18"/>
              </w:rPr>
              <w:t> 现金</w:t>
            </w:r>
          </w:p>
        </w:tc>
        <w:tc>
          <w:tcPr>
            <w:tcW w:w="1832" w:type="dxa"/>
            <w:tcBorders>
              <w:top w:val="single" w:sz="10" w:space="0" w:color="DCDCDC"/>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548,541,486.44</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542,952,421.99</w:t>
            </w:r>
          </w:p>
        </w:tc>
        <w:tc>
          <w:tcPr>
            <w:tcW w:w="1819"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258,016,293.36</w:t>
            </w:r>
          </w:p>
        </w:tc>
        <w:tc>
          <w:tcPr>
            <w:tcW w:w="1820"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258,016,293.36</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61"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 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 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收到原保险合同保费取得 的现金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5" w:lineRule="exact" w:before="9"/>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处置交易性金融资产净增 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r>
              <w:rPr>
                <w:rFonts w:ascii="宋体" w:hAnsi="宋体" w:cs="宋体" w:eastAsia="宋体" w:hint="default"/>
                <w:sz w:val="18"/>
                <w:szCs w:val="18"/>
              </w:rPr>
              <w:t> 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34,704,359.07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29,079,073.51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24,992,164.96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18,311,341.48</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收到其他与经营活动有关 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32,515,043.04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24,700,395.13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16,016,347.06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15,322,323.49</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615,760,888.55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596,731,890.63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299,024,805.38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291,649,958.33</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r>
              <w:rPr>
                <w:rFonts w:ascii="宋体" w:hAnsi="宋体" w:cs="宋体" w:eastAsia="宋体" w:hint="default"/>
                <w:sz w:val="18"/>
                <w:szCs w:val="18"/>
              </w:rPr>
              <w:t> 现金</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375,834,532.83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423,426,336.13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142,750,212.54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170,729,911.02</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 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支付原保险合同赔付款项 的现金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60" w:type="dxa"/>
        <w:tblLayout w:type="fixed"/>
        <w:tblCellMar>
          <w:top w:w="0" w:type="dxa"/>
          <w:left w:w="0" w:type="dxa"/>
          <w:bottom w:w="0" w:type="dxa"/>
          <w:right w:w="0" w:type="dxa"/>
        </w:tblCellMar>
        <w:tblLook w:val="01E0"/>
      </w:tblPr>
      <w:tblGrid>
        <w:gridCol w:w="2525"/>
        <w:gridCol w:w="1832"/>
        <w:gridCol w:w="1820"/>
        <w:gridCol w:w="1819"/>
        <w:gridCol w:w="1820"/>
      </w:tblGrid>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r>
              <w:rPr>
                <w:rFonts w:ascii="宋体" w:hAnsi="宋体" w:cs="宋体" w:eastAsia="宋体" w:hint="default"/>
                <w:sz w:val="18"/>
                <w:szCs w:val="18"/>
              </w:rPr>
              <w:t> 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 付的现金</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33,745,876.75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13,922,527.27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13,469,726.41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5,873,351.74</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71,540,240.18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62,994,214.72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37,021,458.06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30,762,041.81</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支付其他与经营活动有关 的现金</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129,897,158.62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98,494,287.30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93,061,759.43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71,613,450.18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611,017,808.38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598,837,365.42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286,303,156.44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278,978,754.75</w:t>
            </w:r>
          </w:p>
        </w:tc>
      </w:tr>
      <w:tr>
        <w:trPr>
          <w:trHeight w:val="56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72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1832" w:type="dxa"/>
            <w:tcBorders>
              <w:top w:val="single" w:sz="4" w:space="0" w:color="000000"/>
              <w:left w:val="single" w:sz="9" w:space="0" w:color="DCDCDC"/>
              <w:bottom w:val="single" w:sz="9"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4,743,080.17</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-2,105,474.79</w:t>
            </w:r>
          </w:p>
        </w:tc>
        <w:tc>
          <w:tcPr>
            <w:tcW w:w="1819"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12,721,648.94</w:t>
            </w:r>
          </w:p>
        </w:tc>
        <w:tc>
          <w:tcPr>
            <w:tcW w:w="1820" w:type="dxa"/>
            <w:tcBorders>
              <w:top w:val="single" w:sz="4" w:space="0" w:color="000000"/>
              <w:left w:val="single" w:sz="4" w:space="0" w:color="000000"/>
              <w:bottom w:val="single" w:sz="9" w:space="0" w:color="DCDCDC"/>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12,671,203.58</w:t>
            </w:r>
          </w:p>
        </w:tc>
      </w:tr>
      <w:tr>
        <w:trPr>
          <w:trHeight w:val="31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
              <w:ind w:left="11" w:right="-17"/>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30"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32" w:type="dxa"/>
            <w:tcBorders>
              <w:top w:val="single" w:sz="9" w:space="0" w:color="DCDCDC"/>
              <w:left w:val="single" w:sz="9" w:space="0" w:color="DCDCDC"/>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c>
          <w:tcPr>
            <w:tcW w:w="1819" w:type="dxa"/>
            <w:tcBorders>
              <w:top w:val="single" w:sz="9" w:space="0" w:color="DCDCDC"/>
              <w:left w:val="single" w:sz="4" w:space="0" w:color="000000"/>
              <w:bottom w:val="single" w:sz="4" w:space="0" w:color="000000"/>
              <w:right w:val="single" w:sz="4" w:space="0" w:color="000000"/>
            </w:tcBorders>
          </w:tcPr>
          <w:p>
            <w:pPr/>
          </w:p>
        </w:tc>
        <w:tc>
          <w:tcPr>
            <w:tcW w:w="1820" w:type="dxa"/>
            <w:tcBorders>
              <w:top w:val="single" w:sz="9" w:space="0" w:color="DCDCDC"/>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8"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r>
              <w:rPr>
                <w:rFonts w:ascii="宋体" w:hAnsi="宋体" w:cs="宋体" w:eastAsia="宋体" w:hint="default"/>
                <w:sz w:val="18"/>
                <w:szCs w:val="18"/>
              </w:rPr>
              <w:t> 其他长期资产收回的现金净额</w:t>
            </w:r>
          </w:p>
        </w:tc>
        <w:tc>
          <w:tcPr>
            <w:tcW w:w="183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2,530,750.00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
              <w:ind w:left="11" w:right="16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 位收到的现金净额</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收到其他与投资活动有关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140,000.00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2,530,750.00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z w:val="18"/>
              </w:rPr>
              <w:t>750.00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r>
              <w:rPr>
                <w:rFonts w:ascii="宋体" w:hAnsi="宋体" w:cs="宋体" w:eastAsia="宋体" w:hint="default"/>
                <w:sz w:val="18"/>
                <w:szCs w:val="18"/>
              </w:rPr>
              <w:t> 其他长期资产支付的现金</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191,970,078.78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189,603,545.21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43,834,159.91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40,330,042.98</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21,600,000.00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 位支付的现金净额</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10,261,812.76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支付其他与投资活动有关 的现金</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202,231,891.54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211,203,545.21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43,834,159.91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47,330,042.98</w:t>
            </w:r>
          </w:p>
        </w:tc>
      </w:tr>
      <w:tr>
        <w:trPr>
          <w:trHeight w:val="622"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720"/>
              <w:jc w:val="left"/>
              <w:rPr>
                <w:rFonts w:ascii="宋体" w:hAnsi="宋体" w:cs="宋体" w:eastAsia="宋体" w:hint="default"/>
                <w:sz w:val="18"/>
                <w:szCs w:val="18"/>
              </w:rPr>
            </w:pPr>
            <w:r>
              <w:rPr>
                <w:rFonts w:ascii="宋体" w:hAnsi="宋体" w:cs="宋体" w:eastAsia="宋体" w:hint="default"/>
                <w:sz w:val="18"/>
                <w:szCs w:val="18"/>
              </w:rPr>
              <w:t>投资活动产生的现金 流量净额</w:t>
            </w:r>
          </w:p>
        </w:tc>
        <w:tc>
          <w:tcPr>
            <w:tcW w:w="1832" w:type="dxa"/>
            <w:tcBorders>
              <w:top w:val="single" w:sz="4" w:space="0" w:color="000000"/>
              <w:left w:val="single" w:sz="9" w:space="0" w:color="DCDCDC"/>
              <w:bottom w:val="single" w:sz="56" w:space="0" w:color="DCDCDC"/>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-202,091,891.54</w:t>
            </w:r>
          </w:p>
        </w:tc>
        <w:tc>
          <w:tcPr>
            <w:tcW w:w="1820"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-211,203,545.21</w:t>
            </w:r>
          </w:p>
        </w:tc>
        <w:tc>
          <w:tcPr>
            <w:tcW w:w="1819"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-41,303,409.91</w:t>
            </w:r>
          </w:p>
        </w:tc>
        <w:tc>
          <w:tcPr>
            <w:tcW w:w="1820" w:type="dxa"/>
            <w:tcBorders>
              <w:top w:val="single" w:sz="4" w:space="0" w:color="000000"/>
              <w:left w:val="single" w:sz="4" w:space="0" w:color="000000"/>
              <w:bottom w:val="single" w:sz="56" w:space="0" w:color="DCDCDC"/>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-47,329,292.98</w:t>
            </w:r>
          </w:p>
        </w:tc>
      </w:tr>
      <w:tr>
        <w:trPr>
          <w:trHeight w:val="426"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9" w:lineRule="exact"/>
              <w:ind w:left="19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5" w:lineRule="exact"/>
              <w:ind w:left="11"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32"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1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CDCDC"/>
          </w:tcPr>
          <w:p>
            <w:pPr/>
          </w:p>
        </w:tc>
      </w:tr>
      <w:tr>
        <w:trPr>
          <w:trHeight w:val="389"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32" w:type="dxa"/>
            <w:tcBorders>
              <w:top w:val="single" w:sz="56" w:space="0" w:color="DCDCDC"/>
              <w:left w:val="single" w:sz="13" w:space="0" w:color="DCDCDC"/>
              <w:bottom w:val="single" w:sz="4" w:space="0" w:color="000000"/>
              <w:right w:val="single" w:sz="4" w:space="0" w:color="000000"/>
            </w:tcBorders>
          </w:tcPr>
          <w:p>
            <w:pPr/>
          </w:p>
        </w:tc>
        <w:tc>
          <w:tcPr>
            <w:tcW w:w="1820" w:type="dxa"/>
            <w:tcBorders>
              <w:top w:val="single" w:sz="56" w:space="0" w:color="DCDCDC"/>
              <w:left w:val="single" w:sz="4" w:space="0" w:color="000000"/>
              <w:bottom w:val="single" w:sz="4" w:space="0" w:color="000000"/>
              <w:right w:val="single" w:sz="4" w:space="0" w:color="000000"/>
            </w:tcBorders>
          </w:tcPr>
          <w:p>
            <w:pPr/>
          </w:p>
        </w:tc>
        <w:tc>
          <w:tcPr>
            <w:tcW w:w="1819" w:type="dxa"/>
            <w:tcBorders>
              <w:top w:val="single" w:sz="56"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302,400,000.00</w:t>
            </w:r>
          </w:p>
        </w:tc>
        <w:tc>
          <w:tcPr>
            <w:tcW w:w="1820" w:type="dxa"/>
            <w:tcBorders>
              <w:top w:val="single" w:sz="56" w:space="0" w:color="DCDCDC"/>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302,400,000.00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r>
              <w:rPr>
                <w:rFonts w:ascii="宋体" w:hAnsi="宋体" w:cs="宋体" w:eastAsia="宋体" w:hint="default"/>
                <w:sz w:val="18"/>
                <w:szCs w:val="18"/>
              </w:rPr>
              <w:t> 投资收到的现金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141,900,000.00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141,900,000.00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161" w:firstLine="360"/>
              <w:jc w:val="left"/>
              <w:rPr>
                <w:rFonts w:ascii="宋体" w:hAnsi="宋体" w:cs="宋体" w:eastAsia="宋体" w:hint="default"/>
                <w:sz w:val="18"/>
                <w:szCs w:val="18"/>
              </w:rPr>
            </w:pPr>
            <w:r>
              <w:rPr>
                <w:rFonts w:ascii="宋体" w:hAnsi="宋体" w:cs="宋体" w:eastAsia="宋体" w:hint="default"/>
                <w:sz w:val="18"/>
                <w:szCs w:val="18"/>
              </w:rPr>
              <w:t>收到其他与筹资活动有关 的现金</w:t>
            </w:r>
          </w:p>
        </w:tc>
        <w:tc>
          <w:tcPr>
            <w:tcW w:w="1832" w:type="dxa"/>
            <w:tcBorders>
              <w:top w:val="single" w:sz="4" w:space="0" w:color="000000"/>
              <w:left w:val="single" w:sz="13"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5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141,900,000.00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141,900,000.00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302,400,000.00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302,400,000.00</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71,900,000.00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71,900,000.00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13,565,418.36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12,800,000.00</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r>
              <w:rPr>
                <w:rFonts w:ascii="宋体" w:hAnsi="宋体" w:cs="宋体" w:eastAsia="宋体" w:hint="default"/>
                <w:sz w:val="18"/>
                <w:szCs w:val="18"/>
              </w:rPr>
              <w:t> 支付的现金</w:t>
            </w:r>
          </w:p>
        </w:tc>
        <w:tc>
          <w:tcPr>
            <w:tcW w:w="1832"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9,236,588.12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9,236,588.12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1,020,543.62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979,085.95</w:t>
            </w:r>
          </w:p>
        </w:tc>
      </w:tr>
      <w:tr>
        <w:trPr>
          <w:trHeight w:val="557" w:hRule="exact"/>
        </w:trPr>
        <w:tc>
          <w:tcPr>
            <w:tcW w:w="252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11" w:right="9"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r>
              <w:rPr>
                <w:rFonts w:ascii="宋体" w:hAnsi="宋体" w:cs="宋体" w:eastAsia="宋体" w:hint="default"/>
                <w:sz w:val="18"/>
                <w:szCs w:val="18"/>
              </w:rPr>
              <w:t> 东的股利、利润</w:t>
            </w:r>
          </w:p>
        </w:tc>
        <w:tc>
          <w:tcPr>
            <w:tcW w:w="1832" w:type="dxa"/>
            <w:tcBorders>
              <w:top w:val="single" w:sz="4" w:space="0" w:color="000000"/>
              <w:left w:val="single" w:sz="9" w:space="0" w:color="DCDCDC"/>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669" w:top="980" w:bottom="860" w:left="98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9" w:type="dxa"/>
        <w:tblLayout w:type="fixed"/>
        <w:tblCellMar>
          <w:top w:w="0" w:type="dxa"/>
          <w:left w:w="0" w:type="dxa"/>
          <w:bottom w:w="0" w:type="dxa"/>
          <w:right w:w="0" w:type="dxa"/>
        </w:tblCellMar>
        <w:tblLook w:val="01E0"/>
      </w:tblPr>
      <w:tblGrid>
        <w:gridCol w:w="2548"/>
        <w:gridCol w:w="1820"/>
        <w:gridCol w:w="1820"/>
        <w:gridCol w:w="1819"/>
        <w:gridCol w:w="1820"/>
      </w:tblGrid>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173" w:firstLine="360"/>
              <w:jc w:val="left"/>
              <w:rPr>
                <w:rFonts w:ascii="宋体" w:hAnsi="宋体" w:cs="宋体" w:eastAsia="宋体" w:hint="default"/>
                <w:sz w:val="18"/>
                <w:szCs w:val="18"/>
              </w:rPr>
            </w:pPr>
            <w:r>
              <w:rPr>
                <w:rFonts w:ascii="宋体" w:hAnsi="宋体" w:cs="宋体" w:eastAsia="宋体" w:hint="default"/>
                <w:sz w:val="18"/>
                <w:szCs w:val="18"/>
              </w:rPr>
              <w:t>支付其他与筹资活动有关 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15,522,411.34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15,522,411.34</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81,136,588.12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81,136,588.12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30,108,373.32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29,301,497.29</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34"/>
              <w:ind w:left="22" w:right="173" w:firstLine="720"/>
              <w:jc w:val="left"/>
              <w:rPr>
                <w:rFonts w:ascii="宋体" w:hAnsi="宋体" w:cs="宋体" w:eastAsia="宋体" w:hint="default"/>
                <w:sz w:val="18"/>
                <w:szCs w:val="18"/>
              </w:rPr>
            </w:pPr>
            <w:r>
              <w:rPr>
                <w:rFonts w:ascii="宋体" w:hAnsi="宋体" w:cs="宋体" w:eastAsia="宋体" w:hint="default"/>
                <w:sz w:val="18"/>
                <w:szCs w:val="18"/>
              </w:rPr>
              <w:t>筹资活动产生的现金 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60,763,411.88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60,763,411.88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272,291,626.68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273,098,502.71</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r>
              <w:rPr>
                <w:rFonts w:ascii="宋体" w:hAnsi="宋体" w:cs="宋体" w:eastAsia="宋体" w:hint="default"/>
                <w:sz w:val="18"/>
                <w:szCs w:val="18"/>
              </w:rPr>
              <w:t> 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
                <w:w w:val="95"/>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-136,585,399.49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-152,545,608.12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243,709,865.71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238,440,413.31</w:t>
            </w:r>
          </w:p>
        </w:tc>
      </w:tr>
      <w:tr>
        <w:trPr>
          <w:trHeight w:val="557"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
              <w:ind w:left="22" w:right="20" w:firstLine="36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r>
              <w:rPr>
                <w:rFonts w:ascii="宋体" w:hAnsi="宋体" w:cs="宋体" w:eastAsia="宋体" w:hint="default"/>
                <w:sz w:val="18"/>
                <w:szCs w:val="18"/>
              </w:rPr>
              <w:t> 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293,940,873.56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288,170,026.08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50,231,007.85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49,729,612.77</w:t>
            </w:r>
          </w:p>
        </w:tc>
      </w:tr>
      <w:tr>
        <w:trPr>
          <w:trHeight w:val="324" w:hRule="exact"/>
        </w:trPr>
        <w:tc>
          <w:tcPr>
            <w:tcW w:w="2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
                <w:w w:val="95"/>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157,355,474.07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135,624,417.96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293,940,873.56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288,170,026.08</w:t>
            </w:r>
          </w:p>
        </w:tc>
      </w:tr>
    </w:tbl>
    <w:p>
      <w:pPr>
        <w:tabs>
          <w:tab w:pos="2583" w:val="left" w:leader="none"/>
          <w:tab w:pos="6903" w:val="left" w:leader="none"/>
        </w:tabs>
        <w:spacing w:before="10"/>
        <w:ind w:left="154" w:right="92"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主管会计负责人：  龙浩</w:t>
        <w:tab/>
        <w:t>会计机构负责人：吴彩霞</w:t>
      </w:r>
    </w:p>
    <w:p>
      <w:pPr>
        <w:spacing w:after="0"/>
        <w:jc w:val="left"/>
        <w:rPr>
          <w:rFonts w:ascii="宋体" w:hAnsi="宋体" w:cs="宋体" w:eastAsia="宋体" w:hint="default"/>
          <w:sz w:val="18"/>
          <w:szCs w:val="18"/>
        </w:rPr>
        <w:sectPr>
          <w:pgSz w:w="11910" w:h="16840"/>
          <w:pgMar w:header="747" w:footer="669" w:top="980" w:bottom="860" w:left="980" w:right="820"/>
        </w:sectPr>
      </w:pPr>
    </w:p>
    <w:p>
      <w:pPr>
        <w:spacing w:line="240" w:lineRule="auto" w:before="0"/>
        <w:rPr>
          <w:rFonts w:ascii="宋体" w:hAnsi="宋体" w:cs="宋体" w:eastAsia="宋体" w:hint="default"/>
          <w:sz w:val="20"/>
          <w:szCs w:val="20"/>
        </w:rPr>
      </w:pPr>
    </w:p>
    <w:p>
      <w:pPr>
        <w:pStyle w:val="Heading2"/>
        <w:spacing w:line="240" w:lineRule="auto" w:before="144"/>
        <w:ind w:left="5430" w:right="5431"/>
        <w:jc w:val="center"/>
        <w:rPr>
          <w:b w:val="0"/>
          <w:bCs w:val="0"/>
        </w:rPr>
      </w:pPr>
      <w:r>
        <w:rPr/>
        <w:t>合并所有者权益变动表</w:t>
      </w:r>
      <w:r>
        <w:rPr>
          <w:b w:val="0"/>
          <w:bCs w:val="0"/>
        </w:rPr>
      </w:r>
    </w:p>
    <w:p>
      <w:pPr>
        <w:tabs>
          <w:tab w:pos="6993" w:val="left" w:leader="none"/>
          <w:tab w:pos="12258" w:val="left" w:leader="none"/>
        </w:tabs>
        <w:spacing w:before="223"/>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631"/>
        <w:gridCol w:w="1616"/>
        <w:gridCol w:w="1716"/>
        <w:gridCol w:w="1516"/>
        <w:gridCol w:w="1716"/>
        <w:gridCol w:w="1516"/>
        <w:gridCol w:w="1616"/>
      </w:tblGrid>
      <w:tr>
        <w:trPr>
          <w:trHeight w:val="384" w:hRule="exact"/>
        </w:trPr>
        <w:tc>
          <w:tcPr>
            <w:tcW w:w="46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 w:right="0"/>
              <w:jc w:val="center"/>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656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171" w:right="0"/>
              <w:jc w:val="left"/>
              <w:rPr>
                <w:rFonts w:ascii="宋体" w:hAnsi="宋体" w:cs="宋体" w:eastAsia="宋体" w:hint="default"/>
                <w:sz w:val="20"/>
                <w:szCs w:val="20"/>
              </w:rPr>
            </w:pPr>
            <w:r>
              <w:rPr>
                <w:rFonts w:ascii="宋体" w:hAnsi="宋体" w:cs="宋体" w:eastAsia="宋体" w:hint="default"/>
                <w:b/>
                <w:bCs/>
                <w:sz w:val="20"/>
                <w:szCs w:val="20"/>
              </w:rPr>
              <w:t>归属于母公司所有者权益</w:t>
            </w:r>
            <w:r>
              <w:rPr>
                <w:rFonts w:ascii="宋体" w:hAnsi="宋体" w:cs="宋体" w:eastAsia="宋体" w:hint="default"/>
                <w:sz w:val="20"/>
                <w:szCs w:val="20"/>
              </w:rPr>
            </w:r>
          </w:p>
        </w:tc>
        <w:tc>
          <w:tcPr>
            <w:tcW w:w="15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652" w:right="199" w:hanging="353"/>
              <w:jc w:val="left"/>
              <w:rPr>
                <w:rFonts w:ascii="宋体" w:hAnsi="宋体" w:cs="宋体" w:eastAsia="宋体" w:hint="default"/>
                <w:sz w:val="20"/>
                <w:szCs w:val="20"/>
              </w:rPr>
            </w:pPr>
            <w:r>
              <w:rPr>
                <w:rFonts w:ascii="宋体" w:hAnsi="宋体" w:cs="宋体" w:eastAsia="宋体" w:hint="default"/>
                <w:b/>
                <w:bCs/>
                <w:sz w:val="20"/>
                <w:szCs w:val="20"/>
              </w:rPr>
              <w:t>少数股东权</w:t>
            </w:r>
            <w:r>
              <w:rPr>
                <w:rFonts w:ascii="宋体" w:hAnsi="宋体" w:cs="宋体" w:eastAsia="宋体" w:hint="default"/>
                <w:b/>
                <w:bCs/>
                <w:w w:val="99"/>
                <w:sz w:val="20"/>
                <w:szCs w:val="20"/>
              </w:rPr>
              <w:t> </w:t>
            </w:r>
            <w:r>
              <w:rPr>
                <w:rFonts w:ascii="宋体" w:hAnsi="宋体" w:cs="宋体" w:eastAsia="宋体" w:hint="default"/>
                <w:b/>
                <w:bCs/>
                <w:sz w:val="20"/>
                <w:szCs w:val="20"/>
              </w:rPr>
              <w:t>益</w:t>
            </w:r>
            <w:r>
              <w:rPr>
                <w:rFonts w:ascii="宋体" w:hAnsi="宋体" w:cs="宋体" w:eastAsia="宋体" w:hint="default"/>
                <w:sz w:val="20"/>
                <w:szCs w:val="20"/>
              </w:rPr>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85" w:lineRule="auto"/>
              <w:ind w:left="703" w:right="149" w:hanging="452"/>
              <w:jc w:val="left"/>
              <w:rPr>
                <w:rFonts w:ascii="宋体" w:hAnsi="宋体" w:cs="宋体" w:eastAsia="宋体" w:hint="default"/>
                <w:sz w:val="20"/>
                <w:szCs w:val="20"/>
              </w:rPr>
            </w:pPr>
            <w:r>
              <w:rPr>
                <w:rFonts w:ascii="宋体" w:hAnsi="宋体" w:cs="宋体" w:eastAsia="宋体" w:hint="default"/>
                <w:b/>
                <w:bCs/>
                <w:sz w:val="20"/>
                <w:szCs w:val="20"/>
              </w:rPr>
              <w:t>所有者权益合</w:t>
            </w:r>
            <w:r>
              <w:rPr>
                <w:rFonts w:ascii="宋体" w:hAnsi="宋体" w:cs="宋体" w:eastAsia="宋体" w:hint="default"/>
                <w:b/>
                <w:bCs/>
                <w:w w:val="99"/>
                <w:sz w:val="20"/>
                <w:szCs w:val="20"/>
              </w:rPr>
              <w:t> </w:t>
            </w:r>
            <w:r>
              <w:rPr>
                <w:rFonts w:ascii="宋体" w:hAnsi="宋体" w:cs="宋体" w:eastAsia="宋体" w:hint="default"/>
                <w:b/>
                <w:bCs/>
                <w:sz w:val="20"/>
                <w:szCs w:val="20"/>
              </w:rPr>
              <w:t>计</w:t>
            </w:r>
            <w:r>
              <w:rPr>
                <w:rFonts w:ascii="宋体" w:hAnsi="宋体" w:cs="宋体" w:eastAsia="宋体" w:hint="default"/>
                <w:sz w:val="20"/>
                <w:szCs w:val="20"/>
              </w:rPr>
            </w:r>
          </w:p>
        </w:tc>
      </w:tr>
      <w:tr>
        <w:trPr>
          <w:trHeight w:val="745" w:hRule="exact"/>
        </w:trPr>
        <w:tc>
          <w:tcPr>
            <w:tcW w:w="4631"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center"/>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1"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1"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516" w:type="dxa"/>
            <w:vMerge/>
            <w:tcBorders>
              <w:left w:val="single" w:sz="4" w:space="0" w:color="000000"/>
              <w:bottom w:val="single" w:sz="4" w:space="0" w:color="000000"/>
              <w:right w:val="single" w:sz="4" w:space="0" w:color="000000"/>
            </w:tcBorders>
          </w:tcPr>
          <w:p>
            <w:pPr/>
          </w:p>
        </w:tc>
        <w:tc>
          <w:tcPr>
            <w:tcW w:w="1616" w:type="dxa"/>
            <w:vMerge/>
            <w:tcBorders>
              <w:left w:val="single" w:sz="4" w:space="0" w:color="000000"/>
              <w:bottom w:val="single" w:sz="4" w:space="0" w:color="000000"/>
              <w:right w:val="single" w:sz="4" w:space="0" w:color="000000"/>
            </w:tcBorders>
          </w:tcPr>
          <w:p>
            <w:pP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1"/>
                <w:sz w:val="20"/>
                <w:szCs w:val="20"/>
              </w:rPr>
              <w:t> </w:t>
            </w:r>
            <w:r>
              <w:rPr>
                <w:rFonts w:ascii="宋体" w:hAnsi="宋体" w:cs="宋体" w:eastAsia="宋体" w:hint="default"/>
                <w:sz w:val="20"/>
                <w:szCs w:val="20"/>
              </w:rPr>
              <w:t>日年末余额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48,000,000.00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2,741,307.14</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15,026,270.18</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83,110,213.24</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148,877,790.56</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会计政策变更</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首次执行企业会计准则</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日年初余额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48,000,000.00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2,741,307.14</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15,026,270.18</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83,110,213.24</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148,877,790.56</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8"/>
                <w:sz w:val="20"/>
                <w:szCs w:val="20"/>
              </w:rPr>
              <w:t> </w:t>
            </w:r>
            <w:r>
              <w:rPr>
                <w:rFonts w:ascii="宋体" w:hAnsi="宋体" w:cs="宋体" w:eastAsia="宋体" w:hint="default"/>
                <w:sz w:val="20"/>
                <w:szCs w:val="20"/>
              </w:rPr>
              <w:t>年度增减变动额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16,000,000.00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269,885,083.00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8,268,343.84</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75,053,409.55</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03" w:right="0"/>
              <w:jc w:val="left"/>
              <w:rPr>
                <w:rFonts w:ascii="宋体" w:hAnsi="宋体" w:cs="宋体" w:eastAsia="宋体" w:hint="default"/>
                <w:sz w:val="20"/>
                <w:szCs w:val="20"/>
              </w:rPr>
            </w:pPr>
            <w:r>
              <w:rPr>
                <w:rFonts w:ascii="宋体"/>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369,206,836.39</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83,321,753.39</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83,321,753.39</w:t>
            </w:r>
            <w:r>
              <w:rPr>
                <w:rFonts w:ascii="宋体"/>
                <w:sz w:val="20"/>
              </w:rPr>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直接计入股东权益的利得</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可供出售金融资产公允价值变动净额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634"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权益法下被投资单位其他所有者权益变动的影</w:t>
            </w:r>
          </w:p>
          <w:p>
            <w:pPr>
              <w:pStyle w:val="TableParagraph"/>
              <w:spacing w:line="240" w:lineRule="auto" w:before="50"/>
              <w:ind w:left="104" w:right="0"/>
              <w:jc w:val="left"/>
              <w:rPr>
                <w:rFonts w:ascii="宋体" w:hAnsi="宋体" w:cs="宋体" w:eastAsia="宋体" w:hint="default"/>
                <w:sz w:val="20"/>
                <w:szCs w:val="20"/>
              </w:rPr>
            </w:pPr>
            <w:r>
              <w:rPr>
                <w:rFonts w:ascii="宋体" w:hAnsi="宋体" w:cs="宋体" w:eastAsia="宋体" w:hint="default"/>
                <w:w w:val="100"/>
                <w:sz w:val="20"/>
                <w:szCs w:val="20"/>
              </w:rPr>
              <w:t>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01"/>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与计入股东权益项目相关的所得税影响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83,321,753.39</w:t>
            </w:r>
            <w:r>
              <w:rPr>
                <w:rFonts w:ascii="宋体"/>
                <w:sz w:val="20"/>
              </w:rPr>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股东投入和减少资本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16,000,000.00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269,885,083.00</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285,885,083.00</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股东投入资本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16,000,000.00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269,885,083.00</w:t>
            </w: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285,885,083.00</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股份支付计入股东权益的金额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利润分配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8,268,343.84</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(8,268,343.84)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03" w:right="0"/>
              <w:jc w:val="left"/>
              <w:rPr>
                <w:rFonts w:ascii="宋体" w:hAnsi="宋体" w:cs="宋体" w:eastAsia="宋体" w:hint="default"/>
                <w:sz w:val="20"/>
                <w:szCs w:val="20"/>
              </w:rPr>
            </w:pPr>
            <w:r>
              <w:rPr>
                <w:rFonts w:ascii="宋体"/>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bl>
    <w:p>
      <w:pPr>
        <w:spacing w:after="0" w:line="256" w:lineRule="exact"/>
        <w:jc w:val="right"/>
        <w:rPr>
          <w:rFonts w:ascii="宋体" w:hAnsi="宋体" w:cs="宋体" w:eastAsia="宋体" w:hint="default"/>
          <w:sz w:val="20"/>
          <w:szCs w:val="20"/>
        </w:rPr>
        <w:sectPr>
          <w:headerReference w:type="default" r:id="rId12"/>
          <w:footerReference w:type="default" r:id="rId13"/>
          <w:pgSz w:w="16840" w:h="11910" w:orient="landscape"/>
          <w:pgMar w:header="877" w:footer="938" w:top="1100" w:bottom="1120" w:left="980" w:right="980"/>
          <w:pgNumType w:start="59"/>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4631"/>
        <w:gridCol w:w="1616"/>
        <w:gridCol w:w="1716"/>
        <w:gridCol w:w="1516"/>
        <w:gridCol w:w="1716"/>
        <w:gridCol w:w="1516"/>
        <w:gridCol w:w="1616"/>
      </w:tblGrid>
      <w:tr>
        <w:trPr>
          <w:trHeight w:val="317" w:hRule="exact"/>
        </w:trPr>
        <w:tc>
          <w:tcPr>
            <w:tcW w:w="4631"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提取盈余公积</w:t>
            </w:r>
          </w:p>
        </w:tc>
        <w:tc>
          <w:tcPr>
            <w:tcW w:w="1616" w:type="dxa"/>
            <w:tcBorders>
              <w:top w:val="nil" w:sz="6" w:space="0" w:color="auto"/>
              <w:left w:val="single" w:sz="4" w:space="0" w:color="000000"/>
              <w:bottom w:val="single" w:sz="4" w:space="0" w:color="000000"/>
              <w:right w:val="single" w:sz="4" w:space="0" w:color="000000"/>
            </w:tcBorders>
          </w:tcPr>
          <w:p>
            <w:pPr/>
          </w:p>
        </w:tc>
        <w:tc>
          <w:tcPr>
            <w:tcW w:w="1716" w:type="dxa"/>
            <w:tcBorders>
              <w:top w:val="nil" w:sz="6" w:space="0" w:color="auto"/>
              <w:left w:val="single" w:sz="4"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8,268,343.84</w:t>
            </w:r>
            <w:r>
              <w:rPr>
                <w:rFonts w:ascii="宋体"/>
                <w:sz w:val="20"/>
              </w:rPr>
            </w:r>
          </w:p>
        </w:tc>
        <w:tc>
          <w:tcPr>
            <w:tcW w:w="171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(8,268,343.84)</w:t>
            </w:r>
          </w:p>
        </w:tc>
        <w:tc>
          <w:tcPr>
            <w:tcW w:w="1516" w:type="dxa"/>
            <w:tcBorders>
              <w:top w:val="nil" w:sz="6" w:space="0" w:color="auto"/>
              <w:left w:val="single" w:sz="4" w:space="0" w:color="000000"/>
              <w:bottom w:val="single" w:sz="4" w:space="0" w:color="000000"/>
              <w:right w:val="single" w:sz="4" w:space="0" w:color="000000"/>
            </w:tcBorders>
          </w:tcPr>
          <w:p>
            <w:pP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对股东的分配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股东权益内部结转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资本公积转增股本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盈余公积转增股本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盈余公积弥补亏损</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1"/>
                <w:sz w:val="20"/>
                <w:szCs w:val="20"/>
              </w:rPr>
              <w:t> </w:t>
            </w:r>
            <w:r>
              <w:rPr>
                <w:rFonts w:ascii="宋体" w:hAnsi="宋体" w:cs="宋体" w:eastAsia="宋体" w:hint="default"/>
                <w:sz w:val="20"/>
                <w:szCs w:val="20"/>
              </w:rPr>
              <w:t>日年末余额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64,000,000.00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272,626,390.14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23,294,614.02</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158,163,622.79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518,084,626.95</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日年初余额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64,000,000.00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272,626,390.14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23,294,614.02</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158,163,622.79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518,084,626.95</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8"/>
                <w:sz w:val="20"/>
                <w:szCs w:val="20"/>
              </w:rPr>
              <w:t> </w:t>
            </w:r>
            <w:r>
              <w:rPr>
                <w:rFonts w:ascii="宋体" w:hAnsi="宋体" w:cs="宋体" w:eastAsia="宋体" w:hint="default"/>
                <w:sz w:val="20"/>
                <w:szCs w:val="20"/>
              </w:rPr>
              <w:t>年度增减变动额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64,000,000.00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(38,400,000.00)</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12,797,163.24</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88,625,633.35</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12,304,400.06</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139,327,196.65</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130,222,796.59</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1,060,337.61</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131,283,134.20</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直接计入股东权益的利得</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可供出售金融资产公允价值变动净额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635"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权益法下被投资单位其他所有者权益变动的影</w:t>
            </w:r>
          </w:p>
          <w:p>
            <w:pPr>
              <w:pStyle w:val="TableParagraph"/>
              <w:spacing w:line="240" w:lineRule="auto" w:before="50"/>
              <w:ind w:left="104" w:right="0"/>
              <w:jc w:val="left"/>
              <w:rPr>
                <w:rFonts w:ascii="宋体" w:hAnsi="宋体" w:cs="宋体" w:eastAsia="宋体" w:hint="default"/>
                <w:sz w:val="20"/>
                <w:szCs w:val="20"/>
              </w:rPr>
            </w:pPr>
            <w:r>
              <w:rPr>
                <w:rFonts w:ascii="宋体" w:hAnsi="宋体" w:cs="宋体" w:eastAsia="宋体" w:hint="default"/>
                <w:w w:val="100"/>
                <w:sz w:val="20"/>
                <w:szCs w:val="20"/>
              </w:rPr>
              <w:t>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与计入股东权益项目相关的所得税影响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股东投入和减少资本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11,244,062.45</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11,244,062.45</w:t>
            </w:r>
            <w:r>
              <w:rPr>
                <w:rFonts w:ascii="宋体"/>
                <w:sz w:val="20"/>
              </w:rPr>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股东投入资本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11,244,062.45</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11,244,062.45</w:t>
            </w:r>
            <w:r>
              <w:rPr>
                <w:rFonts w:ascii="宋体"/>
                <w:sz w:val="20"/>
              </w:rPr>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股份支付计入股东权益的金额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利润分配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12,797,163.24</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(15,997,163.24)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(3,200,000.00)</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提取盈余公积</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12,797,163.24</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(12,797,163.24)</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bl>
    <w:p>
      <w:pPr>
        <w:spacing w:after="0" w:line="256" w:lineRule="exact"/>
        <w:jc w:val="right"/>
        <w:rPr>
          <w:rFonts w:ascii="宋体" w:hAnsi="宋体" w:cs="宋体" w:eastAsia="宋体" w:hint="default"/>
          <w:sz w:val="20"/>
          <w:szCs w:val="20"/>
        </w:rPr>
        <w:sectPr>
          <w:pgSz w:w="16840" w:h="11910" w:orient="landscape"/>
          <w:pgMar w:header="877" w:footer="938" w:top="1100" w:bottom="1120" w:left="980" w:right="98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4631"/>
        <w:gridCol w:w="1616"/>
        <w:gridCol w:w="1716"/>
        <w:gridCol w:w="1516"/>
        <w:gridCol w:w="1716"/>
        <w:gridCol w:w="1516"/>
        <w:gridCol w:w="1616"/>
      </w:tblGrid>
      <w:tr>
        <w:trPr>
          <w:trHeight w:val="317" w:hRule="exact"/>
        </w:trPr>
        <w:tc>
          <w:tcPr>
            <w:tcW w:w="4631"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对股东的分配</w:t>
            </w:r>
          </w:p>
        </w:tc>
        <w:tc>
          <w:tcPr>
            <w:tcW w:w="1616" w:type="dxa"/>
            <w:tcBorders>
              <w:top w:val="nil" w:sz="6" w:space="0" w:color="auto"/>
              <w:left w:val="single" w:sz="4" w:space="0" w:color="000000"/>
              <w:bottom w:val="single" w:sz="4" w:space="0" w:color="000000"/>
              <w:right w:val="single" w:sz="4" w:space="0" w:color="000000"/>
            </w:tcBorders>
          </w:tcPr>
          <w:p>
            <w:pPr/>
          </w:p>
        </w:tc>
        <w:tc>
          <w:tcPr>
            <w:tcW w:w="1716" w:type="dxa"/>
            <w:tcBorders>
              <w:top w:val="nil" w:sz="6" w:space="0" w:color="auto"/>
              <w:left w:val="single" w:sz="4" w:space="0" w:color="000000"/>
              <w:bottom w:val="single" w:sz="4" w:space="0" w:color="000000"/>
              <w:right w:val="single" w:sz="4" w:space="0" w:color="000000"/>
            </w:tcBorders>
          </w:tcPr>
          <w:p>
            <w:pPr/>
          </w:p>
        </w:tc>
        <w:tc>
          <w:tcPr>
            <w:tcW w:w="1516" w:type="dxa"/>
            <w:tcBorders>
              <w:top w:val="nil" w:sz="6" w:space="0" w:color="auto"/>
              <w:left w:val="single" w:sz="4" w:space="0" w:color="000000"/>
              <w:bottom w:val="single" w:sz="4" w:space="0" w:color="000000"/>
              <w:right w:val="single" w:sz="4" w:space="0" w:color="000000"/>
            </w:tcBorders>
          </w:tcPr>
          <w:p>
            <w:pPr/>
          </w:p>
        </w:tc>
        <w:tc>
          <w:tcPr>
            <w:tcW w:w="171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(3,200,000.00)</w:t>
            </w:r>
          </w:p>
        </w:tc>
        <w:tc>
          <w:tcPr>
            <w:tcW w:w="1516" w:type="dxa"/>
            <w:tcBorders>
              <w:top w:val="nil" w:sz="6" w:space="0" w:color="auto"/>
              <w:left w:val="single" w:sz="4" w:space="0" w:color="000000"/>
              <w:bottom w:val="single" w:sz="4" w:space="0" w:color="000000"/>
              <w:right w:val="single" w:sz="4" w:space="0" w:color="000000"/>
            </w:tcBorders>
          </w:tcPr>
          <w:p>
            <w:pP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2" w:right="0"/>
              <w:jc w:val="left"/>
              <w:rPr>
                <w:rFonts w:ascii="宋体" w:hAnsi="宋体" w:cs="宋体" w:eastAsia="宋体" w:hint="default"/>
                <w:sz w:val="20"/>
                <w:szCs w:val="20"/>
              </w:rPr>
            </w:pPr>
            <w:r>
              <w:rPr>
                <w:rFonts w:ascii="宋体"/>
                <w:sz w:val="20"/>
              </w:rPr>
              <w:t>(3,200,000.00)</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股东权益内部结转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64,000,000.00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(38,400,000.00)</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(25,600,000.00)</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资本公积转增股本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38,400,000.00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(38,400,000.00)</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盈余公积转增股本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盈余公积弥补亏损</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99"/>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25,600,000.00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(25,600,000.00)</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1"/>
                <w:sz w:val="20"/>
                <w:szCs w:val="20"/>
              </w:rPr>
              <w:t> </w:t>
            </w:r>
            <w:r>
              <w:rPr>
                <w:rFonts w:ascii="宋体" w:hAnsi="宋体" w:cs="宋体" w:eastAsia="宋体" w:hint="default"/>
                <w:sz w:val="20"/>
                <w:szCs w:val="20"/>
              </w:rPr>
              <w:t>日年末余额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128,000,000.00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234,226,390.14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36,091,777.26</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246,789,256.14</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sz w:val="20"/>
              </w:rPr>
              <w:t>12,304,400.06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0"/>
                <w:szCs w:val="20"/>
              </w:rPr>
            </w:pPr>
            <w:r>
              <w:rPr>
                <w:rFonts w:ascii="宋体"/>
                <w:sz w:val="20"/>
              </w:rPr>
              <w:t>657,411,823.60</w:t>
            </w:r>
          </w:p>
        </w:tc>
      </w:tr>
    </w:tbl>
    <w:p>
      <w:pPr>
        <w:tabs>
          <w:tab w:pos="4203" w:val="left" w:leader="none"/>
          <w:tab w:pos="9423" w:val="left" w:leader="none"/>
        </w:tabs>
        <w:spacing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主管会计负责人：  龙浩</w:t>
        <w:tab/>
        <w:t>会计机构负责人：吴彩霞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8"/>
        <w:ind w:left="6014" w:right="5128"/>
        <w:jc w:val="center"/>
        <w:rPr>
          <w:b w:val="0"/>
          <w:bCs w:val="0"/>
        </w:rPr>
      </w:pPr>
      <w:r>
        <w:rPr/>
        <w:t>母公司所有者权益变动表</w:t>
      </w:r>
      <w:r>
        <w:rPr>
          <w:b w:val="0"/>
          <w:bCs w:val="0"/>
        </w:rPr>
      </w:r>
    </w:p>
    <w:p>
      <w:pPr>
        <w:tabs>
          <w:tab w:pos="6993" w:val="left" w:leader="none"/>
          <w:tab w:pos="12258" w:val="left" w:leader="none"/>
        </w:tabs>
        <w:spacing w:before="223"/>
        <w:ind w:left="153" w:right="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tab/>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tab/>
        <w:t>单位</w:t>
      </w:r>
      <w:r>
        <w:rPr>
          <w:rFonts w:ascii="宋体" w:hAnsi="宋体" w:cs="宋体" w:eastAsia="宋体" w:hint="default"/>
          <w:spacing w:val="-90"/>
          <w:sz w:val="18"/>
          <w:szCs w:val="18"/>
        </w:rPr>
        <w:t>：</w:t>
      </w:r>
      <w:r>
        <w:rPr>
          <w:rFonts w:ascii="宋体" w:hAnsi="宋体" w:cs="宋体" w:eastAsia="宋体" w:hint="default"/>
          <w:sz w:val="18"/>
          <w:szCs w:val="18"/>
        </w:rPr>
        <w:t>（人民币）元</w:t>
      </w:r>
    </w:p>
    <w:p>
      <w:pPr>
        <w:spacing w:line="240" w:lineRule="auto" w:before="0"/>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4631"/>
        <w:gridCol w:w="1616"/>
        <w:gridCol w:w="1716"/>
        <w:gridCol w:w="1524"/>
        <w:gridCol w:w="1944"/>
        <w:gridCol w:w="1944"/>
      </w:tblGrid>
      <w:tr>
        <w:trPr>
          <w:trHeight w:val="610"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07"/>
              <w:jc w:val="right"/>
              <w:rPr>
                <w:rFonts w:ascii="宋体" w:hAnsi="宋体" w:cs="宋体" w:eastAsia="宋体" w:hint="default"/>
                <w:sz w:val="20"/>
                <w:szCs w:val="20"/>
              </w:rPr>
            </w:pPr>
            <w:r>
              <w:rPr>
                <w:rFonts w:ascii="宋体" w:hAnsi="宋体" w:cs="宋体" w:eastAsia="宋体" w:hint="default"/>
                <w:b/>
                <w:bCs/>
                <w:sz w:val="20"/>
                <w:szCs w:val="20"/>
              </w:rPr>
              <w:t>项目</w:t>
            </w:r>
            <w:r>
              <w:rPr>
                <w:rFonts w:ascii="宋体" w:hAnsi="宋体" w:cs="宋体" w:eastAsia="宋体" w:hint="default"/>
                <w:sz w:val="20"/>
                <w:szCs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8" w:right="0"/>
              <w:jc w:val="center"/>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01"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406"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515"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313" w:right="0"/>
              <w:jc w:val="left"/>
              <w:rPr>
                <w:rFonts w:ascii="宋体" w:hAnsi="宋体" w:cs="宋体" w:eastAsia="宋体" w:hint="default"/>
                <w:sz w:val="20"/>
                <w:szCs w:val="20"/>
              </w:rPr>
            </w:pPr>
            <w:r>
              <w:rPr>
                <w:rFonts w:ascii="宋体" w:hAnsi="宋体" w:cs="宋体" w:eastAsia="宋体" w:hint="default"/>
                <w:b/>
                <w:bCs/>
                <w:sz w:val="20"/>
                <w:szCs w:val="20"/>
              </w:rPr>
              <w:t>所有者权益合计</w:t>
            </w:r>
            <w:r>
              <w:rPr>
                <w:rFonts w:ascii="宋体" w:hAnsi="宋体" w:cs="宋体" w:eastAsia="宋体" w:hint="default"/>
                <w:sz w:val="20"/>
                <w:szCs w:val="20"/>
              </w:rPr>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1"/>
                <w:sz w:val="20"/>
                <w:szCs w:val="20"/>
              </w:rPr>
              <w:t> </w:t>
            </w:r>
            <w:r>
              <w:rPr>
                <w:rFonts w:ascii="宋体" w:hAnsi="宋体" w:cs="宋体" w:eastAsia="宋体" w:hint="default"/>
                <w:sz w:val="20"/>
                <w:szCs w:val="20"/>
              </w:rPr>
              <w:t>日年末余额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7" w:right="0"/>
              <w:jc w:val="center"/>
              <w:rPr>
                <w:rFonts w:ascii="宋体" w:hAnsi="宋体" w:cs="宋体" w:eastAsia="宋体" w:hint="default"/>
                <w:sz w:val="20"/>
                <w:szCs w:val="20"/>
              </w:rPr>
            </w:pPr>
            <w:r>
              <w:rPr>
                <w:rFonts w:ascii="宋体"/>
                <w:sz w:val="20"/>
              </w:rPr>
              <w:t>48,000,000.00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2,741,307.14</w:t>
            </w:r>
            <w:r>
              <w:rPr>
                <w:rFonts w:ascii="宋体"/>
                <w:sz w:val="20"/>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15,026,270.18</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30" w:right="0"/>
              <w:jc w:val="left"/>
              <w:rPr>
                <w:rFonts w:ascii="宋体" w:hAnsi="宋体" w:cs="宋体" w:eastAsia="宋体" w:hint="default"/>
                <w:sz w:val="20"/>
                <w:szCs w:val="20"/>
              </w:rPr>
            </w:pPr>
            <w:r>
              <w:rPr>
                <w:rFonts w:ascii="宋体"/>
                <w:sz w:val="20"/>
              </w:rPr>
              <w:t>80,288,481.94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146,056,059.26</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会计政策变更</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7"/>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前期差错更正</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7"/>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首次执行企业会计准则</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日年初余额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8" w:right="0"/>
              <w:jc w:val="center"/>
              <w:rPr>
                <w:rFonts w:ascii="宋体" w:hAnsi="宋体" w:cs="宋体" w:eastAsia="宋体" w:hint="default"/>
                <w:sz w:val="20"/>
                <w:szCs w:val="20"/>
              </w:rPr>
            </w:pPr>
            <w:r>
              <w:rPr>
                <w:rFonts w:ascii="宋体"/>
                <w:sz w:val="20"/>
              </w:rPr>
              <w:t>48,000,000.00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2,741,307.14</w:t>
            </w:r>
            <w:r>
              <w:rPr>
                <w:rFonts w:ascii="宋体"/>
                <w:sz w:val="20"/>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15,026,270.18</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30" w:right="0"/>
              <w:jc w:val="left"/>
              <w:rPr>
                <w:rFonts w:ascii="宋体" w:hAnsi="宋体" w:cs="宋体" w:eastAsia="宋体" w:hint="default"/>
                <w:sz w:val="20"/>
                <w:szCs w:val="20"/>
              </w:rPr>
            </w:pPr>
            <w:r>
              <w:rPr>
                <w:rFonts w:ascii="宋体"/>
                <w:sz w:val="20"/>
              </w:rPr>
              <w:t>80,288,481.94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146,056,059.26</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8"/>
                <w:sz w:val="20"/>
                <w:szCs w:val="20"/>
              </w:rPr>
              <w:t> </w:t>
            </w:r>
            <w:r>
              <w:rPr>
                <w:rFonts w:ascii="宋体" w:hAnsi="宋体" w:cs="宋体" w:eastAsia="宋体" w:hint="default"/>
                <w:sz w:val="20"/>
                <w:szCs w:val="20"/>
              </w:rPr>
              <w:t>年度增减变动额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98" w:right="0"/>
              <w:jc w:val="center"/>
              <w:rPr>
                <w:rFonts w:ascii="宋体" w:hAnsi="宋体" w:cs="宋体" w:eastAsia="宋体" w:hint="default"/>
                <w:sz w:val="20"/>
                <w:szCs w:val="20"/>
              </w:rPr>
            </w:pPr>
            <w:r>
              <w:rPr>
                <w:rFonts w:ascii="宋体"/>
                <w:sz w:val="20"/>
              </w:rPr>
              <w:t>16,000,000.00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269,885,083.00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8,268,343.84</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30" w:right="0"/>
              <w:jc w:val="left"/>
              <w:rPr>
                <w:rFonts w:ascii="宋体" w:hAnsi="宋体" w:cs="宋体" w:eastAsia="宋体" w:hint="default"/>
                <w:sz w:val="20"/>
                <w:szCs w:val="20"/>
              </w:rPr>
            </w:pPr>
            <w:r>
              <w:rPr>
                <w:rFonts w:ascii="宋体"/>
                <w:sz w:val="20"/>
              </w:rPr>
              <w:t>74,415,094.60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368,568,521.44</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30" w:right="0"/>
              <w:jc w:val="left"/>
              <w:rPr>
                <w:rFonts w:ascii="宋体" w:hAnsi="宋体" w:cs="宋体" w:eastAsia="宋体" w:hint="default"/>
                <w:sz w:val="20"/>
                <w:szCs w:val="20"/>
              </w:rPr>
            </w:pPr>
            <w:r>
              <w:rPr>
                <w:rFonts w:ascii="宋体"/>
                <w:sz w:val="20"/>
              </w:rPr>
              <w:t>82,683,438.44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82,683,438.44</w:t>
            </w:r>
            <w:r>
              <w:rPr>
                <w:rFonts w:ascii="宋体"/>
                <w:sz w:val="20"/>
              </w:rPr>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113"/>
              <w:jc w:val="right"/>
              <w:rPr>
                <w:rFonts w:ascii="宋体" w:hAnsi="宋体" w:cs="宋体" w:eastAsia="宋体" w:hint="default"/>
                <w:sz w:val="20"/>
                <w:szCs w:val="20"/>
              </w:rPr>
            </w:pPr>
            <w:r>
              <w:rPr>
                <w:rFonts w:ascii="宋体" w:hAnsi="宋体" w:cs="宋体" w:eastAsia="宋体" w:hint="default"/>
                <w:spacing w:val="-1"/>
                <w:sz w:val="20"/>
                <w:szCs w:val="20"/>
              </w:rPr>
              <w:t>直接计入股东权益的利得</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bl>
    <w:p>
      <w:pPr>
        <w:spacing w:after="0" w:line="256" w:lineRule="exact"/>
        <w:jc w:val="right"/>
        <w:rPr>
          <w:rFonts w:ascii="宋体" w:hAnsi="宋体" w:cs="宋体" w:eastAsia="宋体" w:hint="default"/>
          <w:sz w:val="20"/>
          <w:szCs w:val="20"/>
        </w:rPr>
        <w:sectPr>
          <w:pgSz w:w="16840" w:h="11910" w:orient="landscape"/>
          <w:pgMar w:header="877" w:footer="938" w:top="1100" w:bottom="112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4631"/>
        <w:gridCol w:w="1616"/>
        <w:gridCol w:w="1716"/>
        <w:gridCol w:w="1524"/>
        <w:gridCol w:w="1944"/>
        <w:gridCol w:w="1944"/>
      </w:tblGrid>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可供出售金融资产公允价值变动净额</w:t>
            </w:r>
          </w:p>
        </w:tc>
        <w:tc>
          <w:tcPr>
            <w:tcW w:w="1616" w:type="dxa"/>
            <w:tcBorders>
              <w:top w:val="nil" w:sz="6" w:space="0" w:color="auto"/>
              <w:left w:val="single" w:sz="4" w:space="0" w:color="000000"/>
              <w:bottom w:val="single" w:sz="4" w:space="0" w:color="000000"/>
              <w:right w:val="single" w:sz="4" w:space="0" w:color="000000"/>
            </w:tcBorders>
          </w:tcPr>
          <w:p>
            <w:pPr/>
          </w:p>
        </w:tc>
        <w:tc>
          <w:tcPr>
            <w:tcW w:w="1716" w:type="dxa"/>
            <w:tcBorders>
              <w:top w:val="nil" w:sz="6" w:space="0" w:color="auto"/>
              <w:left w:val="single" w:sz="4" w:space="0" w:color="000000"/>
              <w:bottom w:val="single" w:sz="4" w:space="0" w:color="000000"/>
              <w:right w:val="single" w:sz="4" w:space="0" w:color="000000"/>
            </w:tcBorders>
          </w:tcPr>
          <w:p>
            <w:pPr/>
          </w:p>
        </w:tc>
        <w:tc>
          <w:tcPr>
            <w:tcW w:w="1524" w:type="dxa"/>
            <w:tcBorders>
              <w:top w:val="nil" w:sz="6" w:space="0" w:color="auto"/>
              <w:left w:val="single" w:sz="4" w:space="0" w:color="000000"/>
              <w:bottom w:val="single" w:sz="4" w:space="0" w:color="000000"/>
              <w:right w:val="single" w:sz="4" w:space="0" w:color="000000"/>
            </w:tcBorders>
          </w:tcPr>
          <w:p>
            <w:pPr/>
          </w:p>
        </w:tc>
        <w:tc>
          <w:tcPr>
            <w:tcW w:w="1944" w:type="dxa"/>
            <w:tcBorders>
              <w:top w:val="nil" w:sz="6" w:space="0" w:color="auto"/>
              <w:left w:val="single" w:sz="4" w:space="0" w:color="000000"/>
              <w:bottom w:val="single" w:sz="4" w:space="0" w:color="000000"/>
              <w:right w:val="single" w:sz="4" w:space="0" w:color="000000"/>
            </w:tcBorders>
          </w:tcPr>
          <w:p>
            <w:pPr/>
          </w:p>
        </w:tc>
        <w:tc>
          <w:tcPr>
            <w:tcW w:w="1944"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128"/>
              <w:jc w:val="right"/>
              <w:rPr>
                <w:rFonts w:ascii="宋体" w:hAnsi="宋体" w:cs="宋体" w:eastAsia="宋体" w:hint="default"/>
                <w:sz w:val="20"/>
                <w:szCs w:val="20"/>
              </w:rPr>
            </w:pPr>
            <w:r>
              <w:rPr>
                <w:rFonts w:ascii="宋体"/>
                <w:w w:val="100"/>
                <w:sz w:val="20"/>
              </w:rPr>
              <w:t>-</w:t>
            </w:r>
          </w:p>
        </w:tc>
      </w:tr>
      <w:tr>
        <w:trPr>
          <w:trHeight w:val="635"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权益法下被投资单位其他所有者权益变动的影</w:t>
            </w:r>
          </w:p>
          <w:p>
            <w:pPr>
              <w:pStyle w:val="TableParagraph"/>
              <w:spacing w:line="240" w:lineRule="auto" w:before="50"/>
              <w:ind w:left="104" w:right="0"/>
              <w:jc w:val="left"/>
              <w:rPr>
                <w:rFonts w:ascii="宋体" w:hAnsi="宋体" w:cs="宋体" w:eastAsia="宋体" w:hint="default"/>
                <w:sz w:val="20"/>
                <w:szCs w:val="20"/>
              </w:rPr>
            </w:pPr>
            <w:r>
              <w:rPr>
                <w:rFonts w:ascii="宋体" w:hAnsi="宋体" w:cs="宋体" w:eastAsia="宋体" w:hint="default"/>
                <w:w w:val="100"/>
                <w:sz w:val="20"/>
                <w:szCs w:val="20"/>
              </w:rPr>
              <w:t>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29"/>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与计入股东权益项目相关的所得税影响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7"/>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100"/>
                <w:sz w:val="20"/>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w w:val="100"/>
                <w:sz w:val="20"/>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股东投入和减少资本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16,000,000.00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269,885,083.00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285,885,083.00</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股东投入资本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16,000,000.00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269,885,083.00</w:t>
            </w: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285,885,083.00</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股份支付计入股东权益的金额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利润分配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8,268,343.84</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(8,268,343.84)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提取盈余公积</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8,268,343.84</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(8,268,343.84)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7"/>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对股东的分配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7"/>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股东权益内部结转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9"/>
              <w:jc w:val="right"/>
              <w:rPr>
                <w:rFonts w:ascii="宋体" w:hAnsi="宋体" w:cs="宋体" w:eastAsia="宋体" w:hint="default"/>
                <w:sz w:val="20"/>
                <w:szCs w:val="20"/>
              </w:rPr>
            </w:pPr>
            <w:r>
              <w:rPr>
                <w:rFonts w:ascii="宋体"/>
                <w:w w:val="100"/>
                <w:sz w:val="20"/>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9"/>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资本公积转增股本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盈余公积转增股本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盈余公积弥补亏损</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7"/>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9"/>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1"/>
                <w:sz w:val="20"/>
                <w:szCs w:val="20"/>
              </w:rPr>
              <w:t> </w:t>
            </w:r>
            <w:r>
              <w:rPr>
                <w:rFonts w:ascii="宋体" w:hAnsi="宋体" w:cs="宋体" w:eastAsia="宋体" w:hint="default"/>
                <w:sz w:val="20"/>
                <w:szCs w:val="20"/>
              </w:rPr>
              <w:t>日年末余额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64,000,000.00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272,626,390.14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23,294,614.02</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154,703,576.54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514,624,580.70</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日年初余额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64,000,000.00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272,626,390.14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23,294,614.02</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3"/>
              <w:jc w:val="right"/>
              <w:rPr>
                <w:rFonts w:ascii="宋体" w:hAnsi="宋体" w:cs="宋体" w:eastAsia="宋体" w:hint="default"/>
                <w:sz w:val="20"/>
                <w:szCs w:val="20"/>
              </w:rPr>
            </w:pPr>
            <w:r>
              <w:rPr>
                <w:rFonts w:ascii="宋体"/>
                <w:spacing w:val="-1"/>
                <w:sz w:val="20"/>
              </w:rPr>
              <w:t>154,703,576.54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514,624,580.70</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8"/>
                <w:sz w:val="20"/>
                <w:szCs w:val="20"/>
              </w:rPr>
              <w:t> </w:t>
            </w:r>
            <w:r>
              <w:rPr>
                <w:rFonts w:ascii="宋体" w:hAnsi="宋体" w:cs="宋体" w:eastAsia="宋体" w:hint="default"/>
                <w:sz w:val="20"/>
                <w:szCs w:val="20"/>
              </w:rPr>
              <w:t>年度增减变动额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64,000,000.00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(38,400,000.00)</w:t>
            </w:r>
            <w:r>
              <w:rPr>
                <w:rFonts w:ascii="宋体"/>
                <w:sz w:val="20"/>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12,797,163.24</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86,374,469.23</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124,771,632.47</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127,971,632.47</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127,971,632.47</w:t>
            </w:r>
            <w:r>
              <w:rPr>
                <w:rFonts w:ascii="宋体"/>
                <w:sz w:val="20"/>
              </w:rPr>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直接计入股东权益的利得</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可供出售金融资产公允价值变动净额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bl>
    <w:p>
      <w:pPr>
        <w:spacing w:after="0" w:line="256" w:lineRule="exact"/>
        <w:jc w:val="right"/>
        <w:rPr>
          <w:rFonts w:ascii="宋体" w:hAnsi="宋体" w:cs="宋体" w:eastAsia="宋体" w:hint="default"/>
          <w:sz w:val="20"/>
          <w:szCs w:val="20"/>
        </w:rPr>
        <w:sectPr>
          <w:pgSz w:w="16840" w:h="11910" w:orient="landscape"/>
          <w:pgMar w:header="877" w:footer="938" w:top="1100" w:bottom="112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4631"/>
        <w:gridCol w:w="1616"/>
        <w:gridCol w:w="1716"/>
        <w:gridCol w:w="1524"/>
        <w:gridCol w:w="1944"/>
        <w:gridCol w:w="1944"/>
      </w:tblGrid>
      <w:tr>
        <w:trPr>
          <w:trHeight w:val="634"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权益法下被投资单位其他所有者权益变动的影</w:t>
            </w:r>
          </w:p>
          <w:p>
            <w:pPr>
              <w:pStyle w:val="TableParagraph"/>
              <w:spacing w:line="240" w:lineRule="auto" w:before="50"/>
              <w:ind w:left="104" w:right="0"/>
              <w:jc w:val="left"/>
              <w:rPr>
                <w:rFonts w:ascii="宋体" w:hAnsi="宋体" w:cs="宋体" w:eastAsia="宋体" w:hint="default"/>
                <w:sz w:val="20"/>
                <w:szCs w:val="20"/>
              </w:rPr>
            </w:pPr>
            <w:r>
              <w:rPr>
                <w:rFonts w:ascii="宋体" w:hAnsi="宋体" w:cs="宋体" w:eastAsia="宋体" w:hint="default"/>
                <w:w w:val="100"/>
                <w:sz w:val="20"/>
                <w:szCs w:val="20"/>
              </w:rPr>
              <w:t>响</w:t>
            </w:r>
          </w:p>
        </w:tc>
        <w:tc>
          <w:tcPr>
            <w:tcW w:w="1616" w:type="dxa"/>
            <w:tcBorders>
              <w:top w:val="nil" w:sz="6" w:space="0" w:color="auto"/>
              <w:left w:val="single" w:sz="4" w:space="0" w:color="000000"/>
              <w:bottom w:val="single" w:sz="4" w:space="0" w:color="000000"/>
              <w:right w:val="single" w:sz="4" w:space="0" w:color="000000"/>
            </w:tcBorders>
          </w:tcPr>
          <w:p>
            <w:pPr/>
          </w:p>
        </w:tc>
        <w:tc>
          <w:tcPr>
            <w:tcW w:w="1716" w:type="dxa"/>
            <w:tcBorders>
              <w:top w:val="nil" w:sz="6" w:space="0" w:color="auto"/>
              <w:left w:val="single" w:sz="4" w:space="0" w:color="000000"/>
              <w:bottom w:val="single" w:sz="4" w:space="0" w:color="000000"/>
              <w:right w:val="single" w:sz="4" w:space="0" w:color="000000"/>
            </w:tcBorders>
          </w:tcPr>
          <w:p>
            <w:pPr/>
          </w:p>
        </w:tc>
        <w:tc>
          <w:tcPr>
            <w:tcW w:w="1524" w:type="dxa"/>
            <w:tcBorders>
              <w:top w:val="nil" w:sz="6" w:space="0" w:color="auto"/>
              <w:left w:val="single" w:sz="4" w:space="0" w:color="000000"/>
              <w:bottom w:val="single" w:sz="4" w:space="0" w:color="000000"/>
              <w:right w:val="single" w:sz="4" w:space="0" w:color="000000"/>
            </w:tcBorders>
          </w:tcPr>
          <w:p>
            <w:pPr/>
          </w:p>
        </w:tc>
        <w:tc>
          <w:tcPr>
            <w:tcW w:w="1944" w:type="dxa"/>
            <w:tcBorders>
              <w:top w:val="nil" w:sz="6" w:space="0" w:color="auto"/>
              <w:left w:val="single" w:sz="4" w:space="0" w:color="000000"/>
              <w:bottom w:val="single" w:sz="4" w:space="0" w:color="000000"/>
              <w:right w:val="single" w:sz="4" w:space="0" w:color="000000"/>
            </w:tcBorders>
          </w:tcPr>
          <w:p>
            <w:pPr/>
          </w:p>
        </w:tc>
        <w:tc>
          <w:tcPr>
            <w:tcW w:w="19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5"/>
              <w:ind w:right="129"/>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与计入股东权益项目相关的所得税影响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7"/>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小计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w w:val="100"/>
                <w:sz w:val="20"/>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w w:val="100"/>
                <w:sz w:val="20"/>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股东投入和减少资本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99"/>
              <w:jc w:val="right"/>
              <w:rPr>
                <w:rFonts w:ascii="宋体" w:hAnsi="宋体" w:cs="宋体" w:eastAsia="宋体" w:hint="default"/>
                <w:sz w:val="20"/>
                <w:szCs w:val="20"/>
              </w:rPr>
            </w:pPr>
            <w:r>
              <w:rPr>
                <w:rFonts w:ascii="宋体"/>
                <w:w w:val="100"/>
                <w:sz w:val="20"/>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w w:val="100"/>
                <w:sz w:val="20"/>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9"/>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股东投入资本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7"/>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股份支付计入股东权益的金额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7"/>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利润分配</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1"/>
              <w:jc w:val="right"/>
              <w:rPr>
                <w:rFonts w:ascii="宋体" w:hAnsi="宋体" w:cs="宋体" w:eastAsia="宋体" w:hint="default"/>
                <w:sz w:val="20"/>
                <w:szCs w:val="20"/>
              </w:rPr>
            </w:pPr>
            <w:r>
              <w:rPr>
                <w:rFonts w:ascii="宋体"/>
                <w:w w:val="100"/>
                <w:sz w:val="20"/>
              </w:rPr>
              <w:t>-</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200"/>
              <w:jc w:val="right"/>
              <w:rPr>
                <w:rFonts w:ascii="宋体" w:hAnsi="宋体" w:cs="宋体" w:eastAsia="宋体" w:hint="default"/>
                <w:sz w:val="20"/>
                <w:szCs w:val="20"/>
              </w:rPr>
            </w:pPr>
            <w:r>
              <w:rPr>
                <w:rFonts w:ascii="宋体"/>
                <w:w w:val="100"/>
                <w:sz w:val="20"/>
              </w:rPr>
              <w:t>-</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12,797,163.24</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(15,997,163.24)</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(3,200,000.00)</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提取盈余公积</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12,797,163.24</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(12,797,163.24)</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7"/>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对股东的分配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(3,200,000.00)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(3,200,000.00)</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7"/>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04" w:right="0"/>
              <w:jc w:val="left"/>
              <w:rPr>
                <w:rFonts w:ascii="宋体" w:hAnsi="宋体" w:cs="宋体" w:eastAsia="宋体" w:hint="default"/>
                <w:sz w:val="20"/>
                <w:szCs w:val="20"/>
              </w:rPr>
            </w:pPr>
            <w:r>
              <w:rPr>
                <w:rFonts w:ascii="宋体" w:hAnsi="宋体" w:cs="宋体" w:eastAsia="宋体" w:hint="default"/>
                <w:sz w:val="20"/>
                <w:szCs w:val="20"/>
              </w:rPr>
              <w:t>所有者权益内部结转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64,000,000.00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(38,400,000.00)</w:t>
            </w:r>
            <w:r>
              <w:rPr>
                <w:rFonts w:ascii="宋体"/>
                <w:sz w:val="20"/>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02" w:right="0"/>
              <w:jc w:val="left"/>
              <w:rPr>
                <w:rFonts w:ascii="宋体" w:hAnsi="宋体" w:cs="宋体" w:eastAsia="宋体" w:hint="default"/>
                <w:sz w:val="20"/>
                <w:szCs w:val="20"/>
              </w:rPr>
            </w:pPr>
            <w:r>
              <w:rPr>
                <w:rFonts w:ascii="宋体"/>
                <w:w w:val="100"/>
                <w:sz w:val="20"/>
              </w:rPr>
              <w:t>-</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(25,600,000.00)</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4" w:right="0"/>
              <w:jc w:val="left"/>
              <w:rPr>
                <w:rFonts w:ascii="宋体" w:hAnsi="宋体" w:cs="宋体" w:eastAsia="宋体" w:hint="default"/>
                <w:sz w:val="20"/>
                <w:szCs w:val="20"/>
              </w:rPr>
            </w:pPr>
            <w:r>
              <w:rPr>
                <w:rFonts w:ascii="宋体" w:hAnsi="宋体" w:cs="宋体" w:eastAsia="宋体" w:hint="default"/>
                <w:sz w:val="20"/>
                <w:szCs w:val="20"/>
              </w:rPr>
              <w:t>资本公积转增股本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38,400,000.00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(38,400,000.00)</w:t>
            </w:r>
            <w:r>
              <w:rPr>
                <w:rFonts w:ascii="宋体"/>
                <w:sz w:val="20"/>
              </w:rPr>
            </w: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盈余公积转增股本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盈余公积弥补亏损</w:t>
            </w: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505"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25,600,000.00</w:t>
            </w:r>
            <w:r>
              <w:rPr>
                <w:rFonts w:ascii="宋体"/>
                <w:sz w:val="20"/>
              </w:rPr>
            </w: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2"/>
              <w:jc w:val="right"/>
              <w:rPr>
                <w:rFonts w:ascii="宋体" w:hAnsi="宋体" w:cs="宋体" w:eastAsia="宋体" w:hint="default"/>
                <w:sz w:val="20"/>
                <w:szCs w:val="20"/>
              </w:rPr>
            </w:pPr>
            <w:r>
              <w:rPr>
                <w:rFonts w:ascii="宋体"/>
                <w:spacing w:val="-1"/>
                <w:sz w:val="20"/>
              </w:rPr>
              <w:t>(25,600,000.00)</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2" w:hRule="exact"/>
        </w:trPr>
        <w:tc>
          <w:tcPr>
            <w:tcW w:w="463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716"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28"/>
              <w:jc w:val="right"/>
              <w:rPr>
                <w:rFonts w:ascii="宋体" w:hAnsi="宋体" w:cs="宋体" w:eastAsia="宋体" w:hint="default"/>
                <w:sz w:val="20"/>
                <w:szCs w:val="20"/>
              </w:rPr>
            </w:pPr>
            <w:r>
              <w:rPr>
                <w:rFonts w:ascii="宋体"/>
                <w:w w:val="100"/>
                <w:sz w:val="20"/>
              </w:rPr>
              <w:t>-</w:t>
            </w:r>
          </w:p>
        </w:tc>
      </w:tr>
      <w:tr>
        <w:trPr>
          <w:trHeight w:val="323"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4" w:right="0"/>
              <w:jc w:val="left"/>
              <w:rPr>
                <w:rFonts w:ascii="宋体" w:hAnsi="宋体" w:cs="宋体" w:eastAsia="宋体" w:hint="default"/>
                <w:sz w:val="20"/>
                <w:szCs w:val="20"/>
              </w:rPr>
            </w:pPr>
            <w:r>
              <w:rPr>
                <w:rFonts w:ascii="宋体" w:hAnsi="宋体" w:cs="宋体" w:eastAsia="宋体" w:hint="default"/>
                <w:sz w:val="20"/>
                <w:szCs w:val="20"/>
              </w:rPr>
              <w:t>2008</w:t>
            </w:r>
            <w:r>
              <w:rPr>
                <w:rFonts w:ascii="宋体" w:hAnsi="宋体" w:cs="宋体" w:eastAsia="宋体" w:hint="default"/>
                <w:spacing w:val="-52"/>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宋体" w:hAnsi="宋体" w:cs="宋体" w:eastAsia="宋体" w:hint="default"/>
                <w:sz w:val="20"/>
                <w:szCs w:val="20"/>
              </w:rPr>
              <w:t>12</w:t>
            </w:r>
            <w:r>
              <w:rPr>
                <w:rFonts w:ascii="宋体" w:hAnsi="宋体" w:cs="宋体" w:eastAsia="宋体" w:hint="default"/>
                <w:spacing w:val="-52"/>
                <w:sz w:val="20"/>
                <w:szCs w:val="20"/>
              </w:rPr>
              <w:t> </w:t>
            </w:r>
            <w:r>
              <w:rPr>
                <w:rFonts w:ascii="宋体" w:hAnsi="宋体" w:cs="宋体" w:eastAsia="宋体" w:hint="default"/>
                <w:sz w:val="20"/>
                <w:szCs w:val="20"/>
              </w:rPr>
              <w:t>月</w:t>
            </w:r>
            <w:r>
              <w:rPr>
                <w:rFonts w:ascii="宋体" w:hAnsi="宋体" w:cs="宋体" w:eastAsia="宋体" w:hint="default"/>
                <w:spacing w:val="-52"/>
                <w:sz w:val="20"/>
                <w:szCs w:val="20"/>
              </w:rPr>
              <w:t> </w:t>
            </w:r>
            <w:r>
              <w:rPr>
                <w:rFonts w:ascii="宋体" w:hAnsi="宋体" w:cs="宋体" w:eastAsia="宋体" w:hint="default"/>
                <w:sz w:val="20"/>
                <w:szCs w:val="20"/>
              </w:rPr>
              <w:t>31</w:t>
            </w:r>
            <w:r>
              <w:rPr>
                <w:rFonts w:ascii="宋体" w:hAnsi="宋体" w:cs="宋体" w:eastAsia="宋体" w:hint="default"/>
                <w:spacing w:val="-51"/>
                <w:sz w:val="20"/>
                <w:szCs w:val="20"/>
              </w:rPr>
              <w:t> </w:t>
            </w:r>
            <w:r>
              <w:rPr>
                <w:rFonts w:ascii="宋体" w:hAnsi="宋体" w:cs="宋体" w:eastAsia="宋体" w:hint="default"/>
                <w:sz w:val="20"/>
                <w:szCs w:val="20"/>
              </w:rPr>
              <w:t>日年末余额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128,000,000.00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234,226,390.14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0"/>
              <w:jc w:val="right"/>
              <w:rPr>
                <w:rFonts w:ascii="宋体" w:hAnsi="宋体" w:cs="宋体" w:eastAsia="宋体" w:hint="default"/>
                <w:sz w:val="20"/>
                <w:szCs w:val="20"/>
              </w:rPr>
            </w:pPr>
            <w:r>
              <w:rPr>
                <w:rFonts w:ascii="宋体"/>
                <w:spacing w:val="-1"/>
                <w:sz w:val="20"/>
              </w:rPr>
              <w:t>36,091,777.26</w:t>
            </w:r>
            <w:r>
              <w:rPr>
                <w:rFonts w:ascii="宋体"/>
                <w:sz w:val="20"/>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241,078,045.77</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639,396,213.17</w:t>
            </w:r>
          </w:p>
        </w:tc>
      </w:tr>
    </w:tbl>
    <w:p>
      <w:pPr>
        <w:tabs>
          <w:tab w:pos="4203" w:val="left" w:leader="none"/>
          <w:tab w:pos="9423" w:val="left" w:leader="none"/>
        </w:tabs>
        <w:spacing w:before="51"/>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法定代表人：左强</w:t>
        <w:tab/>
        <w:t>主管会计负责人：  龙浩</w:t>
        <w:tab/>
        <w:t>会计机构负责人：吴彩霞</w:t>
      </w:r>
    </w:p>
    <w:p>
      <w:pPr>
        <w:spacing w:after="0"/>
        <w:jc w:val="left"/>
        <w:rPr>
          <w:rFonts w:ascii="宋体" w:hAnsi="宋体" w:cs="宋体" w:eastAsia="宋体" w:hint="default"/>
          <w:sz w:val="18"/>
          <w:szCs w:val="18"/>
        </w:rPr>
        <w:sectPr>
          <w:pgSz w:w="16840" w:h="11910" w:orient="landscape"/>
          <w:pgMar w:header="877" w:footer="938" w:top="1100" w:bottom="1120" w:left="980" w:right="9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line="424" w:lineRule="auto" w:before="1"/>
        <w:ind w:left="3074" w:right="3072" w:firstLine="0"/>
        <w:jc w:val="center"/>
        <w:rPr>
          <w:rFonts w:ascii="黑体" w:hAnsi="黑体" w:cs="黑体" w:eastAsia="黑体" w:hint="default"/>
          <w:sz w:val="32"/>
          <w:szCs w:val="32"/>
        </w:rPr>
      </w:pPr>
      <w:r>
        <w:rPr>
          <w:rFonts w:ascii="黑体" w:hAnsi="黑体" w:cs="黑体" w:eastAsia="黑体" w:hint="default"/>
          <w:b/>
          <w:bCs/>
          <w:spacing w:val="8"/>
          <w:w w:val="95"/>
          <w:sz w:val="32"/>
          <w:szCs w:val="32"/>
        </w:rPr>
        <w:t>荣信电力电子股份有限公司</w:t>
      </w:r>
      <w:r>
        <w:rPr>
          <w:rFonts w:ascii="黑体" w:hAnsi="黑体" w:cs="黑体" w:eastAsia="黑体" w:hint="default"/>
          <w:b/>
          <w:bCs/>
          <w:spacing w:val="20"/>
          <w:w w:val="95"/>
          <w:sz w:val="32"/>
          <w:szCs w:val="32"/>
        </w:rPr>
        <w:t> </w:t>
      </w:r>
      <w:r>
        <w:rPr>
          <w:rFonts w:ascii="黑体" w:hAnsi="黑体" w:cs="黑体" w:eastAsia="黑体" w:hint="default"/>
          <w:b/>
          <w:bCs/>
          <w:spacing w:val="8"/>
          <w:sz w:val="32"/>
          <w:szCs w:val="32"/>
        </w:rPr>
        <w:t>财务报表附注</w:t>
      </w:r>
      <w:r>
        <w:rPr>
          <w:rFonts w:ascii="黑体" w:hAnsi="黑体" w:cs="黑体" w:eastAsia="黑体" w:hint="default"/>
          <w:sz w:val="32"/>
          <w:szCs w:val="32"/>
        </w:rPr>
      </w:r>
    </w:p>
    <w:p>
      <w:pPr>
        <w:spacing w:before="120"/>
        <w:ind w:left="643" w:right="647" w:firstLine="0"/>
        <w:jc w:val="center"/>
        <w:rPr>
          <w:rFonts w:ascii="黑体" w:hAnsi="黑体" w:cs="黑体" w:eastAsia="黑体" w:hint="default"/>
          <w:sz w:val="21"/>
          <w:szCs w:val="21"/>
        </w:rPr>
      </w:pPr>
      <w:r>
        <w:rPr>
          <w:rFonts w:ascii="黑体" w:hAnsi="黑体" w:cs="黑体" w:eastAsia="黑体" w:hint="default"/>
          <w:b/>
          <w:bCs/>
          <w:spacing w:val="7"/>
          <w:sz w:val="21"/>
          <w:szCs w:val="21"/>
        </w:rPr>
        <w:t>二零零八年度</w:t>
      </w:r>
      <w:r>
        <w:rPr>
          <w:rFonts w:ascii="黑体" w:hAnsi="黑体" w:cs="黑体" w:eastAsia="黑体" w:hint="default"/>
          <w:spacing w:val="7"/>
          <w:sz w:val="21"/>
          <w:szCs w:val="21"/>
        </w:rPr>
      </w:r>
    </w:p>
    <w:p>
      <w:pPr>
        <w:spacing w:line="240" w:lineRule="auto" w:before="11"/>
        <w:rPr>
          <w:rFonts w:ascii="黑体" w:hAnsi="黑体" w:cs="黑体" w:eastAsia="黑体" w:hint="default"/>
          <w:b/>
          <w:bCs/>
          <w:sz w:val="18"/>
          <w:szCs w:val="18"/>
        </w:rPr>
      </w:pPr>
    </w:p>
    <w:p>
      <w:pPr>
        <w:spacing w:before="44"/>
        <w:ind w:left="0" w:right="148" w:firstLine="0"/>
        <w:jc w:val="right"/>
        <w:rPr>
          <w:rFonts w:ascii="宋体" w:hAnsi="宋体" w:cs="宋体" w:eastAsia="宋体" w:hint="default"/>
          <w:sz w:val="18"/>
          <w:szCs w:val="18"/>
        </w:rPr>
      </w:pPr>
      <w:r>
        <w:rPr>
          <w:rFonts w:ascii="宋体" w:hAnsi="宋体" w:cs="宋体" w:eastAsia="宋体" w:hint="default"/>
          <w:spacing w:val="7"/>
          <w:sz w:val="18"/>
          <w:szCs w:val="18"/>
        </w:rPr>
        <w:t>单位：人民币元</w:t>
      </w:r>
      <w:r>
        <w:rPr>
          <w:rFonts w:ascii="宋体" w:hAnsi="宋体" w:cs="宋体" w:eastAsia="宋体" w:hint="default"/>
          <w:sz w:val="18"/>
          <w:szCs w:val="18"/>
        </w:rPr>
      </w:r>
    </w:p>
    <w:p>
      <w:pPr>
        <w:spacing w:line="240" w:lineRule="auto" w:before="7"/>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0"/>
          <w:szCs w:val="10"/>
        </w:rPr>
      </w:pPr>
    </w:p>
    <w:p>
      <w:pPr>
        <w:pStyle w:val="Heading4"/>
        <w:spacing w:line="240" w:lineRule="auto"/>
        <w:ind w:left="154" w:right="0"/>
        <w:jc w:val="both"/>
        <w:rPr>
          <w:rFonts w:ascii="黑体" w:hAnsi="黑体" w:cs="黑体" w:eastAsia="黑体" w:hint="default"/>
          <w:b w:val="0"/>
          <w:bCs w:val="0"/>
        </w:rPr>
      </w:pPr>
      <w:r>
        <w:rPr>
          <w:rFonts w:ascii="黑体" w:hAnsi="黑体" w:cs="黑体" w:eastAsia="黑体" w:hint="default"/>
          <w:spacing w:val="4"/>
        </w:rPr>
        <w:t>一、</w:t>
      </w:r>
      <w:r>
        <w:rPr>
          <w:rFonts w:ascii="黑体" w:hAnsi="黑体" w:cs="黑体" w:eastAsia="黑体" w:hint="default"/>
          <w:spacing w:val="102"/>
        </w:rPr>
        <w:t> </w:t>
      </w:r>
      <w:r>
        <w:rPr>
          <w:rFonts w:ascii="黑体" w:hAnsi="黑体" w:cs="黑体" w:eastAsia="黑体" w:hint="default"/>
          <w:spacing w:val="8"/>
        </w:rPr>
        <w:t>公司基本情况</w:t>
      </w:r>
      <w:r>
        <w:rPr>
          <w:rFonts w:ascii="黑体" w:hAnsi="黑体" w:cs="黑体" w:eastAsia="黑体" w:hint="default"/>
          <w:b w:val="0"/>
          <w:bCs w:val="0"/>
        </w:rPr>
      </w:r>
    </w:p>
    <w:p>
      <w:pPr>
        <w:pStyle w:val="BodyText"/>
        <w:spacing w:line="314" w:lineRule="auto" w:before="215"/>
        <w:ind w:right="151" w:firstLine="495"/>
        <w:jc w:val="both"/>
      </w:pPr>
      <w:r>
        <w:rPr/>
        <w:t>本公司原名为“鞍山荣信电力电子有限公司”,系由鞍山市电子电力公司(以下简称“鞍</w:t>
      </w:r>
      <w:r>
        <w:rPr>
          <w:spacing w:val="7"/>
        </w:rPr>
        <w:t> </w:t>
      </w:r>
      <w:r>
        <w:rPr>
          <w:spacing w:val="9"/>
        </w:rPr>
        <w:t>山电子电力”)和辽宁科发实业公司(以下简称“辽宁科发”)在辽宁省鞍山市共同投资成</w:t>
      </w:r>
      <w:r>
        <w:rPr>
          <w:spacing w:val="-91"/>
        </w:rPr>
        <w:t> </w:t>
      </w:r>
      <w:r>
        <w:rPr>
          <w:spacing w:val="-91"/>
        </w:rPr>
      </w:r>
      <w:r>
        <w:rPr>
          <w:spacing w:val="6"/>
        </w:rPr>
        <w:t>立的有限责任公司，注册资本为</w:t>
      </w:r>
      <w:r>
        <w:rPr>
          <w:spacing w:val="-50"/>
        </w:rPr>
        <w:t> </w:t>
      </w:r>
      <w:r>
        <w:rPr>
          <w:spacing w:val="3"/>
        </w:rPr>
        <w:t>8,700,000.00</w:t>
      </w:r>
      <w:r>
        <w:rPr>
          <w:spacing w:val="-52"/>
        </w:rPr>
        <w:t> </w:t>
      </w:r>
      <w:r>
        <w:rPr>
          <w:spacing w:val="3"/>
        </w:rPr>
        <w:t>人民币元，于</w:t>
      </w:r>
      <w:r>
        <w:rPr>
          <w:spacing w:val="-50"/>
        </w:rPr>
        <w:t> </w:t>
      </w:r>
      <w:r>
        <w:rPr>
          <w:spacing w:val="2"/>
        </w:rPr>
        <w:t>1998</w:t>
      </w:r>
      <w:r>
        <w:rPr>
          <w:spacing w:val="-53"/>
        </w:rPr>
        <w:t> </w:t>
      </w:r>
      <w:r>
        <w:rPr/>
        <w:t>年</w:t>
      </w:r>
      <w:r>
        <w:rPr>
          <w:spacing w:val="-50"/>
        </w:rPr>
        <w:t> </w:t>
      </w:r>
      <w:r>
        <w:rPr/>
        <w:t>11</w:t>
      </w:r>
      <w:r>
        <w:rPr>
          <w:spacing w:val="-52"/>
        </w:rPr>
        <w:t> </w:t>
      </w:r>
      <w:r>
        <w:rPr/>
        <w:t>月</w:t>
      </w:r>
      <w:r>
        <w:rPr>
          <w:spacing w:val="-50"/>
        </w:rPr>
        <w:t> </w:t>
      </w:r>
      <w:r>
        <w:rPr/>
        <w:t>19</w:t>
      </w:r>
      <w:r>
        <w:rPr>
          <w:spacing w:val="-53"/>
        </w:rPr>
        <w:t> </w:t>
      </w:r>
      <w:r>
        <w:rPr>
          <w:spacing w:val="6"/>
        </w:rPr>
        <w:t>日领取了注</w:t>
      </w:r>
    </w:p>
    <w:p>
      <w:pPr>
        <w:pStyle w:val="BodyText"/>
        <w:spacing w:line="240" w:lineRule="auto" w:before="20"/>
        <w:ind w:right="0"/>
        <w:jc w:val="both"/>
      </w:pPr>
      <w:r>
        <w:rPr>
          <w:spacing w:val="5"/>
        </w:rPr>
        <w:t>册号为</w:t>
      </w:r>
      <w:r>
        <w:rPr>
          <w:spacing w:val="-45"/>
        </w:rPr>
        <w:t> </w:t>
      </w:r>
      <w:r>
        <w:rPr>
          <w:spacing w:val="2"/>
        </w:rPr>
        <w:t>11888731</w:t>
      </w:r>
      <w:r>
        <w:rPr>
          <w:spacing w:val="-47"/>
        </w:rPr>
        <w:t> </w:t>
      </w:r>
      <w:r>
        <w:rPr>
          <w:spacing w:val="7"/>
        </w:rPr>
        <w:t>的企业法人营业执照。</w:t>
      </w:r>
      <w:r>
        <w:rPr/>
      </w:r>
    </w:p>
    <w:p>
      <w:pPr>
        <w:spacing w:line="240" w:lineRule="auto" w:before="7"/>
        <w:rPr>
          <w:rFonts w:ascii="宋体" w:hAnsi="宋体" w:cs="宋体" w:eastAsia="宋体" w:hint="default"/>
          <w:sz w:val="16"/>
          <w:szCs w:val="16"/>
        </w:rPr>
      </w:pPr>
    </w:p>
    <w:p>
      <w:pPr>
        <w:pStyle w:val="BodyText"/>
        <w:spacing w:line="312" w:lineRule="auto"/>
        <w:ind w:left="153" w:right="121" w:firstLine="495"/>
        <w:jc w:val="both"/>
      </w:pPr>
      <w:r>
        <w:rPr>
          <w:spacing w:val="4"/>
        </w:rPr>
        <w:t>根据</w:t>
      </w:r>
      <w:r>
        <w:rPr>
          <w:spacing w:val="-23"/>
        </w:rPr>
        <w:t> </w:t>
      </w:r>
      <w:r>
        <w:rPr>
          <w:spacing w:val="2"/>
        </w:rPr>
        <w:t>2000</w:t>
      </w:r>
      <w:r>
        <w:rPr>
          <w:spacing w:val="-26"/>
        </w:rPr>
        <w:t> </w:t>
      </w:r>
      <w:r>
        <w:rPr/>
        <w:t>年</w:t>
      </w:r>
      <w:r>
        <w:rPr>
          <w:spacing w:val="-22"/>
        </w:rPr>
        <w:t> </w:t>
      </w:r>
      <w:r>
        <w:rPr/>
        <w:t>8</w:t>
      </w:r>
      <w:r>
        <w:rPr>
          <w:spacing w:val="-27"/>
        </w:rPr>
        <w:t> </w:t>
      </w:r>
      <w:r>
        <w:rPr>
          <w:spacing w:val="7"/>
        </w:rPr>
        <w:t>月公司第一次临时股东大会批准，本公司吸收深圳市深港产学研创业</w:t>
      </w:r>
      <w:r>
        <w:rPr>
          <w:spacing w:val="8"/>
        </w:rPr>
        <w:t> </w:t>
      </w:r>
      <w:r>
        <w:rPr>
          <w:spacing w:val="30"/>
        </w:rPr>
        <w:t>投资有限公司(</w:t>
      </w:r>
      <w:r>
        <w:rPr>
          <w:spacing w:val="-84"/>
        </w:rPr>
        <w:t> </w:t>
      </w:r>
      <w:r>
        <w:rPr>
          <w:spacing w:val="32"/>
        </w:rPr>
        <w:t>以下简称“深港产学研”)</w:t>
      </w:r>
      <w:r>
        <w:rPr>
          <w:spacing w:val="-83"/>
        </w:rPr>
        <w:t> </w:t>
      </w:r>
      <w:r>
        <w:rPr>
          <w:spacing w:val="32"/>
        </w:rPr>
        <w:t>、左强等五位新股东，公司注册资本由</w:t>
      </w:r>
      <w:r>
        <w:rPr>
          <w:spacing w:val="-113"/>
        </w:rPr>
        <w:t> </w:t>
      </w:r>
      <w:r>
        <w:rPr>
          <w:spacing w:val="2"/>
        </w:rPr>
        <w:t>8,700,000.00</w:t>
      </w:r>
      <w:r>
        <w:rPr>
          <w:spacing w:val="-63"/>
        </w:rPr>
        <w:t> </w:t>
      </w:r>
      <w:r>
        <w:rPr>
          <w:spacing w:val="6"/>
        </w:rPr>
        <w:t>人民币元增至</w:t>
      </w:r>
      <w:r>
        <w:rPr>
          <w:spacing w:val="-59"/>
        </w:rPr>
        <w:t> </w:t>
      </w:r>
      <w:r>
        <w:rPr>
          <w:spacing w:val="3"/>
        </w:rPr>
        <w:t>26,000,000.00</w:t>
      </w:r>
      <w:r>
        <w:rPr>
          <w:spacing w:val="-63"/>
        </w:rPr>
        <w:t> </w:t>
      </w:r>
      <w:r>
        <w:rPr>
          <w:spacing w:val="5"/>
        </w:rPr>
        <w:t>人民币元,于</w:t>
      </w:r>
      <w:r>
        <w:rPr>
          <w:spacing w:val="-59"/>
        </w:rPr>
        <w:t> </w:t>
      </w:r>
      <w:r>
        <w:rPr>
          <w:spacing w:val="2"/>
        </w:rPr>
        <w:t>2000</w:t>
      </w:r>
      <w:r>
        <w:rPr>
          <w:spacing w:val="-62"/>
        </w:rPr>
        <w:t> </w:t>
      </w:r>
      <w:r>
        <w:rPr/>
        <w:t>年</w:t>
      </w:r>
      <w:r>
        <w:rPr>
          <w:spacing w:val="-59"/>
        </w:rPr>
        <w:t> </w:t>
      </w:r>
      <w:r>
        <w:rPr/>
        <w:t>9</w:t>
      </w:r>
      <w:r>
        <w:rPr>
          <w:spacing w:val="-63"/>
        </w:rPr>
        <w:t> </w:t>
      </w:r>
      <w:r>
        <w:rPr/>
        <w:t>月</w:t>
      </w:r>
      <w:r>
        <w:rPr>
          <w:spacing w:val="-59"/>
        </w:rPr>
        <w:t> </w:t>
      </w:r>
      <w:r>
        <w:rPr/>
        <w:t>8</w:t>
      </w:r>
      <w:r>
        <w:rPr>
          <w:spacing w:val="-62"/>
        </w:rPr>
        <w:t> </w:t>
      </w:r>
      <w:r>
        <w:rPr>
          <w:spacing w:val="8"/>
        </w:rPr>
        <w:t>日领取了注册号为</w:t>
      </w:r>
      <w:r>
        <w:rPr/>
      </w:r>
    </w:p>
    <w:p>
      <w:pPr>
        <w:pStyle w:val="BodyText"/>
        <w:spacing w:line="240" w:lineRule="auto" w:before="24"/>
        <w:ind w:right="0"/>
        <w:jc w:val="both"/>
      </w:pPr>
      <w:r>
        <w:rPr>
          <w:spacing w:val="2"/>
        </w:rPr>
        <w:t>2103001100223</w:t>
      </w:r>
      <w:r>
        <w:rPr>
          <w:spacing w:val="-36"/>
        </w:rPr>
        <w:t> </w:t>
      </w:r>
      <w:r>
        <w:rPr>
          <w:spacing w:val="7"/>
        </w:rPr>
        <w:t>的企业法人营业执照。</w:t>
      </w:r>
      <w:r>
        <w:rPr/>
      </w:r>
    </w:p>
    <w:p>
      <w:pPr>
        <w:spacing w:line="240" w:lineRule="auto" w:before="7"/>
        <w:rPr>
          <w:rFonts w:ascii="宋体" w:hAnsi="宋体" w:cs="宋体" w:eastAsia="宋体" w:hint="default"/>
          <w:sz w:val="16"/>
          <w:szCs w:val="16"/>
        </w:rPr>
      </w:pPr>
    </w:p>
    <w:p>
      <w:pPr>
        <w:pStyle w:val="BodyText"/>
        <w:spacing w:line="240" w:lineRule="auto"/>
        <w:ind w:left="649" w:right="0"/>
        <w:jc w:val="left"/>
      </w:pPr>
      <w:r>
        <w:rPr>
          <w:spacing w:val="6"/>
        </w:rPr>
        <w:t>根据公司</w:t>
      </w:r>
      <w:r>
        <w:rPr>
          <w:spacing w:val="-38"/>
        </w:rPr>
        <w:t> </w:t>
      </w:r>
      <w:r>
        <w:rPr>
          <w:spacing w:val="2"/>
        </w:rPr>
        <w:t>2000</w:t>
      </w:r>
      <w:r>
        <w:rPr>
          <w:spacing w:val="-41"/>
        </w:rPr>
        <w:t> </w:t>
      </w:r>
      <w:r>
        <w:rPr>
          <w:spacing w:val="7"/>
        </w:rPr>
        <w:t>年第三次股东大会决议和公司股东于</w:t>
      </w:r>
      <w:r>
        <w:rPr>
          <w:spacing w:val="-39"/>
        </w:rPr>
        <w:t> </w:t>
      </w:r>
      <w:r>
        <w:rPr>
          <w:spacing w:val="2"/>
        </w:rPr>
        <w:t>2000</w:t>
      </w:r>
      <w:r>
        <w:rPr>
          <w:spacing w:val="-40"/>
        </w:rPr>
        <w:t> </w:t>
      </w:r>
      <w:r>
        <w:rPr/>
        <w:t>年</w:t>
      </w:r>
      <w:r>
        <w:rPr>
          <w:spacing w:val="-37"/>
        </w:rPr>
        <w:t> </w:t>
      </w:r>
      <w:r>
        <w:rPr/>
        <w:t>9</w:t>
      </w:r>
      <w:r>
        <w:rPr>
          <w:spacing w:val="-42"/>
        </w:rPr>
        <w:t> </w:t>
      </w:r>
      <w:r>
        <w:rPr/>
        <w:t>月</w:t>
      </w:r>
      <w:r>
        <w:rPr>
          <w:spacing w:val="-38"/>
        </w:rPr>
        <w:t> </w:t>
      </w:r>
      <w:r>
        <w:rPr/>
        <w:t>20</w:t>
      </w:r>
      <w:r>
        <w:rPr>
          <w:spacing w:val="-42"/>
        </w:rPr>
        <w:t> </w:t>
      </w:r>
      <w:r>
        <w:rPr>
          <w:spacing w:val="7"/>
        </w:rPr>
        <w:t>日签订的《发起</w:t>
      </w:r>
      <w:r>
        <w:rPr/>
      </w:r>
    </w:p>
    <w:p>
      <w:pPr>
        <w:pStyle w:val="BodyText"/>
        <w:spacing w:line="314" w:lineRule="auto" w:before="95"/>
        <w:ind w:left="153" w:right="149"/>
        <w:jc w:val="both"/>
      </w:pPr>
      <w:r>
        <w:rPr>
          <w:spacing w:val="4"/>
        </w:rPr>
        <w:t>人协议书》,全体股东作为共同发起人,将本公司整体改组为股份有限公司,并于</w:t>
      </w:r>
      <w:r>
        <w:rPr>
          <w:spacing w:val="-47"/>
        </w:rPr>
        <w:t> </w:t>
      </w:r>
      <w:r>
        <w:rPr>
          <w:spacing w:val="2"/>
        </w:rPr>
        <w:t>2000</w:t>
      </w:r>
      <w:r>
        <w:rPr>
          <w:spacing w:val="-51"/>
        </w:rPr>
        <w:t> </w:t>
      </w:r>
      <w:r>
        <w:rPr/>
        <w:t>年</w:t>
      </w:r>
      <w:r>
        <w:rPr>
          <w:spacing w:val="-47"/>
        </w:rPr>
        <w:t> </w:t>
      </w:r>
      <w:r>
        <w:rPr>
          <w:spacing w:val="3"/>
        </w:rPr>
        <w:t>11</w:t>
      </w:r>
      <w:r>
        <w:rPr>
          <w:spacing w:val="3"/>
        </w:rPr>
        <w:t> </w:t>
      </w:r>
      <w:r>
        <w:rPr/>
        <w:t>月</w:t>
      </w:r>
      <w:r>
        <w:rPr>
          <w:spacing w:val="-36"/>
        </w:rPr>
        <w:t> </w:t>
      </w:r>
      <w:r>
        <w:rPr/>
        <w:t>6</w:t>
      </w:r>
      <w:r>
        <w:rPr>
          <w:spacing w:val="-40"/>
        </w:rPr>
        <w:t> </w:t>
      </w:r>
      <w:r>
        <w:rPr>
          <w:spacing w:val="5"/>
        </w:rPr>
        <w:t>日经辽宁省人民政府以辽政[2000]268</w:t>
      </w:r>
      <w:r>
        <w:rPr>
          <w:spacing w:val="-41"/>
        </w:rPr>
        <w:t> </w:t>
      </w:r>
      <w:r>
        <w:rPr>
          <w:spacing w:val="8"/>
        </w:rPr>
        <w:t>号文《关于同意鞍山荣信电力电子有限公司变</w:t>
      </w:r>
      <w:r>
        <w:rPr>
          <w:spacing w:val="8"/>
        </w:rPr>
        <w:t> </w:t>
      </w:r>
      <w:r>
        <w:rPr>
          <w:spacing w:val="6"/>
        </w:rPr>
        <w:t>更为股份有限公司的批复》批准。2000</w:t>
      </w:r>
      <w:r>
        <w:rPr>
          <w:spacing w:val="-41"/>
        </w:rPr>
        <w:t> </w:t>
      </w:r>
      <w:r>
        <w:rPr/>
        <w:t>年</w:t>
      </w:r>
      <w:r>
        <w:rPr>
          <w:spacing w:val="-39"/>
        </w:rPr>
        <w:t> </w:t>
      </w:r>
      <w:r>
        <w:rPr/>
        <w:t>11</w:t>
      </w:r>
      <w:r>
        <w:rPr>
          <w:spacing w:val="-41"/>
        </w:rPr>
        <w:t> </w:t>
      </w:r>
      <w:r>
        <w:rPr/>
        <w:t>月</w:t>
      </w:r>
      <w:r>
        <w:rPr>
          <w:spacing w:val="-38"/>
        </w:rPr>
        <w:t> </w:t>
      </w:r>
      <w:r>
        <w:rPr/>
        <w:t>10</w:t>
      </w:r>
      <w:r>
        <w:rPr>
          <w:spacing w:val="-42"/>
        </w:rPr>
        <w:t> </w:t>
      </w:r>
      <w:r>
        <w:rPr>
          <w:spacing w:val="6"/>
        </w:rPr>
        <w:t>日,本公司向辽宁省工商行政管理局换</w:t>
      </w:r>
      <w:r>
        <w:rPr/>
      </w:r>
    </w:p>
    <w:p>
      <w:pPr>
        <w:pStyle w:val="BodyText"/>
        <w:spacing w:line="314" w:lineRule="auto" w:before="20"/>
        <w:ind w:left="153" w:right="0"/>
        <w:jc w:val="left"/>
      </w:pPr>
      <w:r>
        <w:rPr>
          <w:spacing w:val="6"/>
        </w:rPr>
        <w:t>领了注册号为</w:t>
      </w:r>
      <w:r>
        <w:rPr>
          <w:spacing w:val="-23"/>
        </w:rPr>
        <w:t> </w:t>
      </w:r>
      <w:r>
        <w:rPr>
          <w:spacing w:val="2"/>
        </w:rPr>
        <w:t>2100001050674</w:t>
      </w:r>
      <w:r>
        <w:rPr>
          <w:spacing w:val="-27"/>
        </w:rPr>
        <w:t> </w:t>
      </w:r>
      <w:r>
        <w:rPr>
          <w:spacing w:val="7"/>
        </w:rPr>
        <w:t>号的企业法人营业执照,股本变更为</w:t>
      </w:r>
      <w:r>
        <w:rPr>
          <w:spacing w:val="-22"/>
        </w:rPr>
        <w:t> </w:t>
      </w:r>
      <w:r>
        <w:rPr>
          <w:spacing w:val="3"/>
        </w:rPr>
        <w:t>26,310,000.00</w:t>
      </w:r>
      <w:r>
        <w:rPr>
          <w:spacing w:val="-28"/>
        </w:rPr>
        <w:t> </w:t>
      </w:r>
      <w:r>
        <w:rPr>
          <w:spacing w:val="5"/>
        </w:rPr>
        <w:t>人民币</w:t>
      </w:r>
      <w:r>
        <w:rPr/>
        <w:t> </w:t>
      </w:r>
      <w:r>
        <w:rPr>
          <w:spacing w:val="3"/>
        </w:rPr>
        <w:t>元，将本公司名称变更为“鞍山荣信电力电子股份有限公司”。</w:t>
      </w:r>
    </w:p>
    <w:p>
      <w:pPr>
        <w:pStyle w:val="BodyText"/>
        <w:spacing w:line="240" w:lineRule="auto" w:before="142"/>
        <w:ind w:left="649" w:right="0"/>
        <w:jc w:val="left"/>
      </w:pPr>
      <w:r>
        <w:rPr>
          <w:spacing w:val="2"/>
        </w:rPr>
        <w:t>2003</w:t>
      </w:r>
      <w:r>
        <w:rPr>
          <w:spacing w:val="-65"/>
        </w:rPr>
        <w:t> </w:t>
      </w:r>
      <w:r>
        <w:rPr/>
        <w:t>年</w:t>
      </w:r>
      <w:r>
        <w:rPr>
          <w:spacing w:val="-60"/>
        </w:rPr>
        <w:t> </w:t>
      </w:r>
      <w:r>
        <w:rPr/>
        <w:t>2</w:t>
      </w:r>
      <w:r>
        <w:rPr>
          <w:spacing w:val="-64"/>
        </w:rPr>
        <w:t> </w:t>
      </w:r>
      <w:r>
        <w:rPr/>
        <w:t>月</w:t>
      </w:r>
      <w:r>
        <w:rPr>
          <w:spacing w:val="-61"/>
        </w:rPr>
        <w:t> </w:t>
      </w:r>
      <w:r>
        <w:rPr/>
        <w:t>18</w:t>
      </w:r>
      <w:r>
        <w:rPr>
          <w:spacing w:val="-65"/>
        </w:rPr>
        <w:t> </w:t>
      </w:r>
      <w:r>
        <w:rPr>
          <w:spacing w:val="4"/>
        </w:rPr>
        <w:t>日,根据</w:t>
      </w:r>
      <w:r>
        <w:rPr>
          <w:spacing w:val="-61"/>
        </w:rPr>
        <w:t> </w:t>
      </w:r>
      <w:r>
        <w:rPr>
          <w:spacing w:val="2"/>
        </w:rPr>
        <w:t>2003</w:t>
      </w:r>
      <w:r>
        <w:rPr>
          <w:spacing w:val="-64"/>
        </w:rPr>
        <w:t> </w:t>
      </w:r>
      <w:r>
        <w:rPr>
          <w:spacing w:val="7"/>
        </w:rPr>
        <w:t>年度公司临时股东大会决议,本公司新老股东进行增资扩</w:t>
      </w:r>
      <w:r>
        <w:rPr/>
      </w:r>
    </w:p>
    <w:p>
      <w:pPr>
        <w:pStyle w:val="BodyText"/>
        <w:spacing w:line="240" w:lineRule="auto" w:before="95"/>
        <w:ind w:right="0"/>
        <w:jc w:val="both"/>
      </w:pPr>
      <w:r>
        <w:rPr>
          <w:spacing w:val="6"/>
        </w:rPr>
        <w:t>股。并于</w:t>
      </w:r>
      <w:r>
        <w:rPr>
          <w:spacing w:val="-45"/>
        </w:rPr>
        <w:t> </w:t>
      </w:r>
      <w:r>
        <w:rPr>
          <w:spacing w:val="2"/>
        </w:rPr>
        <w:t>2003</w:t>
      </w:r>
      <w:r>
        <w:rPr>
          <w:spacing w:val="-48"/>
        </w:rPr>
        <w:t> </w:t>
      </w:r>
      <w:r>
        <w:rPr/>
        <w:t>年</w:t>
      </w:r>
      <w:r>
        <w:rPr>
          <w:spacing w:val="-45"/>
        </w:rPr>
        <w:t> </w:t>
      </w:r>
      <w:r>
        <w:rPr/>
        <w:t>9</w:t>
      </w:r>
      <w:r>
        <w:rPr>
          <w:spacing w:val="-48"/>
        </w:rPr>
        <w:t> </w:t>
      </w:r>
      <w:r>
        <w:rPr/>
        <w:t>月</w:t>
      </w:r>
      <w:r>
        <w:rPr>
          <w:spacing w:val="-45"/>
        </w:rPr>
        <w:t> </w:t>
      </w:r>
      <w:r>
        <w:rPr/>
        <w:t>18</w:t>
      </w:r>
      <w:r>
        <w:rPr>
          <w:spacing w:val="-48"/>
        </w:rPr>
        <w:t> </w:t>
      </w:r>
      <w:r>
        <w:rPr>
          <w:spacing w:val="5"/>
        </w:rPr>
        <w:t>日经辽宁省人民政府辽政[2003]189</w:t>
      </w:r>
      <w:r>
        <w:rPr>
          <w:spacing w:val="-49"/>
        </w:rPr>
        <w:t> </w:t>
      </w:r>
      <w:r>
        <w:rPr>
          <w:spacing w:val="8"/>
        </w:rPr>
        <w:t>号文《关于同意鞍山荣信电</w:t>
      </w:r>
      <w:r>
        <w:rPr/>
      </w:r>
    </w:p>
    <w:p>
      <w:pPr>
        <w:pStyle w:val="BodyText"/>
        <w:spacing w:line="240" w:lineRule="auto" w:before="96"/>
        <w:ind w:right="0"/>
        <w:jc w:val="both"/>
      </w:pPr>
      <w:r>
        <w:rPr>
          <w:spacing w:val="7"/>
        </w:rPr>
        <w:t>力电子股份有限公司增资扩股的批复》批准。本公司已于</w:t>
      </w:r>
      <w:r>
        <w:rPr>
          <w:spacing w:val="-34"/>
        </w:rPr>
        <w:t> </w:t>
      </w:r>
      <w:r>
        <w:rPr>
          <w:spacing w:val="2"/>
        </w:rPr>
        <w:t>2003</w:t>
      </w:r>
      <w:r>
        <w:rPr>
          <w:spacing w:val="-36"/>
        </w:rPr>
        <w:t> </w:t>
      </w:r>
      <w:r>
        <w:rPr/>
        <w:t>年</w:t>
      </w:r>
      <w:r>
        <w:rPr>
          <w:spacing w:val="-31"/>
        </w:rPr>
        <w:t> </w:t>
      </w:r>
      <w:r>
        <w:rPr/>
        <w:t>10</w:t>
      </w:r>
      <w:r>
        <w:rPr>
          <w:spacing w:val="-36"/>
        </w:rPr>
        <w:t> </w:t>
      </w:r>
      <w:r>
        <w:rPr/>
        <w:t>月</w:t>
      </w:r>
      <w:r>
        <w:rPr>
          <w:spacing w:val="-34"/>
        </w:rPr>
        <w:t> </w:t>
      </w:r>
      <w:r>
        <w:rPr/>
        <w:t>10</w:t>
      </w:r>
      <w:r>
        <w:rPr>
          <w:spacing w:val="-36"/>
        </w:rPr>
        <w:t> </w:t>
      </w:r>
      <w:r>
        <w:rPr>
          <w:spacing w:val="8"/>
        </w:rPr>
        <w:t>日办理了相应</w:t>
      </w:r>
      <w:r>
        <w:rPr/>
      </w:r>
    </w:p>
    <w:p>
      <w:pPr>
        <w:pStyle w:val="BodyText"/>
        <w:spacing w:line="240" w:lineRule="auto" w:before="96"/>
        <w:ind w:right="0"/>
        <w:jc w:val="both"/>
      </w:pPr>
      <w:r>
        <w:rPr>
          <w:spacing w:val="7"/>
        </w:rPr>
        <w:t>的工商变更登记手续,股本由</w:t>
      </w:r>
      <w:r>
        <w:rPr>
          <w:spacing w:val="-45"/>
        </w:rPr>
        <w:t> </w:t>
      </w:r>
      <w:r>
        <w:rPr>
          <w:spacing w:val="2"/>
        </w:rPr>
        <w:t>26,310,000.00</w:t>
      </w:r>
      <w:r>
        <w:rPr>
          <w:spacing w:val="-48"/>
        </w:rPr>
        <w:t> </w:t>
      </w:r>
      <w:r>
        <w:rPr>
          <w:spacing w:val="6"/>
        </w:rPr>
        <w:t>人民币元增至</w:t>
      </w:r>
      <w:r>
        <w:rPr>
          <w:spacing w:val="-45"/>
        </w:rPr>
        <w:t> </w:t>
      </w:r>
      <w:r>
        <w:rPr>
          <w:spacing w:val="2"/>
        </w:rPr>
        <w:t>34,200,000.00</w:t>
      </w:r>
      <w:r>
        <w:rPr>
          <w:spacing w:val="-50"/>
        </w:rPr>
        <w:t> </w:t>
      </w:r>
      <w:r>
        <w:rPr>
          <w:spacing w:val="7"/>
        </w:rPr>
        <w:t>人民币元。</w:t>
      </w:r>
      <w:r>
        <w:rPr/>
      </w:r>
    </w:p>
    <w:p>
      <w:pPr>
        <w:pStyle w:val="BodyText"/>
        <w:spacing w:line="314" w:lineRule="auto" w:before="215"/>
        <w:ind w:right="149" w:firstLine="495"/>
        <w:jc w:val="both"/>
      </w:pPr>
      <w:r>
        <w:rPr>
          <w:spacing w:val="4"/>
        </w:rPr>
        <w:t>根据</w:t>
      </w:r>
      <w:r>
        <w:rPr>
          <w:spacing w:val="-38"/>
        </w:rPr>
        <w:t> </w:t>
      </w:r>
      <w:r>
        <w:rPr>
          <w:spacing w:val="2"/>
        </w:rPr>
        <w:t>2005</w:t>
      </w:r>
      <w:r>
        <w:rPr>
          <w:spacing w:val="-41"/>
        </w:rPr>
        <w:t> </w:t>
      </w:r>
      <w:r>
        <w:rPr>
          <w:spacing w:val="7"/>
        </w:rPr>
        <w:t>年公司第二次临时股东大会决议及</w:t>
      </w:r>
      <w:r>
        <w:rPr>
          <w:spacing w:val="-39"/>
        </w:rPr>
        <w:t> </w:t>
      </w:r>
      <w:r>
        <w:rPr>
          <w:spacing w:val="2"/>
        </w:rPr>
        <w:t>2005</w:t>
      </w:r>
      <w:r>
        <w:rPr>
          <w:spacing w:val="-43"/>
        </w:rPr>
        <w:t> </w:t>
      </w:r>
      <w:r>
        <w:rPr/>
        <w:t>年</w:t>
      </w:r>
      <w:r>
        <w:rPr>
          <w:spacing w:val="-39"/>
        </w:rPr>
        <w:t> </w:t>
      </w:r>
      <w:r>
        <w:rPr/>
        <w:t>5</w:t>
      </w:r>
      <w:r>
        <w:rPr>
          <w:spacing w:val="-41"/>
        </w:rPr>
        <w:t> </w:t>
      </w:r>
      <w:r>
        <w:rPr/>
        <w:t>月</w:t>
      </w:r>
      <w:r>
        <w:rPr>
          <w:spacing w:val="-39"/>
        </w:rPr>
        <w:t> </w:t>
      </w:r>
      <w:r>
        <w:rPr/>
        <w:t>11</w:t>
      </w:r>
      <w:r>
        <w:rPr>
          <w:spacing w:val="-43"/>
        </w:rPr>
        <w:t> </w:t>
      </w:r>
      <w:r>
        <w:rPr>
          <w:spacing w:val="8"/>
        </w:rPr>
        <w:t>日经辽宁省人民政府以</w:t>
      </w:r>
      <w:r>
        <w:rPr>
          <w:spacing w:val="8"/>
        </w:rPr>
        <w:t> </w:t>
      </w:r>
      <w:r>
        <w:rPr>
          <w:spacing w:val="3"/>
        </w:rPr>
        <w:t>辽政[2005]127</w:t>
      </w:r>
      <w:r>
        <w:rPr>
          <w:spacing w:val="-8"/>
        </w:rPr>
        <w:t> </w:t>
      </w:r>
      <w:r>
        <w:rPr>
          <w:spacing w:val="7"/>
        </w:rPr>
        <w:t>号文《辽宁省人民政府关于鞍山荣信电力电子股份有限公司变更名称的批</w:t>
      </w:r>
      <w:r>
        <w:rPr>
          <w:spacing w:val="-114"/>
        </w:rPr>
        <w:t> </w:t>
      </w:r>
      <w:r>
        <w:rPr>
          <w:spacing w:val="-114"/>
        </w:rPr>
      </w:r>
      <w:r>
        <w:rPr>
          <w:spacing w:val="3"/>
        </w:rPr>
        <w:t>复》批准，将本公司名称变更为“辽宁荣信电力电子股份有限公司”。</w:t>
      </w:r>
    </w:p>
    <w:p>
      <w:pPr>
        <w:pStyle w:val="BodyText"/>
        <w:spacing w:line="314" w:lineRule="auto" w:before="140"/>
        <w:ind w:right="124" w:firstLine="495"/>
        <w:jc w:val="both"/>
      </w:pPr>
      <w:r>
        <w:rPr>
          <w:spacing w:val="6"/>
        </w:rPr>
        <w:t>根据本公司</w:t>
      </w:r>
      <w:r>
        <w:rPr>
          <w:spacing w:val="-49"/>
        </w:rPr>
        <w:t> </w:t>
      </w:r>
      <w:r>
        <w:rPr>
          <w:spacing w:val="2"/>
        </w:rPr>
        <w:t>2005</w:t>
      </w:r>
      <w:r>
        <w:rPr>
          <w:spacing w:val="-51"/>
        </w:rPr>
        <w:t> </w:t>
      </w:r>
      <w:r>
        <w:rPr>
          <w:spacing w:val="5"/>
        </w:rPr>
        <w:t>年第三次临时股东会议决议，并经</w:t>
      </w:r>
      <w:r>
        <w:rPr>
          <w:spacing w:val="-49"/>
        </w:rPr>
        <w:t> </w:t>
      </w:r>
      <w:r>
        <w:rPr>
          <w:spacing w:val="2"/>
        </w:rPr>
        <w:t>2005</w:t>
      </w:r>
      <w:r>
        <w:rPr>
          <w:spacing w:val="-51"/>
        </w:rPr>
        <w:t> </w:t>
      </w:r>
      <w:r>
        <w:rPr/>
        <w:t>年</w:t>
      </w:r>
      <w:r>
        <w:rPr>
          <w:spacing w:val="-48"/>
        </w:rPr>
        <w:t> </w:t>
      </w:r>
      <w:r>
        <w:rPr/>
        <w:t>12</w:t>
      </w:r>
      <w:r>
        <w:rPr>
          <w:spacing w:val="-52"/>
        </w:rPr>
        <w:t> </w:t>
      </w:r>
      <w:r>
        <w:rPr/>
        <w:t>月</w:t>
      </w:r>
      <w:r>
        <w:rPr>
          <w:spacing w:val="-49"/>
        </w:rPr>
        <w:t> </w:t>
      </w:r>
      <w:r>
        <w:rPr/>
        <w:t>12</w:t>
      </w:r>
      <w:r>
        <w:rPr>
          <w:spacing w:val="-51"/>
        </w:rPr>
        <w:t> </w:t>
      </w:r>
      <w:r>
        <w:rPr>
          <w:spacing w:val="7"/>
        </w:rPr>
        <w:t>日辽宁省人民政</w:t>
      </w:r>
      <w:r>
        <w:rPr>
          <w:spacing w:val="8"/>
        </w:rPr>
        <w:t> </w:t>
      </w:r>
      <w:r>
        <w:rPr>
          <w:spacing w:val="3"/>
        </w:rPr>
        <w:t>府辽政[2005]353</w:t>
      </w:r>
      <w:r>
        <w:rPr>
          <w:spacing w:val="-9"/>
        </w:rPr>
        <w:t> </w:t>
      </w:r>
      <w:r>
        <w:rPr>
          <w:spacing w:val="7"/>
        </w:rPr>
        <w:t>号文《辽宁省人民政府关于辽宁荣信电力电子股份有限公司变更注册资</w:t>
      </w:r>
      <w:r>
        <w:rPr>
          <w:spacing w:val="-110"/>
        </w:rPr>
        <w:t> </w:t>
      </w:r>
      <w:r>
        <w:rPr>
          <w:spacing w:val="-110"/>
        </w:rPr>
      </w:r>
      <w:r>
        <w:rPr>
          <w:spacing w:val="7"/>
        </w:rPr>
        <w:t>本的批复》批准，本公司股本由</w:t>
      </w:r>
      <w:r>
        <w:rPr>
          <w:spacing w:val="-49"/>
        </w:rPr>
        <w:t> </w:t>
      </w:r>
      <w:r>
        <w:rPr>
          <w:spacing w:val="3"/>
        </w:rPr>
        <w:t>34,200,000.00</w:t>
      </w:r>
      <w:r>
        <w:rPr>
          <w:spacing w:val="-51"/>
        </w:rPr>
        <w:t> </w:t>
      </w:r>
      <w:r>
        <w:rPr>
          <w:spacing w:val="6"/>
        </w:rPr>
        <w:t>人民币元增至</w:t>
      </w:r>
      <w:r>
        <w:rPr>
          <w:spacing w:val="-49"/>
        </w:rPr>
        <w:t> </w:t>
      </w:r>
      <w:r>
        <w:rPr>
          <w:spacing w:val="3"/>
        </w:rPr>
        <w:t>48,000,000.00</w:t>
      </w:r>
      <w:r>
        <w:rPr>
          <w:spacing w:val="-51"/>
        </w:rPr>
        <w:t> </w:t>
      </w:r>
      <w:r>
        <w:rPr>
          <w:spacing w:val="6"/>
        </w:rPr>
        <w:t>人民币元。</w:t>
      </w:r>
    </w:p>
    <w:p>
      <w:pPr>
        <w:spacing w:after="0" w:line="314" w:lineRule="auto"/>
        <w:jc w:val="both"/>
        <w:sectPr>
          <w:headerReference w:type="default" r:id="rId14"/>
          <w:footerReference w:type="default" r:id="rId15"/>
          <w:pgSz w:w="11910" w:h="16840"/>
          <w:pgMar w:header="877" w:footer="1022" w:top="1060" w:bottom="1220" w:left="980" w:right="980"/>
          <w:pgNumType w:start="64"/>
        </w:sectPr>
      </w:pPr>
    </w:p>
    <w:p>
      <w:pPr>
        <w:spacing w:line="240" w:lineRule="auto" w:before="0"/>
        <w:rPr>
          <w:rFonts w:ascii="宋体" w:hAnsi="宋体" w:cs="宋体" w:eastAsia="宋体" w:hint="default"/>
          <w:sz w:val="27"/>
          <w:szCs w:val="27"/>
        </w:rPr>
      </w:pPr>
    </w:p>
    <w:p>
      <w:pPr>
        <w:pStyle w:val="BodyText"/>
        <w:spacing w:line="240" w:lineRule="auto" w:before="26"/>
        <w:ind w:right="0"/>
        <w:jc w:val="both"/>
      </w:pPr>
      <w:r>
        <w:rPr>
          <w:spacing w:val="3"/>
        </w:rPr>
        <w:t>并于</w:t>
      </w:r>
      <w:r>
        <w:rPr>
          <w:spacing w:val="-50"/>
        </w:rPr>
        <w:t> </w:t>
      </w:r>
      <w:r>
        <w:rPr>
          <w:spacing w:val="2"/>
        </w:rPr>
        <w:t>2005</w:t>
      </w:r>
      <w:r>
        <w:rPr>
          <w:spacing w:val="-52"/>
        </w:rPr>
        <w:t> </w:t>
      </w:r>
      <w:r>
        <w:rPr/>
        <w:t>年</w:t>
      </w:r>
      <w:r>
        <w:rPr>
          <w:spacing w:val="-50"/>
        </w:rPr>
        <w:t> </w:t>
      </w:r>
      <w:r>
        <w:rPr/>
        <w:t>12</w:t>
      </w:r>
      <w:r>
        <w:rPr>
          <w:spacing w:val="-54"/>
        </w:rPr>
        <w:t> </w:t>
      </w:r>
      <w:r>
        <w:rPr/>
        <w:t>月</w:t>
      </w:r>
      <w:r>
        <w:rPr>
          <w:spacing w:val="-50"/>
        </w:rPr>
        <w:t> </w:t>
      </w:r>
      <w:r>
        <w:rPr/>
        <w:t>19</w:t>
      </w:r>
      <w:r>
        <w:rPr>
          <w:spacing w:val="-54"/>
        </w:rPr>
        <w:t> </w:t>
      </w:r>
      <w:r>
        <w:rPr>
          <w:spacing w:val="7"/>
        </w:rPr>
        <w:t>日办理完毕工商变更登记手续。</w:t>
      </w:r>
      <w:r>
        <w:rPr/>
      </w:r>
    </w:p>
    <w:p>
      <w:pPr>
        <w:pStyle w:val="BodyText"/>
        <w:spacing w:line="240" w:lineRule="auto" w:before="206"/>
        <w:ind w:left="664" w:right="90"/>
        <w:jc w:val="left"/>
      </w:pPr>
      <w:r>
        <w:rPr>
          <w:spacing w:val="2"/>
        </w:rPr>
        <w:t>2007</w:t>
      </w:r>
      <w:r>
        <w:rPr>
          <w:spacing w:val="-40"/>
        </w:rPr>
        <w:t> </w:t>
      </w:r>
      <w:r>
        <w:rPr/>
        <w:t>年</w:t>
      </w:r>
      <w:r>
        <w:rPr>
          <w:spacing w:val="-36"/>
        </w:rPr>
        <w:t> </w:t>
      </w:r>
      <w:r>
        <w:rPr/>
        <w:t>3</w:t>
      </w:r>
      <w:r>
        <w:rPr>
          <w:spacing w:val="-39"/>
        </w:rPr>
        <w:t> </w:t>
      </w:r>
      <w:r>
        <w:rPr/>
        <w:t>月</w:t>
      </w:r>
      <w:r>
        <w:rPr>
          <w:spacing w:val="-37"/>
        </w:rPr>
        <w:t> </w:t>
      </w:r>
      <w:r>
        <w:rPr/>
        <w:t>7</w:t>
      </w:r>
      <w:r>
        <w:rPr>
          <w:spacing w:val="-39"/>
        </w:rPr>
        <w:t> </w:t>
      </w:r>
      <w:r>
        <w:rPr>
          <w:spacing w:val="6"/>
        </w:rPr>
        <w:t>日，经中国证券监督管理委员会证监发行字[2007]47</w:t>
      </w:r>
      <w:r>
        <w:rPr>
          <w:spacing w:val="-41"/>
        </w:rPr>
        <w:t> </w:t>
      </w:r>
      <w:r>
        <w:rPr>
          <w:spacing w:val="8"/>
        </w:rPr>
        <w:t>号文核准，本公</w:t>
      </w:r>
      <w:r>
        <w:rPr/>
      </w:r>
    </w:p>
    <w:p>
      <w:pPr>
        <w:pStyle w:val="BodyText"/>
        <w:spacing w:line="240" w:lineRule="auto" w:before="85"/>
        <w:ind w:left="153" w:right="0"/>
        <w:jc w:val="both"/>
      </w:pPr>
      <w:r>
        <w:rPr>
          <w:spacing w:val="8"/>
        </w:rPr>
        <w:t>司</w:t>
      </w:r>
      <w:r>
        <w:rPr/>
        <w:t>于</w:t>
      </w:r>
      <w:r>
        <w:rPr>
          <w:spacing w:val="-51"/>
        </w:rPr>
        <w:t> </w:t>
      </w:r>
      <w:r>
        <w:rPr>
          <w:spacing w:val="4"/>
        </w:rPr>
        <w:t>2</w:t>
      </w:r>
      <w:r>
        <w:rPr>
          <w:spacing w:val="3"/>
        </w:rPr>
        <w:t>00</w:t>
      </w:r>
      <w:r>
        <w:rPr/>
        <w:t>7</w:t>
      </w:r>
      <w:r>
        <w:rPr>
          <w:spacing w:val="-53"/>
        </w:rPr>
        <w:t> </w:t>
      </w:r>
      <w:r>
        <w:rPr/>
        <w:t>年</w:t>
      </w:r>
      <w:r>
        <w:rPr>
          <w:spacing w:val="-51"/>
        </w:rPr>
        <w:t> </w:t>
      </w:r>
      <w:r>
        <w:rPr/>
        <w:t>3</w:t>
      </w:r>
      <w:r>
        <w:rPr>
          <w:spacing w:val="-54"/>
        </w:rPr>
        <w:t> </w:t>
      </w:r>
      <w:r>
        <w:rPr/>
        <w:t>月</w:t>
      </w:r>
      <w:r>
        <w:rPr>
          <w:spacing w:val="-51"/>
        </w:rPr>
        <w:t> </w:t>
      </w:r>
      <w:r>
        <w:rPr>
          <w:spacing w:val="3"/>
        </w:rPr>
        <w:t>1</w:t>
      </w:r>
      <w:r>
        <w:rPr/>
        <w:t>6</w:t>
      </w:r>
      <w:r>
        <w:rPr>
          <w:spacing w:val="-53"/>
        </w:rPr>
        <w:t> </w:t>
      </w:r>
      <w:r>
        <w:rPr>
          <w:spacing w:val="7"/>
        </w:rPr>
        <w:t>日</w:t>
      </w:r>
      <w:r>
        <w:rPr>
          <w:spacing w:val="8"/>
        </w:rPr>
        <w:t>向社会公开发行人民币普通股</w:t>
      </w:r>
      <w:r>
        <w:rPr>
          <w:spacing w:val="3"/>
        </w:rPr>
        <w:t>(</w:t>
      </w:r>
      <w:r>
        <w:rPr/>
        <w:t>A</w:t>
      </w:r>
      <w:r>
        <w:rPr>
          <w:spacing w:val="-54"/>
        </w:rPr>
        <w:t> </w:t>
      </w:r>
      <w:r>
        <w:rPr>
          <w:spacing w:val="8"/>
        </w:rPr>
        <w:t>股</w:t>
      </w:r>
      <w:r>
        <w:rPr>
          <w:spacing w:val="4"/>
        </w:rPr>
        <w:t>)</w:t>
      </w:r>
      <w:r>
        <w:rPr>
          <w:spacing w:val="7"/>
        </w:rPr>
        <w:t>股</w:t>
      </w:r>
      <w:r>
        <w:rPr/>
        <w:t>票</w:t>
      </w:r>
      <w:r>
        <w:rPr>
          <w:spacing w:val="-51"/>
        </w:rPr>
        <w:t> </w:t>
      </w:r>
      <w:r>
        <w:rPr>
          <w:spacing w:val="4"/>
        </w:rPr>
        <w:t>1</w:t>
      </w:r>
      <w:r>
        <w:rPr>
          <w:spacing w:val="3"/>
        </w:rPr>
        <w:t>6,</w:t>
      </w:r>
      <w:r>
        <w:rPr>
          <w:spacing w:val="4"/>
        </w:rPr>
        <w:t>0</w:t>
      </w:r>
      <w:r>
        <w:rPr>
          <w:spacing w:val="3"/>
        </w:rPr>
        <w:t>00,00</w:t>
      </w:r>
      <w:r>
        <w:rPr/>
        <w:t>0</w:t>
      </w:r>
      <w:r>
        <w:rPr>
          <w:spacing w:val="-53"/>
        </w:rPr>
        <w:t> </w:t>
      </w:r>
      <w:r>
        <w:rPr>
          <w:spacing w:val="8"/>
        </w:rPr>
        <w:t>股</w:t>
      </w:r>
      <w:r>
        <w:rPr>
          <w:spacing w:val="-88"/>
        </w:rPr>
        <w:t>，</w:t>
      </w:r>
      <w:r>
        <w:rPr>
          <w:spacing w:val="7"/>
        </w:rPr>
        <w:t>每股面值</w:t>
      </w:r>
      <w:r>
        <w:rPr/>
      </w:r>
    </w:p>
    <w:p>
      <w:pPr>
        <w:pStyle w:val="BodyText"/>
        <w:spacing w:line="240" w:lineRule="auto" w:before="85"/>
        <w:ind w:left="153" w:right="0"/>
        <w:jc w:val="both"/>
      </w:pPr>
      <w:r>
        <w:rPr>
          <w:spacing w:val="2"/>
        </w:rPr>
        <w:t>1.00</w:t>
      </w:r>
      <w:r>
        <w:rPr>
          <w:spacing w:val="-50"/>
        </w:rPr>
        <w:t> </w:t>
      </w:r>
      <w:r>
        <w:rPr/>
        <w:t>人民币元，并于</w:t>
      </w:r>
      <w:r>
        <w:rPr>
          <w:spacing w:val="-48"/>
        </w:rPr>
        <w:t> </w:t>
      </w:r>
      <w:r>
        <w:rPr>
          <w:spacing w:val="2"/>
        </w:rPr>
        <w:t>2007</w:t>
      </w:r>
      <w:r>
        <w:rPr>
          <w:spacing w:val="-50"/>
        </w:rPr>
        <w:t> </w:t>
      </w:r>
      <w:r>
        <w:rPr/>
        <w:t>年</w:t>
      </w:r>
      <w:r>
        <w:rPr>
          <w:spacing w:val="-47"/>
        </w:rPr>
        <w:t> </w:t>
      </w:r>
      <w:r>
        <w:rPr/>
        <w:t>3</w:t>
      </w:r>
      <w:r>
        <w:rPr>
          <w:spacing w:val="-51"/>
        </w:rPr>
        <w:t> </w:t>
      </w:r>
      <w:r>
        <w:rPr/>
        <w:t>月</w:t>
      </w:r>
      <w:r>
        <w:rPr>
          <w:spacing w:val="-48"/>
        </w:rPr>
        <w:t> </w:t>
      </w:r>
      <w:r>
        <w:rPr/>
        <w:t>28</w:t>
      </w:r>
      <w:r>
        <w:rPr>
          <w:spacing w:val="-51"/>
        </w:rPr>
        <w:t> </w:t>
      </w:r>
      <w:r>
        <w:rPr>
          <w:spacing w:val="5"/>
        </w:rPr>
        <w:t>日在深圳证券交易所上市交易。本公司发行后总股本</w:t>
      </w:r>
      <w:r>
        <w:rPr/>
      </w:r>
    </w:p>
    <w:p>
      <w:pPr>
        <w:pStyle w:val="BodyText"/>
        <w:spacing w:line="240" w:lineRule="auto" w:before="86"/>
        <w:ind w:left="153" w:right="0"/>
        <w:jc w:val="both"/>
      </w:pPr>
      <w:r>
        <w:rPr/>
        <w:t>为</w:t>
      </w:r>
      <w:r>
        <w:rPr>
          <w:spacing w:val="-47"/>
        </w:rPr>
        <w:t> </w:t>
      </w:r>
      <w:r>
        <w:rPr>
          <w:spacing w:val="2"/>
        </w:rPr>
        <w:t>64,000,000.00</w:t>
      </w:r>
      <w:r>
        <w:rPr>
          <w:spacing w:val="-51"/>
        </w:rPr>
        <w:t> </w:t>
      </w:r>
      <w:r>
        <w:rPr>
          <w:spacing w:val="6"/>
        </w:rPr>
        <w:t>人民币元。并于</w:t>
      </w:r>
      <w:r>
        <w:rPr>
          <w:spacing w:val="-47"/>
        </w:rPr>
        <w:t> </w:t>
      </w:r>
      <w:r>
        <w:rPr>
          <w:spacing w:val="2"/>
        </w:rPr>
        <w:t>2007</w:t>
      </w:r>
      <w:r>
        <w:rPr>
          <w:spacing w:val="-49"/>
        </w:rPr>
        <w:t> </w:t>
      </w:r>
      <w:r>
        <w:rPr/>
        <w:t>年</w:t>
      </w:r>
      <w:r>
        <w:rPr>
          <w:spacing w:val="-47"/>
        </w:rPr>
        <w:t> </w:t>
      </w:r>
      <w:r>
        <w:rPr/>
        <w:t>4</w:t>
      </w:r>
      <w:r>
        <w:rPr>
          <w:spacing w:val="-50"/>
        </w:rPr>
        <w:t> </w:t>
      </w:r>
      <w:r>
        <w:rPr/>
        <w:t>月</w:t>
      </w:r>
      <w:r>
        <w:rPr>
          <w:spacing w:val="-47"/>
        </w:rPr>
        <w:t> </w:t>
      </w:r>
      <w:r>
        <w:rPr/>
        <w:t>10</w:t>
      </w:r>
      <w:r>
        <w:rPr>
          <w:spacing w:val="-49"/>
        </w:rPr>
        <w:t> </w:t>
      </w:r>
      <w:r>
        <w:rPr>
          <w:spacing w:val="7"/>
        </w:rPr>
        <w:t>日办理完毕工商变更登记手续。</w:t>
      </w:r>
      <w:r>
        <w:rPr/>
      </w:r>
    </w:p>
    <w:p>
      <w:pPr>
        <w:pStyle w:val="BodyText"/>
        <w:spacing w:line="240" w:lineRule="auto" w:before="205"/>
        <w:ind w:left="663" w:right="90"/>
        <w:jc w:val="left"/>
      </w:pPr>
      <w:r>
        <w:rPr>
          <w:spacing w:val="6"/>
        </w:rPr>
        <w:t>根据本公司 </w:t>
      </w:r>
      <w:r>
        <w:rPr>
          <w:spacing w:val="2"/>
        </w:rPr>
        <w:t>2007</w:t>
      </w:r>
      <w:r>
        <w:rPr>
          <w:spacing w:val="-6"/>
        </w:rPr>
        <w:t> </w:t>
      </w:r>
      <w:r>
        <w:rPr>
          <w:spacing w:val="7"/>
        </w:rPr>
        <w:t>年第一次临时股东会议决议，将本公司名称变更为“荣信电力电子</w:t>
      </w:r>
      <w:r>
        <w:rPr/>
      </w:r>
    </w:p>
    <w:p>
      <w:pPr>
        <w:pStyle w:val="BodyText"/>
        <w:spacing w:line="240" w:lineRule="auto" w:before="85"/>
        <w:ind w:right="0"/>
        <w:jc w:val="both"/>
      </w:pPr>
      <w:r>
        <w:rPr>
          <w:spacing w:val="8"/>
        </w:rPr>
        <w:t>股份有限公司</w:t>
      </w:r>
      <w:r>
        <w:rPr>
          <w:spacing w:val="-117"/>
        </w:rPr>
        <w:t>”</w:t>
      </w:r>
      <w:r>
        <w:rPr>
          <w:spacing w:val="8"/>
        </w:rPr>
        <w:t>。并</w:t>
      </w:r>
      <w:r>
        <w:rPr/>
        <w:t>于</w:t>
      </w:r>
      <w:r>
        <w:rPr>
          <w:spacing w:val="-37"/>
        </w:rPr>
        <w:t> </w:t>
      </w:r>
      <w:r>
        <w:rPr>
          <w:spacing w:val="3"/>
        </w:rPr>
        <w:t>2</w:t>
      </w:r>
      <w:r>
        <w:rPr>
          <w:spacing w:val="4"/>
        </w:rPr>
        <w:t>0</w:t>
      </w:r>
      <w:r>
        <w:rPr>
          <w:spacing w:val="3"/>
        </w:rPr>
        <w:t>0</w:t>
      </w:r>
      <w:r>
        <w:rPr/>
        <w:t>7</w:t>
      </w:r>
      <w:r>
        <w:rPr>
          <w:spacing w:val="-39"/>
        </w:rPr>
        <w:t> </w:t>
      </w:r>
      <w:r>
        <w:rPr/>
        <w:t>年</w:t>
      </w:r>
      <w:r>
        <w:rPr>
          <w:spacing w:val="-35"/>
        </w:rPr>
        <w:t> </w:t>
      </w:r>
      <w:r>
        <w:rPr/>
        <w:t>7</w:t>
      </w:r>
      <w:r>
        <w:rPr>
          <w:spacing w:val="-40"/>
        </w:rPr>
        <w:t> </w:t>
      </w:r>
      <w:r>
        <w:rPr/>
        <w:t>月</w:t>
      </w:r>
      <w:r>
        <w:rPr>
          <w:spacing w:val="-35"/>
        </w:rPr>
        <w:t> </w:t>
      </w:r>
      <w:r>
        <w:rPr>
          <w:spacing w:val="3"/>
        </w:rPr>
        <w:t>1</w:t>
      </w:r>
      <w:r>
        <w:rPr/>
        <w:t>1</w:t>
      </w:r>
      <w:r>
        <w:rPr>
          <w:spacing w:val="-39"/>
        </w:rPr>
        <w:t> </w:t>
      </w:r>
      <w:r>
        <w:rPr>
          <w:spacing w:val="8"/>
        </w:rPr>
        <w:t>日</w:t>
      </w:r>
      <w:r>
        <w:rPr>
          <w:spacing w:val="7"/>
        </w:rPr>
        <w:t>办</w:t>
      </w:r>
      <w:r>
        <w:rPr>
          <w:spacing w:val="8"/>
        </w:rPr>
        <w:t>理完毕工商变更登记手续，向辽宁省工商行政</w:t>
      </w:r>
      <w:r>
        <w:rPr/>
      </w:r>
    </w:p>
    <w:p>
      <w:pPr>
        <w:pStyle w:val="BodyText"/>
        <w:spacing w:line="240" w:lineRule="auto" w:before="86"/>
        <w:ind w:right="0"/>
        <w:jc w:val="both"/>
      </w:pPr>
      <w:r>
        <w:rPr>
          <w:spacing w:val="7"/>
        </w:rPr>
        <w:t>管理局换领了注册号为 </w:t>
      </w:r>
      <w:r>
        <w:rPr>
          <w:spacing w:val="3"/>
        </w:rPr>
        <w:t>210000004920217</w:t>
      </w:r>
      <w:r>
        <w:rPr>
          <w:spacing w:val="-93"/>
        </w:rPr>
        <w:t> </w:t>
      </w:r>
      <w:r>
        <w:rPr>
          <w:spacing w:val="7"/>
        </w:rPr>
        <w:t>号的企业法人营业执照。</w:t>
      </w:r>
      <w:r>
        <w:rPr/>
      </w:r>
    </w:p>
    <w:p>
      <w:pPr>
        <w:pStyle w:val="BodyText"/>
        <w:spacing w:line="240" w:lineRule="auto" w:before="205"/>
        <w:ind w:left="664" w:right="90"/>
        <w:jc w:val="left"/>
      </w:pPr>
      <w:r>
        <w:rPr>
          <w:spacing w:val="6"/>
        </w:rPr>
        <w:t>根据本公司</w:t>
      </w:r>
      <w:r>
        <w:rPr>
          <w:spacing w:val="-39"/>
        </w:rPr>
        <w:t> </w:t>
      </w:r>
      <w:r>
        <w:rPr>
          <w:spacing w:val="3"/>
        </w:rPr>
        <w:t>2008</w:t>
      </w:r>
      <w:r>
        <w:rPr>
          <w:spacing w:val="-42"/>
        </w:rPr>
        <w:t> </w:t>
      </w:r>
      <w:r>
        <w:rPr/>
        <w:t>年</w:t>
      </w:r>
      <w:r>
        <w:rPr>
          <w:spacing w:val="-37"/>
        </w:rPr>
        <w:t> </w:t>
      </w:r>
      <w:r>
        <w:rPr/>
        <w:t>4</w:t>
      </w:r>
      <w:r>
        <w:rPr>
          <w:spacing w:val="-42"/>
        </w:rPr>
        <w:t> </w:t>
      </w:r>
      <w:r>
        <w:rPr/>
        <w:t>月</w:t>
      </w:r>
      <w:r>
        <w:rPr>
          <w:spacing w:val="-38"/>
        </w:rPr>
        <w:t> </w:t>
      </w:r>
      <w:r>
        <w:rPr/>
        <w:t>29</w:t>
      </w:r>
      <w:r>
        <w:rPr>
          <w:spacing w:val="-42"/>
        </w:rPr>
        <w:t> </w:t>
      </w:r>
      <w:r>
        <w:rPr>
          <w:spacing w:val="5"/>
        </w:rPr>
        <w:t>日召开的</w:t>
      </w:r>
      <w:r>
        <w:rPr>
          <w:spacing w:val="-38"/>
        </w:rPr>
        <w:t> </w:t>
      </w:r>
      <w:r>
        <w:rPr>
          <w:spacing w:val="2"/>
        </w:rPr>
        <w:t>2007</w:t>
      </w:r>
      <w:r>
        <w:rPr>
          <w:spacing w:val="-42"/>
        </w:rPr>
        <w:t> </w:t>
      </w:r>
      <w:r>
        <w:rPr>
          <w:spacing w:val="7"/>
        </w:rPr>
        <w:t>年度股东大会决议和修改后章程的规定：</w:t>
      </w:r>
      <w:r>
        <w:rPr/>
      </w:r>
    </w:p>
    <w:p>
      <w:pPr>
        <w:pStyle w:val="BodyText"/>
        <w:spacing w:line="240" w:lineRule="auto" w:before="85"/>
        <w:ind w:right="0"/>
        <w:jc w:val="both"/>
      </w:pPr>
      <w:r>
        <w:rPr>
          <w:spacing w:val="5"/>
        </w:rPr>
        <w:t>本公司以</w:t>
      </w:r>
      <w:r>
        <w:rPr>
          <w:spacing w:val="-40"/>
        </w:rPr>
        <w:t> </w:t>
      </w:r>
      <w:r>
        <w:rPr>
          <w:spacing w:val="3"/>
        </w:rPr>
        <w:t>2007</w:t>
      </w:r>
      <w:r>
        <w:rPr>
          <w:spacing w:val="-43"/>
        </w:rPr>
        <w:t> </w:t>
      </w:r>
      <w:r>
        <w:rPr/>
        <w:t>年</w:t>
      </w:r>
      <w:r>
        <w:rPr>
          <w:spacing w:val="-40"/>
        </w:rPr>
        <w:t> </w:t>
      </w:r>
      <w:r>
        <w:rPr/>
        <w:t>12</w:t>
      </w:r>
      <w:r>
        <w:rPr>
          <w:spacing w:val="-43"/>
        </w:rPr>
        <w:t> </w:t>
      </w:r>
      <w:r>
        <w:rPr/>
        <w:t>月</w:t>
      </w:r>
      <w:r>
        <w:rPr>
          <w:spacing w:val="-40"/>
        </w:rPr>
        <w:t> </w:t>
      </w:r>
      <w:r>
        <w:rPr/>
        <w:t>31</w:t>
      </w:r>
      <w:r>
        <w:rPr>
          <w:spacing w:val="-44"/>
        </w:rPr>
        <w:t> </w:t>
      </w:r>
      <w:r>
        <w:rPr>
          <w:spacing w:val="5"/>
        </w:rPr>
        <w:t>日总股本</w:t>
      </w:r>
      <w:r>
        <w:rPr>
          <w:spacing w:val="-39"/>
        </w:rPr>
        <w:t> </w:t>
      </w:r>
      <w:r>
        <w:rPr>
          <w:spacing w:val="3"/>
        </w:rPr>
        <w:t>64,000,000</w:t>
      </w:r>
      <w:r>
        <w:rPr>
          <w:spacing w:val="-44"/>
        </w:rPr>
        <w:t> </w:t>
      </w:r>
      <w:r>
        <w:rPr>
          <w:spacing w:val="7"/>
        </w:rPr>
        <w:t>股为基数，向全体股东每</w:t>
      </w:r>
      <w:r>
        <w:rPr>
          <w:spacing w:val="-40"/>
        </w:rPr>
        <w:t> </w:t>
      </w:r>
      <w:r>
        <w:rPr/>
        <w:t>10</w:t>
      </w:r>
      <w:r>
        <w:rPr>
          <w:spacing w:val="-44"/>
        </w:rPr>
        <w:t> </w:t>
      </w:r>
      <w:r>
        <w:rPr>
          <w:spacing w:val="8"/>
        </w:rPr>
        <w:t>股以未分配</w:t>
      </w:r>
      <w:r>
        <w:rPr/>
      </w:r>
    </w:p>
    <w:p>
      <w:pPr>
        <w:pStyle w:val="BodyText"/>
        <w:spacing w:line="240" w:lineRule="auto" w:before="86"/>
        <w:ind w:right="0"/>
        <w:jc w:val="both"/>
      </w:pPr>
      <w:r>
        <w:rPr>
          <w:spacing w:val="6"/>
        </w:rPr>
        <w:t>利润派送</w:t>
      </w:r>
      <w:r>
        <w:rPr>
          <w:spacing w:val="-40"/>
        </w:rPr>
        <w:t> </w:t>
      </w:r>
      <w:r>
        <w:rPr/>
        <w:t>4</w:t>
      </w:r>
      <w:r>
        <w:rPr>
          <w:spacing w:val="-45"/>
        </w:rPr>
        <w:t> </w:t>
      </w:r>
      <w:r>
        <w:rPr>
          <w:spacing w:val="7"/>
        </w:rPr>
        <w:t>股红股，增加注册资本人民币</w:t>
      </w:r>
      <w:r>
        <w:rPr>
          <w:spacing w:val="-42"/>
        </w:rPr>
        <w:t> </w:t>
      </w:r>
      <w:r>
        <w:rPr>
          <w:spacing w:val="3"/>
        </w:rPr>
        <w:t>25,600,000.00</w:t>
      </w:r>
      <w:r>
        <w:rPr>
          <w:spacing w:val="-44"/>
        </w:rPr>
        <w:t> </w:t>
      </w:r>
      <w:r>
        <w:rPr>
          <w:spacing w:val="5"/>
        </w:rPr>
        <w:t>元；以</w:t>
      </w:r>
      <w:r>
        <w:rPr>
          <w:spacing w:val="-40"/>
        </w:rPr>
        <w:t> </w:t>
      </w:r>
      <w:r>
        <w:rPr>
          <w:spacing w:val="3"/>
        </w:rPr>
        <w:t>2007</w:t>
      </w:r>
      <w:r>
        <w:rPr>
          <w:spacing w:val="-44"/>
        </w:rPr>
        <w:t> </w:t>
      </w:r>
      <w:r>
        <w:rPr/>
        <w:t>年</w:t>
      </w:r>
      <w:r>
        <w:rPr>
          <w:spacing w:val="-42"/>
        </w:rPr>
        <w:t> </w:t>
      </w:r>
      <w:r>
        <w:rPr/>
        <w:t>12</w:t>
      </w:r>
      <w:r>
        <w:rPr>
          <w:spacing w:val="-45"/>
        </w:rPr>
        <w:t> </w:t>
      </w:r>
      <w:r>
        <w:rPr/>
        <w:t>月</w:t>
      </w:r>
      <w:r>
        <w:rPr>
          <w:spacing w:val="-40"/>
        </w:rPr>
        <w:t> </w:t>
      </w:r>
      <w:r>
        <w:rPr/>
        <w:t>31</w:t>
      </w:r>
      <w:r>
        <w:rPr>
          <w:spacing w:val="-45"/>
        </w:rPr>
        <w:t> </w:t>
      </w:r>
      <w:r>
        <w:rPr>
          <w:spacing w:val="5"/>
        </w:rPr>
        <w:t>日总股</w:t>
      </w:r>
    </w:p>
    <w:p>
      <w:pPr>
        <w:pStyle w:val="BodyText"/>
        <w:spacing w:line="240" w:lineRule="auto" w:before="85"/>
        <w:ind w:right="0"/>
        <w:jc w:val="both"/>
      </w:pPr>
      <w:r>
        <w:rPr/>
        <w:t>本</w:t>
      </w:r>
      <w:r>
        <w:rPr>
          <w:spacing w:val="-47"/>
        </w:rPr>
        <w:t> </w:t>
      </w:r>
      <w:r>
        <w:rPr>
          <w:spacing w:val="3"/>
        </w:rPr>
        <w:t>64,000,000</w:t>
      </w:r>
      <w:r>
        <w:rPr>
          <w:spacing w:val="-51"/>
        </w:rPr>
        <w:t> </w:t>
      </w:r>
      <w:r>
        <w:rPr>
          <w:spacing w:val="6"/>
        </w:rPr>
        <w:t>股为基数，以资本公积金转增股本方式，向全体股东每</w:t>
      </w:r>
      <w:r>
        <w:rPr>
          <w:spacing w:val="-47"/>
        </w:rPr>
        <w:t> </w:t>
      </w:r>
      <w:r>
        <w:rPr/>
        <w:t>10</w:t>
      </w:r>
      <w:r>
        <w:rPr>
          <w:spacing w:val="-51"/>
        </w:rPr>
        <w:t> </w:t>
      </w:r>
      <w:r>
        <w:rPr>
          <w:spacing w:val="5"/>
        </w:rPr>
        <w:t>股转增</w:t>
      </w:r>
      <w:r>
        <w:rPr>
          <w:spacing w:val="-47"/>
        </w:rPr>
        <w:t> </w:t>
      </w:r>
      <w:r>
        <w:rPr/>
        <w:t>6</w:t>
      </w:r>
      <w:r>
        <w:rPr>
          <w:spacing w:val="-51"/>
        </w:rPr>
        <w:t> </w:t>
      </w:r>
      <w:r>
        <w:rPr/>
        <w:t>股，计</w:t>
      </w:r>
    </w:p>
    <w:p>
      <w:pPr>
        <w:pStyle w:val="BodyText"/>
        <w:spacing w:line="240" w:lineRule="auto" w:before="85"/>
        <w:ind w:right="0"/>
        <w:jc w:val="both"/>
      </w:pPr>
      <w:r>
        <w:rPr>
          <w:spacing w:val="5"/>
        </w:rPr>
        <w:t>人民币</w:t>
      </w:r>
      <w:r>
        <w:rPr>
          <w:spacing w:val="-22"/>
        </w:rPr>
        <w:t> </w:t>
      </w:r>
      <w:r>
        <w:rPr>
          <w:spacing w:val="3"/>
        </w:rPr>
        <w:t>38,400,000.00</w:t>
      </w:r>
      <w:r>
        <w:rPr>
          <w:spacing w:val="-28"/>
        </w:rPr>
        <w:t> </w:t>
      </w:r>
      <w:r>
        <w:rPr>
          <w:spacing w:val="7"/>
        </w:rPr>
        <w:t>元，转增后公司注册资本变更为人民币</w:t>
      </w:r>
      <w:r>
        <w:rPr>
          <w:spacing w:val="-23"/>
        </w:rPr>
        <w:t> </w:t>
      </w:r>
      <w:r>
        <w:rPr>
          <w:spacing w:val="3"/>
        </w:rPr>
        <w:t>128,000,000.00</w:t>
      </w:r>
      <w:r>
        <w:rPr>
          <w:spacing w:val="-28"/>
        </w:rPr>
        <w:t> </w:t>
      </w:r>
      <w:r>
        <w:rPr>
          <w:spacing w:val="5"/>
        </w:rPr>
        <w:t>元。已于</w:t>
      </w:r>
    </w:p>
    <w:p>
      <w:pPr>
        <w:pStyle w:val="BodyText"/>
        <w:spacing w:line="396" w:lineRule="auto" w:before="86"/>
        <w:ind w:left="634" w:right="90" w:hanging="480"/>
        <w:jc w:val="left"/>
      </w:pPr>
      <w:r>
        <w:rPr>
          <w:spacing w:val="2"/>
        </w:rPr>
        <w:t>2008</w:t>
      </w:r>
      <w:r>
        <w:rPr>
          <w:spacing w:val="-54"/>
        </w:rPr>
        <w:t> </w:t>
      </w:r>
      <w:r>
        <w:rPr/>
        <w:t>年</w:t>
      </w:r>
      <w:r>
        <w:rPr>
          <w:spacing w:val="-51"/>
        </w:rPr>
        <w:t> </w:t>
      </w:r>
      <w:r>
        <w:rPr/>
        <w:t>6</w:t>
      </w:r>
      <w:r>
        <w:rPr>
          <w:spacing w:val="-53"/>
        </w:rPr>
        <w:t> </w:t>
      </w:r>
      <w:r>
        <w:rPr/>
        <w:t>月</w:t>
      </w:r>
      <w:r>
        <w:rPr>
          <w:spacing w:val="-51"/>
        </w:rPr>
        <w:t> </w:t>
      </w:r>
      <w:r>
        <w:rPr/>
        <w:t>16</w:t>
      </w:r>
      <w:r>
        <w:rPr>
          <w:spacing w:val="-54"/>
        </w:rPr>
        <w:t> </w:t>
      </w:r>
      <w:r>
        <w:rPr>
          <w:spacing w:val="7"/>
        </w:rPr>
        <w:t>日办理完毕工商变更登记手续。</w:t>
      </w:r>
      <w:r>
        <w:rPr>
          <w:spacing w:val="-105"/>
        </w:rPr>
        <w:t> </w:t>
      </w:r>
      <w:r>
        <w:rPr>
          <w:spacing w:val="-105"/>
        </w:rPr>
      </w:r>
      <w:r>
        <w:rPr>
          <w:spacing w:val="3"/>
        </w:rPr>
        <w:t>本公司的经营范围为：高压动态无功补偿装置(SVC)、智能瓦斯排放装置(MABZ)、电力</w:t>
      </w:r>
    </w:p>
    <w:p>
      <w:pPr>
        <w:pStyle w:val="BodyText"/>
        <w:spacing w:line="244" w:lineRule="exact"/>
        <w:ind w:right="0"/>
        <w:jc w:val="both"/>
      </w:pPr>
      <w:r>
        <w:rPr>
          <w:spacing w:val="8"/>
        </w:rPr>
        <w:t>滤波装置(FC)、高压变频调速装置(HVC)及其他电力电子装置的设计、制造；经营本企业</w:t>
      </w:r>
      <w:r>
        <w:rPr/>
      </w:r>
    </w:p>
    <w:p>
      <w:pPr>
        <w:pStyle w:val="BodyText"/>
        <w:spacing w:line="304" w:lineRule="auto" w:before="86"/>
        <w:ind w:right="196"/>
        <w:jc w:val="both"/>
      </w:pPr>
      <w:r>
        <w:rPr>
          <w:spacing w:val="6"/>
        </w:rPr>
        <w:t>及所属企业自产产品及相关技术的出口业务；经营本企业及所属企业生产科研所需的原辅</w:t>
      </w:r>
      <w:r>
        <w:rPr>
          <w:spacing w:val="-90"/>
        </w:rPr>
        <w:t> </w:t>
      </w:r>
      <w:r>
        <w:rPr>
          <w:spacing w:val="-90"/>
        </w:rPr>
      </w:r>
      <w:r>
        <w:rPr>
          <w:spacing w:val="9"/>
        </w:rPr>
        <w:t>材料、机械设备、仪器仪表及相关技术进口业务(国家限定公司经营和国家禁止进出口的</w:t>
      </w:r>
      <w:r>
        <w:rPr>
          <w:spacing w:val="-99"/>
        </w:rPr>
        <w:t> </w:t>
      </w:r>
      <w:r>
        <w:rPr>
          <w:spacing w:val="-99"/>
        </w:rPr>
      </w:r>
      <w:r>
        <w:rPr>
          <w:spacing w:val="7"/>
        </w:rPr>
        <w:t>商品及技术除外)；经营进料加工和“三来一补”业务。</w:t>
      </w:r>
      <w:r>
        <w:rPr/>
      </w:r>
    </w:p>
    <w:p>
      <w:pPr>
        <w:pStyle w:val="BodyText"/>
        <w:spacing w:line="304" w:lineRule="auto" w:before="142"/>
        <w:ind w:right="173" w:firstLine="480"/>
        <w:jc w:val="left"/>
      </w:pPr>
      <w:r>
        <w:rPr/>
        <w:t>本公司于</w:t>
      </w:r>
      <w:r>
        <w:rPr>
          <w:spacing w:val="-58"/>
        </w:rPr>
        <w:t> </w:t>
      </w:r>
      <w:r>
        <w:rPr>
          <w:spacing w:val="25"/>
        </w:rPr>
        <w:t>2008年5月</w:t>
      </w:r>
      <w:r>
        <w:rPr>
          <w:spacing w:val="-58"/>
        </w:rPr>
        <w:t> </w:t>
      </w:r>
      <w:r>
        <w:rPr/>
        <w:t>29</w:t>
      </w:r>
      <w:r>
        <w:rPr>
          <w:spacing w:val="-58"/>
        </w:rPr>
        <w:t> </w:t>
      </w:r>
      <w:r>
        <w:rPr>
          <w:spacing w:val="-3"/>
        </w:rPr>
        <w:t>日，向于富收购其拥有的北京信力筑正新能源技术有限公司(以</w:t>
      </w:r>
      <w:r>
        <w:rPr/>
        <w:t> 下简称“北京信力”)60%的股权。收购完成后北京信力成为本公司的控股子公司。</w:t>
      </w:r>
    </w:p>
    <w:p>
      <w:pPr>
        <w:pStyle w:val="BodyText"/>
        <w:spacing w:line="240" w:lineRule="auto" w:before="140"/>
        <w:ind w:left="634" w:right="210"/>
        <w:jc w:val="left"/>
      </w:pPr>
      <w:r>
        <w:rPr/>
        <w:t>本公司</w:t>
      </w:r>
      <w:r>
        <w:rPr>
          <w:spacing w:val="-59"/>
        </w:rPr>
        <w:t> </w:t>
      </w:r>
      <w:r>
        <w:rPr/>
        <w:t>2008</w:t>
      </w:r>
      <w:r>
        <w:rPr>
          <w:spacing w:val="-59"/>
        </w:rPr>
        <w:t> </w:t>
      </w:r>
      <w:r>
        <w:rPr/>
        <w:t>年度的财务报表于</w:t>
      </w:r>
      <w:r>
        <w:rPr>
          <w:spacing w:val="-59"/>
        </w:rPr>
        <w:t> </w:t>
      </w:r>
      <w:r>
        <w:rPr>
          <w:spacing w:val="25"/>
        </w:rPr>
        <w:t>2009年2月</w:t>
      </w:r>
      <w:r>
        <w:rPr>
          <w:spacing w:val="-59"/>
        </w:rPr>
        <w:t> </w:t>
      </w:r>
      <w:r>
        <w:rPr/>
        <w:t>24</w:t>
      </w:r>
      <w:r>
        <w:rPr>
          <w:spacing w:val="-59"/>
        </w:rPr>
        <w:t> </w:t>
      </w:r>
      <w:r>
        <w:rPr/>
        <w:t>日业经本公司董事会批准通过。</w:t>
      </w:r>
    </w:p>
    <w:p>
      <w:pPr>
        <w:pStyle w:val="Heading4"/>
        <w:spacing w:line="240" w:lineRule="auto" w:before="206"/>
        <w:ind w:left="154" w:right="0"/>
        <w:jc w:val="both"/>
        <w:rPr>
          <w:rFonts w:ascii="黑体" w:hAnsi="黑体" w:cs="黑体" w:eastAsia="黑体" w:hint="default"/>
          <w:b w:val="0"/>
          <w:bCs w:val="0"/>
        </w:rPr>
      </w:pPr>
      <w:r>
        <w:rPr>
          <w:rFonts w:ascii="黑体" w:hAnsi="黑体" w:cs="黑体" w:eastAsia="黑体" w:hint="default"/>
        </w:rPr>
        <w:t>二、</w:t>
      </w:r>
      <w:r>
        <w:rPr>
          <w:rFonts w:ascii="黑体" w:hAnsi="黑体" w:cs="黑体" w:eastAsia="黑体" w:hint="default"/>
          <w:spacing w:val="116"/>
        </w:rPr>
        <w:t> </w:t>
      </w:r>
      <w:r>
        <w:rPr>
          <w:rFonts w:ascii="黑体" w:hAnsi="黑体" w:cs="黑体" w:eastAsia="黑体" w:hint="default"/>
        </w:rPr>
        <w:t>财务报表的编制基础</w:t>
      </w:r>
      <w:r>
        <w:rPr>
          <w:rFonts w:ascii="黑体" w:hAnsi="黑体" w:cs="黑体" w:eastAsia="黑体" w:hint="default"/>
          <w:b w:val="0"/>
          <w:bCs w:val="0"/>
        </w:rPr>
      </w:r>
    </w:p>
    <w:p>
      <w:pPr>
        <w:pStyle w:val="BodyText"/>
        <w:spacing w:line="290" w:lineRule="auto" w:before="185"/>
        <w:ind w:right="95" w:firstLine="480"/>
        <w:jc w:val="left"/>
      </w:pPr>
      <w:r>
        <w:rPr/>
        <w:t>本公司以持续经营为基础,根据实际发生的交易和事项，自</w:t>
      </w:r>
      <w:r>
        <w:rPr>
          <w:spacing w:val="-54"/>
        </w:rPr>
        <w:t> </w:t>
      </w:r>
      <w:r>
        <w:rPr/>
        <w:t>2007</w:t>
      </w:r>
      <w:r>
        <w:rPr>
          <w:spacing w:val="-54"/>
        </w:rPr>
        <w:t> </w:t>
      </w:r>
      <w:r>
        <w:rPr/>
        <w:t>年</w:t>
      </w:r>
      <w:r>
        <w:rPr>
          <w:spacing w:val="-53"/>
        </w:rPr>
        <w:t> </w:t>
      </w:r>
      <w:r>
        <w:rPr>
          <w:spacing w:val="44"/>
        </w:rPr>
        <w:t>1月1</w:t>
      </w:r>
      <w:r>
        <w:rPr>
          <w:spacing w:val="-54"/>
        </w:rPr>
        <w:t> </w:t>
      </w:r>
      <w:r>
        <w:rPr/>
        <w:t>日起，本公司</w:t>
      </w:r>
      <w:r>
        <w:rPr/>
        <w:t> 执行财政部于</w:t>
      </w:r>
      <w:r>
        <w:rPr>
          <w:spacing w:val="-60"/>
        </w:rPr>
        <w:t> </w:t>
      </w:r>
      <w:r>
        <w:rPr>
          <w:spacing w:val="25"/>
        </w:rPr>
        <w:t>2006年2月</w:t>
      </w:r>
      <w:r>
        <w:rPr>
          <w:spacing w:val="-60"/>
        </w:rPr>
        <w:t> </w:t>
      </w:r>
      <w:r>
        <w:rPr/>
        <w:t>15</w:t>
      </w:r>
      <w:r>
        <w:rPr>
          <w:spacing w:val="-60"/>
        </w:rPr>
        <w:t> </w:t>
      </w:r>
      <w:r>
        <w:rPr/>
        <w:t>日颁布的《企业会计准则—基本准则》和</w:t>
      </w:r>
      <w:r>
        <w:rPr>
          <w:spacing w:val="-60"/>
        </w:rPr>
        <w:t> </w:t>
      </w:r>
      <w:r>
        <w:rPr/>
        <w:t>38</w:t>
      </w:r>
      <w:r>
        <w:rPr>
          <w:spacing w:val="-60"/>
        </w:rPr>
        <w:t> </w:t>
      </w:r>
      <w:r>
        <w:rPr/>
        <w:t>项具体会计准则、</w:t>
      </w:r>
      <w:r>
        <w:rPr/>
        <w:t> </w:t>
      </w:r>
      <w:r>
        <w:rPr>
          <w:spacing w:val="-2"/>
        </w:rPr>
        <w:t>其后颁布的企业会计准则应用指南、企业会计准则解释以及其他相关规定(以下简称“企业会</w:t>
      </w:r>
      <w:r>
        <w:rPr/>
        <w:t> 计准则”) 进行确认和计量,在此基础上按照所制定的会计政策编制财务报表。</w:t>
      </w:r>
    </w:p>
    <w:p>
      <w:pPr>
        <w:pStyle w:val="Heading4"/>
        <w:spacing w:line="240" w:lineRule="auto" w:before="136"/>
        <w:ind w:left="154" w:right="0"/>
        <w:jc w:val="both"/>
        <w:rPr>
          <w:rFonts w:ascii="黑体" w:hAnsi="黑体" w:cs="黑体" w:eastAsia="黑体" w:hint="default"/>
          <w:b w:val="0"/>
          <w:bCs w:val="0"/>
        </w:rPr>
      </w:pPr>
      <w:r>
        <w:rPr>
          <w:rFonts w:ascii="黑体" w:hAnsi="黑体" w:cs="黑体" w:eastAsia="黑体" w:hint="default"/>
        </w:rPr>
        <w:t>三、</w:t>
      </w:r>
      <w:r>
        <w:rPr>
          <w:rFonts w:ascii="黑体" w:hAnsi="黑体" w:cs="黑体" w:eastAsia="黑体" w:hint="default"/>
          <w:spacing w:val="116"/>
        </w:rPr>
        <w:t> </w:t>
      </w:r>
      <w:r>
        <w:rPr>
          <w:rFonts w:ascii="黑体" w:hAnsi="黑体" w:cs="黑体" w:eastAsia="黑体" w:hint="default"/>
        </w:rPr>
        <w:t>遵循企业会计准则的声明</w:t>
      </w:r>
      <w:r>
        <w:rPr>
          <w:rFonts w:ascii="黑体" w:hAnsi="黑体" w:cs="黑体" w:eastAsia="黑体" w:hint="default"/>
          <w:b w:val="0"/>
          <w:bCs w:val="0"/>
        </w:rPr>
      </w:r>
    </w:p>
    <w:p>
      <w:pPr>
        <w:pStyle w:val="BodyText"/>
        <w:spacing w:line="240" w:lineRule="auto" w:before="185"/>
        <w:ind w:left="634" w:right="90"/>
        <w:jc w:val="left"/>
      </w:pPr>
      <w:r>
        <w:rPr/>
        <w:t>本公司</w:t>
      </w:r>
      <w:r>
        <w:rPr>
          <w:spacing w:val="-52"/>
        </w:rPr>
        <w:t> </w:t>
      </w:r>
      <w:r>
        <w:rPr/>
        <w:t>2008</w:t>
      </w:r>
      <w:r>
        <w:rPr>
          <w:spacing w:val="-52"/>
        </w:rPr>
        <w:t> </w:t>
      </w:r>
      <w:r>
        <w:rPr>
          <w:spacing w:val="-3"/>
        </w:rPr>
        <w:t>年度合并及母公司财务报表符合企业会计准则的要求，真实、完整地反映了</w:t>
      </w:r>
    </w:p>
    <w:p>
      <w:pPr>
        <w:pStyle w:val="BodyText"/>
        <w:spacing w:line="290" w:lineRule="auto" w:before="66"/>
        <w:ind w:right="178"/>
        <w:jc w:val="left"/>
      </w:pPr>
      <w:r>
        <w:rPr/>
        <w:t>本公司</w:t>
      </w:r>
      <w:r>
        <w:rPr>
          <w:spacing w:val="-56"/>
        </w:rPr>
        <w:t> </w:t>
      </w:r>
      <w:r>
        <w:rPr/>
        <w:t>2008</w:t>
      </w:r>
      <w:r>
        <w:rPr>
          <w:spacing w:val="-56"/>
        </w:rPr>
        <w:t> </w:t>
      </w:r>
      <w:r>
        <w:rPr/>
        <w:t>年</w:t>
      </w:r>
      <w:r>
        <w:rPr>
          <w:spacing w:val="-56"/>
        </w:rPr>
        <w:t> </w:t>
      </w:r>
      <w:r>
        <w:rPr/>
        <w:t>12</w:t>
      </w:r>
      <w:r>
        <w:rPr>
          <w:spacing w:val="-56"/>
        </w:rPr>
        <w:t> </w:t>
      </w:r>
      <w:r>
        <w:rPr/>
        <w:t>月</w:t>
      </w:r>
      <w:r>
        <w:rPr>
          <w:spacing w:val="-56"/>
        </w:rPr>
        <w:t> </w:t>
      </w:r>
      <w:r>
        <w:rPr/>
        <w:t>31</w:t>
      </w:r>
      <w:r>
        <w:rPr>
          <w:spacing w:val="-56"/>
        </w:rPr>
        <w:t> </w:t>
      </w:r>
      <w:r>
        <w:rPr/>
        <w:t>日合并及母公司的财务状况以及</w:t>
      </w:r>
      <w:r>
        <w:rPr>
          <w:spacing w:val="-56"/>
        </w:rPr>
        <w:t> </w:t>
      </w:r>
      <w:r>
        <w:rPr/>
        <w:t>2008</w:t>
      </w:r>
      <w:r>
        <w:rPr>
          <w:spacing w:val="-56"/>
        </w:rPr>
        <w:t> </w:t>
      </w:r>
      <w:r>
        <w:rPr/>
        <w:t>年度合并及母公司的经营成果</w:t>
      </w:r>
      <w:r>
        <w:rPr/>
        <w:t> 和现金流量等有关信息。</w:t>
      </w:r>
    </w:p>
    <w:p>
      <w:pPr>
        <w:pStyle w:val="Heading4"/>
        <w:spacing w:line="240" w:lineRule="auto" w:before="134"/>
        <w:ind w:left="154" w:right="0"/>
        <w:jc w:val="both"/>
        <w:rPr>
          <w:rFonts w:ascii="黑体" w:hAnsi="黑体" w:cs="黑体" w:eastAsia="黑体" w:hint="default"/>
          <w:b w:val="0"/>
          <w:bCs w:val="0"/>
        </w:rPr>
      </w:pPr>
      <w:r>
        <w:rPr>
          <w:rFonts w:ascii="黑体" w:hAnsi="黑体" w:cs="黑体" w:eastAsia="黑体" w:hint="default"/>
        </w:rPr>
        <w:t>四、</w:t>
      </w:r>
      <w:r>
        <w:rPr>
          <w:rFonts w:ascii="黑体" w:hAnsi="黑体" w:cs="黑体" w:eastAsia="黑体" w:hint="default"/>
          <w:spacing w:val="116"/>
        </w:rPr>
        <w:t> </w:t>
      </w:r>
      <w:r>
        <w:rPr>
          <w:rFonts w:ascii="黑体" w:hAnsi="黑体" w:cs="黑体" w:eastAsia="黑体" w:hint="default"/>
        </w:rPr>
        <w:t>重要会计政策和会计估计</w:t>
      </w:r>
      <w:r>
        <w:rPr>
          <w:rFonts w:ascii="黑体" w:hAnsi="黑体" w:cs="黑体" w:eastAsia="黑体" w:hint="default"/>
          <w:b w:val="0"/>
          <w:bCs w:val="0"/>
        </w:rPr>
      </w:r>
    </w:p>
    <w:p>
      <w:pPr>
        <w:spacing w:after="0" w:line="240" w:lineRule="auto"/>
        <w:jc w:val="both"/>
        <w:rPr>
          <w:rFonts w:ascii="黑体" w:hAnsi="黑体" w:cs="黑体" w:eastAsia="黑体" w:hint="default"/>
        </w:rPr>
        <w:sectPr>
          <w:pgSz w:w="11910" w:h="16840"/>
          <w:pgMar w:header="877" w:footer="1022" w:top="1100" w:bottom="1220" w:left="980" w:right="940"/>
        </w:sectPr>
      </w:pPr>
    </w:p>
    <w:p>
      <w:pPr>
        <w:spacing w:line="240" w:lineRule="auto" w:before="10"/>
        <w:rPr>
          <w:rFonts w:ascii="黑体" w:hAnsi="黑体" w:cs="黑体" w:eastAsia="黑体" w:hint="default"/>
          <w:b/>
          <w:bCs/>
          <w:sz w:val="24"/>
          <w:szCs w:val="24"/>
        </w:rPr>
      </w:pPr>
    </w:p>
    <w:p>
      <w:pPr>
        <w:pStyle w:val="Heading4"/>
        <w:tabs>
          <w:tab w:pos="1356" w:val="left" w:leader="none"/>
        </w:tabs>
        <w:spacing w:line="240" w:lineRule="auto"/>
        <w:ind w:left="636" w:right="0"/>
        <w:jc w:val="left"/>
        <w:rPr>
          <w:b w:val="0"/>
          <w:bCs w:val="0"/>
        </w:rPr>
      </w:pPr>
      <w:r>
        <w:rPr>
          <w:w w:val="95"/>
        </w:rPr>
        <w:t>(一)</w:t>
        <w:tab/>
      </w:r>
      <w:r>
        <w:rPr/>
        <w:t>会计年度</w:t>
      </w:r>
      <w:r>
        <w:rPr>
          <w:b w:val="0"/>
          <w:bCs w:val="0"/>
        </w:rPr>
      </w:r>
    </w:p>
    <w:p>
      <w:pPr>
        <w:tabs>
          <w:tab w:pos="1356" w:val="left" w:leader="none"/>
        </w:tabs>
        <w:spacing w:line="381" w:lineRule="auto" w:before="186"/>
        <w:ind w:left="636" w:right="4508" w:hanging="3"/>
        <w:jc w:val="left"/>
        <w:rPr>
          <w:rFonts w:ascii="宋体" w:hAnsi="宋体" w:cs="宋体" w:eastAsia="宋体" w:hint="default"/>
          <w:sz w:val="24"/>
          <w:szCs w:val="24"/>
        </w:rPr>
      </w:pPr>
      <w:r>
        <w:rPr>
          <w:rFonts w:ascii="宋体" w:hAnsi="宋体" w:cs="宋体" w:eastAsia="宋体" w:hint="default"/>
          <w:spacing w:val="18"/>
          <w:sz w:val="24"/>
          <w:szCs w:val="24"/>
        </w:rPr>
        <w:t>会计年度为公历1月1</w:t>
      </w:r>
      <w:r>
        <w:rPr>
          <w:rFonts w:ascii="宋体" w:hAnsi="宋体" w:cs="宋体" w:eastAsia="宋体" w:hint="default"/>
          <w:spacing w:val="-60"/>
          <w:sz w:val="24"/>
          <w:szCs w:val="24"/>
        </w:rPr>
        <w:t> </w:t>
      </w:r>
      <w:r>
        <w:rPr>
          <w:rFonts w:ascii="宋体" w:hAnsi="宋体" w:cs="宋体" w:eastAsia="宋体" w:hint="default"/>
          <w:sz w:val="24"/>
          <w:szCs w:val="24"/>
        </w:rPr>
        <w:t>日起至</w:t>
      </w:r>
      <w:r>
        <w:rPr>
          <w:rFonts w:ascii="宋体" w:hAnsi="宋体" w:cs="宋体" w:eastAsia="宋体" w:hint="default"/>
          <w:spacing w:val="-60"/>
          <w:sz w:val="24"/>
          <w:szCs w:val="24"/>
        </w:rPr>
        <w:t> </w:t>
      </w:r>
      <w:r>
        <w:rPr>
          <w:rFonts w:ascii="宋体" w:hAnsi="宋体" w:cs="宋体" w:eastAsia="宋体" w:hint="default"/>
          <w:spacing w:val="20"/>
          <w:sz w:val="24"/>
          <w:szCs w:val="24"/>
        </w:rPr>
        <w:t>12月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日止。</w:t>
      </w:r>
      <w:r>
        <w:rPr>
          <w:rFonts w:ascii="宋体" w:hAnsi="宋体" w:cs="宋体" w:eastAsia="宋体" w:hint="default"/>
          <w:sz w:val="24"/>
          <w:szCs w:val="24"/>
        </w:rPr>
        <w:t> </w:t>
      </w:r>
      <w:r>
        <w:rPr>
          <w:rFonts w:ascii="宋体" w:hAnsi="宋体" w:cs="宋体" w:eastAsia="宋体" w:hint="default"/>
          <w:b/>
          <w:bCs/>
          <w:w w:val="95"/>
          <w:sz w:val="24"/>
          <w:szCs w:val="24"/>
        </w:rPr>
        <w:t>(二)</w:t>
        <w:tab/>
      </w:r>
      <w:r>
        <w:rPr>
          <w:rFonts w:ascii="宋体" w:hAnsi="宋体" w:cs="宋体" w:eastAsia="宋体" w:hint="default"/>
          <w:b/>
          <w:bCs/>
          <w:sz w:val="24"/>
          <w:szCs w:val="24"/>
        </w:rPr>
        <w:t>记账本位币</w:t>
      </w:r>
      <w:r>
        <w:rPr>
          <w:rFonts w:ascii="宋体" w:hAnsi="宋体" w:cs="宋体" w:eastAsia="宋体" w:hint="default"/>
          <w:sz w:val="24"/>
          <w:szCs w:val="24"/>
        </w:rPr>
      </w:r>
    </w:p>
    <w:p>
      <w:pPr>
        <w:pStyle w:val="BodyText"/>
        <w:spacing w:line="240" w:lineRule="auto" w:before="44"/>
        <w:ind w:left="633" w:right="0"/>
        <w:jc w:val="left"/>
      </w:pPr>
      <w:r>
        <w:rPr/>
        <w:t>记账本位币为人民币。</w:t>
      </w:r>
    </w:p>
    <w:p>
      <w:pPr>
        <w:tabs>
          <w:tab w:pos="1356" w:val="left" w:leader="none"/>
        </w:tabs>
        <w:spacing w:line="321" w:lineRule="auto" w:before="186"/>
        <w:ind w:left="633" w:right="150" w:firstLine="2"/>
        <w:jc w:val="left"/>
        <w:rPr>
          <w:rFonts w:ascii="宋体" w:hAnsi="宋体" w:cs="宋体" w:eastAsia="宋体" w:hint="default"/>
          <w:sz w:val="24"/>
          <w:szCs w:val="24"/>
        </w:rPr>
      </w:pPr>
      <w:r>
        <w:rPr>
          <w:rFonts w:ascii="宋体" w:hAnsi="宋体" w:cs="宋体" w:eastAsia="宋体" w:hint="default"/>
          <w:b/>
          <w:bCs/>
          <w:w w:val="95"/>
          <w:sz w:val="24"/>
          <w:szCs w:val="24"/>
        </w:rPr>
        <w:t>(三)</w:t>
        <w:tab/>
      </w:r>
      <w:r>
        <w:rPr>
          <w:rFonts w:ascii="宋体" w:hAnsi="宋体" w:cs="宋体" w:eastAsia="宋体" w:hint="default"/>
          <w:b/>
          <w:bCs/>
          <w:sz w:val="24"/>
          <w:szCs w:val="24"/>
        </w:rPr>
        <w:t>记账基础和计价原则</w:t>
      </w:r>
      <w:r>
        <w:rPr>
          <w:rFonts w:ascii="宋体" w:hAnsi="宋体" w:cs="宋体" w:eastAsia="宋体" w:hint="default"/>
          <w:b/>
          <w:bCs/>
          <w:spacing w:val="1"/>
          <w:w w:val="99"/>
          <w:sz w:val="24"/>
          <w:szCs w:val="24"/>
        </w:rPr>
        <w:t> </w:t>
      </w:r>
      <w:r>
        <w:rPr>
          <w:rFonts w:ascii="宋体" w:hAnsi="宋体" w:cs="宋体" w:eastAsia="宋体" w:hint="default"/>
          <w:sz w:val="24"/>
          <w:szCs w:val="24"/>
        </w:rPr>
        <w:t>本公司采用权责发生制为记账基础。除部分金融工具以公允价值计量外，本财务报表以</w:t>
      </w:r>
    </w:p>
    <w:p>
      <w:pPr>
        <w:pStyle w:val="BodyText"/>
        <w:spacing w:line="299" w:lineRule="exact"/>
        <w:ind w:left="153" w:right="0"/>
        <w:jc w:val="both"/>
      </w:pPr>
      <w:r>
        <w:rPr/>
        <w:t>历史成本作为计量基础。如果以后发生减值，则按照相关规定计提相应的减值准备。</w:t>
      </w:r>
    </w:p>
    <w:p>
      <w:pPr>
        <w:tabs>
          <w:tab w:pos="1356" w:val="left" w:leader="none"/>
        </w:tabs>
        <w:spacing w:line="381" w:lineRule="auto" w:before="185"/>
        <w:ind w:left="633" w:right="2348" w:firstLine="2"/>
        <w:jc w:val="left"/>
        <w:rPr>
          <w:rFonts w:ascii="宋体" w:hAnsi="宋体" w:cs="宋体" w:eastAsia="宋体"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外币折算</w:t>
      </w:r>
      <w:r>
        <w:rPr>
          <w:rFonts w:ascii="宋体" w:hAnsi="宋体" w:cs="宋体" w:eastAsia="宋体" w:hint="default"/>
          <w:b/>
          <w:bCs/>
          <w:spacing w:val="1"/>
          <w:w w:val="99"/>
          <w:sz w:val="24"/>
          <w:szCs w:val="24"/>
        </w:rPr>
        <w:t> </w:t>
      </w:r>
      <w:r>
        <w:rPr>
          <w:rFonts w:ascii="宋体" w:hAnsi="宋体" w:cs="宋体" w:eastAsia="宋体" w:hint="default"/>
          <w:sz w:val="24"/>
          <w:szCs w:val="24"/>
        </w:rPr>
        <w:t>外币交易按交易发生日的即期汇率将外币金额折算为人民币入账。</w:t>
      </w:r>
    </w:p>
    <w:p>
      <w:pPr>
        <w:pStyle w:val="BodyText"/>
        <w:spacing w:line="290" w:lineRule="auto" w:before="43"/>
        <w:ind w:left="153" w:right="148" w:firstLine="480"/>
        <w:jc w:val="both"/>
      </w:pPr>
      <w:r>
        <w:rPr/>
        <w:t>于资产负债表日，外币货币性项目采用资产负债表日的即期汇率折算为人民币，所产生</w:t>
      </w:r>
      <w:r>
        <w:rPr>
          <w:spacing w:val="1"/>
        </w:rPr>
        <w:t> </w:t>
      </w:r>
      <w:r>
        <w:rPr/>
        <w:t>的折算差额除了为购建或生产符合资本化条件的资产而借入的外币专门借款产生的汇兑差额</w:t>
      </w:r>
      <w:r>
        <w:rPr>
          <w:spacing w:val="-83"/>
        </w:rPr>
        <w:t> </w:t>
      </w:r>
      <w:r>
        <w:rPr>
          <w:spacing w:val="-83"/>
        </w:rPr>
      </w:r>
      <w:r>
        <w:rPr/>
        <w:t>按资本化的原则处理外，直接计入当期损益。以历史成本计量的外币非货币性项目，于资产</w:t>
      </w:r>
      <w:r>
        <w:rPr>
          <w:spacing w:val="-83"/>
        </w:rPr>
        <w:t> </w:t>
      </w:r>
      <w:r>
        <w:rPr>
          <w:spacing w:val="-83"/>
        </w:rPr>
      </w:r>
      <w:r>
        <w:rPr/>
        <w:t>负债表日采用交易发生日的即期汇率折算。</w:t>
      </w:r>
    </w:p>
    <w:p>
      <w:pPr>
        <w:tabs>
          <w:tab w:pos="1356" w:val="left" w:leader="none"/>
        </w:tabs>
        <w:spacing w:line="381" w:lineRule="auto" w:before="136"/>
        <w:ind w:left="633" w:right="150" w:firstLine="2"/>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现金及现金等价物</w:t>
      </w:r>
      <w:r>
        <w:rPr>
          <w:rFonts w:ascii="宋体" w:hAnsi="宋体" w:cs="宋体" w:eastAsia="宋体" w:hint="default"/>
          <w:b/>
          <w:bCs/>
          <w:spacing w:val="1"/>
          <w:w w:val="99"/>
          <w:sz w:val="24"/>
          <w:szCs w:val="24"/>
        </w:rPr>
        <w:t> </w:t>
      </w:r>
      <w:r>
        <w:rPr>
          <w:rFonts w:ascii="宋体" w:hAnsi="宋体" w:cs="宋体" w:eastAsia="宋体" w:hint="default"/>
          <w:sz w:val="24"/>
          <w:szCs w:val="24"/>
        </w:rPr>
        <w:t>列示于现金流量表中的现金是指库存现金及可随时用于支付的存款，现金等价物是指持</w:t>
      </w:r>
    </w:p>
    <w:p>
      <w:pPr>
        <w:pStyle w:val="BodyText"/>
        <w:spacing w:line="238" w:lineRule="exact"/>
        <w:ind w:left="153" w:right="0"/>
        <w:jc w:val="both"/>
      </w:pPr>
      <w:r>
        <w:rPr/>
        <w:t>有的期限短、流动性强、易于转换为已知金额现金及价值变动风险很小的投资。</w:t>
      </w:r>
    </w:p>
    <w:p>
      <w:pPr>
        <w:tabs>
          <w:tab w:pos="1356" w:val="left" w:leader="none"/>
        </w:tabs>
        <w:spacing w:line="381" w:lineRule="auto" w:before="186"/>
        <w:ind w:left="693" w:right="7208" w:hanging="58"/>
        <w:jc w:val="left"/>
        <w:rPr>
          <w:rFonts w:ascii="宋体" w:hAnsi="宋体" w:cs="宋体" w:eastAsia="宋体" w:hint="default"/>
          <w:sz w:val="24"/>
          <w:szCs w:val="24"/>
        </w:rPr>
      </w:pPr>
      <w:r>
        <w:rPr>
          <w:rFonts w:ascii="宋体" w:hAnsi="宋体" w:cs="宋体" w:eastAsia="宋体" w:hint="default"/>
          <w:b/>
          <w:bCs/>
          <w:w w:val="95"/>
          <w:sz w:val="24"/>
          <w:szCs w:val="24"/>
        </w:rPr>
        <w:t>(六)</w:t>
        <w:tab/>
      </w:r>
      <w:r>
        <w:rPr>
          <w:rFonts w:ascii="宋体" w:hAnsi="宋体" w:cs="宋体" w:eastAsia="宋体" w:hint="default"/>
          <w:b/>
          <w:bCs/>
          <w:sz w:val="24"/>
          <w:szCs w:val="24"/>
        </w:rPr>
        <w:t>金融资产</w:t>
      </w:r>
      <w:r>
        <w:rPr>
          <w:rFonts w:ascii="宋体" w:hAnsi="宋体" w:cs="宋体" w:eastAsia="宋体" w:hint="default"/>
          <w:b/>
          <w:bCs/>
          <w:spacing w:val="1"/>
          <w:w w:val="99"/>
          <w:sz w:val="24"/>
          <w:szCs w:val="24"/>
        </w:rPr>
        <w:t> </w:t>
      </w:r>
      <w:r>
        <w:rPr>
          <w:rFonts w:ascii="宋体" w:hAnsi="宋体" w:cs="宋体" w:eastAsia="宋体" w:hint="default"/>
          <w:sz w:val="24"/>
          <w:szCs w:val="24"/>
        </w:rPr>
        <w:t>1、金融资产的分类</w:t>
      </w:r>
    </w:p>
    <w:p>
      <w:pPr>
        <w:pStyle w:val="BodyText"/>
        <w:spacing w:line="290" w:lineRule="auto" w:before="43"/>
        <w:ind w:left="153" w:right="148" w:firstLine="480"/>
        <w:jc w:val="both"/>
      </w:pPr>
      <w:r>
        <w:rPr/>
        <w:t>金融资产于初始确认时分类为：以公允价值计量且其变动计入当期损益的金融资产、应</w:t>
      </w:r>
      <w:r>
        <w:rPr>
          <w:spacing w:val="1"/>
        </w:rPr>
        <w:t> </w:t>
      </w:r>
      <w:r>
        <w:rPr/>
        <w:t>收款项、可供出售金融资产和持有至到期投资。金融资产的分类取决于本公司对金融资产的</w:t>
      </w:r>
      <w:r>
        <w:rPr>
          <w:spacing w:val="-83"/>
        </w:rPr>
        <w:t> </w:t>
      </w:r>
      <w:r>
        <w:rPr>
          <w:spacing w:val="-83"/>
        </w:rPr>
      </w:r>
      <w:r>
        <w:rPr/>
        <w:t>持有意图和持有能力。</w:t>
      </w:r>
    </w:p>
    <w:p>
      <w:pPr>
        <w:pStyle w:val="BodyText"/>
        <w:spacing w:line="381" w:lineRule="auto" w:before="134"/>
        <w:ind w:left="633" w:right="0"/>
        <w:jc w:val="left"/>
      </w:pPr>
      <w:r>
        <w:rPr/>
        <w:t>应收款项 应收款项是指在活跃市场中没有报价、回收金额固定或可确定的非衍生金融资产，包括</w:t>
      </w:r>
    </w:p>
    <w:p>
      <w:pPr>
        <w:pStyle w:val="BodyText"/>
        <w:spacing w:line="239" w:lineRule="exact"/>
        <w:ind w:left="153" w:right="0"/>
        <w:jc w:val="both"/>
      </w:pPr>
      <w:r>
        <w:rPr/>
        <w:t>应收账款和其他应收款等。</w:t>
      </w:r>
    </w:p>
    <w:p>
      <w:pPr>
        <w:pStyle w:val="BodyText"/>
        <w:spacing w:line="381" w:lineRule="auto" w:before="185"/>
        <w:ind w:left="633" w:right="0" w:firstLine="12"/>
        <w:jc w:val="left"/>
      </w:pPr>
      <w:r>
        <w:rPr/>
        <w:t>2、</w:t>
      </w:r>
      <w:r>
        <w:rPr>
          <w:spacing w:val="-72"/>
        </w:rPr>
        <w:t> </w:t>
      </w:r>
      <w:r>
        <w:rPr/>
        <w:t>金融资产的确认和计量</w:t>
      </w:r>
      <w:r>
        <w:rPr/>
        <w:t> 金融资产于本公司成为金融工具合同的一方时，按公允价值在资产负债表内确认。以公</w:t>
      </w:r>
    </w:p>
    <w:p>
      <w:pPr>
        <w:pStyle w:val="BodyText"/>
        <w:spacing w:line="239" w:lineRule="exact"/>
        <w:ind w:left="153" w:right="0"/>
        <w:jc w:val="both"/>
      </w:pPr>
      <w:r>
        <w:rPr/>
        <w:t>允价值计量且其变动计入当期损益的金融资产，取得时发生的相关交易费用直接计入当期损</w:t>
      </w:r>
    </w:p>
    <w:p>
      <w:pPr>
        <w:pStyle w:val="BodyText"/>
        <w:spacing w:line="290" w:lineRule="auto" w:before="65"/>
        <w:ind w:left="153" w:right="148"/>
        <w:jc w:val="both"/>
      </w:pPr>
      <w:r>
        <w:rPr/>
        <w:t>益。其他金融资产的相关交易费用计入初始确认金额。当某项金融资产收取现金流量的合同</w:t>
      </w:r>
      <w:r>
        <w:rPr>
          <w:spacing w:val="-83"/>
        </w:rPr>
        <w:t> </w:t>
      </w:r>
      <w:r>
        <w:rPr>
          <w:spacing w:val="-83"/>
        </w:rPr>
      </w:r>
      <w:r>
        <w:rPr/>
        <w:t>权利已终止或与该金融资产所有权上几乎所有的风险和报酬已转移至转入方的，终止确认该</w:t>
      </w:r>
      <w:r>
        <w:rPr>
          <w:spacing w:val="-83"/>
        </w:rPr>
        <w:t> </w:t>
      </w:r>
      <w:r>
        <w:rPr>
          <w:spacing w:val="-83"/>
        </w:rPr>
      </w:r>
      <w:r>
        <w:rPr/>
        <w:t>金融资产。</w:t>
      </w:r>
    </w:p>
    <w:p>
      <w:pPr>
        <w:pStyle w:val="BodyText"/>
        <w:spacing w:line="240" w:lineRule="auto" w:before="134"/>
        <w:ind w:left="633" w:right="0"/>
        <w:jc w:val="left"/>
      </w:pPr>
      <w:r>
        <w:rPr/>
        <w:t>3、</w:t>
      </w:r>
      <w:r>
        <w:rPr>
          <w:spacing w:val="-60"/>
        </w:rPr>
        <w:t> </w:t>
      </w:r>
      <w:r>
        <w:rPr/>
        <w:t>金融资产减值</w:t>
      </w:r>
    </w:p>
    <w:p>
      <w:pPr>
        <w:spacing w:after="0" w:line="240" w:lineRule="auto"/>
        <w:jc w:val="left"/>
        <w:sectPr>
          <w:pgSz w:w="11910" w:h="16840"/>
          <w:pgMar w:header="877" w:footer="1022" w:top="1100" w:bottom="1220" w:left="980" w:right="980"/>
        </w:sectPr>
      </w:pPr>
    </w:p>
    <w:p>
      <w:pPr>
        <w:spacing w:line="240" w:lineRule="auto" w:before="10"/>
        <w:rPr>
          <w:rFonts w:ascii="宋体" w:hAnsi="宋体" w:cs="宋体" w:eastAsia="宋体" w:hint="default"/>
          <w:sz w:val="24"/>
          <w:szCs w:val="24"/>
        </w:rPr>
      </w:pPr>
    </w:p>
    <w:p>
      <w:pPr>
        <w:pStyle w:val="BodyText"/>
        <w:spacing w:line="290" w:lineRule="auto" w:before="26"/>
        <w:ind w:left="153" w:right="231" w:firstLine="480"/>
        <w:jc w:val="right"/>
      </w:pPr>
      <w:r>
        <w:rPr/>
        <w:t>除以公允价值计量且其变动计入当期损益的金融资产外，本公司于资产负债表日对金融</w:t>
      </w:r>
      <w:r>
        <w:rPr>
          <w:spacing w:val="1"/>
        </w:rPr>
        <w:t> </w:t>
      </w:r>
      <w:r>
        <w:rPr/>
        <w:t>资产的账面价值进行检查，如果有客观证据表明某项金融资产发生减值的，计提减值准备。</w:t>
      </w:r>
    </w:p>
    <w:p>
      <w:pPr>
        <w:pStyle w:val="BodyText"/>
        <w:spacing w:line="290" w:lineRule="auto" w:before="134"/>
        <w:ind w:left="153" w:right="111" w:firstLine="480"/>
        <w:jc w:val="both"/>
      </w:pPr>
      <w:r>
        <w:rPr>
          <w:spacing w:val="-3"/>
        </w:rPr>
        <w:t>以摊余成本计量的金融资产发生减值时，按预计未来现金流量(不包括尚未发生的未来信</w:t>
      </w:r>
      <w:r>
        <w:rPr/>
        <w:t> 用损失)现值低于账面价值的差额，计提减值准备。如果有客观证据表明该金融资产价值已恢 </w:t>
      </w:r>
      <w:r>
        <w:rPr>
          <w:spacing w:val="-3"/>
        </w:rPr>
        <w:t>复，且客观上与确认该损失后发生的事项有关，原确认的减值损失予以转回，计入当期损益。</w:t>
      </w:r>
    </w:p>
    <w:p>
      <w:pPr>
        <w:pStyle w:val="BodyText"/>
        <w:tabs>
          <w:tab w:pos="1356" w:val="left" w:leader="none"/>
        </w:tabs>
        <w:spacing w:line="381" w:lineRule="auto" w:before="134"/>
        <w:ind w:left="633" w:right="231" w:firstLine="2"/>
        <w:jc w:val="left"/>
      </w:pPr>
      <w:r>
        <w:rPr>
          <w:rFonts w:ascii="宋体" w:hAnsi="宋体" w:cs="宋体" w:eastAsia="宋体" w:hint="default"/>
          <w:b/>
          <w:bCs/>
          <w:w w:val="95"/>
        </w:rPr>
        <w:t>(七)</w:t>
        <w:tab/>
      </w:r>
      <w:r>
        <w:rPr>
          <w:rFonts w:ascii="宋体" w:hAnsi="宋体" w:cs="宋体" w:eastAsia="宋体" w:hint="default"/>
          <w:b/>
          <w:bCs/>
        </w:rPr>
        <w:t>应收款项</w:t>
      </w:r>
      <w:r>
        <w:rPr>
          <w:rFonts w:ascii="宋体" w:hAnsi="宋体" w:cs="宋体" w:eastAsia="宋体" w:hint="default"/>
          <w:b/>
          <w:bCs/>
          <w:spacing w:val="1"/>
          <w:w w:val="99"/>
        </w:rPr>
        <w:t> </w:t>
      </w:r>
      <w:r>
        <w:rPr/>
        <w:t>应收款项包括应收账款、其他应收款和长期应收款等。本公司对外销售商品或提供劳务</w:t>
      </w:r>
    </w:p>
    <w:p>
      <w:pPr>
        <w:pStyle w:val="BodyText"/>
        <w:spacing w:line="239" w:lineRule="exact"/>
        <w:ind w:left="153" w:right="92"/>
        <w:jc w:val="left"/>
      </w:pPr>
      <w:r>
        <w:rPr/>
        <w:t>形成的应收账款，按从购货方应收的合同或协议价款的公允价值作为初始确认金额。应收款</w:t>
      </w:r>
    </w:p>
    <w:p>
      <w:pPr>
        <w:pStyle w:val="BodyText"/>
        <w:spacing w:line="381" w:lineRule="auto" w:before="65"/>
        <w:ind w:left="633" w:right="92" w:hanging="480"/>
        <w:jc w:val="left"/>
      </w:pPr>
      <w:r>
        <w:rPr/>
        <w:t>项采用实际利率法，以摊余成本减去坏账准备后的净额列示。 对于单项金额重大的外部应收款项，单独进行减值测试，当存在客观证据表明本公司将</w:t>
      </w:r>
    </w:p>
    <w:p>
      <w:pPr>
        <w:pStyle w:val="BodyText"/>
        <w:spacing w:line="239" w:lineRule="exact"/>
        <w:ind w:left="153" w:right="92"/>
        <w:jc w:val="left"/>
      </w:pPr>
      <w:r>
        <w:rPr/>
        <w:t>无法按应收款项的原有条款收回所有款项时，根据其预计未来现金流量现值低于其账面价值</w:t>
      </w:r>
    </w:p>
    <w:p>
      <w:pPr>
        <w:pStyle w:val="BodyText"/>
        <w:spacing w:line="381" w:lineRule="auto" w:before="65"/>
        <w:ind w:left="633" w:right="92" w:hanging="480"/>
        <w:jc w:val="left"/>
      </w:pPr>
      <w:r>
        <w:rPr/>
        <w:t>的差额，计提坏账准备。 对于单项金额非重大的外部应收款项，与经单独测试后未减值的应收款项一起按信用风</w:t>
      </w:r>
    </w:p>
    <w:p>
      <w:pPr>
        <w:pStyle w:val="BodyText"/>
        <w:spacing w:line="239" w:lineRule="exact"/>
        <w:ind w:left="153" w:right="92"/>
        <w:jc w:val="left"/>
      </w:pPr>
      <w:r>
        <w:rPr/>
        <w:t>险特征划分为若干组合，根据以前年度与之相同或相类似的、具有类似信用风险特征的应收</w:t>
      </w:r>
    </w:p>
    <w:p>
      <w:pPr>
        <w:pStyle w:val="BodyText"/>
        <w:spacing w:line="290" w:lineRule="auto" w:before="65"/>
        <w:ind w:left="153" w:right="92"/>
        <w:jc w:val="left"/>
      </w:pPr>
      <w:r>
        <w:rPr/>
        <w:t>账款组合的实际损失率为基础，结合现时情况确定本年度各项组合计提坏账准备的比例，据</w:t>
      </w:r>
      <w:r>
        <w:rPr>
          <w:spacing w:val="-83"/>
        </w:rPr>
        <w:t> </w:t>
      </w:r>
      <w:r>
        <w:rPr>
          <w:spacing w:val="-83"/>
        </w:rPr>
      </w:r>
      <w:r>
        <w:rPr/>
        <w:t>此计算本年度应计提的坏账准备。本公司按账龄法风险组合及损失率计提坏账准备如下：</w:t>
      </w:r>
    </w:p>
    <w:p>
      <w:pPr>
        <w:spacing w:line="240" w:lineRule="auto" w:before="11"/>
        <w:rPr>
          <w:rFonts w:ascii="宋体" w:hAnsi="宋体" w:cs="宋体" w:eastAsia="宋体" w:hint="default"/>
          <w:sz w:val="15"/>
          <w:szCs w:val="15"/>
        </w:rPr>
      </w:pPr>
    </w:p>
    <w:tbl>
      <w:tblPr>
        <w:tblW w:w="0" w:type="auto"/>
        <w:jc w:val="left"/>
        <w:tblInd w:w="685" w:type="dxa"/>
        <w:tblLayout w:type="fixed"/>
        <w:tblCellMar>
          <w:top w:w="0" w:type="dxa"/>
          <w:left w:w="0" w:type="dxa"/>
          <w:bottom w:w="0" w:type="dxa"/>
          <w:right w:w="0" w:type="dxa"/>
        </w:tblCellMar>
        <w:tblLook w:val="01E0"/>
      </w:tblPr>
      <w:tblGrid>
        <w:gridCol w:w="1742"/>
        <w:gridCol w:w="1800"/>
        <w:gridCol w:w="1938"/>
      </w:tblGrid>
      <w:tr>
        <w:trPr>
          <w:trHeight w:val="272" w:hRule="exact"/>
        </w:trPr>
        <w:tc>
          <w:tcPr>
            <w:tcW w:w="1742"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pacing w:val="-5"/>
                <w:sz w:val="18"/>
                <w:szCs w:val="18"/>
              </w:rPr>
              <w:t>账龄</w:t>
            </w:r>
            <w:r>
              <w:rPr>
                <w:rFonts w:ascii="宋体" w:hAnsi="宋体" w:cs="宋体" w:eastAsia="宋体" w:hint="default"/>
                <w:sz w:val="18"/>
                <w:szCs w:val="18"/>
              </w:rPr>
            </w:r>
          </w:p>
        </w:tc>
        <w:tc>
          <w:tcPr>
            <w:tcW w:w="1800"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single" w:sz="4" w:space="0" w:color="000000"/>
              <w:right w:val="nil" w:sz="6" w:space="0" w:color="auto"/>
            </w:tcBorders>
          </w:tcPr>
          <w:p>
            <w:pPr>
              <w:pStyle w:val="TableParagraph"/>
              <w:spacing w:line="180" w:lineRule="exact"/>
              <w:ind w:left="18" w:right="0"/>
              <w:jc w:val="center"/>
              <w:rPr>
                <w:rFonts w:ascii="宋体" w:hAnsi="宋体" w:cs="宋体" w:eastAsia="宋体" w:hint="default"/>
                <w:sz w:val="18"/>
                <w:szCs w:val="18"/>
              </w:rPr>
            </w:pPr>
            <w:r>
              <w:rPr>
                <w:rFonts w:ascii="宋体" w:hAnsi="宋体" w:cs="宋体" w:eastAsia="宋体" w:hint="default"/>
                <w:spacing w:val="-4"/>
                <w:sz w:val="18"/>
                <w:szCs w:val="18"/>
              </w:rPr>
              <w:t>计提比例</w:t>
            </w:r>
          </w:p>
        </w:tc>
      </w:tr>
      <w:tr>
        <w:trPr>
          <w:trHeight w:val="381" w:hRule="exact"/>
        </w:trPr>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0"/>
              <w:jc w:val="left"/>
              <w:rPr>
                <w:rFonts w:ascii="宋体" w:hAnsi="宋体" w:cs="宋体" w:eastAsia="宋体" w:hint="default"/>
                <w:sz w:val="18"/>
                <w:szCs w:val="18"/>
              </w:rPr>
            </w:pPr>
            <w:r>
              <w:rPr>
                <w:rFonts w:ascii="宋体" w:hAnsi="宋体" w:cs="宋体" w:eastAsia="宋体" w:hint="default"/>
                <w:spacing w:val="-5"/>
                <w:sz w:val="18"/>
                <w:szCs w:val="18"/>
              </w:rPr>
              <w:t>一年以内</w:t>
            </w:r>
            <w:r>
              <w:rPr>
                <w:rFonts w:ascii="宋体" w:hAnsi="宋体" w:cs="宋体" w:eastAsia="宋体" w:hint="default"/>
                <w:sz w:val="18"/>
                <w:szCs w:val="18"/>
              </w:rPr>
            </w:r>
          </w:p>
        </w:tc>
        <w:tc>
          <w:tcPr>
            <w:tcW w:w="1800" w:type="dxa"/>
            <w:tcBorders>
              <w:top w:val="nil" w:sz="6" w:space="0" w:color="auto"/>
              <w:left w:val="nil" w:sz="6" w:space="0" w:color="auto"/>
              <w:bottom w:val="nil" w:sz="6" w:space="0" w:color="auto"/>
              <w:right w:val="nil" w:sz="6" w:space="0" w:color="auto"/>
            </w:tcBorders>
          </w:tcPr>
          <w:p>
            <w:pPr/>
          </w:p>
        </w:tc>
        <w:tc>
          <w:tcPr>
            <w:tcW w:w="1938"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left="15" w:right="0"/>
              <w:jc w:val="center"/>
              <w:rPr>
                <w:rFonts w:ascii="宋体" w:hAnsi="宋体" w:cs="宋体" w:eastAsia="宋体" w:hint="default"/>
                <w:sz w:val="18"/>
                <w:szCs w:val="18"/>
              </w:rPr>
            </w:pPr>
            <w:r>
              <w:rPr>
                <w:rFonts w:ascii="宋体"/>
                <w:sz w:val="18"/>
              </w:rPr>
              <w:t>5%</w:t>
            </w:r>
          </w:p>
        </w:tc>
      </w:tr>
      <w:tr>
        <w:trPr>
          <w:trHeight w:val="369"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left"/>
              <w:rPr>
                <w:rFonts w:ascii="宋体" w:hAnsi="宋体" w:cs="宋体" w:eastAsia="宋体" w:hint="default"/>
                <w:sz w:val="18"/>
                <w:szCs w:val="18"/>
              </w:rPr>
            </w:pPr>
            <w:r>
              <w:rPr>
                <w:rFonts w:ascii="宋体" w:hAnsi="宋体" w:cs="宋体" w:eastAsia="宋体" w:hint="default"/>
                <w:spacing w:val="-4"/>
                <w:sz w:val="18"/>
                <w:szCs w:val="18"/>
              </w:rPr>
              <w:t>一至二年</w:t>
            </w:r>
          </w:p>
        </w:tc>
        <w:tc>
          <w:tcPr>
            <w:tcW w:w="1800"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 w:right="0"/>
              <w:jc w:val="center"/>
              <w:rPr>
                <w:rFonts w:ascii="宋体" w:hAnsi="宋体" w:cs="宋体" w:eastAsia="宋体" w:hint="default"/>
                <w:sz w:val="18"/>
                <w:szCs w:val="18"/>
              </w:rPr>
            </w:pPr>
            <w:r>
              <w:rPr>
                <w:rFonts w:ascii="宋体"/>
                <w:spacing w:val="-3"/>
                <w:sz w:val="18"/>
              </w:rPr>
              <w:t>10%</w:t>
            </w:r>
            <w:r>
              <w:rPr>
                <w:rFonts w:ascii="宋体"/>
                <w:sz w:val="18"/>
              </w:rPr>
            </w:r>
          </w:p>
        </w:tc>
      </w:tr>
      <w:tr>
        <w:trPr>
          <w:trHeight w:val="369"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left"/>
              <w:rPr>
                <w:rFonts w:ascii="宋体" w:hAnsi="宋体" w:cs="宋体" w:eastAsia="宋体" w:hint="default"/>
                <w:sz w:val="18"/>
                <w:szCs w:val="18"/>
              </w:rPr>
            </w:pPr>
            <w:r>
              <w:rPr>
                <w:rFonts w:ascii="宋体" w:hAnsi="宋体" w:cs="宋体" w:eastAsia="宋体" w:hint="default"/>
                <w:spacing w:val="-4"/>
                <w:sz w:val="18"/>
                <w:szCs w:val="18"/>
              </w:rPr>
              <w:t>二至三年</w:t>
            </w:r>
          </w:p>
        </w:tc>
        <w:tc>
          <w:tcPr>
            <w:tcW w:w="1800"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3" w:right="0"/>
              <w:jc w:val="center"/>
              <w:rPr>
                <w:rFonts w:ascii="宋体" w:hAnsi="宋体" w:cs="宋体" w:eastAsia="宋体" w:hint="default"/>
                <w:sz w:val="18"/>
                <w:szCs w:val="18"/>
              </w:rPr>
            </w:pPr>
            <w:r>
              <w:rPr>
                <w:rFonts w:ascii="宋体"/>
                <w:spacing w:val="-3"/>
                <w:sz w:val="18"/>
              </w:rPr>
              <w:t>20%</w:t>
            </w:r>
            <w:r>
              <w:rPr>
                <w:rFonts w:ascii="宋体"/>
                <w:sz w:val="18"/>
              </w:rPr>
            </w:r>
          </w:p>
        </w:tc>
      </w:tr>
      <w:tr>
        <w:trPr>
          <w:trHeight w:val="275"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left"/>
              <w:rPr>
                <w:rFonts w:ascii="宋体" w:hAnsi="宋体" w:cs="宋体" w:eastAsia="宋体" w:hint="default"/>
                <w:sz w:val="18"/>
                <w:szCs w:val="18"/>
              </w:rPr>
            </w:pPr>
            <w:r>
              <w:rPr>
                <w:rFonts w:ascii="宋体" w:hAnsi="宋体" w:cs="宋体" w:eastAsia="宋体" w:hint="default"/>
                <w:spacing w:val="-4"/>
                <w:sz w:val="18"/>
                <w:szCs w:val="18"/>
              </w:rPr>
              <w:t>三年以上</w:t>
            </w:r>
          </w:p>
        </w:tc>
        <w:tc>
          <w:tcPr>
            <w:tcW w:w="1800"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3" w:right="0"/>
              <w:jc w:val="center"/>
              <w:rPr>
                <w:rFonts w:ascii="宋体" w:hAnsi="宋体" w:cs="宋体" w:eastAsia="宋体" w:hint="default"/>
                <w:sz w:val="18"/>
                <w:szCs w:val="18"/>
              </w:rPr>
            </w:pPr>
            <w:r>
              <w:rPr>
                <w:rFonts w:ascii="宋体"/>
                <w:spacing w:val="-3"/>
                <w:sz w:val="18"/>
              </w:rPr>
              <w:t>30%</w:t>
            </w:r>
            <w:r>
              <w:rPr>
                <w:rFonts w:ascii="宋体"/>
                <w:sz w:val="18"/>
              </w:rPr>
            </w:r>
          </w:p>
        </w:tc>
      </w:tr>
    </w:tbl>
    <w:p>
      <w:pPr>
        <w:spacing w:line="240" w:lineRule="auto" w:before="3"/>
        <w:rPr>
          <w:rFonts w:ascii="宋体" w:hAnsi="宋体" w:cs="宋体" w:eastAsia="宋体" w:hint="default"/>
          <w:sz w:val="19"/>
          <w:szCs w:val="19"/>
        </w:rPr>
      </w:pPr>
    </w:p>
    <w:p>
      <w:pPr>
        <w:pStyle w:val="BodyText"/>
        <w:spacing w:line="412" w:lineRule="auto" w:before="26"/>
        <w:ind w:left="634" w:right="92" w:firstLine="15"/>
        <w:jc w:val="left"/>
      </w:pPr>
      <w:r>
        <w:rPr>
          <w:spacing w:val="5"/>
        </w:rPr>
        <w:t>对未到收款期且经单独测试后未减值的的长期应收款不计提坏账准备。</w:t>
      </w:r>
      <w:r>
        <w:rPr>
          <w:spacing w:val="8"/>
        </w:rPr>
        <w:t> </w:t>
      </w:r>
      <w:r>
        <w:rPr/>
        <w:t>本公司向金融机构转让不附追索权的应收账款，按交易款项扣除已转销应收账款的账面</w:t>
      </w:r>
    </w:p>
    <w:p>
      <w:pPr>
        <w:pStyle w:val="BodyText"/>
        <w:spacing w:line="247" w:lineRule="exact"/>
        <w:ind w:right="92"/>
        <w:jc w:val="left"/>
      </w:pPr>
      <w:r>
        <w:rPr/>
        <w:t>价值和相关税费后的差额计入当期损益。</w:t>
      </w:r>
    </w:p>
    <w:p>
      <w:pPr>
        <w:spacing w:line="240" w:lineRule="auto" w:before="3"/>
        <w:rPr>
          <w:rFonts w:ascii="宋体" w:hAnsi="宋体" w:cs="宋体" w:eastAsia="宋体" w:hint="default"/>
          <w:sz w:val="17"/>
          <w:szCs w:val="17"/>
        </w:rPr>
      </w:pPr>
    </w:p>
    <w:p>
      <w:pPr>
        <w:tabs>
          <w:tab w:pos="1356" w:val="left" w:leader="none"/>
        </w:tabs>
        <w:spacing w:line="412" w:lineRule="auto" w:before="0"/>
        <w:ind w:left="634" w:right="7828" w:firstLine="2"/>
        <w:jc w:val="left"/>
        <w:rPr>
          <w:rFonts w:ascii="宋体" w:hAnsi="宋体" w:cs="宋体" w:eastAsia="宋体" w:hint="default"/>
          <w:sz w:val="24"/>
          <w:szCs w:val="24"/>
        </w:rPr>
      </w:pPr>
      <w:r>
        <w:rPr>
          <w:rFonts w:ascii="宋体" w:hAnsi="宋体" w:cs="宋体" w:eastAsia="宋体" w:hint="default"/>
          <w:b/>
          <w:bCs/>
          <w:w w:val="95"/>
          <w:sz w:val="24"/>
          <w:szCs w:val="24"/>
        </w:rPr>
        <w:t>(八)</w:t>
        <w:tab/>
      </w:r>
      <w:r>
        <w:rPr>
          <w:rFonts w:ascii="宋体" w:hAnsi="宋体" w:cs="宋体" w:eastAsia="宋体" w:hint="default"/>
          <w:b/>
          <w:bCs/>
          <w:sz w:val="24"/>
          <w:szCs w:val="24"/>
        </w:rPr>
        <w:t>存货</w:t>
      </w:r>
      <w:r>
        <w:rPr>
          <w:rFonts w:ascii="宋体" w:hAnsi="宋体" w:cs="宋体" w:eastAsia="宋体" w:hint="default"/>
          <w:b/>
          <w:bCs/>
          <w:spacing w:val="1"/>
          <w:w w:val="99"/>
          <w:sz w:val="24"/>
          <w:szCs w:val="24"/>
        </w:rPr>
        <w:t> </w:t>
      </w:r>
      <w:r>
        <w:rPr>
          <w:rFonts w:ascii="宋体" w:hAnsi="宋体" w:cs="宋体" w:eastAsia="宋体" w:hint="default"/>
          <w:sz w:val="24"/>
          <w:szCs w:val="24"/>
        </w:rPr>
        <w:t>1、存货的分类</w:t>
      </w:r>
    </w:p>
    <w:p>
      <w:pPr>
        <w:pStyle w:val="BodyText"/>
        <w:spacing w:line="412" w:lineRule="auto" w:before="53"/>
        <w:ind w:left="634" w:right="130"/>
        <w:jc w:val="left"/>
      </w:pPr>
      <w:r>
        <w:rPr/>
        <w:t>存货包括原材料、在产品、产成品和周转材料，按照实际成本进行初始计量。 2、存货发出时的成本按按加权平均法核算核算。周转材料包括低值易耗品和包装物等，</w:t>
      </w:r>
    </w:p>
    <w:p>
      <w:pPr>
        <w:pStyle w:val="BodyText"/>
        <w:spacing w:line="247" w:lineRule="exact"/>
        <w:ind w:right="92"/>
        <w:jc w:val="left"/>
      </w:pPr>
      <w:r>
        <w:rPr/>
        <w:t>周转材料在领用时采用一次转销法核算成本。</w:t>
      </w:r>
    </w:p>
    <w:p>
      <w:pPr>
        <w:spacing w:line="240" w:lineRule="auto" w:before="3"/>
        <w:rPr>
          <w:rFonts w:ascii="宋体" w:hAnsi="宋体" w:cs="宋体" w:eastAsia="宋体" w:hint="default"/>
          <w:sz w:val="17"/>
          <w:szCs w:val="17"/>
        </w:rPr>
      </w:pPr>
    </w:p>
    <w:p>
      <w:pPr>
        <w:pStyle w:val="BodyText"/>
        <w:spacing w:line="321" w:lineRule="auto"/>
        <w:ind w:right="130" w:firstLine="480"/>
        <w:jc w:val="left"/>
      </w:pPr>
      <w:r>
        <w:rPr/>
        <w:t>3、存货跌价准备按存货成本高于其可变现净值的差额计提。可变现净值按日常活动中， 以存货的估计售价减去至完工时估计将要发生的成本、估计的销售费用以及相关税费后的金</w:t>
      </w:r>
    </w:p>
    <w:p>
      <w:pPr>
        <w:spacing w:after="0" w:line="321" w:lineRule="auto"/>
        <w:jc w:val="left"/>
        <w:sectPr>
          <w:pgSz w:w="11910" w:h="16840"/>
          <w:pgMar w:header="877" w:footer="1022" w:top="1100" w:bottom="1220" w:left="980" w:right="900"/>
        </w:sectPr>
      </w:pPr>
    </w:p>
    <w:p>
      <w:pPr>
        <w:spacing w:line="240" w:lineRule="auto" w:before="11"/>
        <w:rPr>
          <w:rFonts w:ascii="宋体" w:hAnsi="宋体" w:cs="宋体" w:eastAsia="宋体" w:hint="default"/>
          <w:sz w:val="27"/>
          <w:szCs w:val="27"/>
        </w:rPr>
      </w:pPr>
    </w:p>
    <w:p>
      <w:pPr>
        <w:pStyle w:val="BodyText"/>
        <w:spacing w:line="240" w:lineRule="auto" w:before="26"/>
        <w:ind w:right="0"/>
        <w:jc w:val="both"/>
      </w:pPr>
      <w:r>
        <w:rPr/>
        <w:t>额确定。</w:t>
      </w:r>
    </w:p>
    <w:p>
      <w:pPr>
        <w:spacing w:line="240" w:lineRule="auto" w:before="3"/>
        <w:rPr>
          <w:rFonts w:ascii="宋体" w:hAnsi="宋体" w:cs="宋体" w:eastAsia="宋体" w:hint="default"/>
          <w:sz w:val="17"/>
          <w:szCs w:val="17"/>
        </w:rPr>
      </w:pPr>
    </w:p>
    <w:p>
      <w:pPr>
        <w:tabs>
          <w:tab w:pos="1356" w:val="left" w:leader="none"/>
        </w:tabs>
        <w:spacing w:line="412" w:lineRule="auto" w:before="0"/>
        <w:ind w:left="636" w:right="4708" w:hanging="3"/>
        <w:jc w:val="left"/>
        <w:rPr>
          <w:rFonts w:ascii="宋体" w:hAnsi="宋体" w:cs="宋体" w:eastAsia="宋体" w:hint="default"/>
          <w:sz w:val="24"/>
          <w:szCs w:val="24"/>
        </w:rPr>
      </w:pPr>
      <w:r>
        <w:rPr>
          <w:rFonts w:ascii="宋体" w:hAnsi="宋体" w:cs="宋体" w:eastAsia="宋体" w:hint="default"/>
          <w:sz w:val="24"/>
          <w:szCs w:val="24"/>
        </w:rPr>
        <w:t>4、本公司的存货盘存制度采用永续盘存制。 </w:t>
      </w:r>
      <w:r>
        <w:rPr>
          <w:rFonts w:ascii="宋体" w:hAnsi="宋体" w:cs="宋体" w:eastAsia="宋体" w:hint="default"/>
          <w:b/>
          <w:bCs/>
          <w:w w:val="95"/>
          <w:sz w:val="24"/>
          <w:szCs w:val="24"/>
        </w:rPr>
        <w:t>(九)</w:t>
        <w:tab/>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spacing w:line="321" w:lineRule="auto" w:before="53"/>
        <w:ind w:left="153" w:right="93" w:firstLine="480"/>
        <w:jc w:val="left"/>
      </w:pPr>
      <w:r>
        <w:rPr/>
        <w:t>长期股权投资包括本公司对子公司的股权投资、本公司对合营企业和联营企业的股权投</w:t>
      </w:r>
      <w:r>
        <w:rPr>
          <w:spacing w:val="1"/>
        </w:rPr>
        <w:t> </w:t>
      </w:r>
      <w:r>
        <w:rPr>
          <w:spacing w:val="-2"/>
        </w:rPr>
        <w:t>资以及本公司对被投资单位不具有控制、共同控制或重大影响，并且在活跃市场中没有报价、</w:t>
      </w:r>
      <w:r>
        <w:rPr/>
        <w:t> 公允价值不能可靠计量的长期股权投资。</w:t>
      </w:r>
    </w:p>
    <w:p>
      <w:pPr>
        <w:pStyle w:val="BodyText"/>
        <w:spacing w:line="412" w:lineRule="auto" w:before="144"/>
        <w:ind w:left="633" w:right="92"/>
        <w:jc w:val="left"/>
      </w:pPr>
      <w:r>
        <w:rPr/>
        <w:t>1、 子公司 子公司是指本公司能够对其实施控制，即有权决定其财务和经营政策，并能据以从其经</w:t>
      </w:r>
    </w:p>
    <w:p>
      <w:pPr>
        <w:pStyle w:val="BodyText"/>
        <w:spacing w:line="247" w:lineRule="exact"/>
        <w:ind w:left="153" w:right="0"/>
        <w:jc w:val="both"/>
      </w:pPr>
      <w:r>
        <w:rPr/>
        <w:t>营活动中获取利益的被投资单位。在确定能否对被投资单位实施控制时，被投资单位当期可</w:t>
      </w:r>
    </w:p>
    <w:p>
      <w:pPr>
        <w:pStyle w:val="BodyText"/>
        <w:spacing w:line="321" w:lineRule="auto" w:before="106"/>
        <w:ind w:left="153" w:right="228"/>
        <w:jc w:val="both"/>
      </w:pPr>
      <w:r>
        <w:rPr/>
        <w:t>转换公司债券、当期可执行认股权证等潜在表决权因素亦同时予以考虑。对子公司投资，在</w:t>
      </w:r>
      <w:r>
        <w:rPr>
          <w:spacing w:val="-83"/>
        </w:rPr>
        <w:t> </w:t>
      </w:r>
      <w:r>
        <w:rPr>
          <w:spacing w:val="-83"/>
        </w:rPr>
      </w:r>
      <w:r>
        <w:rPr/>
        <w:t>本公司个别财务报表中按照成本法确定的金额列示，在编制合并财务报表时按权益法调整后</w:t>
      </w:r>
      <w:r>
        <w:rPr>
          <w:spacing w:val="-83"/>
        </w:rPr>
        <w:t> </w:t>
      </w:r>
      <w:r>
        <w:rPr>
          <w:spacing w:val="-83"/>
        </w:rPr>
      </w:r>
      <w:r>
        <w:rPr/>
        <w:t>进行合并。</w:t>
      </w:r>
    </w:p>
    <w:p>
      <w:pPr>
        <w:pStyle w:val="BodyText"/>
        <w:spacing w:line="321" w:lineRule="auto" w:before="144"/>
        <w:ind w:left="153" w:right="111" w:firstLine="480"/>
        <w:jc w:val="both"/>
      </w:pPr>
      <w:r>
        <w:rPr/>
        <w:t>采用成本法核算的长期股权投资按照初始投资成本计量。被投资单位宣告分派的现金股</w:t>
      </w:r>
      <w:r>
        <w:rPr>
          <w:spacing w:val="1"/>
        </w:rPr>
        <w:t> </w:t>
      </w:r>
      <w:r>
        <w:rPr/>
        <w:t>利或利润，确认为当期投资收益。确认的投资收益，仅限于被投资单位接受投资后产生的累</w:t>
      </w:r>
      <w:r>
        <w:rPr>
          <w:spacing w:val="-83"/>
        </w:rPr>
        <w:t> </w:t>
      </w:r>
      <w:r>
        <w:rPr>
          <w:spacing w:val="-83"/>
        </w:rPr>
      </w:r>
      <w:r>
        <w:rPr>
          <w:spacing w:val="-2"/>
        </w:rPr>
        <w:t>积净利润的分配额，所获得的利润或现金股利超过上述数额的部分作为初始投资成本的收回。</w:t>
      </w:r>
    </w:p>
    <w:p>
      <w:pPr>
        <w:pStyle w:val="BodyText"/>
        <w:spacing w:line="412" w:lineRule="auto" w:before="144"/>
        <w:ind w:left="633" w:right="92"/>
        <w:jc w:val="left"/>
      </w:pPr>
      <w:r>
        <w:rPr/>
        <w:t>2、合营企业和联营企业 合营企业是指本公司与其他方对其实施共同控制的被投资单位；联营企业是指本公司对</w:t>
      </w:r>
    </w:p>
    <w:p>
      <w:pPr>
        <w:pStyle w:val="BodyText"/>
        <w:spacing w:line="247" w:lineRule="exact"/>
        <w:ind w:left="153" w:right="0"/>
        <w:jc w:val="both"/>
      </w:pPr>
      <w:r>
        <w:rPr/>
        <w:t>其财务和经营决策具有重大影响的被投资单位。</w:t>
      </w:r>
    </w:p>
    <w:p>
      <w:pPr>
        <w:pStyle w:val="BodyText"/>
        <w:spacing w:line="304" w:lineRule="auto" w:before="205"/>
        <w:ind w:left="153" w:right="228" w:firstLine="480"/>
        <w:jc w:val="both"/>
      </w:pPr>
      <w:r>
        <w:rPr/>
        <w:t>对合营企业和联营企业投资按照实际成本进行初始计量，并采用权益法进行后续计量。</w:t>
      </w:r>
      <w:r>
        <w:rPr>
          <w:spacing w:val="1"/>
        </w:rPr>
        <w:t> </w:t>
      </w:r>
      <w:r>
        <w:rPr/>
        <w:t>初始投资成本大于投资时应享有被投资单位可辨认净资产公允价值份额的，其差额包含在初</w:t>
      </w:r>
      <w:r>
        <w:rPr>
          <w:spacing w:val="-83"/>
        </w:rPr>
        <w:t> </w:t>
      </w:r>
      <w:r>
        <w:rPr>
          <w:spacing w:val="-83"/>
        </w:rPr>
      </w:r>
      <w:r>
        <w:rPr/>
        <w:t>始投资成本中；初始投资成本小于投资时应享有被投资单位可辨认净资产公允价值份额的，</w:t>
      </w:r>
      <w:r>
        <w:rPr>
          <w:spacing w:val="-83"/>
        </w:rPr>
        <w:t> </w:t>
      </w:r>
      <w:r>
        <w:rPr>
          <w:spacing w:val="-83"/>
        </w:rPr>
      </w:r>
      <w:r>
        <w:rPr/>
        <w:t>其差额计入当期损益，同时调整长期股权投资成本。</w:t>
      </w:r>
    </w:p>
    <w:p>
      <w:pPr>
        <w:pStyle w:val="BodyText"/>
        <w:spacing w:line="304" w:lineRule="auto" w:before="140"/>
        <w:ind w:left="153" w:right="228" w:firstLine="480"/>
        <w:jc w:val="both"/>
      </w:pPr>
      <w:r>
        <w:rPr/>
        <w:t>采用权益法核算时，本公司按应享有或应分担的被投资单位的净损益份额确认当期投资</w:t>
      </w:r>
      <w:r>
        <w:rPr>
          <w:spacing w:val="1"/>
        </w:rPr>
        <w:t> </w:t>
      </w:r>
      <w:r>
        <w:rPr/>
        <w:t>损益。确认被投资单位发生的净亏损，以长期股权投资的账面价值以及其他实质上构成对被</w:t>
      </w:r>
      <w:r>
        <w:rPr>
          <w:spacing w:val="-83"/>
        </w:rPr>
        <w:t> </w:t>
      </w:r>
      <w:r>
        <w:rPr>
          <w:spacing w:val="-83"/>
        </w:rPr>
      </w:r>
      <w:r>
        <w:rPr/>
        <w:t>投资单位净投资的长期权益减记至零为限，但本公司负有承担额外损失义务且符合或有事项</w:t>
      </w:r>
      <w:r>
        <w:rPr>
          <w:spacing w:val="-83"/>
        </w:rPr>
        <w:t> </w:t>
      </w:r>
      <w:r>
        <w:rPr>
          <w:spacing w:val="-83"/>
        </w:rPr>
      </w:r>
      <w:r>
        <w:rPr/>
        <w:t>准则所规定的预计负债确认条件的，继续确认投资损失和预计负债。被投资单位除净损益以</w:t>
      </w:r>
      <w:r>
        <w:rPr>
          <w:spacing w:val="-83"/>
        </w:rPr>
        <w:t> </w:t>
      </w:r>
      <w:r>
        <w:rPr>
          <w:spacing w:val="-83"/>
        </w:rPr>
      </w:r>
      <w:r>
        <w:rPr/>
        <w:t>外股东权益的其他变动，在持股比例不变的情况下，本公司按照持股比例计算应享有或承担</w:t>
      </w:r>
      <w:r>
        <w:rPr>
          <w:spacing w:val="-83"/>
        </w:rPr>
        <w:t> </w:t>
      </w:r>
      <w:r>
        <w:rPr>
          <w:spacing w:val="-83"/>
        </w:rPr>
      </w:r>
      <w:r>
        <w:rPr/>
        <w:t>的部分直接计入资本公积。被投资单位分派的利润或现金股利于宣告分派时按照本公司应分</w:t>
      </w:r>
      <w:r>
        <w:rPr>
          <w:spacing w:val="-83"/>
        </w:rPr>
        <w:t> </w:t>
      </w:r>
      <w:r>
        <w:rPr>
          <w:spacing w:val="-83"/>
        </w:rPr>
      </w:r>
      <w:r>
        <w:rPr/>
        <w:t>得的部分，相应减少长期股权投资的账面价值，但是，现金股利中超过已确认投资收益，但</w:t>
      </w:r>
      <w:r>
        <w:rPr>
          <w:spacing w:val="-83"/>
        </w:rPr>
        <w:t> </w:t>
      </w:r>
      <w:r>
        <w:rPr>
          <w:spacing w:val="-83"/>
        </w:rPr>
      </w:r>
      <w:r>
        <w:rPr/>
        <w:t>不超过投资后被投资企业实现的账面利润中由本公司按照持股比例计算享有的份额的部分，</w:t>
      </w:r>
    </w:p>
    <w:p>
      <w:pPr>
        <w:spacing w:after="0" w:line="304" w:lineRule="auto"/>
        <w:jc w:val="both"/>
        <w:sectPr>
          <w:pgSz w:w="11910" w:h="16840"/>
          <w:pgMar w:header="877" w:footer="1022" w:top="1100" w:bottom="1220" w:left="980" w:right="900"/>
        </w:sectPr>
      </w:pPr>
    </w:p>
    <w:p>
      <w:pPr>
        <w:spacing w:line="240" w:lineRule="auto" w:before="4"/>
        <w:rPr>
          <w:rFonts w:ascii="宋体" w:hAnsi="宋体" w:cs="宋体" w:eastAsia="宋体" w:hint="default"/>
          <w:sz w:val="26"/>
          <w:szCs w:val="26"/>
        </w:rPr>
      </w:pPr>
    </w:p>
    <w:p>
      <w:pPr>
        <w:pStyle w:val="BodyText"/>
        <w:spacing w:line="304" w:lineRule="auto" w:before="26"/>
        <w:ind w:right="148"/>
        <w:jc w:val="both"/>
      </w:pPr>
      <w:r>
        <w:rPr/>
        <w:t>确认当期投资收益。本公司与被投资单位之间发生的内部交易损益按照持股比例计算归属于</w:t>
      </w:r>
      <w:r>
        <w:rPr>
          <w:spacing w:val="-83"/>
        </w:rPr>
        <w:t> </w:t>
      </w:r>
      <w:r>
        <w:rPr>
          <w:spacing w:val="-83"/>
        </w:rPr>
      </w:r>
      <w:r>
        <w:rPr/>
        <w:t>本公司的部分，予以抵销，在此基础上确认投资损益。本公司与被投资单位发生的内部交易</w:t>
      </w:r>
      <w:r>
        <w:rPr>
          <w:spacing w:val="-83"/>
        </w:rPr>
        <w:t> </w:t>
      </w:r>
      <w:r>
        <w:rPr>
          <w:spacing w:val="-83"/>
        </w:rPr>
      </w:r>
      <w:r>
        <w:rPr/>
        <w:t>损失，属于资产减值损失的，全额确认该损失，相应的未实现损益不予抵消。</w:t>
      </w:r>
    </w:p>
    <w:p>
      <w:pPr>
        <w:pStyle w:val="BodyText"/>
        <w:spacing w:line="396" w:lineRule="auto" w:before="140"/>
        <w:ind w:left="634" w:right="0"/>
        <w:jc w:val="left"/>
      </w:pPr>
      <w:r>
        <w:rPr/>
        <w:t>3、其他长期股权投资 其他本公司对被投资单位不具有控制、共同控制或重大影响，并且在活跃市场中没有报</w:t>
      </w:r>
    </w:p>
    <w:p>
      <w:pPr>
        <w:pStyle w:val="BodyText"/>
        <w:spacing w:line="245" w:lineRule="exact"/>
        <w:ind w:left="153" w:right="0"/>
        <w:jc w:val="both"/>
      </w:pPr>
      <w:r>
        <w:rPr/>
        <w:t>价、公允价值不能可靠计量的长期股权投资，采用成本法核算。</w:t>
      </w:r>
    </w:p>
    <w:p>
      <w:pPr>
        <w:pStyle w:val="BodyText"/>
        <w:spacing w:line="398" w:lineRule="auto" w:before="205"/>
        <w:ind w:left="633" w:right="0"/>
        <w:jc w:val="left"/>
      </w:pPr>
      <w:r>
        <w:rPr/>
        <w:t>4、长期股权投资减值 当长期股权投资的可收回金额低于其账面价值时，账面价值减记至可收回金额。 5、长期股权投资处置 处置长期股权投资，其账面价值与实际取得价款的差额，计入当期损益。采用权益法核</w:t>
      </w:r>
    </w:p>
    <w:p>
      <w:pPr>
        <w:pStyle w:val="BodyText"/>
        <w:spacing w:line="241" w:lineRule="exact"/>
        <w:ind w:left="153" w:right="0"/>
        <w:jc w:val="both"/>
      </w:pPr>
      <w:r>
        <w:rPr/>
        <w:t>算的长期股权投资，因被投资单位除净损益以外所有者权益的其他变动计入所有者权益的，</w:t>
      </w:r>
    </w:p>
    <w:p>
      <w:pPr>
        <w:pStyle w:val="BodyText"/>
        <w:tabs>
          <w:tab w:pos="1356" w:val="left" w:leader="none"/>
        </w:tabs>
        <w:spacing w:line="396" w:lineRule="auto" w:before="86"/>
        <w:ind w:left="636" w:right="2348" w:hanging="483"/>
        <w:jc w:val="left"/>
        <w:rPr>
          <w:rFonts w:ascii="宋体" w:hAnsi="宋体" w:cs="宋体" w:eastAsia="宋体" w:hint="default"/>
        </w:rPr>
      </w:pPr>
      <w:r>
        <w:rPr/>
        <w:t>处置该项投资时将原计入所有者权益的部分按相应比例转入当期损益。 </w:t>
      </w:r>
      <w:r>
        <w:rPr>
          <w:rFonts w:ascii="宋体" w:hAnsi="宋体" w:cs="宋体" w:eastAsia="宋体" w:hint="default"/>
          <w:b/>
          <w:bCs/>
          <w:w w:val="95"/>
        </w:rPr>
        <w:t>(十)</w:t>
        <w:tab/>
      </w:r>
      <w:r>
        <w:rPr>
          <w:rFonts w:ascii="宋体" w:hAnsi="宋体" w:cs="宋体" w:eastAsia="宋体" w:hint="default"/>
          <w:b/>
          <w:bCs/>
        </w:rPr>
        <w:t>固定资产</w:t>
      </w:r>
      <w:r>
        <w:rPr>
          <w:rFonts w:ascii="宋体" w:hAnsi="宋体" w:cs="宋体" w:eastAsia="宋体" w:hint="default"/>
        </w:rPr>
      </w:r>
    </w:p>
    <w:p>
      <w:pPr>
        <w:pStyle w:val="BodyText"/>
        <w:spacing w:line="321" w:lineRule="auto" w:before="70"/>
        <w:ind w:left="153" w:right="159" w:firstLine="480"/>
        <w:jc w:val="both"/>
      </w:pPr>
      <w:r>
        <w:rPr>
          <w:spacing w:val="6"/>
        </w:rPr>
        <w:t>固定资产包括房屋及建筑物、机器设备、办公设备、交通工具、仪器仪表设备、房屋</w:t>
      </w:r>
      <w:r>
        <w:rPr/>
        <w:t> 装修及其他设备等。购置或新建的固定资产按取得时的实际成本进行初始计量。</w:t>
      </w:r>
    </w:p>
    <w:p>
      <w:pPr>
        <w:pStyle w:val="BodyText"/>
        <w:spacing w:line="321" w:lineRule="auto" w:before="144"/>
        <w:ind w:left="153" w:right="148" w:firstLine="480"/>
        <w:jc w:val="both"/>
      </w:pPr>
      <w:r>
        <w:rPr/>
        <w:t>与固定资产有关的后续支出，在相关的经济利益很可能流入本公司且其成本能够可靠的</w:t>
      </w:r>
      <w:r>
        <w:rPr>
          <w:spacing w:val="1"/>
        </w:rPr>
        <w:t> </w:t>
      </w:r>
      <w:r>
        <w:rPr/>
        <w:t>计量时，计入固定资产成本；对于被替换的部分，终止确认其账面价值；所有其他后续支出</w:t>
      </w:r>
      <w:r>
        <w:rPr>
          <w:spacing w:val="-83"/>
        </w:rPr>
        <w:t> </w:t>
      </w:r>
      <w:r>
        <w:rPr>
          <w:spacing w:val="-83"/>
        </w:rPr>
      </w:r>
      <w:r>
        <w:rPr/>
        <w:t>于发生时计入当期损益。</w:t>
      </w:r>
    </w:p>
    <w:p>
      <w:pPr>
        <w:pStyle w:val="BodyText"/>
        <w:spacing w:line="304" w:lineRule="auto" w:before="124"/>
        <w:ind w:left="153" w:right="141" w:firstLine="480"/>
        <w:jc w:val="both"/>
      </w:pPr>
      <w:r>
        <w:rPr>
          <w:spacing w:val="7"/>
        </w:rPr>
        <w:t>固定资产折旧采用年限平均法并按其入账价值减去预计净残值后在预计使用寿命内计 </w:t>
      </w:r>
      <w:r>
        <w:rPr/>
        <w:t>提。对计提了减值准备的固定资产，则在未来期间按扣除减值准备后的账面价值及依据尚可</w:t>
      </w:r>
      <w:r>
        <w:rPr>
          <w:spacing w:val="-83"/>
        </w:rPr>
        <w:t> </w:t>
      </w:r>
      <w:r>
        <w:rPr>
          <w:spacing w:val="-83"/>
        </w:rPr>
      </w:r>
      <w:r>
        <w:rPr/>
        <w:t>使用年限确定折旧额。</w:t>
      </w:r>
    </w:p>
    <w:p>
      <w:pPr>
        <w:pStyle w:val="BodyText"/>
        <w:spacing w:line="240" w:lineRule="auto" w:before="140"/>
        <w:ind w:left="633" w:right="0"/>
        <w:jc w:val="left"/>
      </w:pPr>
      <w:r>
        <w:rPr/>
        <w:t>固定资产的预计使用寿命、净残值率及年折旧率列示如下：</w:t>
      </w:r>
    </w:p>
    <w:p>
      <w:pPr>
        <w:spacing w:line="240" w:lineRule="auto" w:before="5"/>
        <w:rPr>
          <w:rFonts w:ascii="宋体" w:hAnsi="宋体" w:cs="宋体" w:eastAsia="宋体" w:hint="default"/>
          <w:sz w:val="19"/>
          <w:szCs w:val="19"/>
        </w:rPr>
      </w:pPr>
    </w:p>
    <w:tbl>
      <w:tblPr>
        <w:tblW w:w="0" w:type="auto"/>
        <w:jc w:val="left"/>
        <w:tblInd w:w="153" w:type="dxa"/>
        <w:tblLayout w:type="fixed"/>
        <w:tblCellMar>
          <w:top w:w="0" w:type="dxa"/>
          <w:left w:w="0" w:type="dxa"/>
          <w:bottom w:w="0" w:type="dxa"/>
          <w:right w:w="0" w:type="dxa"/>
        </w:tblCellMar>
        <w:tblLook w:val="01E0"/>
      </w:tblPr>
      <w:tblGrid>
        <w:gridCol w:w="2927"/>
        <w:gridCol w:w="210"/>
        <w:gridCol w:w="2105"/>
        <w:gridCol w:w="200"/>
        <w:gridCol w:w="1885"/>
        <w:gridCol w:w="220"/>
        <w:gridCol w:w="2084"/>
      </w:tblGrid>
      <w:tr>
        <w:trPr>
          <w:trHeight w:val="279" w:hRule="exact"/>
        </w:trPr>
        <w:tc>
          <w:tcPr>
            <w:tcW w:w="2927" w:type="dxa"/>
            <w:tcBorders>
              <w:top w:val="nil" w:sz="6" w:space="0" w:color="auto"/>
              <w:left w:val="nil" w:sz="6" w:space="0" w:color="auto"/>
              <w:bottom w:val="single" w:sz="6"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pacing w:val="7"/>
                <w:sz w:val="18"/>
                <w:szCs w:val="18"/>
              </w:rPr>
              <w:t>资产类别</w:t>
            </w:r>
            <w:r>
              <w:rPr>
                <w:rFonts w:ascii="宋体" w:hAnsi="宋体" w:cs="宋体" w:eastAsia="宋体" w:hint="default"/>
                <w:sz w:val="18"/>
                <w:szCs w:val="18"/>
              </w:rPr>
            </w:r>
          </w:p>
        </w:tc>
        <w:tc>
          <w:tcPr>
            <w:tcW w:w="21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4" w:space="0" w:color="000000"/>
              <w:right w:val="nil" w:sz="6" w:space="0" w:color="auto"/>
            </w:tcBorders>
          </w:tcPr>
          <w:p>
            <w:pPr>
              <w:pStyle w:val="TableParagraph"/>
              <w:spacing w:line="180" w:lineRule="exact"/>
              <w:ind w:left="15" w:right="0"/>
              <w:jc w:val="center"/>
              <w:rPr>
                <w:rFonts w:ascii="宋体" w:hAnsi="宋体" w:cs="宋体" w:eastAsia="宋体" w:hint="default"/>
                <w:sz w:val="18"/>
                <w:szCs w:val="18"/>
              </w:rPr>
            </w:pPr>
            <w:r>
              <w:rPr>
                <w:rFonts w:ascii="宋体" w:hAnsi="宋体" w:cs="宋体" w:eastAsia="宋体" w:hint="default"/>
                <w:spacing w:val="7"/>
                <w:sz w:val="18"/>
                <w:szCs w:val="18"/>
              </w:rPr>
              <w:t>使用寿命</w:t>
            </w:r>
            <w:r>
              <w:rPr>
                <w:rFonts w:ascii="宋体" w:hAnsi="宋体" w:cs="宋体" w:eastAsia="宋体" w:hint="default"/>
                <w:sz w:val="18"/>
                <w:szCs w:val="18"/>
              </w:rPr>
            </w:r>
          </w:p>
        </w:tc>
        <w:tc>
          <w:tcPr>
            <w:tcW w:w="200"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pacing w:val="7"/>
                <w:sz w:val="18"/>
                <w:szCs w:val="18"/>
              </w:rPr>
              <w:t>净残值率</w:t>
            </w:r>
            <w:r>
              <w:rPr>
                <w:rFonts w:ascii="宋体" w:hAnsi="宋体" w:cs="宋体" w:eastAsia="宋体" w:hint="default"/>
                <w:sz w:val="18"/>
                <w:szCs w:val="18"/>
              </w:rPr>
            </w:r>
          </w:p>
        </w:tc>
        <w:tc>
          <w:tcPr>
            <w:tcW w:w="220"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single" w:sz="6"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pacing w:val="7"/>
                <w:sz w:val="18"/>
                <w:szCs w:val="18"/>
              </w:rPr>
              <w:t>年折旧率</w:t>
            </w:r>
            <w:r>
              <w:rPr>
                <w:rFonts w:ascii="宋体" w:hAnsi="宋体" w:cs="宋体" w:eastAsia="宋体" w:hint="default"/>
                <w:sz w:val="18"/>
                <w:szCs w:val="18"/>
              </w:rPr>
            </w:r>
          </w:p>
        </w:tc>
      </w:tr>
      <w:tr>
        <w:trPr>
          <w:trHeight w:val="376" w:hRule="exact"/>
        </w:trPr>
        <w:tc>
          <w:tcPr>
            <w:tcW w:w="2927" w:type="dxa"/>
            <w:tcBorders>
              <w:top w:val="single" w:sz="6" w:space="0" w:color="000000"/>
              <w:left w:val="nil" w:sz="6" w:space="0" w:color="auto"/>
              <w:bottom w:val="nil" w:sz="6" w:space="0" w:color="auto"/>
              <w:right w:val="nil" w:sz="6" w:space="0" w:color="auto"/>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pacing w:val="7"/>
                <w:sz w:val="18"/>
                <w:szCs w:val="18"/>
              </w:rPr>
              <w:t>房屋及建筑物</w:t>
            </w:r>
            <w:r>
              <w:rPr>
                <w:rFonts w:ascii="宋体" w:hAnsi="宋体" w:cs="宋体" w:eastAsia="宋体" w:hint="default"/>
                <w:sz w:val="18"/>
                <w:szCs w:val="18"/>
              </w:rPr>
            </w:r>
          </w:p>
        </w:tc>
        <w:tc>
          <w:tcPr>
            <w:tcW w:w="210" w:type="dxa"/>
            <w:tcBorders>
              <w:top w:val="nil" w:sz="6" w:space="0" w:color="auto"/>
              <w:left w:val="nil" w:sz="6" w:space="0" w:color="auto"/>
              <w:bottom w:val="nil" w:sz="6" w:space="0" w:color="auto"/>
              <w:right w:val="nil" w:sz="6" w:space="0" w:color="auto"/>
            </w:tcBorders>
          </w:tcPr>
          <w:p>
            <w:pP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5" w:right="0"/>
              <w:jc w:val="center"/>
              <w:rPr>
                <w:rFonts w:ascii="宋体" w:hAnsi="宋体" w:cs="宋体" w:eastAsia="宋体" w:hint="default"/>
                <w:sz w:val="18"/>
                <w:szCs w:val="18"/>
              </w:rPr>
            </w:pPr>
            <w:r>
              <w:rPr>
                <w:rFonts w:ascii="宋体" w:hAnsi="宋体" w:cs="宋体" w:eastAsia="宋体" w:hint="default"/>
                <w:sz w:val="18"/>
                <w:szCs w:val="18"/>
              </w:rPr>
              <w:t>40</w:t>
            </w:r>
            <w:r>
              <w:rPr>
                <w:rFonts w:ascii="宋体" w:hAnsi="宋体" w:cs="宋体" w:eastAsia="宋体" w:hint="default"/>
                <w:spacing w:val="-37"/>
                <w:sz w:val="18"/>
                <w:szCs w:val="18"/>
              </w:rPr>
              <w:t> </w:t>
            </w:r>
            <w:r>
              <w:rPr>
                <w:rFonts w:ascii="宋体" w:hAnsi="宋体" w:cs="宋体" w:eastAsia="宋体" w:hint="default"/>
                <w:sz w:val="18"/>
                <w:szCs w:val="18"/>
              </w:rPr>
              <w:t>年</w:t>
            </w:r>
          </w:p>
        </w:tc>
        <w:tc>
          <w:tcPr>
            <w:tcW w:w="200" w:type="dxa"/>
            <w:tcBorders>
              <w:top w:val="nil" w:sz="6" w:space="0" w:color="auto"/>
              <w:left w:val="nil" w:sz="6" w:space="0" w:color="auto"/>
              <w:bottom w:val="nil" w:sz="6" w:space="0" w:color="auto"/>
              <w:right w:val="nil" w:sz="6" w:space="0" w:color="auto"/>
            </w:tcBorders>
          </w:tcPr>
          <w:p>
            <w:pPr/>
          </w:p>
        </w:tc>
        <w:tc>
          <w:tcPr>
            <w:tcW w:w="1885"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10" w:right="0"/>
              <w:jc w:val="center"/>
              <w:rPr>
                <w:rFonts w:ascii="宋体" w:hAnsi="宋体" w:cs="宋体" w:eastAsia="宋体" w:hint="default"/>
                <w:sz w:val="18"/>
                <w:szCs w:val="18"/>
              </w:rPr>
            </w:pPr>
            <w:r>
              <w:rPr>
                <w:rFonts w:ascii="宋体"/>
                <w:spacing w:val="2"/>
                <w:sz w:val="18"/>
              </w:rPr>
              <w:t>5.00%</w:t>
            </w:r>
          </w:p>
        </w:tc>
        <w:tc>
          <w:tcPr>
            <w:tcW w:w="220" w:type="dxa"/>
            <w:tcBorders>
              <w:top w:val="nil" w:sz="6" w:space="0" w:color="auto"/>
              <w:left w:val="nil" w:sz="6" w:space="0" w:color="auto"/>
              <w:bottom w:val="nil" w:sz="6" w:space="0" w:color="auto"/>
              <w:right w:val="nil" w:sz="6" w:space="0" w:color="auto"/>
            </w:tcBorders>
          </w:tcPr>
          <w:p>
            <w:pPr/>
          </w:p>
        </w:tc>
        <w:tc>
          <w:tcPr>
            <w:tcW w:w="2084" w:type="dxa"/>
            <w:tcBorders>
              <w:top w:val="single" w:sz="6" w:space="0" w:color="000000"/>
              <w:left w:val="nil" w:sz="6" w:space="0" w:color="auto"/>
              <w:bottom w:val="nil" w:sz="6" w:space="0" w:color="auto"/>
              <w:right w:val="nil" w:sz="6" w:space="0" w:color="auto"/>
            </w:tcBorders>
          </w:tcPr>
          <w:p>
            <w:pPr>
              <w:pStyle w:val="TableParagraph"/>
              <w:spacing w:line="240" w:lineRule="auto" w:before="35"/>
              <w:ind w:left="14" w:right="0"/>
              <w:jc w:val="center"/>
              <w:rPr>
                <w:rFonts w:ascii="宋体" w:hAnsi="宋体" w:cs="宋体" w:eastAsia="宋体" w:hint="default"/>
                <w:sz w:val="18"/>
                <w:szCs w:val="18"/>
              </w:rPr>
            </w:pPr>
            <w:r>
              <w:rPr>
                <w:rFonts w:ascii="宋体"/>
                <w:spacing w:val="3"/>
                <w:sz w:val="18"/>
              </w:rPr>
              <w:t>2.375%</w:t>
            </w:r>
            <w:r>
              <w:rPr>
                <w:rFonts w:ascii="宋体"/>
                <w:sz w:val="18"/>
              </w:rPr>
            </w:r>
          </w:p>
        </w:tc>
      </w:tr>
      <w:tr>
        <w:trPr>
          <w:trHeight w:val="369" w:hRule="exact"/>
        </w:trPr>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left"/>
              <w:rPr>
                <w:rFonts w:ascii="宋体" w:hAnsi="宋体" w:cs="宋体" w:eastAsia="宋体" w:hint="default"/>
                <w:sz w:val="18"/>
                <w:szCs w:val="18"/>
              </w:rPr>
            </w:pPr>
            <w:r>
              <w:rPr>
                <w:rFonts w:ascii="宋体" w:hAnsi="宋体" w:cs="宋体" w:eastAsia="宋体" w:hint="default"/>
                <w:spacing w:val="7"/>
                <w:sz w:val="18"/>
                <w:szCs w:val="18"/>
              </w:rPr>
              <w:t>机器设备</w:t>
            </w:r>
            <w:r>
              <w:rPr>
                <w:rFonts w:ascii="宋体" w:hAnsi="宋体" w:cs="宋体" w:eastAsia="宋体" w:hint="default"/>
                <w:sz w:val="18"/>
                <w:szCs w:val="18"/>
              </w:rPr>
            </w:r>
          </w:p>
        </w:tc>
        <w:tc>
          <w:tcPr>
            <w:tcW w:w="21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6"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37"/>
                <w:sz w:val="18"/>
                <w:szCs w:val="18"/>
              </w:rPr>
              <w:t> </w:t>
            </w:r>
            <w:r>
              <w:rPr>
                <w:rFonts w:ascii="宋体" w:hAnsi="宋体" w:cs="宋体" w:eastAsia="宋体" w:hint="default"/>
                <w:sz w:val="18"/>
                <w:szCs w:val="18"/>
              </w:rPr>
              <w:t>年</w:t>
            </w:r>
          </w:p>
        </w:tc>
        <w:tc>
          <w:tcPr>
            <w:tcW w:w="200"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 w:right="0"/>
              <w:jc w:val="center"/>
              <w:rPr>
                <w:rFonts w:ascii="宋体" w:hAnsi="宋体" w:cs="宋体" w:eastAsia="宋体" w:hint="default"/>
                <w:sz w:val="18"/>
                <w:szCs w:val="18"/>
              </w:rPr>
            </w:pPr>
            <w:r>
              <w:rPr>
                <w:rFonts w:ascii="宋体"/>
                <w:spacing w:val="2"/>
                <w:sz w:val="18"/>
              </w:rPr>
              <w:t>5.00%</w:t>
            </w:r>
          </w:p>
        </w:tc>
        <w:tc>
          <w:tcPr>
            <w:tcW w:w="220"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center"/>
              <w:rPr>
                <w:rFonts w:ascii="宋体" w:hAnsi="宋体" w:cs="宋体" w:eastAsia="宋体" w:hint="default"/>
                <w:sz w:val="18"/>
                <w:szCs w:val="18"/>
              </w:rPr>
            </w:pPr>
            <w:r>
              <w:rPr>
                <w:rFonts w:ascii="宋体"/>
                <w:spacing w:val="3"/>
                <w:sz w:val="18"/>
              </w:rPr>
              <w:t>6.333%</w:t>
            </w:r>
            <w:r>
              <w:rPr>
                <w:rFonts w:ascii="宋体"/>
                <w:sz w:val="18"/>
              </w:rPr>
            </w:r>
          </w:p>
        </w:tc>
      </w:tr>
      <w:tr>
        <w:trPr>
          <w:trHeight w:val="369" w:hRule="exact"/>
        </w:trPr>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left"/>
              <w:rPr>
                <w:rFonts w:ascii="宋体" w:hAnsi="宋体" w:cs="宋体" w:eastAsia="宋体" w:hint="default"/>
                <w:sz w:val="18"/>
                <w:szCs w:val="18"/>
              </w:rPr>
            </w:pPr>
            <w:r>
              <w:rPr>
                <w:rFonts w:ascii="宋体" w:hAnsi="宋体" w:cs="宋体" w:eastAsia="宋体" w:hint="default"/>
                <w:spacing w:val="7"/>
                <w:sz w:val="18"/>
                <w:szCs w:val="18"/>
              </w:rPr>
              <w:t>办公设备</w:t>
            </w:r>
            <w:r>
              <w:rPr>
                <w:rFonts w:ascii="宋体" w:hAnsi="宋体" w:cs="宋体" w:eastAsia="宋体" w:hint="default"/>
                <w:sz w:val="18"/>
                <w:szCs w:val="18"/>
              </w:rPr>
            </w:r>
          </w:p>
        </w:tc>
        <w:tc>
          <w:tcPr>
            <w:tcW w:w="21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00"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 w:right="0"/>
              <w:jc w:val="center"/>
              <w:rPr>
                <w:rFonts w:ascii="宋体" w:hAnsi="宋体" w:cs="宋体" w:eastAsia="宋体" w:hint="default"/>
                <w:sz w:val="18"/>
                <w:szCs w:val="18"/>
              </w:rPr>
            </w:pPr>
            <w:r>
              <w:rPr>
                <w:rFonts w:ascii="宋体"/>
                <w:spacing w:val="2"/>
                <w:sz w:val="18"/>
              </w:rPr>
              <w:t>5.00%</w:t>
            </w:r>
          </w:p>
        </w:tc>
        <w:tc>
          <w:tcPr>
            <w:tcW w:w="220"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5" w:right="0"/>
              <w:jc w:val="center"/>
              <w:rPr>
                <w:rFonts w:ascii="宋体" w:hAnsi="宋体" w:cs="宋体" w:eastAsia="宋体" w:hint="default"/>
                <w:sz w:val="18"/>
                <w:szCs w:val="18"/>
              </w:rPr>
            </w:pPr>
            <w:r>
              <w:rPr>
                <w:rFonts w:ascii="宋体"/>
                <w:spacing w:val="3"/>
                <w:sz w:val="18"/>
              </w:rPr>
              <w:t>19.000%</w:t>
            </w:r>
            <w:r>
              <w:rPr>
                <w:rFonts w:ascii="宋体"/>
                <w:sz w:val="18"/>
              </w:rPr>
            </w:r>
          </w:p>
        </w:tc>
      </w:tr>
      <w:tr>
        <w:trPr>
          <w:trHeight w:val="369" w:hRule="exact"/>
        </w:trPr>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pacing w:val="7"/>
                <w:sz w:val="18"/>
                <w:szCs w:val="18"/>
              </w:rPr>
              <w:t>交通工具</w:t>
            </w:r>
            <w:r>
              <w:rPr>
                <w:rFonts w:ascii="宋体" w:hAnsi="宋体" w:cs="宋体" w:eastAsia="宋体" w:hint="default"/>
                <w:sz w:val="18"/>
                <w:szCs w:val="18"/>
              </w:rPr>
            </w:r>
          </w:p>
        </w:tc>
        <w:tc>
          <w:tcPr>
            <w:tcW w:w="21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00"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 w:right="0"/>
              <w:jc w:val="center"/>
              <w:rPr>
                <w:rFonts w:ascii="宋体" w:hAnsi="宋体" w:cs="宋体" w:eastAsia="宋体" w:hint="default"/>
                <w:sz w:val="18"/>
                <w:szCs w:val="18"/>
              </w:rPr>
            </w:pPr>
            <w:r>
              <w:rPr>
                <w:rFonts w:ascii="宋体"/>
                <w:spacing w:val="2"/>
                <w:sz w:val="18"/>
              </w:rPr>
              <w:t>5.00%</w:t>
            </w:r>
          </w:p>
        </w:tc>
        <w:tc>
          <w:tcPr>
            <w:tcW w:w="220"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 w:right="0"/>
              <w:jc w:val="center"/>
              <w:rPr>
                <w:rFonts w:ascii="宋体" w:hAnsi="宋体" w:cs="宋体" w:eastAsia="宋体" w:hint="default"/>
                <w:sz w:val="18"/>
                <w:szCs w:val="18"/>
              </w:rPr>
            </w:pPr>
            <w:r>
              <w:rPr>
                <w:rFonts w:ascii="宋体"/>
                <w:spacing w:val="3"/>
                <w:sz w:val="18"/>
              </w:rPr>
              <w:t>19.000%</w:t>
            </w:r>
            <w:r>
              <w:rPr>
                <w:rFonts w:ascii="宋体"/>
                <w:sz w:val="18"/>
              </w:rPr>
            </w:r>
          </w:p>
        </w:tc>
      </w:tr>
      <w:tr>
        <w:trPr>
          <w:trHeight w:val="369" w:hRule="exact"/>
        </w:trPr>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0"/>
              <w:jc w:val="left"/>
              <w:rPr>
                <w:rFonts w:ascii="宋体" w:hAnsi="宋体" w:cs="宋体" w:eastAsia="宋体" w:hint="default"/>
                <w:sz w:val="18"/>
                <w:szCs w:val="18"/>
              </w:rPr>
            </w:pPr>
            <w:r>
              <w:rPr>
                <w:rFonts w:ascii="宋体" w:hAnsi="宋体" w:cs="宋体" w:eastAsia="宋体" w:hint="default"/>
                <w:spacing w:val="7"/>
                <w:sz w:val="18"/>
                <w:szCs w:val="18"/>
              </w:rPr>
              <w:t>仪器仪表设备</w:t>
            </w:r>
            <w:r>
              <w:rPr>
                <w:rFonts w:ascii="宋体" w:hAnsi="宋体" w:cs="宋体" w:eastAsia="宋体" w:hint="default"/>
                <w:sz w:val="18"/>
                <w:szCs w:val="18"/>
              </w:rPr>
            </w:r>
          </w:p>
        </w:tc>
        <w:tc>
          <w:tcPr>
            <w:tcW w:w="21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00"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 w:right="0"/>
              <w:jc w:val="center"/>
              <w:rPr>
                <w:rFonts w:ascii="宋体" w:hAnsi="宋体" w:cs="宋体" w:eastAsia="宋体" w:hint="default"/>
                <w:sz w:val="18"/>
                <w:szCs w:val="18"/>
              </w:rPr>
            </w:pPr>
            <w:r>
              <w:rPr>
                <w:rFonts w:ascii="宋体"/>
                <w:spacing w:val="2"/>
                <w:sz w:val="18"/>
              </w:rPr>
              <w:t>5.00%</w:t>
            </w:r>
          </w:p>
        </w:tc>
        <w:tc>
          <w:tcPr>
            <w:tcW w:w="220"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5" w:right="0"/>
              <w:jc w:val="center"/>
              <w:rPr>
                <w:rFonts w:ascii="宋体" w:hAnsi="宋体" w:cs="宋体" w:eastAsia="宋体" w:hint="default"/>
                <w:sz w:val="18"/>
                <w:szCs w:val="18"/>
              </w:rPr>
            </w:pPr>
            <w:r>
              <w:rPr>
                <w:rFonts w:ascii="宋体"/>
                <w:spacing w:val="3"/>
                <w:sz w:val="18"/>
              </w:rPr>
              <w:t>19.000%</w:t>
            </w:r>
            <w:r>
              <w:rPr>
                <w:rFonts w:ascii="宋体"/>
                <w:sz w:val="18"/>
              </w:rPr>
            </w:r>
          </w:p>
        </w:tc>
      </w:tr>
      <w:tr>
        <w:trPr>
          <w:trHeight w:val="369" w:hRule="exact"/>
        </w:trPr>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pacing w:val="7"/>
                <w:sz w:val="18"/>
                <w:szCs w:val="18"/>
              </w:rPr>
              <w:t>房屋装修</w:t>
            </w:r>
            <w:r>
              <w:rPr>
                <w:rFonts w:ascii="宋体" w:hAnsi="宋体" w:cs="宋体" w:eastAsia="宋体" w:hint="default"/>
                <w:sz w:val="18"/>
                <w:szCs w:val="18"/>
              </w:rPr>
            </w:r>
          </w:p>
        </w:tc>
        <w:tc>
          <w:tcPr>
            <w:tcW w:w="21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00"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 w:right="0"/>
              <w:jc w:val="center"/>
              <w:rPr>
                <w:rFonts w:ascii="宋体" w:hAnsi="宋体" w:cs="宋体" w:eastAsia="宋体" w:hint="default"/>
                <w:sz w:val="18"/>
                <w:szCs w:val="18"/>
              </w:rPr>
            </w:pPr>
            <w:r>
              <w:rPr>
                <w:rFonts w:ascii="宋体"/>
                <w:spacing w:val="2"/>
                <w:sz w:val="18"/>
              </w:rPr>
              <w:t>5.00%</w:t>
            </w:r>
          </w:p>
        </w:tc>
        <w:tc>
          <w:tcPr>
            <w:tcW w:w="220"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 w:right="0"/>
              <w:jc w:val="center"/>
              <w:rPr>
                <w:rFonts w:ascii="宋体" w:hAnsi="宋体" w:cs="宋体" w:eastAsia="宋体" w:hint="default"/>
                <w:sz w:val="18"/>
                <w:szCs w:val="18"/>
              </w:rPr>
            </w:pPr>
            <w:r>
              <w:rPr>
                <w:rFonts w:ascii="宋体"/>
                <w:spacing w:val="3"/>
                <w:sz w:val="18"/>
              </w:rPr>
              <w:t>19.000%</w:t>
            </w:r>
            <w:r>
              <w:rPr>
                <w:rFonts w:ascii="宋体"/>
                <w:sz w:val="18"/>
              </w:rPr>
            </w:r>
          </w:p>
        </w:tc>
      </w:tr>
      <w:tr>
        <w:trPr>
          <w:trHeight w:val="278" w:hRule="exact"/>
        </w:trPr>
        <w:tc>
          <w:tcPr>
            <w:tcW w:w="292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 w:right="0"/>
              <w:jc w:val="left"/>
              <w:rPr>
                <w:rFonts w:ascii="宋体" w:hAnsi="宋体" w:cs="宋体" w:eastAsia="宋体" w:hint="default"/>
                <w:sz w:val="18"/>
                <w:szCs w:val="18"/>
              </w:rPr>
            </w:pPr>
            <w:r>
              <w:rPr>
                <w:rFonts w:ascii="宋体" w:hAnsi="宋体" w:cs="宋体" w:eastAsia="宋体" w:hint="default"/>
                <w:spacing w:val="7"/>
                <w:sz w:val="18"/>
                <w:szCs w:val="18"/>
              </w:rPr>
              <w:t>其他设备</w:t>
            </w:r>
            <w:r>
              <w:rPr>
                <w:rFonts w:ascii="宋体" w:hAnsi="宋体" w:cs="宋体" w:eastAsia="宋体" w:hint="default"/>
                <w:sz w:val="18"/>
                <w:szCs w:val="18"/>
              </w:rPr>
            </w:r>
          </w:p>
        </w:tc>
        <w:tc>
          <w:tcPr>
            <w:tcW w:w="210"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0"/>
                <w:sz w:val="18"/>
                <w:szCs w:val="18"/>
              </w:rPr>
              <w:t> </w:t>
            </w:r>
            <w:r>
              <w:rPr>
                <w:rFonts w:ascii="宋体" w:hAnsi="宋体" w:cs="宋体" w:eastAsia="宋体" w:hint="default"/>
                <w:sz w:val="18"/>
                <w:szCs w:val="18"/>
              </w:rPr>
              <w:t>年</w:t>
            </w:r>
          </w:p>
        </w:tc>
        <w:tc>
          <w:tcPr>
            <w:tcW w:w="200"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 w:right="0"/>
              <w:jc w:val="center"/>
              <w:rPr>
                <w:rFonts w:ascii="宋体" w:hAnsi="宋体" w:cs="宋体" w:eastAsia="宋体" w:hint="default"/>
                <w:sz w:val="18"/>
                <w:szCs w:val="18"/>
              </w:rPr>
            </w:pPr>
            <w:r>
              <w:rPr>
                <w:rFonts w:ascii="宋体"/>
                <w:spacing w:val="2"/>
                <w:sz w:val="18"/>
              </w:rPr>
              <w:t>5.00%</w:t>
            </w:r>
          </w:p>
        </w:tc>
        <w:tc>
          <w:tcPr>
            <w:tcW w:w="220"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6" w:right="0"/>
              <w:jc w:val="center"/>
              <w:rPr>
                <w:rFonts w:ascii="宋体" w:hAnsi="宋体" w:cs="宋体" w:eastAsia="宋体" w:hint="default"/>
                <w:sz w:val="18"/>
                <w:szCs w:val="18"/>
              </w:rPr>
            </w:pPr>
            <w:r>
              <w:rPr>
                <w:rFonts w:ascii="宋体"/>
                <w:spacing w:val="3"/>
                <w:sz w:val="18"/>
              </w:rPr>
              <w:t>19.000%</w:t>
            </w:r>
            <w:r>
              <w:rPr>
                <w:rFonts w:ascii="宋体"/>
                <w:sz w:val="18"/>
              </w:rPr>
            </w:r>
          </w:p>
        </w:tc>
      </w:tr>
    </w:tbl>
    <w:p>
      <w:pPr>
        <w:spacing w:line="240" w:lineRule="auto" w:before="6"/>
        <w:rPr>
          <w:rFonts w:ascii="宋体" w:hAnsi="宋体" w:cs="宋体" w:eastAsia="宋体" w:hint="default"/>
          <w:sz w:val="16"/>
          <w:szCs w:val="16"/>
        </w:rPr>
      </w:pPr>
    </w:p>
    <w:p>
      <w:pPr>
        <w:pStyle w:val="BodyText"/>
        <w:spacing w:line="240" w:lineRule="auto" w:before="26"/>
        <w:ind w:left="634" w:right="0"/>
        <w:jc w:val="left"/>
      </w:pPr>
      <w:r>
        <w:rPr/>
        <w:t>于每年年度终了，对固定资产的预计使用寿命、预计净残值和折旧方法进行复核并作适</w:t>
      </w:r>
    </w:p>
    <w:p>
      <w:pPr>
        <w:spacing w:after="0" w:line="240" w:lineRule="auto"/>
        <w:jc w:val="left"/>
        <w:sectPr>
          <w:pgSz w:w="11910" w:h="16840"/>
          <w:pgMar w:header="877" w:footer="1022" w:top="1100" w:bottom="1220" w:left="980" w:right="980"/>
        </w:sectPr>
      </w:pPr>
    </w:p>
    <w:p>
      <w:pPr>
        <w:spacing w:line="240" w:lineRule="auto" w:before="10"/>
        <w:rPr>
          <w:rFonts w:ascii="宋体" w:hAnsi="宋体" w:cs="宋体" w:eastAsia="宋体" w:hint="default"/>
          <w:sz w:val="24"/>
          <w:szCs w:val="24"/>
        </w:rPr>
      </w:pPr>
    </w:p>
    <w:p>
      <w:pPr>
        <w:pStyle w:val="BodyText"/>
        <w:spacing w:line="240" w:lineRule="auto" w:before="26"/>
        <w:ind w:right="0"/>
        <w:jc w:val="left"/>
      </w:pPr>
      <w:r>
        <w:rPr/>
        <w:t>当调整。</w:t>
      </w:r>
    </w:p>
    <w:p>
      <w:pPr>
        <w:pStyle w:val="BodyText"/>
        <w:spacing w:line="381" w:lineRule="auto" w:before="186"/>
        <w:ind w:left="634" w:right="0"/>
        <w:jc w:val="left"/>
      </w:pPr>
      <w:r>
        <w:rPr/>
        <w:t>当固定资产的可收回金额低于其账面价值时，账面价值减记至可收回金额。 符合持有待售条件的固定资产，以账面价值与公允价值减去处置费用孰低的金额列示。</w:t>
      </w:r>
    </w:p>
    <w:p>
      <w:pPr>
        <w:pStyle w:val="BodyText"/>
        <w:spacing w:line="239" w:lineRule="exact"/>
        <w:ind w:left="153" w:right="0"/>
        <w:jc w:val="left"/>
      </w:pPr>
      <w:r>
        <w:rPr/>
        <w:t>公允价值减去处置费用低于原账面价值的金额，确认为资产减值损失。</w:t>
      </w:r>
    </w:p>
    <w:p>
      <w:pPr>
        <w:pStyle w:val="BodyText"/>
        <w:spacing w:line="290" w:lineRule="auto" w:before="186"/>
        <w:ind w:left="153" w:right="208" w:firstLine="480"/>
        <w:jc w:val="both"/>
      </w:pPr>
      <w:r>
        <w:rPr/>
        <w:t>当固定资产被处置、或者预期通过使用或处置不能产生经济利益时，终止确认该固定资</w:t>
      </w:r>
      <w:r>
        <w:rPr>
          <w:spacing w:val="1"/>
        </w:rPr>
        <w:t> </w:t>
      </w:r>
      <w:r>
        <w:rPr/>
        <w:t>产。固定资产出售、转让、报废或毁损的处置收入扣除其账面价值和相关税费后的金额计入</w:t>
      </w:r>
      <w:r>
        <w:rPr>
          <w:spacing w:val="-83"/>
        </w:rPr>
        <w:t> </w:t>
      </w:r>
      <w:r>
        <w:rPr>
          <w:spacing w:val="-83"/>
        </w:rPr>
      </w:r>
      <w:r>
        <w:rPr/>
        <w:t>当期损益。</w:t>
      </w:r>
    </w:p>
    <w:p>
      <w:pPr>
        <w:spacing w:line="405" w:lineRule="auto" w:before="156"/>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(十一)</w:t>
      </w:r>
      <w:r>
        <w:rPr>
          <w:rFonts w:ascii="宋体" w:hAnsi="宋体" w:cs="宋体" w:eastAsia="宋体" w:hint="default"/>
          <w:b/>
          <w:bCs/>
          <w:spacing w:val="-67"/>
          <w:sz w:val="24"/>
          <w:szCs w:val="24"/>
        </w:rPr>
        <w:t> </w:t>
      </w:r>
      <w:r>
        <w:rPr>
          <w:rFonts w:ascii="宋体" w:hAnsi="宋体" w:cs="宋体" w:eastAsia="宋体" w:hint="default"/>
          <w:b/>
          <w:bCs/>
          <w:sz w:val="24"/>
          <w:szCs w:val="24"/>
        </w:rPr>
        <w:t>在建工程</w:t>
      </w:r>
      <w:r>
        <w:rPr>
          <w:rFonts w:ascii="宋体" w:hAnsi="宋体" w:cs="宋体" w:eastAsia="宋体" w:hint="default"/>
          <w:b/>
          <w:bCs/>
          <w:w w:val="99"/>
          <w:sz w:val="24"/>
          <w:szCs w:val="24"/>
        </w:rPr>
        <w:t> </w:t>
      </w:r>
      <w:r>
        <w:rPr>
          <w:rFonts w:ascii="宋体" w:hAnsi="宋体" w:cs="宋体" w:eastAsia="宋体" w:hint="default"/>
          <w:sz w:val="24"/>
          <w:szCs w:val="24"/>
        </w:rPr>
        <w:t>在建工程按实际发生的成本计量。实际成本包括建筑费用、其他为使在建工程达到预定</w:t>
      </w:r>
    </w:p>
    <w:p>
      <w:pPr>
        <w:pStyle w:val="BodyText"/>
        <w:spacing w:line="245" w:lineRule="exact"/>
        <w:ind w:left="153" w:right="0"/>
        <w:jc w:val="left"/>
      </w:pPr>
      <w:r>
        <w:rPr/>
        <w:t>可使用状态所发生的必要支出以及在资产达到预定可使用状态之前所发生的符合资本化条件</w:t>
      </w:r>
    </w:p>
    <w:p>
      <w:pPr>
        <w:pStyle w:val="BodyText"/>
        <w:spacing w:line="405" w:lineRule="auto" w:before="95"/>
        <w:ind w:left="633" w:right="231" w:hanging="480"/>
        <w:jc w:val="left"/>
      </w:pPr>
      <w:r>
        <w:rPr/>
        <w:t>的借款费用。在建工程在达到预定可使用状态时，转入固定资产并自次月起开始计提折旧。 当在建工程的可收回金额低于其账面价值时，账面价值减记至可收回金额。</w:t>
      </w:r>
    </w:p>
    <w:p>
      <w:pPr>
        <w:pStyle w:val="BodyText"/>
        <w:spacing w:line="400" w:lineRule="auto" w:before="50"/>
        <w:ind w:left="634" w:right="1190" w:firstLine="2"/>
        <w:jc w:val="left"/>
      </w:pPr>
      <w:r>
        <w:rPr>
          <w:rFonts w:ascii="宋体" w:hAnsi="宋体" w:cs="宋体" w:eastAsia="宋体" w:hint="default"/>
          <w:b/>
          <w:bCs/>
        </w:rPr>
        <w:t>(十二)</w:t>
      </w:r>
      <w:r>
        <w:rPr>
          <w:rFonts w:ascii="宋体" w:hAnsi="宋体" w:cs="宋体" w:eastAsia="宋体" w:hint="default"/>
          <w:b/>
          <w:bCs/>
          <w:spacing w:val="-67"/>
        </w:rPr>
        <w:t> </w:t>
      </w:r>
      <w:r>
        <w:rPr>
          <w:rFonts w:ascii="宋体" w:hAnsi="宋体" w:cs="宋体" w:eastAsia="宋体" w:hint="default"/>
          <w:b/>
          <w:bCs/>
        </w:rPr>
        <w:t>无形资产</w:t>
      </w:r>
      <w:r>
        <w:rPr>
          <w:rFonts w:ascii="宋体" w:hAnsi="宋体" w:cs="宋体" w:eastAsia="宋体" w:hint="default"/>
          <w:b/>
          <w:bCs/>
          <w:spacing w:val="1"/>
          <w:w w:val="99"/>
        </w:rPr>
        <w:t> </w:t>
      </w:r>
      <w:r>
        <w:rPr/>
        <w:t>无形资产包括土地使用权、专利权及非专利技术等，以实际成本计量。其中： 1、 土地使用权</w:t>
      </w:r>
    </w:p>
    <w:p>
      <w:pPr>
        <w:pStyle w:val="BodyText"/>
        <w:spacing w:line="307" w:lineRule="auto" w:before="44"/>
        <w:ind w:right="0" w:firstLine="480"/>
        <w:jc w:val="left"/>
      </w:pPr>
      <w:r>
        <w:rPr>
          <w:spacing w:val="-3"/>
        </w:rPr>
        <w:t>本公司对土地使用权按其规定使用年限采用直线法平均摊销。外购土地及建筑物的价款难</w:t>
      </w:r>
      <w:r>
        <w:rPr/>
        <w:t> 以在土地使用权与建筑物之间合理分配的，全部作为固定资产。</w:t>
      </w:r>
    </w:p>
    <w:p>
      <w:pPr>
        <w:pStyle w:val="BodyText"/>
        <w:spacing w:line="398" w:lineRule="auto" w:before="138"/>
        <w:ind w:left="634" w:right="2990"/>
        <w:jc w:val="left"/>
      </w:pPr>
      <w:r>
        <w:rPr/>
        <w:t>2、 专利权、非专利技术 专利权和非专利技术按法律规定的有效年限</w:t>
      </w:r>
      <w:r>
        <w:rPr>
          <w:spacing w:val="-60"/>
        </w:rPr>
        <w:t> </w:t>
      </w:r>
      <w:r>
        <w:rPr/>
        <w:t>10</w:t>
      </w:r>
      <w:r>
        <w:rPr>
          <w:spacing w:val="-60"/>
        </w:rPr>
        <w:t> </w:t>
      </w:r>
      <w:r>
        <w:rPr/>
        <w:t>年平均摊销。</w:t>
      </w:r>
      <w:r>
        <w:rPr/>
        <w:t> 3、无形资产减值</w:t>
      </w:r>
    </w:p>
    <w:p>
      <w:pPr>
        <w:pStyle w:val="BodyText"/>
        <w:spacing w:line="398" w:lineRule="auto" w:before="47"/>
        <w:ind w:left="634" w:right="0"/>
        <w:jc w:val="left"/>
      </w:pPr>
      <w:r>
        <w:rPr/>
        <w:t>当无形资产的可收回金额低于其账面价值时，账面价值减记至可收回金额。 4、定期复核使用寿命和摊销方法 对使用寿命有限的无形资产的预计使用寿命及摊销方法于每年年度终了进行复核并作适</w:t>
      </w:r>
    </w:p>
    <w:p>
      <w:pPr>
        <w:pStyle w:val="BodyText"/>
        <w:spacing w:line="241" w:lineRule="exact"/>
        <w:ind w:left="153" w:right="0"/>
        <w:jc w:val="left"/>
      </w:pPr>
      <w:r>
        <w:rPr/>
        <w:t>当调整。</w:t>
      </w:r>
    </w:p>
    <w:p>
      <w:pPr>
        <w:spacing w:line="398" w:lineRule="auto" w:before="205"/>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(十三)</w:t>
      </w:r>
      <w:r>
        <w:rPr>
          <w:rFonts w:ascii="宋体" w:hAnsi="宋体" w:cs="宋体" w:eastAsia="宋体" w:hint="default"/>
          <w:b/>
          <w:bCs/>
          <w:spacing w:val="-68"/>
          <w:sz w:val="24"/>
          <w:szCs w:val="24"/>
        </w:rPr>
        <w:t> </w:t>
      </w:r>
      <w:r>
        <w:rPr>
          <w:rFonts w:ascii="宋体" w:hAnsi="宋体" w:cs="宋体" w:eastAsia="宋体" w:hint="default"/>
          <w:b/>
          <w:bCs/>
          <w:sz w:val="24"/>
          <w:szCs w:val="24"/>
        </w:rPr>
        <w:t>研究与开发</w:t>
      </w:r>
      <w:r>
        <w:rPr>
          <w:rFonts w:ascii="宋体" w:hAnsi="宋体" w:cs="宋体" w:eastAsia="宋体" w:hint="default"/>
          <w:b/>
          <w:bCs/>
          <w:w w:val="99"/>
          <w:sz w:val="24"/>
          <w:szCs w:val="24"/>
        </w:rPr>
        <w:t> </w:t>
      </w:r>
      <w:r>
        <w:rPr>
          <w:rFonts w:ascii="宋体" w:hAnsi="宋体" w:cs="宋体" w:eastAsia="宋体" w:hint="default"/>
          <w:sz w:val="24"/>
          <w:szCs w:val="24"/>
        </w:rPr>
        <w:t>根据内部研究开发项目支出的性质以及研发活动最终形成无形资产是否具有较大不确定</w:t>
      </w:r>
    </w:p>
    <w:p>
      <w:pPr>
        <w:pStyle w:val="BodyText"/>
        <w:spacing w:line="241" w:lineRule="exact"/>
        <w:ind w:left="153" w:right="0"/>
        <w:jc w:val="left"/>
      </w:pPr>
      <w:r>
        <w:rPr/>
        <w:t>性，分为研究阶段支出和开发阶段支出。</w:t>
      </w:r>
    </w:p>
    <w:p>
      <w:pPr>
        <w:pStyle w:val="BodyText"/>
        <w:spacing w:line="307" w:lineRule="auto" w:before="205"/>
        <w:ind w:left="153" w:right="210" w:firstLine="480"/>
        <w:jc w:val="both"/>
      </w:pPr>
      <w:r>
        <w:rPr/>
        <w:t>研究阶段的支出，于发生时计入当期损益；开发阶段的支出，同时满足下列条件的，确</w:t>
      </w:r>
      <w:r>
        <w:rPr>
          <w:spacing w:val="1"/>
        </w:rPr>
        <w:t> </w:t>
      </w:r>
      <w:r>
        <w:rPr/>
        <w:t>认为无形资产：</w:t>
      </w:r>
    </w:p>
    <w:p>
      <w:pPr>
        <w:spacing w:after="0" w:line="307" w:lineRule="auto"/>
        <w:jc w:val="both"/>
        <w:sectPr>
          <w:pgSz w:w="11910" w:h="16840"/>
          <w:pgMar w:header="877" w:footer="1022" w:top="1100" w:bottom="1220" w:left="980" w:right="920"/>
        </w:sectPr>
      </w:pPr>
    </w:p>
    <w:p>
      <w:pPr>
        <w:spacing w:line="240" w:lineRule="auto" w:before="4"/>
        <w:rPr>
          <w:rFonts w:ascii="宋体" w:hAnsi="宋体" w:cs="宋体" w:eastAsia="宋体" w:hint="default"/>
          <w:sz w:val="26"/>
          <w:szCs w:val="26"/>
        </w:rPr>
      </w:pPr>
    </w:p>
    <w:p>
      <w:pPr>
        <w:pStyle w:val="BodyText"/>
        <w:spacing w:line="240" w:lineRule="auto" w:before="26"/>
        <w:ind w:left="634" w:right="0"/>
        <w:jc w:val="left"/>
      </w:pPr>
      <w:r>
        <w:rPr/>
        <w:t>1、完成该无形资产以使其能够使用或出售在技术上具有可行性。</w:t>
      </w:r>
    </w:p>
    <w:p>
      <w:pPr>
        <w:pStyle w:val="BodyText"/>
        <w:spacing w:line="240" w:lineRule="auto" w:before="205"/>
        <w:ind w:left="634" w:right="0"/>
        <w:jc w:val="left"/>
      </w:pPr>
      <w:r>
        <w:rPr/>
        <w:t>2、管理层具有完成该无形资产并使用或出售的意图。</w:t>
      </w:r>
    </w:p>
    <w:p>
      <w:pPr>
        <w:pStyle w:val="BodyText"/>
        <w:spacing w:line="240" w:lineRule="auto" w:before="206"/>
        <w:ind w:left="634" w:right="0"/>
        <w:jc w:val="left"/>
      </w:pPr>
      <w:r>
        <w:rPr/>
        <w:t>3、能够证明该无形资产将如何产生经济利益。</w:t>
      </w:r>
    </w:p>
    <w:p>
      <w:pPr>
        <w:pStyle w:val="BodyText"/>
        <w:spacing w:line="304" w:lineRule="auto" w:before="205"/>
        <w:ind w:right="151" w:firstLine="480"/>
        <w:jc w:val="both"/>
      </w:pPr>
      <w:r>
        <w:rPr>
          <w:spacing w:val="-3"/>
        </w:rPr>
        <w:t>4、有足够的技术、财务资源和其他资源支持，以完成该无形资产的开发，并有能力使用</w:t>
      </w:r>
      <w:r>
        <w:rPr/>
        <w:t> 或出售该无形资产。</w:t>
      </w:r>
    </w:p>
    <w:p>
      <w:pPr>
        <w:pStyle w:val="BodyText"/>
        <w:spacing w:line="396" w:lineRule="auto" w:before="142"/>
        <w:ind w:left="634" w:right="0"/>
        <w:jc w:val="left"/>
      </w:pPr>
      <w:r>
        <w:rPr/>
        <w:t>5、归属于该无形资产开发阶段的支出能够可靠地计量。 不满足上述条件的开发阶段的支出，于发生时计入当期损益。前期已计入损益的开发支</w:t>
      </w:r>
    </w:p>
    <w:p>
      <w:pPr>
        <w:pStyle w:val="BodyText"/>
        <w:spacing w:line="244" w:lineRule="exact"/>
        <w:ind w:left="153" w:right="0"/>
        <w:jc w:val="left"/>
      </w:pPr>
      <w:r>
        <w:rPr/>
        <w:t>出不在以后期间确认为资产。已资本化的开发阶段的支出在资产负债表上列示为开发支出，</w:t>
      </w:r>
    </w:p>
    <w:p>
      <w:pPr>
        <w:pStyle w:val="BodyText"/>
        <w:spacing w:line="396" w:lineRule="auto" w:before="86"/>
        <w:ind w:left="633" w:right="1371" w:hanging="480"/>
        <w:jc w:val="left"/>
        <w:rPr>
          <w:rFonts w:ascii="宋体" w:hAnsi="宋体" w:cs="宋体" w:eastAsia="宋体" w:hint="default"/>
        </w:rPr>
      </w:pPr>
      <w:r>
        <w:rPr/>
        <w:t>自该项目达到预定可使用状态之日起转为无形资产。 当开发支出的可收回金额低于其账面价值时，账面价值减记至可收回金额。 </w:t>
      </w:r>
      <w:r>
        <w:rPr>
          <w:rFonts w:ascii="宋体" w:hAnsi="宋体" w:cs="宋体" w:eastAsia="宋体" w:hint="default"/>
          <w:b/>
          <w:bCs/>
        </w:rPr>
        <w:t>(十四)</w:t>
      </w:r>
      <w:r>
        <w:rPr>
          <w:rFonts w:ascii="宋体" w:hAnsi="宋体" w:cs="宋体" w:eastAsia="宋体" w:hint="default"/>
          <w:b/>
          <w:bCs/>
          <w:spacing w:val="-68"/>
        </w:rPr>
        <w:t> </w:t>
      </w:r>
      <w:r>
        <w:rPr>
          <w:rFonts w:ascii="宋体" w:hAnsi="宋体" w:cs="宋体" w:eastAsia="宋体" w:hint="default"/>
          <w:b/>
          <w:bCs/>
        </w:rPr>
        <w:t>商誉</w:t>
      </w:r>
      <w:r>
        <w:rPr>
          <w:rFonts w:ascii="宋体" w:hAnsi="宋体" w:cs="宋体" w:eastAsia="宋体" w:hint="default"/>
        </w:rPr>
      </w:r>
    </w:p>
    <w:p>
      <w:pPr>
        <w:pStyle w:val="BodyText"/>
        <w:spacing w:line="304" w:lineRule="auto" w:before="50"/>
        <w:ind w:left="153" w:right="148" w:firstLine="480"/>
        <w:jc w:val="both"/>
      </w:pPr>
      <w:r>
        <w:rPr/>
        <w:t>商誉为股权投资成本超过应享有的被投资单位于投资取得日的公允价值份额的差额，或</w:t>
      </w:r>
      <w:r>
        <w:rPr>
          <w:spacing w:val="1"/>
        </w:rPr>
        <w:t> </w:t>
      </w:r>
      <w:r>
        <w:rPr/>
        <w:t>者为非同一控制下企业合并成本超过企业合并中取得的被购买方可辨认净资产于购买日的公</w:t>
      </w:r>
      <w:r>
        <w:rPr>
          <w:spacing w:val="-83"/>
        </w:rPr>
        <w:t> </w:t>
      </w:r>
      <w:r>
        <w:rPr>
          <w:spacing w:val="-83"/>
        </w:rPr>
      </w:r>
      <w:r>
        <w:rPr/>
        <w:t>允价值份额的差额。</w:t>
      </w:r>
    </w:p>
    <w:p>
      <w:pPr>
        <w:pStyle w:val="BodyText"/>
        <w:spacing w:line="336" w:lineRule="auto" w:before="181"/>
        <w:ind w:left="153" w:right="148" w:firstLine="480"/>
        <w:jc w:val="both"/>
      </w:pPr>
      <w:r>
        <w:rPr/>
        <w:t>企业吸收合并形成的商誉在个表直接反映，企业控股合并形成的商誉仅在合并财务报表</w:t>
      </w:r>
      <w:r>
        <w:rPr>
          <w:spacing w:val="1"/>
        </w:rPr>
        <w:t> </w:t>
      </w:r>
      <w:r>
        <w:rPr/>
        <w:t>上单独列示。购买联营企业和合营企业股权投资成本超过投资时应享有被投资单位的公允价</w:t>
      </w:r>
      <w:r>
        <w:rPr>
          <w:spacing w:val="-83"/>
        </w:rPr>
        <w:t> </w:t>
      </w:r>
      <w:r>
        <w:rPr>
          <w:spacing w:val="-83"/>
        </w:rPr>
      </w:r>
      <w:r>
        <w:rPr/>
        <w:t>值份额的差额，包含于长期股权投资。</w:t>
      </w:r>
    </w:p>
    <w:p>
      <w:pPr>
        <w:pStyle w:val="BodyText"/>
        <w:spacing w:line="336" w:lineRule="auto" w:before="150"/>
        <w:ind w:left="153" w:right="148" w:firstLine="480"/>
        <w:jc w:val="both"/>
      </w:pPr>
      <w:r>
        <w:rPr/>
        <w:t>企业合并形成的商誉至少每年进行减值测试。减值测试时，商誉的账面价值根据企业合</w:t>
      </w:r>
      <w:r>
        <w:rPr>
          <w:spacing w:val="1"/>
        </w:rPr>
        <w:t> </w:t>
      </w:r>
      <w:r>
        <w:rPr/>
        <w:t>并的协同效应分摊至受益的资产组或资产组组合。期末商誉按成本减去累计减值损失后的净</w:t>
      </w:r>
      <w:r>
        <w:rPr>
          <w:spacing w:val="-83"/>
        </w:rPr>
        <w:t> </w:t>
      </w:r>
      <w:r>
        <w:rPr>
          <w:spacing w:val="-83"/>
        </w:rPr>
      </w:r>
      <w:r>
        <w:rPr/>
        <w:t>额列示。</w:t>
      </w:r>
    </w:p>
    <w:p>
      <w:pPr>
        <w:spacing w:line="427" w:lineRule="auto" w:before="15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(十五)</w:t>
      </w:r>
      <w:r>
        <w:rPr>
          <w:rFonts w:ascii="宋体" w:hAnsi="宋体" w:cs="宋体" w:eastAsia="宋体" w:hint="default"/>
          <w:b/>
          <w:bCs/>
          <w:spacing w:val="-67"/>
          <w:sz w:val="24"/>
          <w:szCs w:val="24"/>
        </w:rPr>
        <w:t> </w:t>
      </w:r>
      <w:r>
        <w:rPr>
          <w:rFonts w:ascii="宋体" w:hAnsi="宋体" w:cs="宋体" w:eastAsia="宋体" w:hint="default"/>
          <w:b/>
          <w:bCs/>
          <w:sz w:val="24"/>
          <w:szCs w:val="24"/>
        </w:rPr>
        <w:t>长期待摊费用</w:t>
      </w:r>
      <w:r>
        <w:rPr>
          <w:rFonts w:ascii="宋体" w:hAnsi="宋体" w:cs="宋体" w:eastAsia="宋体" w:hint="default"/>
          <w:b/>
          <w:bCs/>
          <w:spacing w:val="1"/>
          <w:w w:val="99"/>
          <w:sz w:val="24"/>
          <w:szCs w:val="24"/>
        </w:rPr>
        <w:t> </w:t>
      </w:r>
      <w:r>
        <w:rPr>
          <w:rFonts w:ascii="宋体" w:hAnsi="宋体" w:cs="宋体" w:eastAsia="宋体" w:hint="default"/>
          <w:sz w:val="24"/>
          <w:szCs w:val="24"/>
        </w:rPr>
        <w:t>长期待摊费用包括经营租入固定资产改良及其他已经发生但应由本期和以后各期负担的</w:t>
      </w:r>
    </w:p>
    <w:p>
      <w:pPr>
        <w:pStyle w:val="BodyText"/>
        <w:spacing w:line="253" w:lineRule="exact"/>
        <w:ind w:left="153" w:right="0"/>
        <w:jc w:val="left"/>
      </w:pPr>
      <w:r>
        <w:rPr/>
        <w:t>分摊期限在一年以上的各项费用，按预计受益期间分期平均摊销，并以实际支出减去累计摊</w:t>
      </w:r>
    </w:p>
    <w:p>
      <w:pPr>
        <w:spacing w:line="427" w:lineRule="auto" w:before="126"/>
        <w:ind w:left="636" w:right="7547" w:hanging="483"/>
        <w:jc w:val="left"/>
        <w:rPr>
          <w:rFonts w:ascii="宋体" w:hAnsi="宋体" w:cs="宋体" w:eastAsia="宋体" w:hint="default"/>
          <w:sz w:val="24"/>
          <w:szCs w:val="24"/>
        </w:rPr>
      </w:pPr>
      <w:r>
        <w:rPr>
          <w:rFonts w:ascii="宋体" w:hAnsi="宋体" w:cs="宋体" w:eastAsia="宋体" w:hint="default"/>
          <w:sz w:val="24"/>
          <w:szCs w:val="24"/>
        </w:rPr>
        <w:t>销后的净额列示。 </w:t>
      </w:r>
      <w:r>
        <w:rPr>
          <w:rFonts w:ascii="宋体" w:hAnsi="宋体" w:cs="宋体" w:eastAsia="宋体" w:hint="default"/>
          <w:b/>
          <w:bCs/>
          <w:sz w:val="24"/>
          <w:szCs w:val="24"/>
        </w:rPr>
        <w:t>(十六)</w:t>
      </w:r>
      <w:r>
        <w:rPr>
          <w:rFonts w:ascii="宋体" w:hAnsi="宋体" w:cs="宋体" w:eastAsia="宋体" w:hint="default"/>
          <w:b/>
          <w:bCs/>
          <w:spacing w:val="-68"/>
          <w:sz w:val="24"/>
          <w:szCs w:val="24"/>
        </w:rPr>
        <w:t> </w:t>
      </w:r>
      <w:r>
        <w:rPr>
          <w:rFonts w:ascii="宋体" w:hAnsi="宋体" w:cs="宋体" w:eastAsia="宋体" w:hint="default"/>
          <w:b/>
          <w:bCs/>
          <w:sz w:val="24"/>
          <w:szCs w:val="24"/>
        </w:rPr>
        <w:t>资产减值</w:t>
      </w:r>
      <w:r>
        <w:rPr>
          <w:rFonts w:ascii="宋体" w:hAnsi="宋体" w:cs="宋体" w:eastAsia="宋体" w:hint="default"/>
          <w:sz w:val="24"/>
          <w:szCs w:val="24"/>
        </w:rPr>
      </w:r>
    </w:p>
    <w:p>
      <w:pPr>
        <w:pStyle w:val="BodyText"/>
        <w:spacing w:line="336" w:lineRule="auto" w:before="59"/>
        <w:ind w:left="153" w:right="148" w:firstLine="480"/>
        <w:jc w:val="both"/>
      </w:pPr>
      <w:r>
        <w:rPr/>
        <w:t>在财务报表中单独列示的商誉和使用寿命不确定的无形资产，无论是否存在减值迹象，</w:t>
      </w:r>
      <w:r>
        <w:rPr>
          <w:spacing w:val="1"/>
        </w:rPr>
        <w:t> </w:t>
      </w:r>
      <w:r>
        <w:rPr/>
        <w:t>至少每年进行减值测试。固定资产、无形资产、以成本模式计量的投资性房地产及长期股权</w:t>
      </w:r>
      <w:r>
        <w:rPr>
          <w:spacing w:val="-83"/>
        </w:rPr>
        <w:t> </w:t>
      </w:r>
      <w:r>
        <w:rPr>
          <w:spacing w:val="-83"/>
        </w:rPr>
      </w:r>
      <w:r>
        <w:rPr/>
        <w:t>投资等，于资产负债表日存在减值迹象的，进行减值测试。减值测试结果表明资产的可收回</w:t>
      </w:r>
      <w:r>
        <w:rPr>
          <w:spacing w:val="-83"/>
        </w:rPr>
        <w:t> </w:t>
      </w:r>
      <w:r>
        <w:rPr>
          <w:spacing w:val="-83"/>
        </w:rPr>
      </w:r>
      <w:r>
        <w:rPr/>
        <w:t>金额低于其账面价值的，按其差额计提减值准备并计入减值损失。可收回金额为资产的公允</w:t>
      </w:r>
    </w:p>
    <w:p>
      <w:pPr>
        <w:spacing w:after="0" w:line="336" w:lineRule="auto"/>
        <w:jc w:val="both"/>
        <w:sectPr>
          <w:footerReference w:type="default" r:id="rId16"/>
          <w:pgSz w:w="11910" w:h="16840"/>
          <w:pgMar w:footer="1022" w:header="877" w:top="1100" w:bottom="1220" w:left="980" w:right="980"/>
          <w:pgNumType w:start="71"/>
        </w:sectPr>
      </w:pPr>
    </w:p>
    <w:p>
      <w:pPr>
        <w:spacing w:line="240" w:lineRule="auto" w:before="4"/>
        <w:rPr>
          <w:rFonts w:ascii="宋体" w:hAnsi="宋体" w:cs="宋体" w:eastAsia="宋体" w:hint="default"/>
          <w:sz w:val="29"/>
          <w:szCs w:val="29"/>
        </w:rPr>
      </w:pPr>
    </w:p>
    <w:p>
      <w:pPr>
        <w:pStyle w:val="BodyText"/>
        <w:spacing w:line="336" w:lineRule="auto" w:before="26"/>
        <w:ind w:right="228"/>
        <w:jc w:val="both"/>
      </w:pPr>
      <w:r>
        <w:rPr/>
        <w:t>价值减去处置费用后的净额与资产预计未来现金流量的现值两者之间的较高者。资产减值准</w:t>
      </w:r>
      <w:r>
        <w:rPr>
          <w:spacing w:val="-83"/>
        </w:rPr>
        <w:t> </w:t>
      </w:r>
      <w:r>
        <w:rPr>
          <w:spacing w:val="-83"/>
        </w:rPr>
      </w:r>
      <w:r>
        <w:rPr/>
        <w:t>备按单项资产为基础计算并确认，如果难以对单项资产的可收回金额进行估计的，以该资产</w:t>
      </w:r>
      <w:r>
        <w:rPr>
          <w:spacing w:val="-83"/>
        </w:rPr>
        <w:t> </w:t>
      </w:r>
      <w:r>
        <w:rPr>
          <w:spacing w:val="-83"/>
        </w:rPr>
      </w:r>
      <w:r>
        <w:rPr/>
        <w:t>所属的资产组确定资产组的可收回金额。资产组是能够独立产生现金流入的最小资产组合。</w:t>
      </w:r>
    </w:p>
    <w:p>
      <w:pPr>
        <w:spacing w:line="398" w:lineRule="auto" w:before="150"/>
        <w:ind w:left="636" w:right="1451" w:hanging="3"/>
        <w:jc w:val="left"/>
        <w:rPr>
          <w:rFonts w:ascii="宋体" w:hAnsi="宋体" w:cs="宋体" w:eastAsia="宋体" w:hint="default"/>
          <w:sz w:val="24"/>
          <w:szCs w:val="24"/>
        </w:rPr>
      </w:pPr>
      <w:r>
        <w:rPr>
          <w:rFonts w:ascii="宋体" w:hAnsi="宋体" w:cs="宋体" w:eastAsia="宋体" w:hint="default"/>
          <w:sz w:val="24"/>
          <w:szCs w:val="24"/>
        </w:rPr>
        <w:t>上述资产减值损失一经确认，如果在以后期间价值得以恢复，也不予转回。 </w:t>
      </w:r>
      <w:r>
        <w:rPr>
          <w:rFonts w:ascii="宋体" w:hAnsi="宋体" w:cs="宋体" w:eastAsia="宋体" w:hint="default"/>
          <w:b/>
          <w:bCs/>
          <w:sz w:val="24"/>
          <w:szCs w:val="24"/>
        </w:rPr>
        <w:t>(十七)</w:t>
      </w:r>
      <w:r>
        <w:rPr>
          <w:rFonts w:ascii="宋体" w:hAnsi="宋体" w:cs="宋体" w:eastAsia="宋体" w:hint="default"/>
          <w:b/>
          <w:bCs/>
          <w:spacing w:val="-68"/>
          <w:sz w:val="24"/>
          <w:szCs w:val="24"/>
        </w:rPr>
        <w:t> </w:t>
      </w:r>
      <w:r>
        <w:rPr>
          <w:rFonts w:ascii="宋体" w:hAnsi="宋体" w:cs="宋体" w:eastAsia="宋体" w:hint="default"/>
          <w:b/>
          <w:bCs/>
          <w:sz w:val="24"/>
          <w:szCs w:val="24"/>
        </w:rPr>
        <w:t>借款费用</w:t>
      </w:r>
      <w:r>
        <w:rPr>
          <w:rFonts w:ascii="宋体" w:hAnsi="宋体" w:cs="宋体" w:eastAsia="宋体" w:hint="default"/>
          <w:sz w:val="24"/>
          <w:szCs w:val="24"/>
        </w:rPr>
      </w:r>
    </w:p>
    <w:p>
      <w:pPr>
        <w:pStyle w:val="BodyText"/>
        <w:spacing w:line="304" w:lineRule="auto" w:before="47"/>
        <w:ind w:left="153" w:right="148" w:firstLine="480"/>
        <w:jc w:val="both"/>
      </w:pPr>
      <w:r>
        <w:rPr/>
        <w:t>发生的可直接归属于需要经过相当长时间的购建活动才能达到预定可使用状态之固定资</w:t>
      </w:r>
      <w:r>
        <w:rPr>
          <w:spacing w:val="1"/>
        </w:rPr>
        <w:t> </w:t>
      </w:r>
      <w:r>
        <w:rPr/>
        <w:t>产的购建的借款费用，在资产支出及借款费用已经发生、为使资产达到预定可使用状态所必</w:t>
      </w:r>
      <w:r>
        <w:rPr>
          <w:spacing w:val="-83"/>
        </w:rPr>
        <w:t> </w:t>
      </w:r>
      <w:r>
        <w:rPr>
          <w:spacing w:val="-83"/>
        </w:rPr>
      </w:r>
      <w:r>
        <w:rPr/>
        <w:t>要的购建活动已经开始时，开始资本化并计入该资产的成本。当购建的资产达到预定可使用</w:t>
      </w:r>
      <w:r>
        <w:rPr>
          <w:spacing w:val="-83"/>
        </w:rPr>
        <w:t> </w:t>
      </w:r>
      <w:r>
        <w:rPr>
          <w:spacing w:val="-83"/>
        </w:rPr>
      </w:r>
      <w:r>
        <w:rPr/>
        <w:t>状态时停止资本化，其后发生的借款费用计入当期损益。如果资产的购建活动发生非正常中</w:t>
      </w:r>
      <w:r>
        <w:rPr>
          <w:spacing w:val="-83"/>
        </w:rPr>
        <w:t> </w:t>
      </w:r>
      <w:r>
        <w:rPr>
          <w:spacing w:val="-83"/>
        </w:rPr>
      </w:r>
      <w:r>
        <w:rPr/>
        <w:t>断，并且中断时间连续超过3个月，暂停借款费用的资本化，直至资产的购建活动重新开始。</w:t>
      </w:r>
    </w:p>
    <w:p>
      <w:pPr>
        <w:pStyle w:val="BodyText"/>
        <w:spacing w:line="304" w:lineRule="auto" w:before="142"/>
        <w:ind w:left="153" w:right="228" w:firstLine="480"/>
        <w:jc w:val="both"/>
      </w:pPr>
      <w:r>
        <w:rPr/>
        <w:t>借款费用包括借款利息、折价或溢价的摊销、辅助费用以及因外币借款而发生的汇兑差</w:t>
      </w:r>
      <w:r>
        <w:rPr>
          <w:spacing w:val="1"/>
        </w:rPr>
        <w:t> </w:t>
      </w:r>
      <w:r>
        <w:rPr/>
        <w:t>额等。可直接归属于符合资本化条件的资产的购建或者生产的借款费用，在所构建或者生产</w:t>
      </w:r>
      <w:r>
        <w:rPr>
          <w:spacing w:val="-83"/>
        </w:rPr>
        <w:t> </w:t>
      </w:r>
      <w:r>
        <w:rPr>
          <w:spacing w:val="-83"/>
        </w:rPr>
      </w:r>
      <w:r>
        <w:rPr/>
        <w:t>的符合资本化条件的资产达到预定可使用状态或者可销售状态前，按借款费用资本化金额的</w:t>
      </w:r>
      <w:r>
        <w:rPr>
          <w:spacing w:val="-83"/>
        </w:rPr>
        <w:t> </w:t>
      </w:r>
      <w:r>
        <w:rPr>
          <w:spacing w:val="-83"/>
        </w:rPr>
      </w:r>
      <w:r>
        <w:rPr/>
        <w:t>确定原则予以资本化，计入该项资产成本。其余借款费用在发生当期确认为费用。</w:t>
      </w:r>
    </w:p>
    <w:p>
      <w:pPr>
        <w:pStyle w:val="BodyText"/>
        <w:spacing w:line="304" w:lineRule="auto" w:before="140"/>
        <w:ind w:left="153" w:right="230" w:firstLine="480"/>
        <w:jc w:val="both"/>
      </w:pPr>
      <w:r>
        <w:rPr/>
        <w:t>符合资本化条件的资产指需要经过相当长时间的购建或者生产活动才能达到预定可使用</w:t>
      </w:r>
      <w:r>
        <w:rPr>
          <w:spacing w:val="1"/>
        </w:rPr>
        <w:t> </w:t>
      </w:r>
      <w:r>
        <w:rPr/>
        <w:t>或可销售状态的固定资产、投资性房地产和存货等资产。</w:t>
      </w:r>
    </w:p>
    <w:p>
      <w:pPr>
        <w:pStyle w:val="BodyText"/>
        <w:spacing w:line="304" w:lineRule="auto" w:before="142"/>
        <w:ind w:left="153" w:right="232" w:firstLine="464"/>
        <w:jc w:val="both"/>
      </w:pPr>
      <w:r>
        <w:rPr>
          <w:spacing w:val="-9"/>
        </w:rPr>
        <w:t>如果符合资本化条件的资产在购建或生产过程中发生非正常中断、并且中断时间连续超过3</w:t>
      </w:r>
      <w:r>
        <w:rPr>
          <w:spacing w:val="-8"/>
        </w:rPr>
        <w:t> 个月的，暂停借款费用的资本化，直至资产的购建或生产活动重新开始。</w:t>
      </w:r>
      <w:r>
        <w:rPr/>
      </w:r>
    </w:p>
    <w:p>
      <w:pPr>
        <w:pStyle w:val="BodyText"/>
        <w:spacing w:line="398" w:lineRule="auto" w:before="140"/>
        <w:ind w:left="634" w:right="92" w:firstLine="2"/>
        <w:jc w:val="left"/>
      </w:pPr>
      <w:r>
        <w:rPr>
          <w:rFonts w:ascii="宋体" w:hAnsi="宋体" w:cs="宋体" w:eastAsia="宋体" w:hint="default"/>
          <w:b/>
          <w:bCs/>
        </w:rPr>
        <w:t>(十八)</w:t>
      </w:r>
      <w:r>
        <w:rPr>
          <w:rFonts w:ascii="宋体" w:hAnsi="宋体" w:cs="宋体" w:eastAsia="宋体" w:hint="default"/>
          <w:b/>
          <w:bCs/>
          <w:spacing w:val="-67"/>
        </w:rPr>
        <w:t> </w:t>
      </w:r>
      <w:r>
        <w:rPr>
          <w:rFonts w:ascii="宋体" w:hAnsi="宋体" w:cs="宋体" w:eastAsia="宋体" w:hint="default"/>
          <w:b/>
          <w:bCs/>
        </w:rPr>
        <w:t>借款</w:t>
      </w:r>
      <w:r>
        <w:rPr>
          <w:rFonts w:ascii="宋体" w:hAnsi="宋体" w:cs="宋体" w:eastAsia="宋体" w:hint="default"/>
          <w:b/>
          <w:bCs/>
          <w:spacing w:val="1"/>
          <w:w w:val="99"/>
        </w:rPr>
        <w:t> </w:t>
      </w:r>
      <w:r>
        <w:rPr/>
        <w:t>借款按公允价值扣除交易成本后的金额进行初始计量，并采用实际利率法按摊余成本进</w:t>
      </w:r>
    </w:p>
    <w:p>
      <w:pPr>
        <w:pStyle w:val="BodyText"/>
        <w:spacing w:line="241" w:lineRule="exact"/>
        <w:ind w:left="153" w:right="0"/>
        <w:jc w:val="both"/>
      </w:pPr>
      <w:r>
        <w:rPr>
          <w:spacing w:val="-2"/>
        </w:rPr>
        <w:t>行后续计量。借款期限短于12个月(含12个月)的借款为短期借款，其余借款确认为长期借款，</w:t>
      </w:r>
    </w:p>
    <w:p>
      <w:pPr>
        <w:pStyle w:val="BodyText"/>
        <w:spacing w:line="398" w:lineRule="auto" w:before="85"/>
        <w:ind w:left="636" w:right="971" w:hanging="483"/>
        <w:jc w:val="left"/>
        <w:rPr>
          <w:rFonts w:ascii="宋体" w:hAnsi="宋体" w:cs="宋体" w:eastAsia="宋体" w:hint="default"/>
        </w:rPr>
      </w:pPr>
      <w:r>
        <w:rPr/>
        <w:t>于资产负债表日12个月内到期的长期借款在报表上列示为一年内到期的非流动负债。 </w:t>
      </w:r>
      <w:r>
        <w:rPr>
          <w:rFonts w:ascii="宋体" w:hAnsi="宋体" w:cs="宋体" w:eastAsia="宋体" w:hint="default"/>
          <w:b/>
          <w:bCs/>
        </w:rPr>
        <w:t>(十九)</w:t>
      </w:r>
      <w:r>
        <w:rPr>
          <w:rFonts w:ascii="宋体" w:hAnsi="宋体" w:cs="宋体" w:eastAsia="宋体" w:hint="default"/>
          <w:b/>
          <w:bCs/>
          <w:spacing w:val="-69"/>
        </w:rPr>
        <w:t> </w:t>
      </w:r>
      <w:r>
        <w:rPr>
          <w:rFonts w:ascii="宋体" w:hAnsi="宋体" w:cs="宋体" w:eastAsia="宋体" w:hint="default"/>
          <w:b/>
          <w:bCs/>
        </w:rPr>
        <w:t>职工薪酬</w:t>
      </w:r>
      <w:r>
        <w:rPr>
          <w:rFonts w:ascii="宋体" w:hAnsi="宋体" w:cs="宋体" w:eastAsia="宋体" w:hint="default"/>
        </w:rPr>
      </w:r>
    </w:p>
    <w:p>
      <w:pPr>
        <w:pStyle w:val="BodyText"/>
        <w:spacing w:line="304" w:lineRule="auto" w:before="47"/>
        <w:ind w:left="153" w:right="230" w:firstLine="480"/>
        <w:jc w:val="both"/>
      </w:pPr>
      <w:r>
        <w:rPr/>
        <w:t>职工薪酬主要包括工资、奖金、津贴和补贴、职工福利费、社会保险费及住房公积金、</w:t>
      </w:r>
      <w:r>
        <w:rPr>
          <w:spacing w:val="1"/>
        </w:rPr>
        <w:t> </w:t>
      </w:r>
      <w:r>
        <w:rPr/>
        <w:t>工会经费和职工教育经费等其他与获得职工提供的服务相关的支出。</w:t>
      </w:r>
    </w:p>
    <w:p>
      <w:pPr>
        <w:pStyle w:val="BodyText"/>
        <w:spacing w:line="304" w:lineRule="auto" w:before="142"/>
        <w:ind w:left="153" w:right="230" w:firstLine="480"/>
        <w:jc w:val="both"/>
      </w:pPr>
      <w:r>
        <w:rPr/>
        <w:t>于职工提供服务的期间确认应付的职工薪酬，并根据职工提供服务的受益对象计入相关</w:t>
      </w:r>
      <w:r>
        <w:rPr>
          <w:spacing w:val="1"/>
        </w:rPr>
        <w:t> </w:t>
      </w:r>
      <w:r>
        <w:rPr/>
        <w:t>资产成本和费用。</w:t>
      </w:r>
    </w:p>
    <w:p>
      <w:pPr>
        <w:pStyle w:val="BodyText"/>
        <w:spacing w:line="398" w:lineRule="auto" w:before="140"/>
        <w:ind w:left="633" w:right="92"/>
        <w:jc w:val="left"/>
      </w:pPr>
      <w:r>
        <w:rPr/>
        <w:t>本公司在职工提供服务的会计期间，将应付的职工薪酬确认为负债。 </w:t>
      </w:r>
      <w:r>
        <w:rPr>
          <w:spacing w:val="-3"/>
        </w:rPr>
        <w:t>本公司按规定参加由政府机构设立的职工社会保障体系，包括基本养老保险、医疗保险、</w:t>
      </w:r>
    </w:p>
    <w:p>
      <w:pPr>
        <w:pStyle w:val="BodyText"/>
        <w:spacing w:line="241" w:lineRule="exact"/>
        <w:ind w:left="153" w:right="0"/>
        <w:jc w:val="both"/>
      </w:pPr>
      <w:r>
        <w:rPr/>
        <w:t>住房公积金及其它社会保障制度，相应的支出于发生时计入相关资产成本或当期损益。</w:t>
      </w:r>
    </w:p>
    <w:p>
      <w:pPr>
        <w:spacing w:after="0" w:line="241" w:lineRule="exact"/>
        <w:jc w:val="both"/>
        <w:sectPr>
          <w:footerReference w:type="default" r:id="rId17"/>
          <w:pgSz w:w="11910" w:h="16840"/>
          <w:pgMar w:footer="1022" w:header="877" w:top="1100" w:bottom="1220" w:left="980" w:right="900"/>
          <w:pgNumType w:start="72"/>
        </w:sectPr>
      </w:pPr>
    </w:p>
    <w:p>
      <w:pPr>
        <w:spacing w:line="240" w:lineRule="auto" w:before="4"/>
        <w:rPr>
          <w:rFonts w:ascii="宋体" w:hAnsi="宋体" w:cs="宋体" w:eastAsia="宋体" w:hint="default"/>
          <w:sz w:val="26"/>
          <w:szCs w:val="26"/>
        </w:rPr>
      </w:pPr>
    </w:p>
    <w:p>
      <w:pPr>
        <w:pStyle w:val="BodyText"/>
        <w:spacing w:line="304" w:lineRule="auto" w:before="26"/>
        <w:ind w:left="153" w:right="228" w:firstLine="480"/>
        <w:jc w:val="both"/>
      </w:pPr>
      <w:r>
        <w:rPr/>
        <w:t>在职工劳动合同到期之前解除与职工的劳动关系，或为鼓励职工自愿接受裁减而提出给</w:t>
      </w:r>
      <w:r>
        <w:rPr>
          <w:spacing w:val="1"/>
        </w:rPr>
        <w:t> </w:t>
      </w:r>
      <w:r>
        <w:rPr/>
        <w:t>予补偿的建议，如果本公司已经制定正式的解除劳动关系计划或提出自愿裁减建议并即将实</w:t>
      </w:r>
      <w:r>
        <w:rPr>
          <w:spacing w:val="-83"/>
        </w:rPr>
        <w:t> </w:t>
      </w:r>
      <w:r>
        <w:rPr>
          <w:spacing w:val="-83"/>
        </w:rPr>
      </w:r>
      <w:r>
        <w:rPr/>
        <w:t>施，同时本公司不能单方面撤回解除劳动关系计划或裁减建议的，确认因解除与职工劳动关</w:t>
      </w:r>
      <w:r>
        <w:rPr>
          <w:spacing w:val="-83"/>
        </w:rPr>
        <w:t> </w:t>
      </w:r>
      <w:r>
        <w:rPr>
          <w:spacing w:val="-83"/>
        </w:rPr>
      </w:r>
      <w:r>
        <w:rPr/>
        <w:t>系给予补偿产生的预计负债，并计入当期损益。</w:t>
      </w:r>
    </w:p>
    <w:p>
      <w:pPr>
        <w:pStyle w:val="BodyText"/>
        <w:spacing w:line="304" w:lineRule="auto" w:before="140"/>
        <w:ind w:left="153" w:right="228" w:firstLine="480"/>
        <w:jc w:val="both"/>
      </w:pPr>
      <w:r>
        <w:rPr/>
        <w:t>职工内部退休计划采用上述辞退福利相同的原则处理。本公司将自职工停止提供服务日</w:t>
      </w:r>
      <w:r>
        <w:rPr>
          <w:spacing w:val="1"/>
        </w:rPr>
        <w:t> </w:t>
      </w:r>
      <w:r>
        <w:rPr/>
        <w:t>至正常退休日的期间拟支付的内退人员工资和缴纳的社会保险费等确认为当期应付职工薪酬</w:t>
      </w:r>
      <w:r>
        <w:rPr>
          <w:spacing w:val="-83"/>
        </w:rPr>
        <w:t> </w:t>
      </w:r>
      <w:r>
        <w:rPr>
          <w:spacing w:val="-83"/>
        </w:rPr>
      </w:r>
      <w:r>
        <w:rPr/>
        <w:t>(辞退福利)。</w:t>
      </w:r>
    </w:p>
    <w:p>
      <w:pPr>
        <w:spacing w:line="398" w:lineRule="auto" w:before="140"/>
        <w:ind w:left="634" w:right="92" w:firstLine="2"/>
        <w:jc w:val="left"/>
        <w:rPr>
          <w:rFonts w:ascii="宋体" w:hAnsi="宋体" w:cs="宋体" w:eastAsia="宋体" w:hint="default"/>
          <w:sz w:val="24"/>
          <w:szCs w:val="24"/>
        </w:rPr>
      </w:pPr>
      <w:r>
        <w:rPr>
          <w:rFonts w:ascii="宋体" w:hAnsi="宋体" w:cs="宋体" w:eastAsia="宋体" w:hint="default"/>
          <w:b/>
          <w:bCs/>
          <w:sz w:val="24"/>
          <w:szCs w:val="24"/>
        </w:rPr>
        <w:t>(二十)</w:t>
      </w:r>
      <w:r>
        <w:rPr>
          <w:rFonts w:ascii="宋体" w:hAnsi="宋体" w:cs="宋体" w:eastAsia="宋体" w:hint="default"/>
          <w:b/>
          <w:bCs/>
          <w:spacing w:val="-67"/>
          <w:sz w:val="24"/>
          <w:szCs w:val="24"/>
        </w:rPr>
        <w:t> </w:t>
      </w:r>
      <w:r>
        <w:rPr>
          <w:rFonts w:ascii="宋体" w:hAnsi="宋体" w:cs="宋体" w:eastAsia="宋体" w:hint="default"/>
          <w:b/>
          <w:bCs/>
          <w:sz w:val="24"/>
          <w:szCs w:val="24"/>
        </w:rPr>
        <w:t>政府补助</w:t>
      </w:r>
      <w:r>
        <w:rPr>
          <w:rFonts w:ascii="宋体" w:hAnsi="宋体" w:cs="宋体" w:eastAsia="宋体" w:hint="default"/>
          <w:b/>
          <w:bCs/>
          <w:spacing w:val="1"/>
          <w:w w:val="99"/>
          <w:sz w:val="24"/>
          <w:szCs w:val="24"/>
        </w:rPr>
        <w:t> </w:t>
      </w:r>
      <w:r>
        <w:rPr>
          <w:rFonts w:ascii="宋体" w:hAnsi="宋体" w:cs="宋体" w:eastAsia="宋体" w:hint="default"/>
          <w:sz w:val="24"/>
          <w:szCs w:val="24"/>
        </w:rPr>
        <w:t>政府补助是指本公司从政府无偿取得货币性资产和非货币性资产，不包括政府作为所有</w:t>
      </w:r>
    </w:p>
    <w:p>
      <w:pPr>
        <w:pStyle w:val="BodyText"/>
        <w:spacing w:line="241" w:lineRule="exact"/>
        <w:ind w:left="153" w:right="0"/>
        <w:jc w:val="both"/>
      </w:pPr>
      <w:r>
        <w:rPr/>
        <w:t>者投入的资本。政府补助分为与资产相关的政府补助和与收益相关的政府补助。政府补助在</w:t>
      </w:r>
    </w:p>
    <w:p>
      <w:pPr>
        <w:pStyle w:val="BodyText"/>
        <w:spacing w:line="381" w:lineRule="auto" w:before="85"/>
        <w:ind w:left="633" w:right="92" w:hanging="480"/>
        <w:jc w:val="left"/>
      </w:pPr>
      <w:r>
        <w:rPr/>
        <w:t>能够满足政府补助所附的条件，且能够收到时确认。 政府补助为货币性资产的，按照收到或应收的金额计量。政府补助为非货币性资产的，</w:t>
      </w:r>
    </w:p>
    <w:p>
      <w:pPr>
        <w:pStyle w:val="BodyText"/>
        <w:spacing w:line="238" w:lineRule="exact"/>
        <w:ind w:left="153" w:right="0"/>
        <w:jc w:val="both"/>
      </w:pPr>
      <w:r>
        <w:rPr/>
        <w:t>按照公允价值计量；公允价值不能够可靠取得的，按照名义金额计量。</w:t>
      </w:r>
    </w:p>
    <w:p>
      <w:pPr>
        <w:pStyle w:val="BodyText"/>
        <w:spacing w:line="290" w:lineRule="auto" w:before="186"/>
        <w:ind w:left="153" w:right="228" w:firstLine="480"/>
        <w:jc w:val="both"/>
      </w:pPr>
      <w:r>
        <w:rPr/>
        <w:t>与资产相关的政府补助，确认为递延收益，并在相关资产的使用寿命内平均分配计入当</w:t>
      </w:r>
      <w:r>
        <w:rPr>
          <w:spacing w:val="1"/>
        </w:rPr>
        <w:t> </w:t>
      </w:r>
      <w:r>
        <w:rPr/>
        <w:t>期损益。按照名义金额计量的政府补助，直接计入当期损益。与收益相关的政府补助，用于</w:t>
      </w:r>
      <w:r>
        <w:rPr>
          <w:spacing w:val="-83"/>
        </w:rPr>
        <w:t> </w:t>
      </w:r>
      <w:r>
        <w:rPr>
          <w:spacing w:val="-83"/>
        </w:rPr>
      </w:r>
      <w:r>
        <w:rPr/>
        <w:t>补偿以后期间的相关费用和损失的，确认为递延收益，并在确认相关费用的期间计入当期损</w:t>
      </w:r>
      <w:r>
        <w:rPr>
          <w:spacing w:val="-83"/>
        </w:rPr>
        <w:t> </w:t>
      </w:r>
      <w:r>
        <w:rPr>
          <w:spacing w:val="-83"/>
        </w:rPr>
      </w:r>
      <w:r>
        <w:rPr/>
        <w:t>益；用于补偿已经发生的相关费用和损失的，直接计入当期损益。</w:t>
      </w:r>
    </w:p>
    <w:p>
      <w:pPr>
        <w:pStyle w:val="BodyText"/>
        <w:spacing w:line="290" w:lineRule="auto" w:before="136"/>
        <w:ind w:left="153" w:right="92" w:firstLine="480"/>
        <w:jc w:val="left"/>
      </w:pPr>
      <w:r>
        <w:rPr>
          <w:spacing w:val="-3"/>
        </w:rPr>
        <w:t>已确认的政府补助需要返还时，存在相关递延收益余额的，冲减相关递延收益账面余额，</w:t>
      </w:r>
      <w:r>
        <w:rPr/>
        <w:t> 超出部分计入当期损益；不存在相关递延收益的，直接计入当期损益。</w:t>
      </w:r>
    </w:p>
    <w:p>
      <w:pPr>
        <w:tabs>
          <w:tab w:pos="1833" w:val="left" w:leader="none"/>
        </w:tabs>
        <w:spacing w:line="381" w:lineRule="auto" w:before="136"/>
        <w:ind w:left="633" w:right="231" w:firstLine="2"/>
        <w:jc w:val="left"/>
        <w:rPr>
          <w:rFonts w:ascii="宋体" w:hAnsi="宋体" w:cs="宋体" w:eastAsia="宋体" w:hint="default"/>
          <w:sz w:val="24"/>
          <w:szCs w:val="24"/>
        </w:rPr>
      </w:pPr>
      <w:r>
        <w:rPr>
          <w:rFonts w:ascii="宋体" w:hAnsi="宋体" w:cs="宋体" w:eastAsia="宋体" w:hint="default"/>
          <w:b/>
          <w:bCs/>
          <w:w w:val="95"/>
          <w:sz w:val="24"/>
          <w:szCs w:val="24"/>
        </w:rPr>
        <w:t>(二十一)</w:t>
        <w:tab/>
      </w:r>
      <w:r>
        <w:rPr>
          <w:rFonts w:ascii="宋体" w:hAnsi="宋体" w:cs="宋体" w:eastAsia="宋体" w:hint="default"/>
          <w:b/>
          <w:bCs/>
          <w:sz w:val="24"/>
          <w:szCs w:val="24"/>
        </w:rPr>
        <w:t>递延所得税资产和递延所得税负债</w:t>
      </w:r>
      <w:r>
        <w:rPr>
          <w:rFonts w:ascii="宋体" w:hAnsi="宋体" w:cs="宋体" w:eastAsia="宋体" w:hint="default"/>
          <w:b/>
          <w:bCs/>
          <w:w w:val="99"/>
          <w:sz w:val="24"/>
          <w:szCs w:val="24"/>
        </w:rPr>
        <w:t> </w:t>
      </w:r>
      <w:r>
        <w:rPr>
          <w:rFonts w:ascii="宋体" w:hAnsi="宋体" w:cs="宋体" w:eastAsia="宋体" w:hint="default"/>
          <w:spacing w:val="3"/>
          <w:sz w:val="24"/>
          <w:szCs w:val="24"/>
        </w:rPr>
        <w:t>递延所得税资产和递延所得税负债根据资产和负债的计税基础与其账面价值的差额(暂</w:t>
      </w:r>
      <w:r>
        <w:rPr>
          <w:rFonts w:ascii="宋体" w:hAnsi="宋体" w:cs="宋体" w:eastAsia="宋体" w:hint="default"/>
          <w:sz w:val="24"/>
          <w:szCs w:val="24"/>
        </w:rPr>
      </w:r>
    </w:p>
    <w:p>
      <w:pPr>
        <w:pStyle w:val="BodyText"/>
        <w:spacing w:line="238" w:lineRule="exact"/>
        <w:ind w:left="153" w:right="0"/>
        <w:jc w:val="both"/>
      </w:pPr>
      <w:r>
        <w:rPr/>
        <w:t>时性差异)计算确认。对于按照税法规定能够于以后年度抵减应纳税所得额的可抵扣亏损，视</w:t>
      </w:r>
    </w:p>
    <w:p>
      <w:pPr>
        <w:pStyle w:val="BodyText"/>
        <w:spacing w:line="290" w:lineRule="auto" w:before="66"/>
        <w:ind w:left="153" w:right="228"/>
        <w:jc w:val="both"/>
      </w:pPr>
      <w:r>
        <w:rPr/>
        <w:t>同暂时性差异确认相应的递延所得税资产。对于商誉的初始确认产生的暂时性差异，不确认</w:t>
      </w:r>
      <w:r>
        <w:rPr>
          <w:spacing w:val="-83"/>
        </w:rPr>
        <w:t> </w:t>
      </w:r>
      <w:r>
        <w:rPr>
          <w:spacing w:val="-83"/>
        </w:rPr>
      </w:r>
      <w:r>
        <w:rPr/>
        <w:t>相应的递延所得税负债。对于既不影响会计利润也不影响应纳税所得额(或可抵扣亏损)的非</w:t>
      </w:r>
      <w:r>
        <w:rPr>
          <w:spacing w:val="-98"/>
        </w:rPr>
        <w:t> </w:t>
      </w:r>
      <w:r>
        <w:rPr>
          <w:spacing w:val="-98"/>
        </w:rPr>
      </w:r>
      <w:r>
        <w:rPr/>
        <w:t>企业合并的交易中产生的资产或负债的初始确认形成的暂时性差异，不确认相应的递延所得</w:t>
      </w:r>
      <w:r>
        <w:rPr>
          <w:spacing w:val="-83"/>
        </w:rPr>
        <w:t> </w:t>
      </w:r>
      <w:r>
        <w:rPr>
          <w:spacing w:val="-83"/>
        </w:rPr>
      </w:r>
      <w:r>
        <w:rPr/>
        <w:t>税资产和递延所得税负债。于资产负债表日，递延所得税资产和递延所得税负债，按照预期</w:t>
      </w:r>
      <w:r>
        <w:rPr>
          <w:spacing w:val="-83"/>
        </w:rPr>
        <w:t> </w:t>
      </w:r>
      <w:r>
        <w:rPr>
          <w:spacing w:val="-83"/>
        </w:rPr>
      </w:r>
      <w:r>
        <w:rPr/>
        <w:t>收回该资产或清偿该负债期间的适用税率计量。</w:t>
      </w:r>
    </w:p>
    <w:p>
      <w:pPr>
        <w:pStyle w:val="BodyText"/>
        <w:spacing w:line="290" w:lineRule="auto" w:before="134"/>
        <w:ind w:left="153" w:right="230" w:firstLine="480"/>
        <w:jc w:val="both"/>
      </w:pPr>
      <w:r>
        <w:rPr/>
        <w:t>递延所得税资产的确认以本公司很可能取得用来抵扣可抵扣暂时性差异、可抵扣亏损和</w:t>
      </w:r>
      <w:r>
        <w:rPr>
          <w:spacing w:val="1"/>
        </w:rPr>
        <w:t> </w:t>
      </w:r>
      <w:r>
        <w:rPr/>
        <w:t>税款抵减的应纳税所得额为限。</w:t>
      </w:r>
    </w:p>
    <w:p>
      <w:pPr>
        <w:tabs>
          <w:tab w:pos="1833" w:val="left" w:leader="none"/>
        </w:tabs>
        <w:spacing w:line="405" w:lineRule="auto" w:before="156"/>
        <w:ind w:left="633" w:right="231" w:firstLine="2"/>
        <w:jc w:val="left"/>
        <w:rPr>
          <w:rFonts w:ascii="宋体" w:hAnsi="宋体" w:cs="宋体" w:eastAsia="宋体" w:hint="default"/>
          <w:sz w:val="24"/>
          <w:szCs w:val="24"/>
        </w:rPr>
      </w:pPr>
      <w:r>
        <w:rPr>
          <w:rFonts w:ascii="宋体" w:hAnsi="宋体" w:cs="宋体" w:eastAsia="宋体" w:hint="default"/>
          <w:b/>
          <w:bCs/>
          <w:w w:val="95"/>
          <w:sz w:val="24"/>
          <w:szCs w:val="24"/>
        </w:rPr>
        <w:t>(二十二)</w:t>
        <w:tab/>
      </w:r>
      <w:r>
        <w:rPr>
          <w:rFonts w:ascii="宋体" w:hAnsi="宋体" w:cs="宋体" w:eastAsia="宋体" w:hint="default"/>
          <w:b/>
          <w:bCs/>
          <w:sz w:val="24"/>
          <w:szCs w:val="24"/>
        </w:rPr>
        <w:t>收入确认</w:t>
      </w:r>
      <w:r>
        <w:rPr>
          <w:rFonts w:ascii="宋体" w:hAnsi="宋体" w:cs="宋体" w:eastAsia="宋体" w:hint="default"/>
          <w:b/>
          <w:bCs/>
          <w:w w:val="99"/>
          <w:sz w:val="24"/>
          <w:szCs w:val="24"/>
        </w:rPr>
        <w:t> </w:t>
      </w:r>
      <w:r>
        <w:rPr>
          <w:rFonts w:ascii="宋体" w:hAnsi="宋体" w:cs="宋体" w:eastAsia="宋体" w:hint="default"/>
          <w:sz w:val="24"/>
          <w:szCs w:val="24"/>
        </w:rPr>
        <w:t>收入的金额按照本公司在日常经营活动中销售商品和提供劳务时，已收或应收合同或协</w:t>
      </w:r>
    </w:p>
    <w:p>
      <w:pPr>
        <w:pStyle w:val="BodyText"/>
        <w:spacing w:line="246" w:lineRule="exact"/>
        <w:ind w:left="153" w:right="0"/>
        <w:jc w:val="both"/>
      </w:pPr>
      <w:r>
        <w:rPr/>
        <w:t>议价款的公允价值确定。收入按扣除增值税、商业折扣、销售折让及销售退回的净额列示。</w:t>
      </w:r>
    </w:p>
    <w:p>
      <w:pPr>
        <w:spacing w:after="0" w:line="246" w:lineRule="exact"/>
        <w:jc w:val="both"/>
        <w:sectPr>
          <w:pgSz w:w="11910" w:h="16840"/>
          <w:pgMar w:header="877" w:footer="1022" w:top="1100" w:bottom="1220" w:left="980" w:right="900"/>
        </w:sectPr>
      </w:pPr>
    </w:p>
    <w:p>
      <w:pPr>
        <w:spacing w:line="240" w:lineRule="auto" w:before="4"/>
        <w:rPr>
          <w:rFonts w:ascii="宋体" w:hAnsi="宋体" w:cs="宋体" w:eastAsia="宋体" w:hint="default"/>
          <w:sz w:val="29"/>
          <w:szCs w:val="29"/>
        </w:rPr>
      </w:pPr>
    </w:p>
    <w:p>
      <w:pPr>
        <w:pStyle w:val="BodyText"/>
        <w:spacing w:line="427" w:lineRule="auto" w:before="26"/>
        <w:ind w:left="649" w:right="136" w:hanging="16"/>
        <w:jc w:val="left"/>
      </w:pPr>
      <w:r>
        <w:rPr/>
        <w:t>1、商品销售收入 </w:t>
      </w:r>
      <w:r>
        <w:rPr>
          <w:spacing w:val="7"/>
        </w:rPr>
        <w:t>在已将商品所有权上的主要风险和报酬转移给买方，既没有保留通常与所有权相联系</w:t>
      </w:r>
      <w:r>
        <w:rPr/>
      </w:r>
    </w:p>
    <w:p>
      <w:pPr>
        <w:pStyle w:val="BodyText"/>
        <w:spacing w:line="252" w:lineRule="exact"/>
        <w:ind w:right="0"/>
        <w:jc w:val="left"/>
      </w:pPr>
      <w:r>
        <w:rPr>
          <w:spacing w:val="7"/>
        </w:rPr>
        <w:t>的继续管理权，也没有对已售商品实施有效控制，收入的金额能够可靠地计量，相关的经</w:t>
      </w:r>
      <w:r>
        <w:rPr/>
      </w:r>
    </w:p>
    <w:p>
      <w:pPr>
        <w:pStyle w:val="BodyText"/>
        <w:spacing w:line="336" w:lineRule="auto" w:before="126"/>
        <w:ind w:left="153" w:right="0"/>
        <w:jc w:val="left"/>
      </w:pPr>
      <w:r>
        <w:rPr>
          <w:spacing w:val="6"/>
        </w:rPr>
        <w:t>济利益很可能流入企业，相关的已发生或将发生的成本能够可靠地计量时，确认商品销售</w:t>
      </w:r>
      <w:r>
        <w:rPr>
          <w:spacing w:val="-95"/>
        </w:rPr>
        <w:t> </w:t>
      </w:r>
      <w:r>
        <w:rPr>
          <w:spacing w:val="-95"/>
        </w:rPr>
      </w:r>
      <w:r>
        <w:rPr>
          <w:spacing w:val="7"/>
        </w:rPr>
        <w:t>收入的实现。</w:t>
      </w:r>
      <w:r>
        <w:rPr/>
      </w:r>
    </w:p>
    <w:p>
      <w:pPr>
        <w:pStyle w:val="BodyText"/>
        <w:spacing w:line="336" w:lineRule="auto" w:before="149"/>
        <w:ind w:left="153" w:right="148" w:firstLine="480"/>
        <w:jc w:val="both"/>
      </w:pPr>
      <w:r>
        <w:rPr/>
        <w:t>合同或协议价款的收取采用递延方式，实质上具有融资性质的，按照应收的合同或协议</w:t>
      </w:r>
      <w:r>
        <w:rPr>
          <w:spacing w:val="1"/>
        </w:rPr>
        <w:t> </w:t>
      </w:r>
      <w:r>
        <w:rPr/>
        <w:t>价款的公允价值确定销售商品收入金额。应收的合同或协议价款与其公允价值之间的差额，</w:t>
      </w:r>
      <w:r>
        <w:rPr>
          <w:spacing w:val="-83"/>
        </w:rPr>
        <w:t> </w:t>
      </w:r>
      <w:r>
        <w:rPr>
          <w:spacing w:val="-83"/>
        </w:rPr>
      </w:r>
      <w:r>
        <w:rPr/>
        <w:t>在合同或协议期间内采用实际利率法进行摊销，计入当期损益。</w:t>
      </w:r>
    </w:p>
    <w:p>
      <w:pPr>
        <w:pStyle w:val="BodyText"/>
        <w:spacing w:line="427" w:lineRule="auto" w:before="149"/>
        <w:ind w:left="633" w:right="0"/>
        <w:jc w:val="left"/>
      </w:pPr>
      <w:r>
        <w:rPr/>
        <w:t>2、提供劳务收入 在提供劳务交易的结果能够可靠估计的情况下，于资产负债表日按照完工百分比法确认</w:t>
      </w:r>
    </w:p>
    <w:p>
      <w:pPr>
        <w:pStyle w:val="BodyText"/>
        <w:spacing w:line="253" w:lineRule="exact"/>
        <w:ind w:left="153" w:right="0"/>
        <w:jc w:val="left"/>
      </w:pPr>
      <w:r>
        <w:rPr/>
        <w:t>相关劳务收入。劳务交易的完工程度按己经发生的劳务成本占估计劳务总成本比例确定。</w:t>
      </w:r>
    </w:p>
    <w:p>
      <w:pPr>
        <w:spacing w:line="240" w:lineRule="auto" w:before="10"/>
        <w:rPr>
          <w:rFonts w:ascii="宋体" w:hAnsi="宋体" w:cs="宋体" w:eastAsia="宋体" w:hint="default"/>
          <w:sz w:val="18"/>
          <w:szCs w:val="18"/>
        </w:rPr>
      </w:pPr>
    </w:p>
    <w:p>
      <w:pPr>
        <w:pStyle w:val="BodyText"/>
        <w:spacing w:line="336" w:lineRule="auto"/>
        <w:ind w:left="153" w:right="148" w:firstLine="480"/>
        <w:jc w:val="both"/>
      </w:pPr>
      <w:r>
        <w:rPr/>
        <w:t>如果提供劳务交易的结果不能够可靠估计，则按已经发生并预计能够补偿的劳务成本金</w:t>
      </w:r>
      <w:r>
        <w:rPr>
          <w:spacing w:val="1"/>
        </w:rPr>
        <w:t> </w:t>
      </w:r>
      <w:r>
        <w:rPr/>
        <w:t>额确认提供的劳务收入，并将已发生的劳务成本作为当期费用。已经发生的劳务成本如预计</w:t>
      </w:r>
      <w:r>
        <w:rPr>
          <w:spacing w:val="-83"/>
        </w:rPr>
        <w:t> </w:t>
      </w:r>
      <w:r>
        <w:rPr>
          <w:spacing w:val="-83"/>
        </w:rPr>
      </w:r>
      <w:r>
        <w:rPr/>
        <w:t>不能得到补偿的则不确认收入。</w:t>
      </w:r>
    </w:p>
    <w:p>
      <w:pPr>
        <w:pStyle w:val="BodyText"/>
        <w:spacing w:line="336" w:lineRule="auto" w:before="149"/>
        <w:ind w:left="153" w:right="148" w:firstLine="480"/>
        <w:jc w:val="both"/>
      </w:pPr>
      <w:r>
        <w:rPr/>
        <w:t>本公司与其它企业签订的合同或协议包括销售商品和提供劳务时，如销售商品部分和提</w:t>
      </w:r>
      <w:r>
        <w:rPr>
          <w:spacing w:val="1"/>
        </w:rPr>
        <w:t> </w:t>
      </w:r>
      <w:r>
        <w:rPr/>
        <w:t>供劳务部分能够区分并单独计量的，将销售商品部分和提供劳务部分分别处理；如销售商品</w:t>
      </w:r>
      <w:r>
        <w:rPr>
          <w:spacing w:val="-83"/>
        </w:rPr>
        <w:t> </w:t>
      </w:r>
      <w:r>
        <w:rPr>
          <w:spacing w:val="-83"/>
        </w:rPr>
      </w:r>
      <w:r>
        <w:rPr/>
        <w:t>部分和提供劳务部分不能够区分，或虽能区分但不能够单独计量的，将该合同全部作为销售</w:t>
      </w:r>
      <w:r>
        <w:rPr>
          <w:spacing w:val="-83"/>
        </w:rPr>
        <w:t> </w:t>
      </w:r>
      <w:r>
        <w:rPr>
          <w:spacing w:val="-83"/>
        </w:rPr>
      </w:r>
      <w:r>
        <w:rPr/>
        <w:t>商品处理。</w:t>
      </w:r>
    </w:p>
    <w:p>
      <w:pPr>
        <w:pStyle w:val="Heading4"/>
        <w:tabs>
          <w:tab w:pos="1833" w:val="left" w:leader="none"/>
        </w:tabs>
        <w:spacing w:line="240" w:lineRule="auto" w:before="150"/>
        <w:ind w:left="636" w:right="0"/>
        <w:jc w:val="left"/>
        <w:rPr>
          <w:b w:val="0"/>
          <w:bCs w:val="0"/>
        </w:rPr>
      </w:pPr>
      <w:r>
        <w:rPr>
          <w:w w:val="95"/>
        </w:rPr>
        <w:t>(二十三)</w:t>
        <w:tab/>
      </w:r>
      <w:r>
        <w:rPr/>
        <w:t>所得税费用的会计处理方法</w:t>
      </w:r>
      <w:r>
        <w:rPr>
          <w:b w:val="0"/>
          <w:bCs w:val="0"/>
        </w:rPr>
      </w:r>
    </w:p>
    <w:p>
      <w:pPr>
        <w:spacing w:line="240" w:lineRule="auto" w:before="1"/>
        <w:rPr>
          <w:rFonts w:ascii="宋体" w:hAnsi="宋体" w:cs="宋体" w:eastAsia="宋体" w:hint="default"/>
          <w:b/>
          <w:bCs/>
          <w:sz w:val="31"/>
          <w:szCs w:val="31"/>
        </w:rPr>
      </w:pPr>
    </w:p>
    <w:p>
      <w:pPr>
        <w:pStyle w:val="BodyText"/>
        <w:spacing w:line="336" w:lineRule="auto"/>
        <w:ind w:left="153" w:right="150" w:firstLine="480"/>
        <w:jc w:val="both"/>
      </w:pPr>
      <w:r>
        <w:rPr/>
        <w:t>所得税费用的会计处理采用资产负债表债务法。将当期所得税和递延所得税作为所得税</w:t>
      </w:r>
      <w:r>
        <w:rPr>
          <w:spacing w:val="1"/>
        </w:rPr>
        <w:t> </w:t>
      </w:r>
      <w:r>
        <w:rPr/>
        <w:t>费用或收益计入当期损益，但不包括下列情况产生的所得税：</w:t>
      </w:r>
    </w:p>
    <w:p>
      <w:pPr>
        <w:spacing w:line="240" w:lineRule="auto" w:before="9"/>
        <w:rPr>
          <w:rFonts w:ascii="宋体" w:hAnsi="宋体" w:cs="宋体" w:eastAsia="宋体" w:hint="default"/>
          <w:sz w:val="23"/>
          <w:szCs w:val="23"/>
        </w:rPr>
      </w:pPr>
    </w:p>
    <w:p>
      <w:pPr>
        <w:pStyle w:val="BodyText"/>
        <w:spacing w:line="240" w:lineRule="auto"/>
        <w:ind w:left="633" w:right="0"/>
        <w:jc w:val="left"/>
      </w:pPr>
      <w:r>
        <w:rPr/>
        <w:t>1、企业合并；</w:t>
      </w:r>
    </w:p>
    <w:p>
      <w:pPr>
        <w:tabs>
          <w:tab w:pos="1833" w:val="left" w:leader="none"/>
        </w:tabs>
        <w:spacing w:line="720" w:lineRule="atLeast" w:before="0"/>
        <w:ind w:left="636" w:right="4628" w:hanging="3"/>
        <w:jc w:val="left"/>
        <w:rPr>
          <w:rFonts w:ascii="宋体" w:hAnsi="宋体" w:cs="宋体" w:eastAsia="宋体" w:hint="default"/>
          <w:sz w:val="24"/>
          <w:szCs w:val="24"/>
        </w:rPr>
      </w:pPr>
      <w:r>
        <w:rPr>
          <w:rFonts w:ascii="宋体" w:hAnsi="宋体" w:cs="宋体" w:eastAsia="宋体" w:hint="default"/>
          <w:sz w:val="24"/>
          <w:szCs w:val="24"/>
        </w:rPr>
        <w:t>2、直接在所有者权益中确认的交易或事项。 </w:t>
      </w:r>
      <w:r>
        <w:rPr>
          <w:rFonts w:ascii="宋体" w:hAnsi="宋体" w:cs="宋体" w:eastAsia="宋体" w:hint="default"/>
          <w:b/>
          <w:bCs/>
          <w:w w:val="95"/>
          <w:sz w:val="24"/>
          <w:szCs w:val="24"/>
        </w:rPr>
        <w:t>(二十四)</w:t>
        <w:tab/>
      </w:r>
      <w:r>
        <w:rPr>
          <w:rFonts w:ascii="宋体" w:hAnsi="宋体" w:cs="宋体" w:eastAsia="宋体" w:hint="default"/>
          <w:b/>
          <w:bCs/>
          <w:sz w:val="24"/>
          <w:szCs w:val="24"/>
        </w:rPr>
        <w:t>租赁</w:t>
      </w:r>
      <w:r>
        <w:rPr>
          <w:rFonts w:ascii="宋体" w:hAnsi="宋体" w:cs="宋体" w:eastAsia="宋体" w:hint="default"/>
          <w:sz w:val="24"/>
          <w:szCs w:val="24"/>
        </w:rPr>
      </w:r>
    </w:p>
    <w:p>
      <w:pPr>
        <w:spacing w:line="240" w:lineRule="auto" w:before="10"/>
        <w:rPr>
          <w:rFonts w:ascii="宋体" w:hAnsi="宋体" w:cs="宋体" w:eastAsia="宋体" w:hint="default"/>
          <w:b/>
          <w:bCs/>
          <w:sz w:val="18"/>
          <w:szCs w:val="18"/>
        </w:rPr>
      </w:pPr>
    </w:p>
    <w:p>
      <w:pPr>
        <w:pStyle w:val="BodyText"/>
        <w:spacing w:line="336" w:lineRule="auto"/>
        <w:ind w:left="153" w:right="150" w:firstLine="480"/>
        <w:jc w:val="both"/>
      </w:pPr>
      <w:r>
        <w:rPr/>
        <w:t>实质上转移了与资产所有权有关的全部风险和报酬的租赁为融资租赁。其他的租赁为经</w:t>
      </w:r>
      <w:r>
        <w:rPr>
          <w:spacing w:val="1"/>
        </w:rPr>
        <w:t> </w:t>
      </w:r>
      <w:r>
        <w:rPr/>
        <w:t>营租赁。</w:t>
      </w:r>
    </w:p>
    <w:p>
      <w:pPr>
        <w:spacing w:after="0" w:line="336" w:lineRule="auto"/>
        <w:jc w:val="both"/>
        <w:sectPr>
          <w:pgSz w:w="11910" w:h="16840"/>
          <w:pgMar w:header="877" w:footer="1022" w:top="1100" w:bottom="1220" w:left="980" w:right="980"/>
        </w:sectPr>
      </w:pPr>
    </w:p>
    <w:p>
      <w:pPr>
        <w:spacing w:line="240" w:lineRule="auto" w:before="4"/>
        <w:rPr>
          <w:rFonts w:ascii="宋体" w:hAnsi="宋体" w:cs="宋体" w:eastAsia="宋体" w:hint="default"/>
          <w:sz w:val="29"/>
          <w:szCs w:val="29"/>
        </w:rPr>
      </w:pPr>
    </w:p>
    <w:p>
      <w:pPr>
        <w:pStyle w:val="BodyText"/>
        <w:spacing w:line="427" w:lineRule="auto" w:before="26"/>
        <w:ind w:left="634" w:right="1450"/>
        <w:jc w:val="left"/>
      </w:pPr>
      <w:r>
        <w:rPr/>
        <w:t>1、经营租赁 经营租赁的租金支出在租赁期内按照直线法计入相关资产成本或当期损益。 2、 融资租赁</w:t>
      </w:r>
    </w:p>
    <w:p>
      <w:pPr>
        <w:pStyle w:val="BodyText"/>
        <w:spacing w:line="336" w:lineRule="auto" w:before="59"/>
        <w:ind w:right="221" w:firstLine="480"/>
        <w:jc w:val="both"/>
      </w:pPr>
      <w:r>
        <w:rPr>
          <w:spacing w:val="7"/>
        </w:rPr>
        <w:t>按租赁资产的公允价值与最低租赁付款额的现值两者中较低者作为租入资产的入账价 </w:t>
      </w:r>
      <w:r>
        <w:rPr/>
        <w:t>值，租入资产的入账价值与最低租赁付款额之间的差额为未确认融资费用，在租赁期内按实</w:t>
      </w:r>
      <w:r>
        <w:rPr>
          <w:spacing w:val="-83"/>
        </w:rPr>
        <w:t> </w:t>
      </w:r>
      <w:r>
        <w:rPr>
          <w:spacing w:val="-83"/>
        </w:rPr>
      </w:r>
      <w:r>
        <w:rPr/>
        <w:t>际利率法摊销。最低租赁付款额扣除未确认融资费用后的余额以长期应付款列示。</w:t>
      </w:r>
    </w:p>
    <w:p>
      <w:pPr>
        <w:tabs>
          <w:tab w:pos="1831" w:val="left" w:leader="none"/>
        </w:tabs>
        <w:spacing w:line="444" w:lineRule="auto" w:before="170"/>
        <w:ind w:left="633" w:right="4348" w:firstLine="2"/>
        <w:jc w:val="left"/>
        <w:rPr>
          <w:rFonts w:ascii="宋体" w:hAnsi="宋体" w:cs="宋体" w:eastAsia="宋体" w:hint="default"/>
          <w:sz w:val="24"/>
          <w:szCs w:val="24"/>
        </w:rPr>
      </w:pPr>
      <w:r>
        <w:rPr>
          <w:rFonts w:ascii="宋体" w:hAnsi="宋体" w:cs="宋体" w:eastAsia="宋体" w:hint="default"/>
          <w:b/>
          <w:bCs/>
          <w:w w:val="95"/>
          <w:sz w:val="24"/>
          <w:szCs w:val="24"/>
        </w:rPr>
        <w:t>(二十五)</w:t>
        <w:tab/>
      </w:r>
      <w:r>
        <w:rPr>
          <w:rFonts w:ascii="宋体" w:hAnsi="宋体" w:cs="宋体" w:eastAsia="宋体" w:hint="default"/>
          <w:b/>
          <w:bCs/>
          <w:sz w:val="24"/>
          <w:szCs w:val="24"/>
        </w:rPr>
        <w:t>股利分配</w:t>
      </w:r>
      <w:r>
        <w:rPr>
          <w:rFonts w:ascii="宋体" w:hAnsi="宋体" w:cs="宋体" w:eastAsia="宋体" w:hint="default"/>
          <w:b/>
          <w:bCs/>
          <w:spacing w:val="1"/>
          <w:w w:val="99"/>
          <w:sz w:val="24"/>
          <w:szCs w:val="24"/>
        </w:rPr>
        <w:t> </w:t>
      </w:r>
      <w:r>
        <w:rPr>
          <w:rFonts w:ascii="宋体" w:hAnsi="宋体" w:cs="宋体" w:eastAsia="宋体" w:hint="default"/>
          <w:sz w:val="24"/>
          <w:szCs w:val="24"/>
        </w:rPr>
        <w:t>现金股利于股东大会批准的当期，确认为负债。 </w:t>
      </w:r>
      <w:r>
        <w:rPr>
          <w:rFonts w:ascii="宋体" w:hAnsi="宋体" w:cs="宋体" w:eastAsia="宋体" w:hint="default"/>
          <w:b/>
          <w:bCs/>
          <w:w w:val="95"/>
          <w:sz w:val="24"/>
          <w:szCs w:val="24"/>
        </w:rPr>
        <w:t>(二十六)</w:t>
        <w:tab/>
      </w:r>
      <w:r>
        <w:rPr>
          <w:rFonts w:ascii="宋体" w:hAnsi="宋体" w:cs="宋体" w:eastAsia="宋体" w:hint="default"/>
          <w:b/>
          <w:bCs/>
          <w:sz w:val="24"/>
          <w:szCs w:val="24"/>
        </w:rPr>
        <w:t>企业合并</w:t>
      </w:r>
      <w:r>
        <w:rPr>
          <w:rFonts w:ascii="宋体" w:hAnsi="宋体" w:cs="宋体" w:eastAsia="宋体" w:hint="default"/>
          <w:sz w:val="24"/>
          <w:szCs w:val="24"/>
        </w:rPr>
      </w:r>
    </w:p>
    <w:p>
      <w:pPr>
        <w:pStyle w:val="BodyText"/>
        <w:spacing w:line="444" w:lineRule="auto" w:before="61"/>
        <w:ind w:left="633" w:right="92"/>
        <w:jc w:val="left"/>
      </w:pPr>
      <w:r>
        <w:rPr/>
        <w:t>1、 同一控制下的企业合并 合并方支付的合并对价和合并方取得的净资产均按账面价值计量。合并方取得的净资产</w:t>
      </w:r>
    </w:p>
    <w:p>
      <w:pPr>
        <w:pStyle w:val="BodyText"/>
        <w:spacing w:line="257" w:lineRule="exact"/>
        <w:ind w:left="153" w:right="92"/>
        <w:jc w:val="left"/>
      </w:pPr>
      <w:r>
        <w:rPr/>
        <w:t>账面价值与支付的合并对价账面价值的差额，调整资本公积。资本公积不足以冲减的，调整</w:t>
      </w:r>
    </w:p>
    <w:p>
      <w:pPr>
        <w:pStyle w:val="BodyText"/>
        <w:spacing w:line="240" w:lineRule="auto" w:before="145"/>
        <w:ind w:left="153" w:right="92"/>
        <w:jc w:val="left"/>
      </w:pPr>
      <w:r>
        <w:rPr/>
        <w:t>留存收益。</w:t>
      </w:r>
    </w:p>
    <w:p>
      <w:pPr>
        <w:spacing w:line="240" w:lineRule="auto" w:before="4"/>
        <w:rPr>
          <w:rFonts w:ascii="宋体" w:hAnsi="宋体" w:cs="宋体" w:eastAsia="宋体" w:hint="default"/>
          <w:sz w:val="20"/>
          <w:szCs w:val="20"/>
        </w:rPr>
      </w:pPr>
    </w:p>
    <w:p>
      <w:pPr>
        <w:pStyle w:val="BodyText"/>
        <w:spacing w:line="444" w:lineRule="auto"/>
        <w:ind w:left="633" w:right="2891"/>
        <w:jc w:val="left"/>
      </w:pPr>
      <w:r>
        <w:rPr/>
        <w:t>为进行企业合并发生的直接相关费用于发生时计入当期损益。 2、 非同一控制下的企业合并</w:t>
      </w:r>
    </w:p>
    <w:p>
      <w:pPr>
        <w:pStyle w:val="BodyText"/>
        <w:spacing w:line="352" w:lineRule="auto" w:before="61"/>
        <w:ind w:left="153" w:right="93" w:firstLine="480"/>
        <w:jc w:val="left"/>
      </w:pPr>
      <w:r>
        <w:rPr/>
        <w:t>购买方的合并成本和购买方在合并中取得的可辨认净资产按购买日的公允价值计量。合</w:t>
      </w:r>
      <w:r>
        <w:rPr>
          <w:spacing w:val="1"/>
        </w:rPr>
        <w:t> </w:t>
      </w:r>
      <w:r>
        <w:rPr>
          <w:spacing w:val="-2"/>
        </w:rPr>
        <w:t>并成本大于合并中取得的被购买方于购买日可辨认净资产公允价值份额的差额，确认为商誉；</w:t>
      </w:r>
      <w:r>
        <w:rPr/>
        <w:t> 合并成本小于合并中取得的被购买方可辨认净资产公允价值份额的差额，计入当期损益。</w:t>
      </w:r>
    </w:p>
    <w:p>
      <w:pPr>
        <w:tabs>
          <w:tab w:pos="1831" w:val="left" w:leader="none"/>
        </w:tabs>
        <w:spacing w:line="444" w:lineRule="auto" w:before="152"/>
        <w:ind w:left="633" w:right="3388" w:firstLine="0"/>
        <w:jc w:val="left"/>
        <w:rPr>
          <w:rFonts w:ascii="宋体" w:hAnsi="宋体" w:cs="宋体" w:eastAsia="宋体" w:hint="default"/>
          <w:sz w:val="24"/>
          <w:szCs w:val="24"/>
        </w:rPr>
      </w:pPr>
      <w:r>
        <w:rPr>
          <w:rFonts w:ascii="宋体" w:hAnsi="宋体" w:cs="宋体" w:eastAsia="宋体" w:hint="default"/>
          <w:sz w:val="24"/>
          <w:szCs w:val="24"/>
        </w:rPr>
        <w:t>为进行企业合并发生的直接相关费用计入企业合并成本。 </w:t>
      </w:r>
      <w:r>
        <w:rPr>
          <w:rFonts w:ascii="宋体" w:hAnsi="宋体" w:cs="宋体" w:eastAsia="宋体" w:hint="default"/>
          <w:b/>
          <w:bCs/>
          <w:w w:val="95"/>
          <w:sz w:val="24"/>
          <w:szCs w:val="24"/>
        </w:rPr>
        <w:t>(二十七)</w:t>
        <w:tab/>
      </w:r>
      <w:r>
        <w:rPr>
          <w:rFonts w:ascii="宋体" w:hAnsi="宋体" w:cs="宋体" w:eastAsia="宋体" w:hint="default"/>
          <w:b/>
          <w:bCs/>
          <w:sz w:val="24"/>
          <w:szCs w:val="24"/>
        </w:rPr>
        <w:t>合并财务报表的编制方法</w:t>
      </w:r>
      <w:r>
        <w:rPr>
          <w:rFonts w:ascii="宋体" w:hAnsi="宋体" w:cs="宋体" w:eastAsia="宋体" w:hint="default"/>
          <w:b/>
          <w:bCs/>
          <w:spacing w:val="1"/>
          <w:w w:val="99"/>
          <w:sz w:val="24"/>
          <w:szCs w:val="24"/>
        </w:rPr>
        <w:t> </w:t>
      </w:r>
      <w:r>
        <w:rPr>
          <w:rFonts w:ascii="宋体" w:hAnsi="宋体" w:cs="宋体" w:eastAsia="宋体" w:hint="default"/>
          <w:sz w:val="24"/>
          <w:szCs w:val="24"/>
        </w:rPr>
        <w:t>合并财务报表的合并范围包括母公司及子公司。</w:t>
      </w:r>
    </w:p>
    <w:p>
      <w:pPr>
        <w:pStyle w:val="BodyText"/>
        <w:spacing w:line="350" w:lineRule="auto" w:before="61"/>
        <w:ind w:left="153" w:right="228" w:firstLine="480"/>
        <w:jc w:val="both"/>
      </w:pPr>
      <w:r>
        <w:rPr/>
        <w:t>从取得子公司的实际控制权之日起，本公司开始将其予以合并；从丧失实际控制权之日</w:t>
      </w:r>
      <w:r>
        <w:rPr>
          <w:spacing w:val="1"/>
        </w:rPr>
        <w:t> </w:t>
      </w:r>
      <w:r>
        <w:rPr/>
        <w:t>起停止合并。合并范围内所有重大往来余额、交易及未实现利润在合并财务报表编制时予以</w:t>
      </w:r>
      <w:r>
        <w:rPr>
          <w:spacing w:val="-83"/>
        </w:rPr>
        <w:t> </w:t>
      </w:r>
      <w:r>
        <w:rPr>
          <w:spacing w:val="-83"/>
        </w:rPr>
      </w:r>
      <w:r>
        <w:rPr/>
        <w:t>抵销。子公司的股东权益中不属于母公司所拥有的部分作为少数股东权益在合并财务报表中</w:t>
      </w:r>
      <w:r>
        <w:rPr>
          <w:spacing w:val="-83"/>
        </w:rPr>
        <w:t> </w:t>
      </w:r>
      <w:r>
        <w:rPr>
          <w:spacing w:val="-83"/>
        </w:rPr>
      </w:r>
      <w:r>
        <w:rPr/>
        <w:t>股东权益项下单独列示。子公司所有者权益中不属于母公司的份额作为少数股东权益，在合</w:t>
      </w:r>
      <w:r>
        <w:rPr>
          <w:spacing w:val="-83"/>
        </w:rPr>
        <w:t> </w:t>
      </w:r>
      <w:r>
        <w:rPr>
          <w:spacing w:val="-83"/>
        </w:rPr>
      </w:r>
      <w:r>
        <w:rPr/>
        <w:t>并资产负债表中所有者权益项目下以“少数股东权益”项目列示。子公司当期净损益中属于</w:t>
      </w:r>
    </w:p>
    <w:p>
      <w:pPr>
        <w:spacing w:after="0" w:line="350" w:lineRule="auto"/>
        <w:jc w:val="both"/>
        <w:sectPr>
          <w:pgSz w:w="11910" w:h="16840"/>
          <w:pgMar w:header="877" w:footer="1022" w:top="1100" w:bottom="1220" w:left="980" w:right="900"/>
        </w:sectPr>
      </w:pPr>
    </w:p>
    <w:p>
      <w:pPr>
        <w:spacing w:line="240" w:lineRule="auto" w:before="0"/>
        <w:rPr>
          <w:rFonts w:ascii="宋体" w:hAnsi="宋体" w:cs="宋体" w:eastAsia="宋体" w:hint="default"/>
          <w:sz w:val="20"/>
          <w:szCs w:val="20"/>
        </w:rPr>
      </w:pPr>
    </w:p>
    <w:p>
      <w:pPr>
        <w:pStyle w:val="BodyText"/>
        <w:spacing w:line="350" w:lineRule="auto" w:before="168"/>
        <w:ind w:right="148"/>
        <w:jc w:val="both"/>
      </w:pPr>
      <w:r>
        <w:rPr/>
        <w:t>少数股东权益的份额，在合并利润表中净利润项目下以“少数股东损益”项目列示。少数股</w:t>
      </w:r>
      <w:r>
        <w:rPr>
          <w:spacing w:val="-83"/>
        </w:rPr>
        <w:t> </w:t>
      </w:r>
      <w:r>
        <w:rPr>
          <w:spacing w:val="-83"/>
        </w:rPr>
      </w:r>
      <w:r>
        <w:rPr/>
        <w:t>东分担的子公司的亏损超过了少数股东在该子公司期初所有者权益中所享有的份额，如果公</w:t>
      </w:r>
      <w:r>
        <w:rPr>
          <w:spacing w:val="-83"/>
        </w:rPr>
        <w:t> </w:t>
      </w:r>
      <w:r>
        <w:rPr>
          <w:spacing w:val="-83"/>
        </w:rPr>
      </w:r>
      <w:r>
        <w:rPr/>
        <w:t>司章程或协议规定少数股东有义务承担并且有能力予以弥补的，冲减少数股东权益，否则冲</w:t>
      </w:r>
      <w:r>
        <w:rPr>
          <w:spacing w:val="-83"/>
        </w:rPr>
        <w:t> </w:t>
      </w:r>
      <w:r>
        <w:rPr>
          <w:spacing w:val="-83"/>
        </w:rPr>
      </w:r>
      <w:r>
        <w:rPr/>
        <w:t>减归属于母公司股东权益。该子公司以后期间实现的利润，在弥补了母公司股东权益承担的</w:t>
      </w:r>
      <w:r>
        <w:rPr>
          <w:spacing w:val="-83"/>
        </w:rPr>
        <w:t> </w:t>
      </w:r>
      <w:r>
        <w:rPr>
          <w:spacing w:val="-83"/>
        </w:rPr>
      </w:r>
      <w:r>
        <w:rPr/>
        <w:t>属于少数股东的损失之前，全部归属于母公司的股东权益。</w:t>
      </w:r>
    </w:p>
    <w:p>
      <w:pPr>
        <w:pStyle w:val="BodyText"/>
        <w:spacing w:line="336" w:lineRule="auto" w:before="136"/>
        <w:ind w:left="153" w:right="150" w:firstLine="480"/>
        <w:jc w:val="both"/>
      </w:pPr>
      <w:r>
        <w:rPr/>
        <w:t>子公司与母公司采用的会计政策或会计期间不一致的，在编制合并财务报表时，按照母</w:t>
      </w:r>
      <w:r>
        <w:rPr>
          <w:spacing w:val="1"/>
        </w:rPr>
        <w:t> </w:t>
      </w:r>
      <w:r>
        <w:rPr/>
        <w:t>公司的会计政策或会计期间对子公司财务报表进行必要的调整。</w:t>
      </w:r>
    </w:p>
    <w:p>
      <w:pPr>
        <w:pStyle w:val="BodyText"/>
        <w:spacing w:line="336" w:lineRule="auto" w:before="150"/>
        <w:ind w:left="153" w:right="148" w:firstLine="480"/>
        <w:jc w:val="both"/>
      </w:pPr>
      <w:r>
        <w:rPr/>
        <w:t>对于因非同一控制下企业合并取得的子公司，在编制合并财务报表时，以购买日可辨认</w:t>
      </w:r>
      <w:r>
        <w:rPr>
          <w:spacing w:val="1"/>
        </w:rPr>
        <w:t> </w:t>
      </w:r>
      <w:r>
        <w:rPr/>
        <w:t>净资产公允价值为基础对其个别财务报表进行调整；对于因同一控制下企业合并取得的子公</w:t>
      </w:r>
      <w:r>
        <w:rPr>
          <w:spacing w:val="-83"/>
        </w:rPr>
        <w:t> </w:t>
      </w:r>
      <w:r>
        <w:rPr>
          <w:spacing w:val="-83"/>
        </w:rPr>
      </w:r>
      <w:r>
        <w:rPr/>
        <w:t>司，在编制合并财务报表时，视同该企业合并于报告期最早期间的期初已经发生，从报告期</w:t>
      </w:r>
      <w:r>
        <w:rPr>
          <w:spacing w:val="-83"/>
        </w:rPr>
        <w:t> </w:t>
      </w:r>
      <w:r>
        <w:rPr>
          <w:spacing w:val="-83"/>
        </w:rPr>
      </w:r>
      <w:r>
        <w:rPr/>
        <w:t>最早期间的期初起将其资产、负债、经营成果和现金流量纳入合并财务报表，且其合并日前</w:t>
      </w:r>
      <w:r>
        <w:rPr>
          <w:spacing w:val="-83"/>
        </w:rPr>
        <w:t> </w:t>
      </w:r>
      <w:r>
        <w:rPr>
          <w:spacing w:val="-83"/>
        </w:rPr>
      </w:r>
      <w:r>
        <w:rPr/>
        <w:t>实现的净利润在合并利润表中单列项目反映。</w:t>
      </w:r>
    </w:p>
    <w:p>
      <w:pPr>
        <w:pStyle w:val="Heading4"/>
        <w:spacing w:line="240" w:lineRule="auto" w:before="149"/>
        <w:ind w:left="636" w:right="0"/>
        <w:jc w:val="left"/>
        <w:rPr>
          <w:rFonts w:ascii="黑体" w:hAnsi="黑体" w:cs="黑体" w:eastAsia="黑体" w:hint="default"/>
          <w:b w:val="0"/>
          <w:bCs w:val="0"/>
        </w:rPr>
      </w:pPr>
      <w:r>
        <w:rPr>
          <w:rFonts w:ascii="黑体" w:hAnsi="黑体" w:cs="黑体" w:eastAsia="黑体" w:hint="default"/>
        </w:rPr>
        <w:t>五、税项</w:t>
      </w:r>
      <w:r>
        <w:rPr>
          <w:rFonts w:ascii="黑体" w:hAnsi="黑体" w:cs="黑体" w:eastAsia="黑体" w:hint="default"/>
          <w:b w:val="0"/>
          <w:bCs w:val="0"/>
        </w:rPr>
      </w:r>
    </w:p>
    <w:p>
      <w:pPr>
        <w:spacing w:line="240" w:lineRule="auto" w:before="11"/>
        <w:rPr>
          <w:rFonts w:ascii="黑体" w:hAnsi="黑体" w:cs="黑体" w:eastAsia="黑体" w:hint="default"/>
          <w:b/>
          <w:bCs/>
          <w:sz w:val="18"/>
          <w:szCs w:val="18"/>
        </w:rPr>
      </w:pPr>
    </w:p>
    <w:p>
      <w:pPr>
        <w:pStyle w:val="BodyText"/>
        <w:spacing w:line="240" w:lineRule="auto"/>
        <w:ind w:left="633" w:right="0"/>
        <w:jc w:val="left"/>
      </w:pPr>
      <w:r>
        <w:rPr/>
        <w:t>本公司本年度适用的主要税种及其税率列示如下：</w:t>
      </w:r>
    </w:p>
    <w:p>
      <w:pPr>
        <w:spacing w:line="240" w:lineRule="auto" w:before="0"/>
        <w:rPr>
          <w:rFonts w:ascii="宋体" w:hAnsi="宋体" w:cs="宋体" w:eastAsia="宋体" w:hint="default"/>
          <w:sz w:val="23"/>
          <w:szCs w:val="23"/>
        </w:rPr>
      </w:pPr>
    </w:p>
    <w:tbl>
      <w:tblPr>
        <w:tblW w:w="0" w:type="auto"/>
        <w:jc w:val="left"/>
        <w:tblInd w:w="153" w:type="dxa"/>
        <w:tblLayout w:type="fixed"/>
        <w:tblCellMar>
          <w:top w:w="0" w:type="dxa"/>
          <w:left w:w="0" w:type="dxa"/>
          <w:bottom w:w="0" w:type="dxa"/>
          <w:right w:w="0" w:type="dxa"/>
        </w:tblCellMar>
        <w:tblLook w:val="01E0"/>
      </w:tblPr>
      <w:tblGrid>
        <w:gridCol w:w="1309"/>
        <w:gridCol w:w="312"/>
        <w:gridCol w:w="1819"/>
        <w:gridCol w:w="412"/>
        <w:gridCol w:w="5788"/>
      </w:tblGrid>
      <w:tr>
        <w:trPr>
          <w:trHeight w:val="285" w:hRule="exact"/>
        </w:trPr>
        <w:tc>
          <w:tcPr>
            <w:tcW w:w="1309" w:type="dxa"/>
            <w:tcBorders>
              <w:top w:val="nil" w:sz="6" w:space="0" w:color="auto"/>
              <w:left w:val="nil" w:sz="6" w:space="0" w:color="auto"/>
              <w:bottom w:val="single" w:sz="4" w:space="0" w:color="000000"/>
              <w:right w:val="nil" w:sz="6" w:space="0" w:color="auto"/>
            </w:tcBorders>
          </w:tcPr>
          <w:p>
            <w:pPr>
              <w:pStyle w:val="TableParagraph"/>
              <w:spacing w:line="180" w:lineRule="exact"/>
              <w:ind w:right="250"/>
              <w:jc w:val="right"/>
              <w:rPr>
                <w:rFonts w:ascii="宋体" w:hAnsi="宋体" w:cs="宋体" w:eastAsia="宋体" w:hint="default"/>
                <w:sz w:val="18"/>
                <w:szCs w:val="18"/>
              </w:rPr>
            </w:pPr>
            <w:r>
              <w:rPr>
                <w:rFonts w:ascii="宋体" w:hAnsi="宋体" w:cs="宋体" w:eastAsia="宋体" w:hint="default"/>
                <w:spacing w:val="7"/>
                <w:sz w:val="18"/>
                <w:szCs w:val="18"/>
              </w:rPr>
              <w:t>税种</w:t>
            </w:r>
            <w:r>
              <w:rPr>
                <w:rFonts w:ascii="宋体" w:hAnsi="宋体" w:cs="宋体" w:eastAsia="宋体" w:hint="default"/>
                <w:sz w:val="18"/>
                <w:szCs w:val="18"/>
              </w:rPr>
            </w:r>
          </w:p>
        </w:tc>
        <w:tc>
          <w:tcPr>
            <w:tcW w:w="31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180" w:lineRule="exact"/>
              <w:ind w:right="457"/>
              <w:jc w:val="right"/>
              <w:rPr>
                <w:rFonts w:ascii="宋体" w:hAnsi="宋体" w:cs="宋体" w:eastAsia="宋体" w:hint="default"/>
                <w:sz w:val="18"/>
                <w:szCs w:val="18"/>
              </w:rPr>
            </w:pPr>
            <w:r>
              <w:rPr>
                <w:rFonts w:ascii="宋体" w:hAnsi="宋体" w:cs="宋体" w:eastAsia="宋体" w:hint="default"/>
                <w:spacing w:val="7"/>
                <w:sz w:val="18"/>
                <w:szCs w:val="18"/>
              </w:rPr>
              <w:t>税率</w:t>
            </w:r>
            <w:r>
              <w:rPr>
                <w:rFonts w:ascii="宋体" w:hAnsi="宋体" w:cs="宋体" w:eastAsia="宋体" w:hint="default"/>
                <w:sz w:val="18"/>
                <w:szCs w:val="18"/>
              </w:rPr>
            </w:r>
          </w:p>
        </w:tc>
        <w:tc>
          <w:tcPr>
            <w:tcW w:w="412" w:type="dxa"/>
            <w:tcBorders>
              <w:top w:val="nil" w:sz="6" w:space="0" w:color="auto"/>
              <w:left w:val="nil" w:sz="6" w:space="0" w:color="auto"/>
              <w:bottom w:val="nil" w:sz="6" w:space="0" w:color="auto"/>
              <w:right w:val="nil" w:sz="6" w:space="0" w:color="auto"/>
            </w:tcBorders>
          </w:tcPr>
          <w:p>
            <w:pPr/>
          </w:p>
        </w:tc>
        <w:tc>
          <w:tcPr>
            <w:tcW w:w="5788" w:type="dxa"/>
            <w:tcBorders>
              <w:top w:val="nil" w:sz="6" w:space="0" w:color="auto"/>
              <w:left w:val="nil" w:sz="6" w:space="0" w:color="auto"/>
              <w:bottom w:val="single" w:sz="4" w:space="0" w:color="000000"/>
              <w:right w:val="nil" w:sz="6" w:space="0" w:color="auto"/>
            </w:tcBorders>
          </w:tcPr>
          <w:p>
            <w:pPr>
              <w:pStyle w:val="TableParagraph"/>
              <w:spacing w:line="180" w:lineRule="exact"/>
              <w:ind w:left="514" w:right="0"/>
              <w:jc w:val="center"/>
              <w:rPr>
                <w:rFonts w:ascii="宋体" w:hAnsi="宋体" w:cs="宋体" w:eastAsia="宋体" w:hint="default"/>
                <w:sz w:val="18"/>
                <w:szCs w:val="18"/>
              </w:rPr>
            </w:pPr>
            <w:r>
              <w:rPr>
                <w:rFonts w:ascii="宋体" w:hAnsi="宋体" w:cs="宋体" w:eastAsia="宋体" w:hint="default"/>
                <w:spacing w:val="7"/>
                <w:sz w:val="18"/>
                <w:szCs w:val="18"/>
              </w:rPr>
              <w:t>税基</w:t>
            </w:r>
            <w:r>
              <w:rPr>
                <w:rFonts w:ascii="宋体" w:hAnsi="宋体" w:cs="宋体" w:eastAsia="宋体" w:hint="default"/>
                <w:sz w:val="18"/>
                <w:szCs w:val="18"/>
              </w:rPr>
            </w:r>
          </w:p>
        </w:tc>
      </w:tr>
      <w:tr>
        <w:trPr>
          <w:trHeight w:val="547" w:hRule="exact"/>
        </w:trPr>
        <w:tc>
          <w:tcPr>
            <w:tcW w:w="1309"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510" w:right="0"/>
              <w:jc w:val="left"/>
              <w:rPr>
                <w:rFonts w:ascii="宋体" w:hAnsi="宋体" w:cs="宋体" w:eastAsia="宋体" w:hint="default"/>
                <w:sz w:val="18"/>
                <w:szCs w:val="18"/>
              </w:rPr>
            </w:pPr>
            <w:r>
              <w:rPr>
                <w:rFonts w:ascii="宋体" w:hAnsi="宋体" w:cs="宋体" w:eastAsia="宋体" w:hint="default"/>
                <w:spacing w:val="86"/>
                <w:sz w:val="18"/>
                <w:szCs w:val="18"/>
              </w:rPr>
              <w:t>企业</w:t>
            </w:r>
            <w:r>
              <w:rPr>
                <w:rFonts w:ascii="宋体" w:hAnsi="宋体" w:cs="宋体" w:eastAsia="宋体" w:hint="default"/>
                <w:sz w:val="18"/>
                <w:szCs w:val="18"/>
              </w:rPr>
              <w:t>所</w:t>
            </w:r>
            <w:r>
              <w:rPr>
                <w:rFonts w:ascii="宋体" w:hAnsi="宋体" w:cs="宋体" w:eastAsia="宋体" w:hint="default"/>
                <w:spacing w:val="-4"/>
                <w:sz w:val="18"/>
                <w:szCs w:val="18"/>
              </w:rPr>
              <w:t> </w:t>
            </w:r>
            <w:r>
              <w:rPr>
                <w:rFonts w:ascii="宋体" w:hAnsi="宋体" w:cs="宋体" w:eastAsia="宋体" w:hint="default"/>
                <w:sz w:val="18"/>
                <w:szCs w:val="18"/>
              </w:rPr>
            </w:r>
          </w:p>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pacing w:val="7"/>
                <w:sz w:val="18"/>
                <w:szCs w:val="18"/>
              </w:rPr>
              <w:t>得税</w:t>
            </w:r>
            <w:r>
              <w:rPr>
                <w:rFonts w:ascii="宋体" w:hAnsi="宋体" w:cs="宋体" w:eastAsia="宋体" w:hint="default"/>
                <w:sz w:val="18"/>
                <w:szCs w:val="18"/>
              </w:rPr>
            </w:r>
          </w:p>
        </w:tc>
        <w:tc>
          <w:tcPr>
            <w:tcW w:w="312"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608" w:right="0"/>
              <w:jc w:val="left"/>
              <w:rPr>
                <w:rFonts w:ascii="宋体" w:hAnsi="宋体" w:cs="宋体" w:eastAsia="宋体" w:hint="default"/>
                <w:sz w:val="18"/>
                <w:szCs w:val="18"/>
              </w:rPr>
            </w:pPr>
            <w:r>
              <w:rPr>
                <w:rFonts w:ascii="宋体" w:hAnsi="宋体" w:cs="宋体" w:eastAsia="宋体" w:hint="default"/>
                <w:spacing w:val="3"/>
                <w:sz w:val="18"/>
                <w:szCs w:val="18"/>
              </w:rPr>
              <w:t>10%、12.5%及</w:t>
            </w:r>
          </w:p>
          <w:p>
            <w:pPr>
              <w:pStyle w:val="TableParagraph"/>
              <w:spacing w:line="240" w:lineRule="auto" w:before="4"/>
              <w:ind w:left="14" w:right="0"/>
              <w:jc w:val="center"/>
              <w:rPr>
                <w:rFonts w:ascii="宋体" w:hAnsi="宋体" w:cs="宋体" w:eastAsia="宋体" w:hint="default"/>
                <w:sz w:val="18"/>
                <w:szCs w:val="18"/>
              </w:rPr>
            </w:pPr>
            <w:r>
              <w:rPr>
                <w:rFonts w:ascii="宋体"/>
                <w:spacing w:val="3"/>
                <w:sz w:val="18"/>
              </w:rPr>
              <w:t>25%</w:t>
            </w:r>
            <w:r>
              <w:rPr>
                <w:rFonts w:ascii="宋体"/>
                <w:sz w:val="18"/>
              </w:rPr>
            </w:r>
          </w:p>
        </w:tc>
        <w:tc>
          <w:tcPr>
            <w:tcW w:w="412" w:type="dxa"/>
            <w:tcBorders>
              <w:top w:val="nil" w:sz="6" w:space="0" w:color="auto"/>
              <w:left w:val="nil" w:sz="6" w:space="0" w:color="auto"/>
              <w:bottom w:val="nil" w:sz="6" w:space="0" w:color="auto"/>
              <w:right w:val="nil" w:sz="6" w:space="0" w:color="auto"/>
            </w:tcBorders>
          </w:tcPr>
          <w:p>
            <w:pPr/>
          </w:p>
        </w:tc>
        <w:tc>
          <w:tcPr>
            <w:tcW w:w="5788" w:type="dxa"/>
            <w:tcBorders>
              <w:top w:val="single" w:sz="4" w:space="0" w:color="000000"/>
              <w:left w:val="nil" w:sz="6" w:space="0" w:color="auto"/>
              <w:bottom w:val="nil" w:sz="6" w:space="0" w:color="auto"/>
              <w:right w:val="nil" w:sz="6" w:space="0" w:color="auto"/>
            </w:tcBorders>
          </w:tcPr>
          <w:p>
            <w:pPr>
              <w:pStyle w:val="TableParagraph"/>
              <w:spacing w:line="240" w:lineRule="auto" w:before="136"/>
              <w:ind w:left="517" w:right="0"/>
              <w:jc w:val="left"/>
              <w:rPr>
                <w:rFonts w:ascii="宋体" w:hAnsi="宋体" w:cs="宋体" w:eastAsia="宋体" w:hint="default"/>
                <w:sz w:val="18"/>
                <w:szCs w:val="18"/>
              </w:rPr>
            </w:pPr>
            <w:r>
              <w:rPr>
                <w:rFonts w:ascii="宋体" w:hAnsi="宋体" w:cs="宋体" w:eastAsia="宋体" w:hint="default"/>
                <w:spacing w:val="7"/>
                <w:sz w:val="18"/>
                <w:szCs w:val="18"/>
              </w:rPr>
              <w:t>应纳税所得额</w:t>
            </w:r>
            <w:r>
              <w:rPr>
                <w:rFonts w:ascii="宋体" w:hAnsi="宋体" w:cs="宋体" w:eastAsia="宋体" w:hint="default"/>
                <w:sz w:val="18"/>
                <w:szCs w:val="18"/>
              </w:rPr>
            </w:r>
          </w:p>
        </w:tc>
      </w:tr>
      <w:tr>
        <w:trPr>
          <w:trHeight w:val="556" w:hRule="exact"/>
        </w:trPr>
        <w:tc>
          <w:tcPr>
            <w:tcW w:w="130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41"/>
              <w:jc w:val="right"/>
              <w:rPr>
                <w:rFonts w:ascii="宋体" w:hAnsi="宋体" w:cs="宋体" w:eastAsia="宋体" w:hint="default"/>
                <w:sz w:val="18"/>
                <w:szCs w:val="18"/>
              </w:rPr>
            </w:pPr>
            <w:r>
              <w:rPr>
                <w:rFonts w:ascii="宋体" w:hAnsi="宋体" w:cs="宋体" w:eastAsia="宋体" w:hint="default"/>
                <w:spacing w:val="5"/>
                <w:sz w:val="18"/>
                <w:szCs w:val="18"/>
              </w:rPr>
              <w:t>增值税</w:t>
            </w:r>
          </w:p>
        </w:tc>
        <w:tc>
          <w:tcPr>
            <w:tcW w:w="312"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504"/>
              <w:jc w:val="right"/>
              <w:rPr>
                <w:rFonts w:ascii="宋体" w:hAnsi="宋体" w:cs="宋体" w:eastAsia="宋体" w:hint="default"/>
                <w:sz w:val="18"/>
                <w:szCs w:val="18"/>
              </w:rPr>
            </w:pPr>
            <w:r>
              <w:rPr>
                <w:rFonts w:ascii="宋体"/>
                <w:spacing w:val="3"/>
                <w:w w:val="95"/>
                <w:sz w:val="18"/>
              </w:rPr>
              <w:t>17%</w:t>
            </w:r>
            <w:r>
              <w:rPr>
                <w:rFonts w:ascii="宋体"/>
                <w:w w:val="95"/>
                <w:sz w:val="18"/>
              </w:rPr>
            </w:r>
          </w:p>
        </w:tc>
        <w:tc>
          <w:tcPr>
            <w:tcW w:w="412" w:type="dxa"/>
            <w:tcBorders>
              <w:top w:val="nil" w:sz="6" w:space="0" w:color="auto"/>
              <w:left w:val="nil" w:sz="6" w:space="0" w:color="auto"/>
              <w:bottom w:val="nil" w:sz="6" w:space="0" w:color="auto"/>
              <w:right w:val="nil" w:sz="6" w:space="0" w:color="auto"/>
            </w:tcBorders>
          </w:tcPr>
          <w:p>
            <w:pPr/>
          </w:p>
        </w:tc>
        <w:tc>
          <w:tcPr>
            <w:tcW w:w="5788" w:type="dxa"/>
            <w:tcBorders>
              <w:top w:val="nil" w:sz="6" w:space="0" w:color="auto"/>
              <w:left w:val="nil" w:sz="6" w:space="0" w:color="auto"/>
              <w:bottom w:val="nil" w:sz="6" w:space="0" w:color="auto"/>
              <w:right w:val="nil" w:sz="6" w:space="0" w:color="auto"/>
            </w:tcBorders>
          </w:tcPr>
          <w:p>
            <w:pPr>
              <w:pStyle w:val="TableParagraph"/>
              <w:spacing w:line="244" w:lineRule="auto"/>
              <w:ind w:left="7" w:right="0" w:firstLine="509"/>
              <w:jc w:val="left"/>
              <w:rPr>
                <w:rFonts w:ascii="宋体" w:hAnsi="宋体" w:cs="宋体" w:eastAsia="宋体" w:hint="default"/>
                <w:sz w:val="18"/>
                <w:szCs w:val="18"/>
              </w:rPr>
            </w:pPr>
            <w:r>
              <w:rPr>
                <w:rFonts w:ascii="宋体" w:hAnsi="宋体" w:cs="宋体" w:eastAsia="宋体" w:hint="default"/>
                <w:spacing w:val="11"/>
                <w:sz w:val="18"/>
                <w:szCs w:val="18"/>
              </w:rPr>
              <w:t>应纳税增值额(应纳税额按应纳税销售额乘以适用税率扣除当期</w:t>
            </w:r>
            <w:r>
              <w:rPr>
                <w:rFonts w:ascii="宋体" w:hAnsi="宋体" w:cs="宋体" w:eastAsia="宋体" w:hint="default"/>
                <w:spacing w:val="12"/>
                <w:sz w:val="18"/>
                <w:szCs w:val="18"/>
              </w:rPr>
              <w:t> </w:t>
            </w:r>
            <w:r>
              <w:rPr>
                <w:rFonts w:ascii="宋体" w:hAnsi="宋体" w:cs="宋体" w:eastAsia="宋体" w:hint="default"/>
                <w:spacing w:val="7"/>
                <w:sz w:val="18"/>
                <w:szCs w:val="18"/>
              </w:rPr>
              <w:t>允计抵扣的进项税后的余额计算)</w:t>
            </w:r>
            <w:r>
              <w:rPr>
                <w:rFonts w:ascii="宋体" w:hAnsi="宋体" w:cs="宋体" w:eastAsia="宋体" w:hint="default"/>
                <w:sz w:val="18"/>
                <w:szCs w:val="18"/>
              </w:rPr>
            </w:r>
          </w:p>
        </w:tc>
      </w:tr>
      <w:tr>
        <w:trPr>
          <w:trHeight w:val="388" w:hRule="exact"/>
        </w:trPr>
        <w:tc>
          <w:tcPr>
            <w:tcW w:w="1309" w:type="dxa"/>
            <w:vMerge w:val="restart"/>
            <w:tcBorders>
              <w:top w:val="nil" w:sz="6" w:space="0" w:color="auto"/>
              <w:left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17" w:right="0"/>
              <w:jc w:val="left"/>
              <w:rPr>
                <w:rFonts w:ascii="宋体" w:hAnsi="宋体" w:cs="宋体" w:eastAsia="宋体" w:hint="default"/>
                <w:sz w:val="18"/>
                <w:szCs w:val="18"/>
              </w:rPr>
            </w:pPr>
            <w:r>
              <w:rPr>
                <w:rFonts w:ascii="宋体" w:hAnsi="宋体" w:cs="宋体" w:eastAsia="宋体" w:hint="default"/>
                <w:spacing w:val="5"/>
                <w:sz w:val="18"/>
                <w:szCs w:val="18"/>
              </w:rPr>
              <w:t>营业税</w:t>
            </w:r>
          </w:p>
        </w:tc>
        <w:tc>
          <w:tcPr>
            <w:tcW w:w="312" w:type="dxa"/>
            <w:vMerge w:val="restart"/>
            <w:tcBorders>
              <w:top w:val="nil" w:sz="6" w:space="0" w:color="auto"/>
              <w:left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56"/>
              <w:jc w:val="right"/>
              <w:rPr>
                <w:rFonts w:ascii="宋体" w:hAnsi="宋体" w:cs="宋体" w:eastAsia="宋体" w:hint="default"/>
                <w:sz w:val="18"/>
                <w:szCs w:val="18"/>
              </w:rPr>
            </w:pPr>
            <w:r>
              <w:rPr>
                <w:rFonts w:ascii="宋体"/>
                <w:sz w:val="18"/>
              </w:rPr>
              <w:t>3%</w:t>
            </w:r>
          </w:p>
        </w:tc>
        <w:tc>
          <w:tcPr>
            <w:tcW w:w="412" w:type="dxa"/>
            <w:tcBorders>
              <w:top w:val="nil" w:sz="6" w:space="0" w:color="auto"/>
              <w:left w:val="nil" w:sz="6" w:space="0" w:color="auto"/>
              <w:bottom w:val="nil" w:sz="6" w:space="0" w:color="auto"/>
              <w:right w:val="nil" w:sz="6" w:space="0" w:color="auto"/>
            </w:tcBorders>
          </w:tcPr>
          <w:p>
            <w:pPr/>
          </w:p>
        </w:tc>
        <w:tc>
          <w:tcPr>
            <w:tcW w:w="578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524" w:right="0"/>
              <w:jc w:val="left"/>
              <w:rPr>
                <w:rFonts w:ascii="宋体" w:hAnsi="宋体" w:cs="宋体" w:eastAsia="宋体" w:hint="default"/>
                <w:sz w:val="18"/>
                <w:szCs w:val="18"/>
              </w:rPr>
            </w:pPr>
            <w:r>
              <w:rPr>
                <w:rFonts w:ascii="宋体" w:hAnsi="宋体" w:cs="宋体" w:eastAsia="宋体" w:hint="default"/>
                <w:spacing w:val="7"/>
                <w:sz w:val="18"/>
                <w:szCs w:val="18"/>
              </w:rPr>
              <w:t>应纳税营业额(建筑安装工程收入)</w:t>
            </w:r>
            <w:r>
              <w:rPr>
                <w:rFonts w:ascii="宋体" w:hAnsi="宋体" w:cs="宋体" w:eastAsia="宋体" w:hint="default"/>
                <w:sz w:val="18"/>
                <w:szCs w:val="18"/>
              </w:rPr>
            </w:r>
          </w:p>
        </w:tc>
      </w:tr>
      <w:tr>
        <w:trPr>
          <w:trHeight w:val="302" w:hRule="exact"/>
        </w:trPr>
        <w:tc>
          <w:tcPr>
            <w:tcW w:w="1309" w:type="dxa"/>
            <w:vMerge/>
            <w:tcBorders>
              <w:left w:val="nil" w:sz="6" w:space="0" w:color="auto"/>
              <w:bottom w:val="nil" w:sz="6" w:space="0" w:color="auto"/>
              <w:right w:val="nil" w:sz="6" w:space="0" w:color="auto"/>
            </w:tcBorders>
          </w:tcPr>
          <w:p>
            <w:pPr/>
          </w:p>
        </w:tc>
        <w:tc>
          <w:tcPr>
            <w:tcW w:w="312" w:type="dxa"/>
            <w:vMerge/>
            <w:tcBorders>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556"/>
              <w:jc w:val="right"/>
              <w:rPr>
                <w:rFonts w:ascii="宋体" w:hAnsi="宋体" w:cs="宋体" w:eastAsia="宋体" w:hint="default"/>
                <w:sz w:val="18"/>
                <w:szCs w:val="18"/>
              </w:rPr>
            </w:pPr>
            <w:r>
              <w:rPr>
                <w:rFonts w:ascii="宋体"/>
                <w:sz w:val="18"/>
              </w:rPr>
              <w:t>5%</w:t>
            </w:r>
          </w:p>
        </w:tc>
        <w:tc>
          <w:tcPr>
            <w:tcW w:w="412" w:type="dxa"/>
            <w:tcBorders>
              <w:top w:val="nil" w:sz="6" w:space="0" w:color="auto"/>
              <w:left w:val="nil" w:sz="6" w:space="0" w:color="auto"/>
              <w:bottom w:val="nil" w:sz="6" w:space="0" w:color="auto"/>
              <w:right w:val="nil" w:sz="6" w:space="0" w:color="auto"/>
            </w:tcBorders>
          </w:tcPr>
          <w:p>
            <w:pPr/>
          </w:p>
        </w:tc>
        <w:tc>
          <w:tcPr>
            <w:tcW w:w="578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24" w:right="0"/>
              <w:jc w:val="left"/>
              <w:rPr>
                <w:rFonts w:ascii="宋体" w:hAnsi="宋体" w:cs="宋体" w:eastAsia="宋体" w:hint="default"/>
                <w:sz w:val="18"/>
                <w:szCs w:val="18"/>
              </w:rPr>
            </w:pPr>
            <w:r>
              <w:rPr>
                <w:rFonts w:ascii="宋体" w:hAnsi="宋体" w:cs="宋体" w:eastAsia="宋体" w:hint="default"/>
                <w:spacing w:val="6"/>
                <w:sz w:val="18"/>
                <w:szCs w:val="18"/>
              </w:rPr>
              <w:t>应纳税营业额(劳务收入)</w:t>
            </w:r>
          </w:p>
        </w:tc>
      </w:tr>
    </w:tbl>
    <w:p>
      <w:pPr>
        <w:spacing w:line="240" w:lineRule="auto" w:before="3"/>
        <w:rPr>
          <w:rFonts w:ascii="宋体" w:hAnsi="宋体" w:cs="宋体" w:eastAsia="宋体" w:hint="default"/>
          <w:sz w:val="20"/>
          <w:szCs w:val="20"/>
        </w:rPr>
      </w:pPr>
    </w:p>
    <w:p>
      <w:pPr>
        <w:pStyle w:val="BodyText"/>
        <w:spacing w:line="412" w:lineRule="auto" w:before="26"/>
        <w:ind w:left="634" w:right="7610"/>
        <w:jc w:val="left"/>
      </w:pPr>
      <w:r>
        <w:rPr/>
        <w:t>(一)企业所得税 1、本公司</w:t>
      </w:r>
    </w:p>
    <w:p>
      <w:pPr>
        <w:pStyle w:val="BodyText"/>
        <w:spacing w:line="321" w:lineRule="auto" w:before="53"/>
        <w:ind w:left="153" w:right="134" w:firstLine="480"/>
        <w:jc w:val="left"/>
      </w:pPr>
      <w:r>
        <w:rPr>
          <w:spacing w:val="21"/>
        </w:rPr>
        <w:t>根据国家发展和改革委员会、工业和信息化部、商务部、国家税务总局发改高技</w:t>
      </w:r>
      <w:r>
        <w:rPr/>
        <w:t> [2008]3700</w:t>
      </w:r>
      <w:r>
        <w:rPr>
          <w:spacing w:val="-51"/>
        </w:rPr>
        <w:t> </w:t>
      </w:r>
      <w:r>
        <w:rPr>
          <w:spacing w:val="-2"/>
        </w:rPr>
        <w:t>号文《关于发布</w:t>
      </w:r>
      <w:r>
        <w:rPr>
          <w:spacing w:val="-51"/>
        </w:rPr>
        <w:t> </w:t>
      </w:r>
      <w:r>
        <w:rPr/>
        <w:t>2008</w:t>
      </w:r>
      <w:r>
        <w:rPr>
          <w:spacing w:val="-51"/>
        </w:rPr>
        <w:t> </w:t>
      </w:r>
      <w:r>
        <w:rPr>
          <w:spacing w:val="-6"/>
        </w:rPr>
        <w:t>年度国家规划布局内重点软件企业名单的通知》，本公司被</w:t>
      </w:r>
    </w:p>
    <w:p>
      <w:pPr>
        <w:pStyle w:val="BodyText"/>
        <w:spacing w:line="321" w:lineRule="auto" w:before="24"/>
        <w:ind w:left="153" w:right="151"/>
        <w:jc w:val="both"/>
      </w:pPr>
      <w:r>
        <w:rPr>
          <w:spacing w:val="-3"/>
        </w:rPr>
        <w:t>国家发展和改革委员会、工业和信息化部、商务部、国家税务总局联合审核认定为 </w:t>
      </w:r>
      <w:r>
        <w:rPr/>
        <w:t>2008</w:t>
      </w:r>
      <w:r>
        <w:rPr>
          <w:spacing w:val="-95"/>
        </w:rPr>
        <w:t> </w:t>
      </w:r>
      <w:r>
        <w:rPr/>
        <w:t>年度</w:t>
      </w:r>
      <w:r>
        <w:rPr/>
        <w:t> </w:t>
      </w:r>
      <w:r>
        <w:rPr>
          <w:spacing w:val="-5"/>
        </w:rPr>
        <w:t>国家规划布局内重点软件企业，根据《财政部</w:t>
      </w:r>
      <w:r>
        <w:rPr>
          <w:spacing w:val="16"/>
        </w:rPr>
        <w:t> </w:t>
      </w:r>
      <w:r>
        <w:rPr/>
        <w:t>国家税务总局关于企业所得税若干优惠政策的</w:t>
      </w:r>
      <w:r>
        <w:rPr/>
        <w:t> 通知》财税[2008]1</w:t>
      </w:r>
      <w:r>
        <w:rPr>
          <w:spacing w:val="-60"/>
        </w:rPr>
        <w:t> </w:t>
      </w:r>
      <w:r>
        <w:rPr/>
        <w:t>号)的规定，本公司减按</w:t>
      </w:r>
      <w:r>
        <w:rPr>
          <w:spacing w:val="-60"/>
        </w:rPr>
        <w:t> </w:t>
      </w:r>
      <w:r>
        <w:rPr/>
        <w:t>10%的税率征收企业所得税。</w:t>
      </w:r>
    </w:p>
    <w:p>
      <w:pPr>
        <w:pStyle w:val="BodyText"/>
        <w:spacing w:line="240" w:lineRule="auto" w:before="144"/>
        <w:ind w:left="633" w:right="0"/>
        <w:jc w:val="left"/>
      </w:pPr>
      <w:r>
        <w:rPr/>
        <w:t>2、诚和伟业(北京)科技发展有限责任公司(以下简称“诚和伟业”)</w:t>
      </w:r>
    </w:p>
    <w:p>
      <w:pPr>
        <w:spacing w:line="240" w:lineRule="auto" w:before="3"/>
        <w:rPr>
          <w:rFonts w:ascii="宋体" w:hAnsi="宋体" w:cs="宋体" w:eastAsia="宋体" w:hint="default"/>
          <w:sz w:val="17"/>
          <w:szCs w:val="17"/>
        </w:rPr>
      </w:pPr>
    </w:p>
    <w:p>
      <w:pPr>
        <w:pStyle w:val="BodyText"/>
        <w:spacing w:line="240" w:lineRule="auto"/>
        <w:ind w:left="634" w:right="0"/>
        <w:jc w:val="left"/>
      </w:pPr>
      <w:r>
        <w:rPr/>
        <w:t>2005</w:t>
      </w:r>
      <w:r>
        <w:rPr>
          <w:spacing w:val="-41"/>
        </w:rPr>
        <w:t> </w:t>
      </w:r>
      <w:r>
        <w:rPr/>
        <w:t>年</w:t>
      </w:r>
      <w:r>
        <w:rPr>
          <w:spacing w:val="-41"/>
        </w:rPr>
        <w:t> </w:t>
      </w:r>
      <w:r>
        <w:rPr/>
        <w:t>9</w:t>
      </w:r>
      <w:r>
        <w:rPr>
          <w:spacing w:val="-40"/>
        </w:rPr>
        <w:t> </w:t>
      </w:r>
      <w:r>
        <w:rPr/>
        <w:t>月</w:t>
      </w:r>
      <w:r>
        <w:rPr>
          <w:spacing w:val="-41"/>
        </w:rPr>
        <w:t> </w:t>
      </w:r>
      <w:r>
        <w:rPr/>
        <w:t>22</w:t>
      </w:r>
      <w:r>
        <w:rPr>
          <w:spacing w:val="-41"/>
        </w:rPr>
        <w:t> </w:t>
      </w:r>
      <w:r>
        <w:rPr/>
        <w:t>日诚和伟业经北京市科学技术委员会认定为高新技术企业,证书编号:京</w:t>
      </w:r>
    </w:p>
    <w:p>
      <w:pPr>
        <w:spacing w:after="0" w:line="240" w:lineRule="auto"/>
        <w:jc w:val="left"/>
        <w:sectPr>
          <w:pgSz w:w="11910" w:h="16840"/>
          <w:pgMar w:header="877" w:footer="1022" w:top="1100" w:bottom="1220" w:left="980" w:right="980"/>
        </w:sectPr>
      </w:pPr>
    </w:p>
    <w:p>
      <w:pPr>
        <w:spacing w:line="240" w:lineRule="auto" w:before="11"/>
        <w:rPr>
          <w:rFonts w:ascii="宋体" w:hAnsi="宋体" w:cs="宋体" w:eastAsia="宋体" w:hint="default"/>
          <w:sz w:val="27"/>
          <w:szCs w:val="27"/>
        </w:rPr>
      </w:pPr>
    </w:p>
    <w:p>
      <w:pPr>
        <w:pStyle w:val="BodyText"/>
        <w:spacing w:line="321" w:lineRule="auto" w:before="26"/>
        <w:ind w:right="231"/>
        <w:jc w:val="both"/>
      </w:pPr>
      <w:r>
        <w:rPr/>
        <w:t>科高字 0511008A12722</w:t>
      </w:r>
      <w:r>
        <w:rPr>
          <w:spacing w:val="-82"/>
        </w:rPr>
        <w:t> </w:t>
      </w:r>
      <w:r>
        <w:rPr/>
        <w:t>号(GF16639),有效期两年。根据北京市国家税务局《转发国家税务总</w:t>
      </w:r>
      <w:r>
        <w:rPr/>
        <w:t> 局〈关于企业所得税几个业务问题的通知〉的通知》(京国税发[1994]068</w:t>
      </w:r>
      <w:r>
        <w:rPr>
          <w:spacing w:val="32"/>
        </w:rPr>
        <w:t> </w:t>
      </w:r>
      <w:r>
        <w:rPr/>
        <w:t>号)文件的有关规</w:t>
      </w:r>
      <w:r>
        <w:rPr>
          <w:spacing w:val="-118"/>
        </w:rPr>
        <w:t> </w:t>
      </w:r>
      <w:r>
        <w:rPr>
          <w:spacing w:val="-118"/>
        </w:rPr>
      </w:r>
      <w:r>
        <w:rPr/>
        <w:t>定：高新技术企业减按</w:t>
      </w:r>
      <w:r>
        <w:rPr>
          <w:spacing w:val="22"/>
        </w:rPr>
        <w:t> </w:t>
      </w:r>
      <w:r>
        <w:rPr/>
        <w:t>15%税率征收企业所得税；自开办之日起，三年内免征企业所得税；</w:t>
      </w:r>
      <w:r>
        <w:rPr>
          <w:spacing w:val="-117"/>
        </w:rPr>
        <w:t> </w:t>
      </w:r>
      <w:r>
        <w:rPr>
          <w:spacing w:val="-117"/>
        </w:rPr>
      </w:r>
      <w:r>
        <w:rPr/>
        <w:t>第四至六年可按 15%税率减半征收企业所得税。2008</w:t>
      </w:r>
      <w:r>
        <w:rPr>
          <w:spacing w:val="-82"/>
        </w:rPr>
        <w:t> </w:t>
      </w:r>
      <w:r>
        <w:rPr/>
        <w:t>年度诚和伟业未提出高新技术企业重新</w:t>
      </w:r>
      <w:r>
        <w:rPr/>
        <w:t> 认定的申请，本年度暂按</w:t>
      </w:r>
      <w:r>
        <w:rPr>
          <w:spacing w:val="-60"/>
        </w:rPr>
        <w:t> </w:t>
      </w:r>
      <w:r>
        <w:rPr/>
        <w:t>25%的税率计提企业所得税。</w:t>
      </w:r>
    </w:p>
    <w:p>
      <w:pPr>
        <w:pStyle w:val="BodyText"/>
        <w:spacing w:line="434" w:lineRule="auto" w:before="174"/>
        <w:ind w:left="634" w:right="214"/>
        <w:jc w:val="left"/>
      </w:pPr>
      <w:r>
        <w:rPr/>
        <w:t>3、鞍山荣信科技有限公司(以下简称“荣信科技”)</w:t>
      </w:r>
      <w:r>
        <w:rPr>
          <w:spacing w:val="-84"/>
        </w:rPr>
        <w:t> </w:t>
      </w:r>
      <w:r>
        <w:rPr>
          <w:spacing w:val="-84"/>
        </w:rPr>
      </w:r>
      <w:r>
        <w:rPr/>
        <w:t>根据财政部、国家税务总局、海关总署财税[2000]25</w:t>
      </w:r>
      <w:r>
        <w:rPr>
          <w:spacing w:val="-84"/>
        </w:rPr>
        <w:t> </w:t>
      </w:r>
      <w:r>
        <w:rPr/>
        <w:t>号文《关于〈鼓励软件产业和集成</w:t>
      </w:r>
    </w:p>
    <w:p>
      <w:pPr>
        <w:pStyle w:val="BodyText"/>
        <w:spacing w:line="256" w:lineRule="exact"/>
        <w:ind w:right="0"/>
        <w:jc w:val="both"/>
      </w:pPr>
      <w:r>
        <w:rPr/>
        <w:t>电路产业发展有关税收政策问题〉的通知》的有关规定，在我国境内新办的软件生产企业认</w:t>
      </w:r>
    </w:p>
    <w:p>
      <w:pPr>
        <w:pStyle w:val="BodyText"/>
        <w:spacing w:line="343" w:lineRule="auto" w:before="136"/>
        <w:ind w:right="228"/>
        <w:jc w:val="both"/>
      </w:pPr>
      <w:r>
        <w:rPr/>
        <w:t>定后，自开始获利年度起，第一年和第二年免征企业所得税，第三年至第五年减半征收企业</w:t>
      </w:r>
      <w:r>
        <w:rPr>
          <w:spacing w:val="-83"/>
        </w:rPr>
        <w:t> </w:t>
      </w:r>
      <w:r>
        <w:rPr>
          <w:spacing w:val="-83"/>
        </w:rPr>
      </w:r>
      <w:r>
        <w:rPr/>
        <w:t>所得税的税收优惠政策。2005</w:t>
      </w:r>
      <w:r>
        <w:rPr>
          <w:spacing w:val="-65"/>
        </w:rPr>
        <w:t> </w:t>
      </w:r>
      <w:r>
        <w:rPr/>
        <w:t>年</w:t>
      </w:r>
      <w:r>
        <w:rPr>
          <w:spacing w:val="-65"/>
        </w:rPr>
        <w:t> </w:t>
      </w:r>
      <w:r>
        <w:rPr/>
        <w:t>12</w:t>
      </w:r>
      <w:r>
        <w:rPr>
          <w:spacing w:val="-65"/>
        </w:rPr>
        <w:t> </w:t>
      </w:r>
      <w:r>
        <w:rPr/>
        <w:t>月</w:t>
      </w:r>
      <w:r>
        <w:rPr>
          <w:spacing w:val="-65"/>
        </w:rPr>
        <w:t> </w:t>
      </w:r>
      <w:r>
        <w:rPr/>
        <w:t>29</w:t>
      </w:r>
      <w:r>
        <w:rPr>
          <w:spacing w:val="-65"/>
        </w:rPr>
        <w:t> </w:t>
      </w:r>
      <w:r>
        <w:rPr/>
        <w:t>日鞍山市开发区国家税务局以鞍开国税免字(2005)</w:t>
      </w:r>
    </w:p>
    <w:p>
      <w:pPr>
        <w:pStyle w:val="BodyText"/>
        <w:spacing w:line="343" w:lineRule="auto" w:before="32"/>
        <w:ind w:right="228"/>
        <w:jc w:val="both"/>
      </w:pPr>
      <w:r>
        <w:rPr/>
        <w:t>第</w:t>
      </w:r>
      <w:r>
        <w:rPr>
          <w:spacing w:val="-61"/>
        </w:rPr>
        <w:t> </w:t>
      </w:r>
      <w:r>
        <w:rPr/>
        <w:t>1</w:t>
      </w:r>
      <w:r>
        <w:rPr>
          <w:spacing w:val="-61"/>
        </w:rPr>
        <w:t> </w:t>
      </w:r>
      <w:r>
        <w:rPr>
          <w:spacing w:val="-3"/>
        </w:rPr>
        <w:t>号文《减、免税批准通知书》批准:荣信科技自开始获利年度起，享受“两免三减半”政</w:t>
      </w:r>
      <w:r>
        <w:rPr/>
        <w:t> </w:t>
      </w:r>
      <w:r>
        <w:rPr>
          <w:spacing w:val="15"/>
        </w:rPr>
        <w:t>策。免税期限：2005年1月1</w:t>
      </w:r>
      <w:r>
        <w:rPr>
          <w:spacing w:val="-60"/>
        </w:rPr>
        <w:t> </w:t>
      </w:r>
      <w:r>
        <w:rPr/>
        <w:t>日至</w:t>
      </w:r>
      <w:r>
        <w:rPr>
          <w:spacing w:val="-60"/>
        </w:rPr>
        <w:t> </w:t>
      </w:r>
      <w:r>
        <w:rPr/>
        <w:t>2006</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15"/>
        </w:rPr>
        <w:t>日；减税期限：2007年1月1</w:t>
      </w:r>
      <w:r>
        <w:rPr>
          <w:spacing w:val="-60"/>
        </w:rPr>
        <w:t> </w:t>
      </w:r>
      <w:r>
        <w:rPr/>
        <w:t>日至</w:t>
      </w:r>
      <w:r>
        <w:rPr>
          <w:spacing w:val="-60"/>
        </w:rPr>
        <w:t> </w:t>
      </w:r>
      <w:r>
        <w:rPr/>
        <w:t>2009</w:t>
      </w:r>
      <w:r>
        <w:rPr/>
        <w:t> 年</w:t>
      </w:r>
      <w:r>
        <w:rPr>
          <w:spacing w:val="-60"/>
        </w:rPr>
        <w:t> </w:t>
      </w:r>
      <w:r>
        <w:rPr/>
        <w:t>12</w:t>
      </w:r>
      <w:r>
        <w:rPr>
          <w:spacing w:val="-60"/>
        </w:rPr>
        <w:t> </w:t>
      </w:r>
      <w:r>
        <w:rPr/>
        <w:t>月</w:t>
      </w:r>
      <w:r>
        <w:rPr>
          <w:spacing w:val="-60"/>
        </w:rPr>
        <w:t> </w:t>
      </w:r>
      <w:r>
        <w:rPr/>
        <w:t>31</w:t>
      </w:r>
      <w:r>
        <w:rPr>
          <w:spacing w:val="-60"/>
        </w:rPr>
        <w:t> </w:t>
      </w:r>
      <w:r>
        <w:rPr/>
        <w:t>日，减税幅度</w:t>
      </w:r>
      <w:r>
        <w:rPr>
          <w:spacing w:val="-60"/>
        </w:rPr>
        <w:t> </w:t>
      </w:r>
      <w:r>
        <w:rPr/>
        <w:t>50%。本年度按</w:t>
      </w:r>
      <w:r>
        <w:rPr>
          <w:spacing w:val="-60"/>
        </w:rPr>
        <w:t> </w:t>
      </w:r>
      <w:r>
        <w:rPr/>
        <w:t>12.5%的税率计提企业所得税。</w:t>
      </w:r>
    </w:p>
    <w:p>
      <w:pPr>
        <w:pStyle w:val="BodyText"/>
        <w:spacing w:line="434" w:lineRule="auto" w:before="152"/>
        <w:ind w:left="634" w:right="2770"/>
        <w:jc w:val="left"/>
      </w:pPr>
      <w:r>
        <w:rPr/>
        <w:t>4、上海清方荣信电子有限公司(以下简称“清方荣信”) 本年度清方荣信按</w:t>
      </w:r>
      <w:r>
        <w:rPr>
          <w:spacing w:val="-60"/>
        </w:rPr>
        <w:t> </w:t>
      </w:r>
      <w:r>
        <w:rPr/>
        <w:t>25%的税率计提企业所得税。</w:t>
      </w:r>
      <w:r>
        <w:rPr>
          <w:spacing w:val="-107"/>
        </w:rPr>
        <w:t> </w:t>
      </w:r>
      <w:r>
        <w:rPr>
          <w:spacing w:val="-107"/>
        </w:rPr>
      </w:r>
      <w:r>
        <w:rPr/>
        <w:t>5、荣信嘉时(北京)科技发展有限公司(以下简称“荣信嘉时”)</w:t>
      </w:r>
    </w:p>
    <w:p>
      <w:pPr>
        <w:pStyle w:val="BodyText"/>
        <w:spacing w:line="343" w:lineRule="auto" w:before="61"/>
        <w:ind w:right="230" w:firstLine="480"/>
        <w:jc w:val="both"/>
      </w:pPr>
      <w:r>
        <w:rPr/>
        <w:t>2008</w:t>
      </w:r>
      <w:r>
        <w:rPr>
          <w:spacing w:val="-41"/>
        </w:rPr>
        <w:t> </w:t>
      </w:r>
      <w:r>
        <w:rPr/>
        <w:t>年</w:t>
      </w:r>
      <w:r>
        <w:rPr>
          <w:spacing w:val="-41"/>
        </w:rPr>
        <w:t> </w:t>
      </w:r>
      <w:r>
        <w:rPr/>
        <w:t>3</w:t>
      </w:r>
      <w:r>
        <w:rPr>
          <w:spacing w:val="-40"/>
        </w:rPr>
        <w:t> </w:t>
      </w:r>
      <w:r>
        <w:rPr/>
        <w:t>月</w:t>
      </w:r>
      <w:r>
        <w:rPr>
          <w:spacing w:val="-41"/>
        </w:rPr>
        <w:t> </w:t>
      </w:r>
      <w:r>
        <w:rPr/>
        <w:t>13</w:t>
      </w:r>
      <w:r>
        <w:rPr>
          <w:spacing w:val="-41"/>
        </w:rPr>
        <w:t> </w:t>
      </w:r>
      <w:r>
        <w:rPr/>
        <w:t>日荣信嘉时经北京市科学技术委员会认定为高新技术企业, 目前尚未取</w:t>
      </w:r>
      <w:r>
        <w:rPr/>
        <w:t> 得国家税务局税收优惠的批准文，本年度暂按</w:t>
      </w:r>
      <w:r>
        <w:rPr>
          <w:spacing w:val="-60"/>
        </w:rPr>
        <w:t> </w:t>
      </w:r>
      <w:r>
        <w:rPr/>
        <w:t>25%的税率计提企业所得税。</w:t>
      </w:r>
    </w:p>
    <w:p>
      <w:pPr>
        <w:pStyle w:val="BodyText"/>
        <w:spacing w:line="240" w:lineRule="auto" w:before="152"/>
        <w:ind w:left="634" w:right="92"/>
        <w:jc w:val="left"/>
      </w:pPr>
      <w:r>
        <w:rPr/>
        <w:t>6、北京信力</w:t>
      </w:r>
    </w:p>
    <w:p>
      <w:pPr>
        <w:spacing w:line="240" w:lineRule="auto" w:before="7"/>
        <w:rPr>
          <w:rFonts w:ascii="宋体" w:hAnsi="宋体" w:cs="宋体" w:eastAsia="宋体" w:hint="default"/>
          <w:sz w:val="19"/>
          <w:szCs w:val="19"/>
        </w:rPr>
      </w:pPr>
    </w:p>
    <w:p>
      <w:pPr>
        <w:pStyle w:val="BodyText"/>
        <w:spacing w:line="343" w:lineRule="auto"/>
        <w:ind w:right="231" w:firstLine="495"/>
        <w:jc w:val="both"/>
      </w:pPr>
      <w:r>
        <w:rPr>
          <w:spacing w:val="2"/>
        </w:rPr>
        <w:t>2007</w:t>
      </w:r>
      <w:r>
        <w:rPr>
          <w:spacing w:val="-27"/>
        </w:rPr>
        <w:t> </w:t>
      </w:r>
      <w:r>
        <w:rPr/>
        <w:t>年</w:t>
      </w:r>
      <w:r>
        <w:rPr>
          <w:spacing w:val="-22"/>
        </w:rPr>
        <w:t> </w:t>
      </w:r>
      <w:r>
        <w:rPr/>
        <w:t>12</w:t>
      </w:r>
      <w:r>
        <w:rPr>
          <w:spacing w:val="-27"/>
        </w:rPr>
        <w:t> </w:t>
      </w:r>
      <w:r>
        <w:rPr/>
        <w:t>月</w:t>
      </w:r>
      <w:r>
        <w:rPr>
          <w:spacing w:val="-24"/>
        </w:rPr>
        <w:t> </w:t>
      </w:r>
      <w:r>
        <w:rPr/>
        <w:t>21</w:t>
      </w:r>
      <w:r>
        <w:rPr>
          <w:spacing w:val="-27"/>
        </w:rPr>
        <w:t> </w:t>
      </w:r>
      <w:r>
        <w:rPr/>
        <w:t>日北京信力经北京市科学技术委员会认定为高新技术企业,</w:t>
      </w:r>
      <w:r>
        <w:rPr>
          <w:spacing w:val="11"/>
        </w:rPr>
        <w:t> </w:t>
      </w:r>
      <w:r>
        <w:rPr/>
        <w:t>目前尚未</w:t>
      </w:r>
      <w:r>
        <w:rPr/>
        <w:t> 取得国家税务局税收优惠的批准文，本年度暂按</w:t>
      </w:r>
      <w:r>
        <w:rPr>
          <w:spacing w:val="-60"/>
        </w:rPr>
        <w:t> </w:t>
      </w:r>
      <w:r>
        <w:rPr/>
        <w:t>25%的税率计提企业所得税。</w:t>
      </w:r>
    </w:p>
    <w:p>
      <w:pPr>
        <w:pStyle w:val="BodyText"/>
        <w:spacing w:line="240" w:lineRule="auto" w:before="152"/>
        <w:ind w:left="634" w:right="92"/>
        <w:jc w:val="left"/>
      </w:pPr>
      <w:r>
        <w:rPr/>
        <w:t>(二)增值税</w:t>
      </w:r>
    </w:p>
    <w:p>
      <w:pPr>
        <w:spacing w:line="240" w:lineRule="auto" w:before="7"/>
        <w:rPr>
          <w:rFonts w:ascii="宋体" w:hAnsi="宋体" w:cs="宋体" w:eastAsia="宋体" w:hint="default"/>
          <w:sz w:val="19"/>
          <w:szCs w:val="19"/>
        </w:rPr>
      </w:pPr>
    </w:p>
    <w:p>
      <w:pPr>
        <w:pStyle w:val="BodyText"/>
        <w:spacing w:line="343" w:lineRule="auto"/>
        <w:ind w:right="229" w:firstLine="480"/>
        <w:jc w:val="both"/>
      </w:pPr>
      <w:r>
        <w:rPr/>
        <w:t>根据财政部、国家税务总局、海关总署财税[2000]25</w:t>
      </w:r>
      <w:r>
        <w:rPr>
          <w:spacing w:val="-81"/>
        </w:rPr>
        <w:t> </w:t>
      </w:r>
      <w:r>
        <w:rPr/>
        <w:t>号文《关于〈鼓励软件产业和集成</w:t>
      </w:r>
      <w:r>
        <w:rPr/>
        <w:t> </w:t>
      </w:r>
      <w:r>
        <w:rPr>
          <w:spacing w:val="-6"/>
        </w:rPr>
        <w:t>电路产业发展有关税收政策问题〉的通知》，自</w:t>
      </w:r>
      <w:r>
        <w:rPr>
          <w:spacing w:val="-55"/>
        </w:rPr>
        <w:t> </w:t>
      </w:r>
      <w:r>
        <w:rPr>
          <w:spacing w:val="27"/>
        </w:rPr>
        <w:t>2006年6月</w:t>
      </w:r>
      <w:r>
        <w:rPr>
          <w:spacing w:val="-55"/>
        </w:rPr>
        <w:t> </w:t>
      </w:r>
      <w:r>
        <w:rPr/>
        <w:t>24</w:t>
      </w:r>
      <w:r>
        <w:rPr>
          <w:spacing w:val="-55"/>
        </w:rPr>
        <w:t> </w:t>
      </w:r>
      <w:r>
        <w:rPr/>
        <w:t>日起至</w:t>
      </w:r>
      <w:r>
        <w:rPr>
          <w:spacing w:val="-55"/>
        </w:rPr>
        <w:t> </w:t>
      </w:r>
      <w:r>
        <w:rPr/>
        <w:t>2010</w:t>
      </w:r>
      <w:r>
        <w:rPr>
          <w:spacing w:val="-55"/>
        </w:rPr>
        <w:t> </w:t>
      </w:r>
      <w:r>
        <w:rPr/>
        <w:t>年底以前，对增</w:t>
      </w:r>
      <w:r>
        <w:rPr/>
        <w:t> 值税一般纳税人销售自行开发生产的软件产品，按</w:t>
      </w:r>
      <w:r>
        <w:rPr>
          <w:spacing w:val="14"/>
        </w:rPr>
        <w:t> </w:t>
      </w:r>
      <w:r>
        <w:rPr/>
        <w:t>17%的法定税率征收增值税后，对其增值</w:t>
      </w:r>
      <w:r>
        <w:rPr>
          <w:spacing w:val="-117"/>
        </w:rPr>
        <w:t> </w:t>
      </w:r>
      <w:r>
        <w:rPr>
          <w:spacing w:val="-117"/>
        </w:rPr>
      </w:r>
      <w:r>
        <w:rPr/>
        <w:t>税实际税负超过</w:t>
      </w:r>
      <w:r>
        <w:rPr>
          <w:spacing w:val="-65"/>
        </w:rPr>
        <w:t> </w:t>
      </w:r>
      <w:r>
        <w:rPr/>
        <w:t>3%的部分实行即征即退政策。本公司于</w:t>
      </w:r>
      <w:r>
        <w:rPr>
          <w:spacing w:val="-65"/>
        </w:rPr>
        <w:t> </w:t>
      </w:r>
      <w:r>
        <w:rPr/>
        <w:t>2002</w:t>
      </w:r>
      <w:r>
        <w:rPr>
          <w:spacing w:val="-65"/>
        </w:rPr>
        <w:t> </w:t>
      </w:r>
      <w:r>
        <w:rPr/>
        <w:t>年</w:t>
      </w:r>
      <w:r>
        <w:rPr>
          <w:spacing w:val="-55"/>
        </w:rPr>
        <w:t> </w:t>
      </w:r>
      <w:r>
        <w:rPr/>
        <w:t>9</w:t>
      </w:r>
      <w:r>
        <w:rPr>
          <w:spacing w:val="-59"/>
        </w:rPr>
        <w:t> </w:t>
      </w:r>
      <w:r>
        <w:rPr/>
        <w:t>月</w:t>
      </w:r>
      <w:r>
        <w:rPr>
          <w:spacing w:val="-55"/>
        </w:rPr>
        <w:t> </w:t>
      </w:r>
      <w:r>
        <w:rPr/>
        <w:t>3</w:t>
      </w:r>
      <w:r>
        <w:rPr>
          <w:spacing w:val="-59"/>
        </w:rPr>
        <w:t> </w:t>
      </w:r>
      <w:r>
        <w:rPr>
          <w:spacing w:val="7"/>
        </w:rPr>
        <w:t>日，经辽宁省软件企</w:t>
      </w:r>
      <w:r>
        <w:rPr/>
      </w:r>
    </w:p>
    <w:p>
      <w:pPr>
        <w:pStyle w:val="BodyText"/>
        <w:spacing w:line="240" w:lineRule="auto" w:before="32"/>
        <w:ind w:right="0"/>
        <w:jc w:val="both"/>
      </w:pPr>
      <w:r>
        <w:rPr>
          <w:spacing w:val="8"/>
        </w:rPr>
        <w:t>业办公室以辽软认字</w:t>
      </w:r>
      <w:r>
        <w:rPr>
          <w:spacing w:val="3"/>
        </w:rPr>
        <w:t>[</w:t>
      </w:r>
      <w:r>
        <w:rPr>
          <w:spacing w:val="4"/>
        </w:rPr>
        <w:t>2</w:t>
      </w:r>
      <w:r>
        <w:rPr>
          <w:spacing w:val="3"/>
        </w:rPr>
        <w:t>00</w:t>
      </w:r>
      <w:r>
        <w:rPr>
          <w:spacing w:val="4"/>
        </w:rPr>
        <w:t>2</w:t>
      </w:r>
      <w:r>
        <w:rPr>
          <w:spacing w:val="3"/>
        </w:rPr>
        <w:t>]</w:t>
      </w:r>
      <w:r>
        <w:rPr/>
        <w:t>4</w:t>
      </w:r>
      <w:r>
        <w:rPr>
          <w:spacing w:val="-53"/>
        </w:rPr>
        <w:t> </w:t>
      </w:r>
      <w:r>
        <w:rPr>
          <w:spacing w:val="8"/>
        </w:rPr>
        <w:t>号文认定本公司为软件企业</w:t>
      </w:r>
      <w:r>
        <w:rPr>
          <w:spacing w:val="-88"/>
        </w:rPr>
        <w:t>；</w:t>
      </w:r>
      <w:r>
        <w:rPr>
          <w:spacing w:val="8"/>
        </w:rPr>
        <w:t>诚和伟业</w:t>
      </w:r>
      <w:r>
        <w:rPr/>
        <w:t>于</w:t>
      </w:r>
      <w:r>
        <w:rPr>
          <w:spacing w:val="-51"/>
        </w:rPr>
        <w:t> </w:t>
      </w:r>
      <w:r>
        <w:rPr>
          <w:spacing w:val="3"/>
        </w:rPr>
        <w:t>200</w:t>
      </w:r>
      <w:r>
        <w:rPr/>
        <w:t>5</w:t>
      </w:r>
      <w:r>
        <w:rPr>
          <w:spacing w:val="-53"/>
        </w:rPr>
        <w:t> </w:t>
      </w:r>
      <w:r>
        <w:rPr/>
        <w:t>年</w:t>
      </w:r>
      <w:r>
        <w:rPr>
          <w:spacing w:val="-50"/>
        </w:rPr>
        <w:t> </w:t>
      </w:r>
      <w:r>
        <w:rPr/>
        <w:t>4</w:t>
      </w:r>
      <w:r>
        <w:rPr>
          <w:spacing w:val="-54"/>
        </w:rPr>
        <w:t> </w:t>
      </w:r>
      <w:r>
        <w:rPr/>
        <w:t>月</w:t>
      </w:r>
      <w:r>
        <w:rPr>
          <w:spacing w:val="-51"/>
        </w:rPr>
        <w:t> </w:t>
      </w:r>
      <w:r>
        <w:rPr>
          <w:spacing w:val="3"/>
        </w:rPr>
        <w:t>1</w:t>
      </w:r>
      <w:r>
        <w:rPr/>
        <w:t>8</w:t>
      </w:r>
      <w:r>
        <w:rPr>
          <w:spacing w:val="-54"/>
        </w:rPr>
        <w:t> </w:t>
      </w:r>
      <w:r>
        <w:rPr>
          <w:spacing w:val="7"/>
        </w:rPr>
        <w:t>日</w:t>
      </w:r>
      <w:r>
        <w:rPr/>
        <w:t>，</w:t>
      </w:r>
    </w:p>
    <w:p>
      <w:pPr>
        <w:pStyle w:val="BodyText"/>
        <w:spacing w:line="240" w:lineRule="auto" w:before="136"/>
        <w:ind w:left="153" w:right="0"/>
        <w:jc w:val="both"/>
      </w:pPr>
      <w:r>
        <w:rPr>
          <w:spacing w:val="6"/>
        </w:rPr>
        <w:t>经北京市科学技术委员会审核，认定为软件企业；荣信科技于</w:t>
      </w:r>
      <w:r>
        <w:rPr>
          <w:spacing w:val="-49"/>
        </w:rPr>
        <w:t> </w:t>
      </w:r>
      <w:r>
        <w:rPr>
          <w:spacing w:val="2"/>
        </w:rPr>
        <w:t>2005</w:t>
      </w:r>
      <w:r>
        <w:rPr>
          <w:spacing w:val="-51"/>
        </w:rPr>
        <w:t> </w:t>
      </w:r>
      <w:r>
        <w:rPr/>
        <w:t>年</w:t>
      </w:r>
      <w:r>
        <w:rPr>
          <w:spacing w:val="-48"/>
        </w:rPr>
        <w:t> </w:t>
      </w:r>
      <w:r>
        <w:rPr/>
        <w:t>4</w:t>
      </w:r>
      <w:r>
        <w:rPr>
          <w:spacing w:val="-52"/>
        </w:rPr>
        <w:t> </w:t>
      </w:r>
      <w:r>
        <w:rPr/>
        <w:t>月</w:t>
      </w:r>
      <w:r>
        <w:rPr>
          <w:spacing w:val="-49"/>
        </w:rPr>
        <w:t> </w:t>
      </w:r>
      <w:r>
        <w:rPr/>
        <w:t>27</w:t>
      </w:r>
      <w:r>
        <w:rPr>
          <w:spacing w:val="-52"/>
        </w:rPr>
        <w:t> </w:t>
      </w:r>
      <w:r>
        <w:rPr>
          <w:spacing w:val="6"/>
        </w:rPr>
        <w:t>日经辽宁省</w:t>
      </w:r>
    </w:p>
    <w:p>
      <w:pPr>
        <w:spacing w:after="0" w:line="240" w:lineRule="auto"/>
        <w:jc w:val="both"/>
        <w:sectPr>
          <w:pgSz w:w="11910" w:h="16840"/>
          <w:pgMar w:header="877" w:footer="1022" w:top="1100" w:bottom="1220" w:left="980" w:right="900"/>
        </w:sectPr>
      </w:pPr>
    </w:p>
    <w:p>
      <w:pPr>
        <w:spacing w:line="240" w:lineRule="auto" w:before="0"/>
        <w:rPr>
          <w:rFonts w:ascii="宋体" w:hAnsi="宋体" w:cs="宋体" w:eastAsia="宋体" w:hint="default"/>
          <w:sz w:val="20"/>
          <w:szCs w:val="20"/>
        </w:rPr>
      </w:pPr>
    </w:p>
    <w:p>
      <w:pPr>
        <w:pStyle w:val="BodyText"/>
        <w:spacing w:line="343" w:lineRule="auto" w:before="158"/>
        <w:ind w:right="147"/>
        <w:jc w:val="left"/>
      </w:pPr>
      <w:r>
        <w:rPr>
          <w:spacing w:val="7"/>
        </w:rPr>
        <w:t>软件企业认定办公室审核，认定为软件企业。荣信嘉时于</w:t>
      </w:r>
      <w:r>
        <w:rPr>
          <w:spacing w:val="-34"/>
        </w:rPr>
        <w:t> </w:t>
      </w:r>
      <w:r>
        <w:rPr>
          <w:spacing w:val="2"/>
        </w:rPr>
        <w:t>2007</w:t>
      </w:r>
      <w:r>
        <w:rPr>
          <w:spacing w:val="-36"/>
        </w:rPr>
        <w:t> </w:t>
      </w:r>
      <w:r>
        <w:rPr/>
        <w:t>年</w:t>
      </w:r>
      <w:r>
        <w:rPr>
          <w:spacing w:val="-32"/>
        </w:rPr>
        <w:t> </w:t>
      </w:r>
      <w:r>
        <w:rPr/>
        <w:t>12</w:t>
      </w:r>
      <w:r>
        <w:rPr>
          <w:spacing w:val="-36"/>
        </w:rPr>
        <w:t> </w:t>
      </w:r>
      <w:r>
        <w:rPr/>
        <w:t>月</w:t>
      </w:r>
      <w:r>
        <w:rPr>
          <w:spacing w:val="-34"/>
        </w:rPr>
        <w:t> </w:t>
      </w:r>
      <w:r>
        <w:rPr/>
        <w:t>28</w:t>
      </w:r>
      <w:r>
        <w:rPr>
          <w:spacing w:val="-36"/>
        </w:rPr>
        <w:t> </w:t>
      </w:r>
      <w:r>
        <w:rPr>
          <w:spacing w:val="8"/>
        </w:rPr>
        <w:t>日经北京市科</w:t>
      </w:r>
      <w:r>
        <w:rPr>
          <w:spacing w:val="8"/>
        </w:rPr>
        <w:t> 学技术委员会审核，认定为软件企业。</w:t>
      </w:r>
      <w:r>
        <w:rPr/>
      </w:r>
    </w:p>
    <w:p>
      <w:pPr>
        <w:pStyle w:val="Heading4"/>
        <w:spacing w:line="472" w:lineRule="auto" w:before="203"/>
        <w:ind w:left="634" w:right="4508" w:firstLine="60"/>
        <w:jc w:val="left"/>
        <w:rPr>
          <w:rFonts w:ascii="宋体" w:hAnsi="宋体" w:cs="宋体" w:eastAsia="宋体" w:hint="default"/>
          <w:b w:val="0"/>
          <w:bCs w:val="0"/>
        </w:rPr>
      </w:pPr>
      <w:r>
        <w:rPr>
          <w:rFonts w:ascii="黑体" w:hAnsi="黑体" w:cs="黑体" w:eastAsia="黑体" w:hint="default"/>
          <w:w w:val="95"/>
        </w:rPr>
        <w:t>六、子公司、合并财务报表的范围、企业合并</w:t>
      </w:r>
      <w:r>
        <w:rPr>
          <w:rFonts w:ascii="黑体" w:hAnsi="黑体" w:cs="黑体" w:eastAsia="黑体" w:hint="default"/>
          <w:spacing w:val="47"/>
          <w:w w:val="95"/>
        </w:rPr>
        <w:t> </w:t>
      </w:r>
      <w:r>
        <w:rPr/>
        <w:t>(一)子公司和合并财务报表的范围</w:t>
      </w:r>
      <w:r>
        <w:rPr>
          <w:w w:val="99"/>
        </w:rPr>
        <w:t> </w:t>
      </w:r>
      <w:r>
        <w:rPr>
          <w:rFonts w:ascii="宋体" w:hAnsi="宋体" w:cs="宋体" w:eastAsia="宋体" w:hint="default"/>
          <w:b w:val="0"/>
          <w:bCs w:val="0"/>
        </w:rPr>
        <w:t>1、子公司：</w:t>
      </w:r>
    </w:p>
    <w:p>
      <w:pPr>
        <w:spacing w:line="240" w:lineRule="auto" w:before="4"/>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849"/>
        <w:gridCol w:w="144"/>
        <w:gridCol w:w="858"/>
        <w:gridCol w:w="162"/>
        <w:gridCol w:w="961"/>
        <w:gridCol w:w="156"/>
        <w:gridCol w:w="2414"/>
        <w:gridCol w:w="39"/>
        <w:gridCol w:w="782"/>
        <w:gridCol w:w="125"/>
        <w:gridCol w:w="1224"/>
        <w:gridCol w:w="137"/>
        <w:gridCol w:w="377"/>
        <w:gridCol w:w="1403"/>
      </w:tblGrid>
      <w:tr>
        <w:trPr>
          <w:trHeight w:val="290" w:hRule="exact"/>
        </w:trPr>
        <w:tc>
          <w:tcPr>
            <w:tcW w:w="849" w:type="dxa"/>
            <w:vMerge w:val="restart"/>
            <w:tcBorders>
              <w:top w:val="nil" w:sz="6" w:space="0" w:color="auto"/>
              <w:left w:val="nil" w:sz="6" w:space="0" w:color="auto"/>
              <w:right w:val="nil" w:sz="6" w:space="0" w:color="auto"/>
            </w:tcBorders>
          </w:tcPr>
          <w:p>
            <w:pPr>
              <w:pStyle w:val="TableParagraph"/>
              <w:spacing w:line="240" w:lineRule="auto" w:before="144"/>
              <w:ind w:left="247"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44" w:type="dxa"/>
            <w:vMerge w:val="restart"/>
            <w:tcBorders>
              <w:top w:val="nil" w:sz="6" w:space="0" w:color="auto"/>
              <w:left w:val="nil" w:sz="6" w:space="0" w:color="auto"/>
              <w:right w:val="nil" w:sz="6" w:space="0" w:color="auto"/>
            </w:tcBorders>
          </w:tcPr>
          <w:p>
            <w:pPr/>
          </w:p>
        </w:tc>
        <w:tc>
          <w:tcPr>
            <w:tcW w:w="858" w:type="dxa"/>
            <w:vMerge w:val="restart"/>
            <w:tcBorders>
              <w:top w:val="nil" w:sz="6" w:space="0" w:color="auto"/>
              <w:left w:val="nil" w:sz="6" w:space="0" w:color="auto"/>
              <w:right w:val="nil" w:sz="6" w:space="0" w:color="auto"/>
            </w:tcBorders>
          </w:tcPr>
          <w:p>
            <w:pPr>
              <w:pStyle w:val="TableParagraph"/>
              <w:spacing w:line="240" w:lineRule="auto" w:before="144"/>
              <w:ind w:left="16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62" w:type="dxa"/>
            <w:vMerge w:val="restart"/>
            <w:tcBorders>
              <w:top w:val="nil" w:sz="6" w:space="0" w:color="auto"/>
              <w:left w:val="nil" w:sz="6" w:space="0" w:color="auto"/>
              <w:right w:val="nil" w:sz="6" w:space="0" w:color="auto"/>
            </w:tcBorders>
          </w:tcPr>
          <w:p>
            <w:pPr/>
          </w:p>
        </w:tc>
        <w:tc>
          <w:tcPr>
            <w:tcW w:w="961" w:type="dxa"/>
            <w:vMerge w:val="restart"/>
            <w:tcBorders>
              <w:top w:val="nil" w:sz="6" w:space="0" w:color="auto"/>
              <w:left w:val="nil" w:sz="6" w:space="0" w:color="auto"/>
              <w:right w:val="nil" w:sz="6" w:space="0" w:color="auto"/>
            </w:tcBorders>
          </w:tcPr>
          <w:p>
            <w:pPr>
              <w:pStyle w:val="TableParagraph"/>
              <w:spacing w:line="240" w:lineRule="auto" w:before="144"/>
              <w:ind w:left="12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6" w:type="dxa"/>
            <w:vMerge w:val="restart"/>
            <w:tcBorders>
              <w:top w:val="nil" w:sz="6" w:space="0" w:color="auto"/>
              <w:left w:val="nil" w:sz="6" w:space="0" w:color="auto"/>
              <w:right w:val="nil" w:sz="6" w:space="0" w:color="auto"/>
            </w:tcBorders>
          </w:tcPr>
          <w:p>
            <w:pPr/>
          </w:p>
        </w:tc>
        <w:tc>
          <w:tcPr>
            <w:tcW w:w="2414" w:type="dxa"/>
            <w:vMerge w:val="restart"/>
            <w:tcBorders>
              <w:top w:val="nil" w:sz="6" w:space="0" w:color="auto"/>
              <w:left w:val="nil" w:sz="6" w:space="0" w:color="auto"/>
              <w:right w:val="nil" w:sz="6" w:space="0" w:color="auto"/>
            </w:tcBorders>
          </w:tcPr>
          <w:p>
            <w:pPr>
              <w:pStyle w:val="TableParagraph"/>
              <w:spacing w:line="240" w:lineRule="auto" w:before="144"/>
              <w:ind w:left="357" w:right="0"/>
              <w:jc w:val="left"/>
              <w:rPr>
                <w:rFonts w:ascii="宋体" w:hAnsi="宋体" w:cs="宋体" w:eastAsia="宋体" w:hint="default"/>
                <w:sz w:val="18"/>
                <w:szCs w:val="18"/>
              </w:rPr>
            </w:pPr>
            <w:r>
              <w:rPr>
                <w:rFonts w:ascii="宋体" w:hAnsi="宋体" w:cs="宋体" w:eastAsia="宋体" w:hint="default"/>
                <w:sz w:val="18"/>
                <w:szCs w:val="18"/>
              </w:rPr>
              <w:t>业务性质及经营范围</w:t>
            </w:r>
          </w:p>
        </w:tc>
        <w:tc>
          <w:tcPr>
            <w:tcW w:w="39" w:type="dxa"/>
            <w:vMerge w:val="restart"/>
            <w:tcBorders>
              <w:top w:val="nil" w:sz="6" w:space="0" w:color="auto"/>
              <w:left w:val="nil" w:sz="6" w:space="0" w:color="auto"/>
              <w:right w:val="nil" w:sz="6" w:space="0" w:color="auto"/>
            </w:tcBorders>
          </w:tcPr>
          <w:p>
            <w:pPr/>
          </w:p>
        </w:tc>
        <w:tc>
          <w:tcPr>
            <w:tcW w:w="2645" w:type="dxa"/>
            <w:gridSpan w:val="5"/>
            <w:tcBorders>
              <w:top w:val="nil" w:sz="6" w:space="0" w:color="auto"/>
              <w:left w:val="nil" w:sz="6" w:space="0" w:color="auto"/>
              <w:bottom w:val="nil" w:sz="6" w:space="0" w:color="auto"/>
              <w:right w:val="nil" w:sz="6" w:space="0" w:color="auto"/>
            </w:tcBorders>
          </w:tcPr>
          <w:p>
            <w:pPr>
              <w:pStyle w:val="TableParagraph"/>
              <w:tabs>
                <w:tab w:pos="2444" w:val="left" w:leader="none"/>
              </w:tabs>
              <w:spacing w:line="180" w:lineRule="exact"/>
              <w:ind w:left="262" w:right="0"/>
              <w:jc w:val="left"/>
              <w:rPr>
                <w:rFonts w:ascii="宋体" w:hAnsi="宋体" w:cs="宋体" w:eastAsia="宋体" w:hint="default"/>
                <w:sz w:val="18"/>
                <w:szCs w:val="18"/>
              </w:rPr>
            </w:pPr>
            <w:r>
              <w:rPr>
                <w:rFonts w:ascii="宋体" w:hAnsi="宋体" w:cs="宋体" w:eastAsia="宋体" w:hint="default"/>
                <w:sz w:val="18"/>
                <w:szCs w:val="18"/>
              </w:rPr>
              <w:t>本公司持有权益比例</w:t>
              <w:tab/>
              <w:t>本</w:t>
            </w:r>
          </w:p>
        </w:tc>
        <w:tc>
          <w:tcPr>
            <w:tcW w:w="1403" w:type="dxa"/>
            <w:tcBorders>
              <w:top w:val="nil" w:sz="6" w:space="0" w:color="auto"/>
              <w:left w:val="nil" w:sz="6" w:space="0" w:color="auto"/>
              <w:bottom w:val="single" w:sz="4" w:space="0" w:color="000000"/>
              <w:right w:val="nil" w:sz="6" w:space="0" w:color="auto"/>
            </w:tcBorders>
          </w:tcPr>
          <w:p>
            <w:pPr>
              <w:pStyle w:val="TableParagraph"/>
              <w:spacing w:line="180" w:lineRule="exact"/>
              <w:ind w:left="-21" w:right="0"/>
              <w:jc w:val="left"/>
              <w:rPr>
                <w:rFonts w:ascii="宋体" w:hAnsi="宋体" w:cs="宋体" w:eastAsia="宋体" w:hint="default"/>
                <w:sz w:val="18"/>
                <w:szCs w:val="18"/>
              </w:rPr>
            </w:pPr>
            <w:r>
              <w:rPr>
                <w:rFonts w:ascii="宋体" w:hAnsi="宋体" w:cs="宋体" w:eastAsia="宋体" w:hint="default"/>
                <w:sz w:val="18"/>
                <w:szCs w:val="18"/>
              </w:rPr>
              <w:t>公司表决权比例</w:t>
            </w:r>
          </w:p>
        </w:tc>
      </w:tr>
      <w:tr>
        <w:trPr>
          <w:trHeight w:val="402" w:hRule="exact"/>
        </w:trPr>
        <w:tc>
          <w:tcPr>
            <w:tcW w:w="849" w:type="dxa"/>
            <w:vMerge/>
            <w:tcBorders>
              <w:left w:val="nil" w:sz="6" w:space="0" w:color="auto"/>
              <w:bottom w:val="single" w:sz="4" w:space="0" w:color="000000"/>
              <w:right w:val="nil" w:sz="6" w:space="0" w:color="auto"/>
            </w:tcBorders>
          </w:tcPr>
          <w:p>
            <w:pPr/>
          </w:p>
        </w:tc>
        <w:tc>
          <w:tcPr>
            <w:tcW w:w="144" w:type="dxa"/>
            <w:vMerge/>
            <w:tcBorders>
              <w:left w:val="nil" w:sz="6" w:space="0" w:color="auto"/>
              <w:bottom w:val="nil" w:sz="6" w:space="0" w:color="auto"/>
              <w:right w:val="nil" w:sz="6" w:space="0" w:color="auto"/>
            </w:tcBorders>
          </w:tcPr>
          <w:p>
            <w:pPr/>
          </w:p>
        </w:tc>
        <w:tc>
          <w:tcPr>
            <w:tcW w:w="858" w:type="dxa"/>
            <w:vMerge/>
            <w:tcBorders>
              <w:left w:val="nil" w:sz="6" w:space="0" w:color="auto"/>
              <w:bottom w:val="single" w:sz="4" w:space="0" w:color="000000"/>
              <w:right w:val="nil" w:sz="6" w:space="0" w:color="auto"/>
            </w:tcBorders>
          </w:tcPr>
          <w:p>
            <w:pPr/>
          </w:p>
        </w:tc>
        <w:tc>
          <w:tcPr>
            <w:tcW w:w="162" w:type="dxa"/>
            <w:vMerge/>
            <w:tcBorders>
              <w:left w:val="nil" w:sz="6" w:space="0" w:color="auto"/>
              <w:bottom w:val="nil" w:sz="6" w:space="0" w:color="auto"/>
              <w:right w:val="nil" w:sz="6" w:space="0" w:color="auto"/>
            </w:tcBorders>
          </w:tcPr>
          <w:p>
            <w:pPr/>
          </w:p>
        </w:tc>
        <w:tc>
          <w:tcPr>
            <w:tcW w:w="961" w:type="dxa"/>
            <w:vMerge/>
            <w:tcBorders>
              <w:left w:val="nil" w:sz="6" w:space="0" w:color="auto"/>
              <w:bottom w:val="single" w:sz="4" w:space="0" w:color="000000"/>
              <w:right w:val="nil" w:sz="6" w:space="0" w:color="auto"/>
            </w:tcBorders>
          </w:tcPr>
          <w:p>
            <w:pPr/>
          </w:p>
        </w:tc>
        <w:tc>
          <w:tcPr>
            <w:tcW w:w="156" w:type="dxa"/>
            <w:vMerge/>
            <w:tcBorders>
              <w:left w:val="nil" w:sz="6" w:space="0" w:color="auto"/>
              <w:bottom w:val="nil" w:sz="6" w:space="0" w:color="auto"/>
              <w:right w:val="nil" w:sz="6" w:space="0" w:color="auto"/>
            </w:tcBorders>
          </w:tcPr>
          <w:p>
            <w:pPr/>
          </w:p>
        </w:tc>
        <w:tc>
          <w:tcPr>
            <w:tcW w:w="2414" w:type="dxa"/>
            <w:vMerge/>
            <w:tcBorders>
              <w:left w:val="nil" w:sz="6" w:space="0" w:color="auto"/>
              <w:bottom w:val="single" w:sz="4" w:space="0" w:color="000000"/>
              <w:right w:val="nil" w:sz="6" w:space="0" w:color="auto"/>
            </w:tcBorders>
          </w:tcPr>
          <w:p>
            <w:pPr/>
          </w:p>
        </w:tc>
        <w:tc>
          <w:tcPr>
            <w:tcW w:w="39" w:type="dxa"/>
            <w:vMerge/>
            <w:tcBorders>
              <w:left w:val="nil" w:sz="6" w:space="0" w:color="auto"/>
              <w:bottom w:val="nil" w:sz="6" w:space="0" w:color="auto"/>
              <w:right w:val="nil" w:sz="6" w:space="0" w:color="auto"/>
            </w:tcBorders>
          </w:tcPr>
          <w:p>
            <w:pPr/>
          </w:p>
        </w:tc>
        <w:tc>
          <w:tcPr>
            <w:tcW w:w="78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25" w:type="dxa"/>
            <w:tcBorders>
              <w:top w:val="single" w:sz="4" w:space="0" w:color="000000"/>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7" w:type="dxa"/>
            <w:tcBorders>
              <w:top w:val="nil" w:sz="6" w:space="0" w:color="auto"/>
              <w:left w:val="nil" w:sz="6" w:space="0" w:color="auto"/>
              <w:bottom w:val="nil" w:sz="6" w:space="0" w:color="auto"/>
              <w:right w:val="nil" w:sz="6" w:space="0" w:color="auto"/>
            </w:tcBorders>
          </w:tcPr>
          <w:p>
            <w:pPr/>
          </w:p>
        </w:tc>
        <w:tc>
          <w:tcPr>
            <w:tcW w:w="37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z w:val="18"/>
                <w:szCs w:val="18"/>
              </w:rPr>
              <w:t>直</w:t>
            </w:r>
          </w:p>
        </w:tc>
        <w:tc>
          <w:tcPr>
            <w:tcW w:w="1403" w:type="dxa"/>
            <w:tcBorders>
              <w:top w:val="single" w:sz="4" w:space="0" w:color="000000"/>
              <w:left w:val="nil" w:sz="6" w:space="0" w:color="auto"/>
              <w:bottom w:val="single" w:sz="4" w:space="0" w:color="000000"/>
              <w:right w:val="nil" w:sz="6" w:space="0" w:color="auto"/>
            </w:tcBorders>
          </w:tcPr>
          <w:p>
            <w:pPr>
              <w:pStyle w:val="TableParagraph"/>
              <w:tabs>
                <w:tab w:pos="799" w:val="left" w:leader="none"/>
              </w:tabs>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接</w:t>
              <w:tab/>
              <w:t>间接</w:t>
            </w:r>
          </w:p>
        </w:tc>
      </w:tr>
      <w:tr>
        <w:trPr>
          <w:trHeight w:val="2582" w:hRule="exact"/>
        </w:trPr>
        <w:tc>
          <w:tcPr>
            <w:tcW w:w="849"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诚和伟业</w:t>
            </w:r>
          </w:p>
        </w:tc>
        <w:tc>
          <w:tcPr>
            <w:tcW w:w="144" w:type="dxa"/>
            <w:tcBorders>
              <w:top w:val="nil" w:sz="6" w:space="0" w:color="auto"/>
              <w:left w:val="nil" w:sz="6" w:space="0" w:color="auto"/>
              <w:bottom w:val="nil" w:sz="6" w:space="0" w:color="auto"/>
              <w:right w:val="nil" w:sz="6" w:space="0" w:color="auto"/>
            </w:tcBorders>
          </w:tcPr>
          <w:p>
            <w:pPr/>
          </w:p>
        </w:tc>
        <w:tc>
          <w:tcPr>
            <w:tcW w:w="85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62" w:type="dxa"/>
            <w:tcBorders>
              <w:top w:val="nil" w:sz="6" w:space="0" w:color="auto"/>
              <w:left w:val="nil" w:sz="6" w:space="0" w:color="auto"/>
              <w:bottom w:val="nil" w:sz="6" w:space="0" w:color="auto"/>
              <w:right w:val="nil" w:sz="6" w:space="0" w:color="auto"/>
            </w:tcBorders>
          </w:tcPr>
          <w:p>
            <w:pPr/>
          </w:p>
        </w:tc>
        <w:tc>
          <w:tcPr>
            <w:tcW w:w="96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240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56" w:type="dxa"/>
            <w:tcBorders>
              <w:top w:val="nil" w:sz="6" w:space="0" w:color="auto"/>
              <w:left w:val="nil" w:sz="6" w:space="0" w:color="auto"/>
              <w:bottom w:val="nil" w:sz="6" w:space="0" w:color="auto"/>
              <w:right w:val="nil" w:sz="6" w:space="0" w:color="auto"/>
            </w:tcBorders>
          </w:tcPr>
          <w:p>
            <w:pPr/>
          </w:p>
        </w:tc>
        <w:tc>
          <w:tcPr>
            <w:tcW w:w="2414" w:type="dxa"/>
            <w:tcBorders>
              <w:top w:val="single" w:sz="4" w:space="0" w:color="000000"/>
              <w:left w:val="nil" w:sz="6" w:space="0" w:color="auto"/>
              <w:bottom w:val="nil" w:sz="6" w:space="0" w:color="auto"/>
              <w:right w:val="nil" w:sz="6" w:space="0" w:color="auto"/>
            </w:tcBorders>
          </w:tcPr>
          <w:p>
            <w:pPr>
              <w:pStyle w:val="TableParagraph"/>
              <w:spacing w:line="316" w:lineRule="auto" w:before="51"/>
              <w:ind w:left="7" w:right="69" w:hanging="1"/>
              <w:jc w:val="both"/>
              <w:rPr>
                <w:rFonts w:ascii="宋体" w:hAnsi="宋体" w:cs="宋体" w:eastAsia="宋体" w:hint="default"/>
                <w:sz w:val="18"/>
                <w:szCs w:val="18"/>
              </w:rPr>
            </w:pPr>
            <w:r>
              <w:rPr>
                <w:rFonts w:ascii="宋体" w:hAnsi="宋体" w:cs="宋体" w:eastAsia="宋体" w:hint="default"/>
                <w:spacing w:val="-14"/>
                <w:sz w:val="18"/>
                <w:szCs w:val="18"/>
              </w:rPr>
              <w:t>法律、行政法规、国务院决定禁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4"/>
                <w:sz w:val="18"/>
                <w:szCs w:val="18"/>
              </w:rPr>
              <w:t>止的，不得经营；法律、行政法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规、国务院决定规定应经许可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的，经审批机关批准并经工商行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政管理机关登记注册后方可经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4"/>
                <w:sz w:val="18"/>
                <w:szCs w:val="18"/>
              </w:rPr>
              <w:t>营；法律、行政法规、国务院决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5"/>
                <w:sz w:val="18"/>
                <w:szCs w:val="18"/>
              </w:rPr>
              <w:t>定未规定许可的，自主选择经营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2"/>
                <w:sz w:val="18"/>
                <w:szCs w:val="18"/>
              </w:rPr>
              <w:t>项目开展经营活动。</w:t>
            </w:r>
            <w:r>
              <w:rPr>
                <w:rFonts w:ascii="宋体" w:hAnsi="宋体" w:cs="宋体" w:eastAsia="宋体" w:hint="default"/>
                <w:sz w:val="18"/>
                <w:szCs w:val="18"/>
              </w:rPr>
            </w:r>
          </w:p>
        </w:tc>
        <w:tc>
          <w:tcPr>
            <w:tcW w:w="39" w:type="dxa"/>
            <w:tcBorders>
              <w:top w:val="nil" w:sz="6" w:space="0" w:color="auto"/>
              <w:left w:val="nil" w:sz="6" w:space="0" w:color="auto"/>
              <w:bottom w:val="nil" w:sz="6" w:space="0" w:color="auto"/>
              <w:right w:val="nil" w:sz="6" w:space="0" w:color="auto"/>
            </w:tcBorders>
          </w:tcPr>
          <w:p>
            <w:pPr/>
          </w:p>
        </w:tc>
        <w:tc>
          <w:tcPr>
            <w:tcW w:w="78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100%</w:t>
            </w:r>
          </w:p>
        </w:tc>
        <w:tc>
          <w:tcPr>
            <w:tcW w:w="125" w:type="dxa"/>
            <w:tcBorders>
              <w:top w:val="nil" w:sz="6" w:space="0" w:color="auto"/>
              <w:left w:val="nil" w:sz="6" w:space="0" w:color="auto"/>
              <w:bottom w:val="nil" w:sz="6" w:space="0" w:color="auto"/>
              <w:right w:val="nil" w:sz="6" w:space="0" w:color="auto"/>
            </w:tcBorders>
          </w:tcPr>
          <w:p>
            <w:pP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37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w:t>
            </w:r>
          </w:p>
        </w:tc>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tabs>
                <w:tab w:pos="935" w:val="left" w:leader="none"/>
              </w:tabs>
              <w:spacing w:line="240" w:lineRule="auto"/>
              <w:ind w:left="20" w:right="0"/>
              <w:jc w:val="left"/>
              <w:rPr>
                <w:rFonts w:ascii="宋体" w:hAnsi="宋体" w:cs="宋体" w:eastAsia="宋体" w:hint="default"/>
                <w:sz w:val="18"/>
                <w:szCs w:val="18"/>
              </w:rPr>
            </w:pPr>
            <w:r>
              <w:rPr>
                <w:rFonts w:ascii="宋体"/>
                <w:sz w:val="18"/>
              </w:rPr>
              <w:t>0%</w:t>
              <w:tab/>
              <w:t>-</w:t>
            </w:r>
          </w:p>
        </w:tc>
      </w:tr>
      <w:tr>
        <w:trPr>
          <w:trHeight w:val="2576" w:hRule="exact"/>
        </w:trPr>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荣信科技</w:t>
            </w:r>
          </w:p>
        </w:tc>
        <w:tc>
          <w:tcPr>
            <w:tcW w:w="144"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鞍山</w:t>
            </w:r>
          </w:p>
        </w:tc>
        <w:tc>
          <w:tcPr>
            <w:tcW w:w="162"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56"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316" w:lineRule="auto" w:before="50"/>
              <w:ind w:left="7" w:right="52" w:hanging="1"/>
              <w:jc w:val="both"/>
              <w:rPr>
                <w:rFonts w:ascii="宋体" w:hAnsi="宋体" w:cs="宋体" w:eastAsia="宋体" w:hint="default"/>
                <w:sz w:val="18"/>
                <w:szCs w:val="18"/>
              </w:rPr>
            </w:pPr>
            <w:r>
              <w:rPr>
                <w:rFonts w:ascii="宋体" w:hAnsi="宋体" w:cs="宋体" w:eastAsia="宋体" w:hint="default"/>
                <w:spacing w:val="-14"/>
                <w:sz w:val="18"/>
                <w:szCs w:val="18"/>
              </w:rPr>
              <w:t>行业应用软件服务、嵌入式软件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服务及软件销售；智能控制系</w:t>
            </w:r>
            <w:r>
              <w:rPr>
                <w:rFonts w:ascii="宋体" w:hAnsi="宋体" w:cs="宋体" w:eastAsia="宋体" w:hint="default"/>
                <w:sz w:val="18"/>
                <w:szCs w:val="18"/>
              </w:rPr>
              <w:t> </w:t>
            </w:r>
            <w:r>
              <w:rPr>
                <w:rFonts w:ascii="宋体" w:hAnsi="宋体" w:cs="宋体" w:eastAsia="宋体" w:hint="default"/>
                <w:spacing w:val="-12"/>
                <w:sz w:val="18"/>
                <w:szCs w:val="18"/>
              </w:rPr>
              <w:t>统、自动化成套控制装置系统、</w:t>
            </w:r>
            <w:r>
              <w:rPr>
                <w:rFonts w:ascii="宋体" w:hAnsi="宋体" w:cs="宋体" w:eastAsia="宋体" w:hint="default"/>
                <w:spacing w:val="-12"/>
                <w:sz w:val="18"/>
                <w:szCs w:val="18"/>
              </w:rPr>
              <w:t> </w:t>
            </w:r>
            <w:r>
              <w:rPr>
                <w:rFonts w:ascii="宋体" w:hAnsi="宋体" w:cs="宋体" w:eastAsia="宋体" w:hint="default"/>
                <w:spacing w:val="-14"/>
                <w:sz w:val="18"/>
                <w:szCs w:val="18"/>
              </w:rPr>
              <w:t>自动化控制系统配件的开发；销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售计算机及辅助设备、电气机</w:t>
            </w:r>
            <w:r>
              <w:rPr>
                <w:rFonts w:ascii="宋体" w:hAnsi="宋体" w:cs="宋体" w:eastAsia="宋体" w:hint="default"/>
                <w:sz w:val="18"/>
                <w:szCs w:val="18"/>
              </w:rPr>
              <w:t> </w:t>
            </w:r>
            <w:r>
              <w:rPr>
                <w:rFonts w:ascii="宋体" w:hAnsi="宋体" w:cs="宋体" w:eastAsia="宋体" w:hint="default"/>
                <w:spacing w:val="-8"/>
                <w:sz w:val="18"/>
                <w:szCs w:val="18"/>
              </w:rPr>
              <w:t>械、电子产品、器件和元件(涉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及到资质证及许可证的需凭资</w:t>
            </w:r>
            <w:r>
              <w:rPr>
                <w:rFonts w:ascii="宋体" w:hAnsi="宋体" w:cs="宋体" w:eastAsia="宋体" w:hint="default"/>
                <w:sz w:val="18"/>
                <w:szCs w:val="18"/>
              </w:rPr>
              <w:t> </w:t>
            </w:r>
            <w:r>
              <w:rPr>
                <w:rFonts w:ascii="宋体" w:hAnsi="宋体" w:cs="宋体" w:eastAsia="宋体" w:hint="default"/>
                <w:spacing w:val="-11"/>
                <w:sz w:val="18"/>
                <w:szCs w:val="18"/>
              </w:rPr>
              <w:t>质证及许可证经营)。</w:t>
            </w:r>
          </w:p>
        </w:tc>
        <w:tc>
          <w:tcPr>
            <w:tcW w:w="3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100%</w:t>
            </w:r>
          </w:p>
        </w:tc>
        <w:tc>
          <w:tcPr>
            <w:tcW w:w="125"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tabs>
                <w:tab w:pos="935" w:val="left" w:leader="none"/>
              </w:tabs>
              <w:spacing w:line="240" w:lineRule="auto"/>
              <w:ind w:left="20" w:right="0"/>
              <w:jc w:val="left"/>
              <w:rPr>
                <w:rFonts w:ascii="宋体" w:hAnsi="宋体" w:cs="宋体" w:eastAsia="宋体" w:hint="default"/>
                <w:sz w:val="18"/>
                <w:szCs w:val="18"/>
              </w:rPr>
            </w:pPr>
            <w:r>
              <w:rPr>
                <w:rFonts w:ascii="宋体"/>
                <w:sz w:val="18"/>
              </w:rPr>
              <w:t>0%</w:t>
              <w:tab/>
              <w:t>-</w:t>
            </w:r>
          </w:p>
        </w:tc>
      </w:tr>
      <w:tr>
        <w:trPr>
          <w:trHeight w:val="1952" w:hRule="exact"/>
        </w:trPr>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left"/>
              <w:rPr>
                <w:rFonts w:ascii="宋体" w:hAnsi="宋体" w:cs="宋体" w:eastAsia="宋体" w:hint="default"/>
                <w:sz w:val="18"/>
                <w:szCs w:val="18"/>
              </w:rPr>
            </w:pPr>
            <w:r>
              <w:rPr>
                <w:rFonts w:ascii="宋体" w:hAnsi="宋体" w:cs="宋体" w:eastAsia="宋体" w:hint="default"/>
                <w:sz w:val="18"/>
                <w:szCs w:val="18"/>
              </w:rPr>
              <w:t>清方荣信</w:t>
            </w:r>
          </w:p>
        </w:tc>
        <w:tc>
          <w:tcPr>
            <w:tcW w:w="144"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62"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0" w:right="0"/>
              <w:jc w:val="lef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56"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316" w:lineRule="auto" w:before="50"/>
              <w:ind w:left="6" w:right="0"/>
              <w:jc w:val="left"/>
              <w:rPr>
                <w:rFonts w:ascii="宋体" w:hAnsi="宋体" w:cs="宋体" w:eastAsia="宋体" w:hint="default"/>
                <w:sz w:val="18"/>
                <w:szCs w:val="18"/>
              </w:rPr>
            </w:pPr>
            <w:r>
              <w:rPr>
                <w:rFonts w:ascii="宋体" w:hAnsi="宋体" w:cs="宋体" w:eastAsia="宋体" w:hint="default"/>
                <w:spacing w:val="-14"/>
                <w:sz w:val="18"/>
                <w:szCs w:val="18"/>
              </w:rPr>
              <w:t>电子产品、电气设备的设计、销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4"/>
                <w:sz w:val="18"/>
                <w:szCs w:val="18"/>
              </w:rPr>
              <w:t>售、计算机软件开发、应用、销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0"/>
                <w:sz w:val="18"/>
                <w:szCs w:val="18"/>
              </w:rPr>
              <w:t>售，机械设备，仪器仪表的销售，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从事货物与技术的进出口业务</w:t>
            </w:r>
            <w:r>
              <w:rPr>
                <w:rFonts w:ascii="宋体" w:hAnsi="宋体" w:cs="宋体" w:eastAsia="宋体" w:hint="default"/>
                <w:sz w:val="18"/>
                <w:szCs w:val="18"/>
              </w:rPr>
              <w:t> </w:t>
            </w:r>
            <w:r>
              <w:rPr>
                <w:rFonts w:ascii="宋体" w:hAnsi="宋体" w:cs="宋体" w:eastAsia="宋体" w:hint="default"/>
                <w:spacing w:val="5"/>
                <w:sz w:val="18"/>
                <w:szCs w:val="18"/>
              </w:rPr>
              <w:t>(涉及许可经营的凭许可证经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营)。</w:t>
            </w:r>
          </w:p>
        </w:tc>
        <w:tc>
          <w:tcPr>
            <w:tcW w:w="3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center"/>
              <w:rPr>
                <w:rFonts w:ascii="宋体" w:hAnsi="宋体" w:cs="宋体" w:eastAsia="宋体" w:hint="default"/>
                <w:sz w:val="18"/>
                <w:szCs w:val="18"/>
              </w:rPr>
            </w:pPr>
            <w:r>
              <w:rPr>
                <w:rFonts w:ascii="宋体"/>
                <w:sz w:val="18"/>
              </w:rPr>
              <w:t>100%</w:t>
            </w:r>
          </w:p>
        </w:tc>
        <w:tc>
          <w:tcPr>
            <w:tcW w:w="125"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3" w:right="0"/>
              <w:jc w:val="center"/>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宋体" w:hAnsi="宋体" w:cs="宋体" w:eastAsia="宋体" w:hint="default"/>
                <w:sz w:val="18"/>
                <w:szCs w:val="18"/>
              </w:rPr>
            </w:pPr>
            <w:r>
              <w:rPr>
                <w:rFonts w:ascii="宋体"/>
                <w:sz w:val="18"/>
              </w:rPr>
              <w:t>10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tabs>
                <w:tab w:pos="935" w:val="left" w:leader="none"/>
              </w:tabs>
              <w:spacing w:line="240" w:lineRule="auto" w:before="124"/>
              <w:ind w:left="20" w:right="0"/>
              <w:jc w:val="left"/>
              <w:rPr>
                <w:rFonts w:ascii="宋体" w:hAnsi="宋体" w:cs="宋体" w:eastAsia="宋体" w:hint="default"/>
                <w:sz w:val="18"/>
                <w:szCs w:val="18"/>
              </w:rPr>
            </w:pPr>
            <w:r>
              <w:rPr>
                <w:rFonts w:ascii="宋体"/>
                <w:sz w:val="18"/>
              </w:rPr>
              <w:t>0%</w:t>
              <w:tab/>
              <w:t>-</w:t>
            </w:r>
          </w:p>
        </w:tc>
      </w:tr>
      <w:tr>
        <w:trPr>
          <w:trHeight w:val="2471" w:hRule="exact"/>
        </w:trPr>
        <w:tc>
          <w:tcPr>
            <w:tcW w:w="8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荣信嘉时</w:t>
            </w:r>
          </w:p>
        </w:tc>
        <w:tc>
          <w:tcPr>
            <w:tcW w:w="144" w:type="dxa"/>
            <w:tcBorders>
              <w:top w:val="nil" w:sz="6" w:space="0" w:color="auto"/>
              <w:left w:val="nil" w:sz="6" w:space="0" w:color="auto"/>
              <w:bottom w:val="nil" w:sz="6" w:space="0" w:color="auto"/>
              <w:right w:val="nil" w:sz="6" w:space="0" w:color="auto"/>
            </w:tcBorders>
          </w:tcPr>
          <w:p>
            <w:pP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62" w:type="dxa"/>
            <w:tcBorders>
              <w:top w:val="nil" w:sz="6" w:space="0" w:color="auto"/>
              <w:left w:val="nil" w:sz="6" w:space="0" w:color="auto"/>
              <w:bottom w:val="nil" w:sz="6" w:space="0" w:color="auto"/>
              <w:right w:val="nil" w:sz="6" w:space="0" w:color="auto"/>
            </w:tcBorders>
          </w:tcPr>
          <w:p>
            <w:pP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500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56" w:type="dxa"/>
            <w:tcBorders>
              <w:top w:val="nil" w:sz="6" w:space="0" w:color="auto"/>
              <w:left w:val="nil" w:sz="6" w:space="0" w:color="auto"/>
              <w:bottom w:val="nil" w:sz="6" w:space="0" w:color="auto"/>
              <w:right w:val="nil" w:sz="6" w:space="0" w:color="auto"/>
            </w:tcBorders>
          </w:tcPr>
          <w:p>
            <w:pPr/>
          </w:p>
        </w:tc>
        <w:tc>
          <w:tcPr>
            <w:tcW w:w="2414" w:type="dxa"/>
            <w:tcBorders>
              <w:top w:val="nil" w:sz="6" w:space="0" w:color="auto"/>
              <w:left w:val="nil" w:sz="6" w:space="0" w:color="auto"/>
              <w:bottom w:val="nil" w:sz="6" w:space="0" w:color="auto"/>
              <w:right w:val="nil" w:sz="6" w:space="0" w:color="auto"/>
            </w:tcBorders>
          </w:tcPr>
          <w:p>
            <w:pPr>
              <w:pStyle w:val="TableParagraph"/>
              <w:spacing w:line="316" w:lineRule="auto" w:before="50"/>
              <w:ind w:left="7" w:right="52" w:hanging="1"/>
              <w:jc w:val="both"/>
              <w:rPr>
                <w:rFonts w:ascii="宋体" w:hAnsi="宋体" w:cs="宋体" w:eastAsia="宋体" w:hint="default"/>
                <w:sz w:val="18"/>
                <w:szCs w:val="18"/>
              </w:rPr>
            </w:pPr>
            <w:r>
              <w:rPr>
                <w:rFonts w:ascii="宋体" w:hAnsi="宋体" w:cs="宋体" w:eastAsia="宋体" w:hint="default"/>
                <w:spacing w:val="-14"/>
                <w:sz w:val="18"/>
                <w:szCs w:val="18"/>
              </w:rPr>
              <w:t>法律、行政法规、国务院决定禁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4"/>
                <w:sz w:val="18"/>
                <w:szCs w:val="18"/>
              </w:rPr>
              <w:t>止的，不得经营；法律、行政法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2"/>
                <w:sz w:val="18"/>
                <w:szCs w:val="18"/>
              </w:rPr>
              <w:t>规、国务院决定规定应许可的，</w:t>
            </w:r>
            <w:r>
              <w:rPr>
                <w:rFonts w:ascii="宋体" w:hAnsi="宋体" w:cs="宋体" w:eastAsia="宋体" w:hint="default"/>
                <w:spacing w:val="-12"/>
                <w:sz w:val="18"/>
                <w:szCs w:val="18"/>
              </w:rPr>
              <w:t> </w:t>
            </w:r>
            <w:r>
              <w:rPr>
                <w:rFonts w:ascii="宋体" w:hAnsi="宋体" w:cs="宋体" w:eastAsia="宋体" w:hint="default"/>
                <w:sz w:val="18"/>
                <w:szCs w:val="18"/>
              </w:rPr>
              <w:t>经审批机关批准并经工商行政</w:t>
            </w:r>
            <w:r>
              <w:rPr>
                <w:rFonts w:ascii="宋体" w:hAnsi="宋体" w:cs="宋体" w:eastAsia="宋体" w:hint="default"/>
                <w:sz w:val="18"/>
                <w:szCs w:val="18"/>
              </w:rPr>
              <w:t> </w:t>
            </w:r>
            <w:r>
              <w:rPr>
                <w:rFonts w:ascii="宋体" w:hAnsi="宋体" w:cs="宋体" w:eastAsia="宋体" w:hint="default"/>
                <w:spacing w:val="-12"/>
                <w:sz w:val="18"/>
                <w:szCs w:val="18"/>
              </w:rPr>
              <w:t>管理机关登记注册后方可经营；</w:t>
            </w:r>
            <w:r>
              <w:rPr>
                <w:rFonts w:ascii="宋体" w:hAnsi="宋体" w:cs="宋体" w:eastAsia="宋体" w:hint="default"/>
                <w:spacing w:val="-12"/>
                <w:sz w:val="18"/>
                <w:szCs w:val="18"/>
              </w:rPr>
              <w:t> </w:t>
            </w:r>
            <w:r>
              <w:rPr>
                <w:rFonts w:ascii="宋体" w:hAnsi="宋体" w:cs="宋体" w:eastAsia="宋体" w:hint="default"/>
                <w:spacing w:val="-14"/>
                <w:sz w:val="18"/>
                <w:szCs w:val="18"/>
              </w:rPr>
              <w:t>法律、行政法规、国务院决定未</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5"/>
                <w:sz w:val="18"/>
                <w:szCs w:val="18"/>
              </w:rPr>
              <w:t>规定许可的，自主选择经营项目</w:t>
            </w:r>
            <w:r>
              <w:rPr>
                <w:rFonts w:ascii="宋体" w:hAnsi="宋体" w:cs="宋体" w:eastAsia="宋体" w:hint="default"/>
                <w:sz w:val="18"/>
                <w:szCs w:val="18"/>
              </w:rPr>
            </w:r>
          </w:p>
          <w:p>
            <w:pPr>
              <w:pStyle w:val="TableParagraph"/>
              <w:spacing w:line="240" w:lineRule="auto" w:before="20"/>
              <w:ind w:left="7" w:right="0"/>
              <w:jc w:val="both"/>
              <w:rPr>
                <w:rFonts w:ascii="宋体" w:hAnsi="宋体" w:cs="宋体" w:eastAsia="宋体" w:hint="default"/>
                <w:sz w:val="18"/>
                <w:szCs w:val="18"/>
              </w:rPr>
            </w:pPr>
            <w:r>
              <w:rPr>
                <w:rFonts w:ascii="宋体" w:hAnsi="宋体" w:cs="宋体" w:eastAsia="宋体" w:hint="default"/>
                <w:spacing w:val="-12"/>
                <w:sz w:val="18"/>
                <w:szCs w:val="18"/>
              </w:rPr>
              <w:t>开展经营活动。</w:t>
            </w:r>
            <w:r>
              <w:rPr>
                <w:rFonts w:ascii="宋体" w:hAnsi="宋体" w:cs="宋体" w:eastAsia="宋体" w:hint="default"/>
                <w:sz w:val="18"/>
                <w:szCs w:val="18"/>
              </w:rPr>
            </w:r>
          </w:p>
        </w:tc>
        <w:tc>
          <w:tcPr>
            <w:tcW w:w="39"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100%</w:t>
            </w:r>
          </w:p>
        </w:tc>
        <w:tc>
          <w:tcPr>
            <w:tcW w:w="125" w:type="dxa"/>
            <w:tcBorders>
              <w:top w:val="nil" w:sz="6" w:space="0" w:color="auto"/>
              <w:left w:val="nil" w:sz="6" w:space="0" w:color="auto"/>
              <w:bottom w:val="nil" w:sz="6" w:space="0" w:color="auto"/>
              <w:right w:val="nil" w:sz="6" w:space="0" w:color="auto"/>
            </w:tcBorders>
          </w:tcPr>
          <w:p>
            <w:pP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sz w:val="18"/>
              </w:rPr>
              <w:t>-</w:t>
            </w:r>
          </w:p>
        </w:tc>
        <w:tc>
          <w:tcPr>
            <w:tcW w:w="137" w:type="dxa"/>
            <w:tcBorders>
              <w:top w:val="nil" w:sz="6" w:space="0" w:color="auto"/>
              <w:left w:val="nil" w:sz="6" w:space="0" w:color="auto"/>
              <w:bottom w:val="nil" w:sz="6" w:space="0" w:color="auto"/>
              <w:right w:val="nil" w:sz="6" w:space="0" w:color="auto"/>
            </w:tcBorders>
          </w:tcPr>
          <w:p>
            <w:pPr/>
          </w:p>
        </w:tc>
        <w:tc>
          <w:tcPr>
            <w:tcW w:w="3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tabs>
                <w:tab w:pos="935" w:val="left" w:leader="none"/>
              </w:tabs>
              <w:spacing w:line="240" w:lineRule="auto"/>
              <w:ind w:left="20" w:right="0"/>
              <w:jc w:val="left"/>
              <w:rPr>
                <w:rFonts w:ascii="宋体" w:hAnsi="宋体" w:cs="宋体" w:eastAsia="宋体" w:hint="default"/>
                <w:sz w:val="18"/>
                <w:szCs w:val="18"/>
              </w:rPr>
            </w:pPr>
            <w:r>
              <w:rPr>
                <w:rFonts w:ascii="宋体"/>
                <w:sz w:val="18"/>
              </w:rPr>
              <w:t>0%</w:t>
              <w:tab/>
              <w:t>-</w:t>
            </w:r>
          </w:p>
        </w:tc>
      </w:tr>
    </w:tbl>
    <w:p>
      <w:pPr>
        <w:spacing w:after="0" w:line="240" w:lineRule="auto"/>
        <w:jc w:val="left"/>
        <w:rPr>
          <w:rFonts w:ascii="宋体" w:hAnsi="宋体" w:cs="宋体" w:eastAsia="宋体" w:hint="default"/>
          <w:sz w:val="18"/>
          <w:szCs w:val="18"/>
        </w:rPr>
        <w:sectPr>
          <w:pgSz w:w="11910" w:h="16840"/>
          <w:pgMar w:header="877" w:footer="1022" w:top="1100" w:bottom="1220" w:left="980" w:right="980"/>
        </w:sectPr>
      </w:pPr>
    </w:p>
    <w:p>
      <w:pPr>
        <w:spacing w:line="240" w:lineRule="auto" w:before="0"/>
        <w:rPr>
          <w:rFonts w:ascii="宋体" w:hAnsi="宋体" w:cs="宋体" w:eastAsia="宋体" w:hint="default"/>
          <w:sz w:val="20"/>
          <w:szCs w:val="20"/>
        </w:rPr>
      </w:pPr>
    </w:p>
    <w:p>
      <w:pPr>
        <w:pStyle w:val="BodyText"/>
        <w:spacing w:line="240" w:lineRule="auto" w:before="168"/>
        <w:ind w:left="794" w:right="1890"/>
        <w:jc w:val="left"/>
      </w:pPr>
      <w:r>
        <w:rPr/>
        <w:pict>
          <v:group style="position:absolute;margin-left:338.459991pt;margin-top:51.755932pt;width:105.25pt;height:.1pt;mso-position-horizontal-relative:page;mso-position-vertical-relative:paragraph;z-index:-526936" coordorigin="6769,1035" coordsize="2105,2">
            <v:shape style="position:absolute;left:6769;top:1035;width:2105;height:2" coordorigin="6769,1035" coordsize="2105,0" path="m6769,1035l8874,1035e" filled="false" stroked="true" strokeweight=".48pt" strokecolor="#000000">
              <v:path arrowok="t"/>
            </v:shape>
            <w10:wrap type="none"/>
          </v:group>
        </w:pict>
      </w:r>
      <w:r>
        <w:rPr/>
        <w:pict>
          <v:group style="position:absolute;margin-left:450.420013pt;margin-top:51.755932pt;width:87.85pt;height:.1pt;mso-position-horizontal-relative:page;mso-position-vertical-relative:paragraph;z-index:-526912" coordorigin="9008,1035" coordsize="1757,2">
            <v:shape style="position:absolute;left:9008;top:1035;width:1757;height:2" coordorigin="9008,1035" coordsize="1757,0" path="m9008,1035l10765,1035e" filled="false" stroked="true" strokeweight=".48pt" strokecolor="#000000">
              <v:path arrowok="t"/>
            </v:shape>
            <w10:wrap type="none"/>
          </v:group>
        </w:pict>
      </w:r>
      <w:r>
        <w:rPr/>
        <w:t>2、非同一控制下的企业合并取得的子公司：</w:t>
      </w:r>
    </w:p>
    <w:p>
      <w:pPr>
        <w:spacing w:line="240" w:lineRule="auto" w:before="1"/>
        <w:rPr>
          <w:rFonts w:ascii="宋体" w:hAnsi="宋体" w:cs="宋体" w:eastAsia="宋体" w:hint="default"/>
          <w:sz w:val="20"/>
          <w:szCs w:val="20"/>
        </w:rPr>
      </w:pPr>
    </w:p>
    <w:tbl>
      <w:tblPr>
        <w:tblW w:w="0" w:type="auto"/>
        <w:jc w:val="left"/>
        <w:tblInd w:w="313" w:type="dxa"/>
        <w:tblLayout w:type="fixed"/>
        <w:tblCellMar>
          <w:top w:w="0" w:type="dxa"/>
          <w:left w:w="0" w:type="dxa"/>
          <w:bottom w:w="0" w:type="dxa"/>
          <w:right w:w="0" w:type="dxa"/>
        </w:tblCellMar>
        <w:tblLook w:val="01E0"/>
      </w:tblPr>
      <w:tblGrid>
        <w:gridCol w:w="1826"/>
        <w:gridCol w:w="161"/>
        <w:gridCol w:w="948"/>
        <w:gridCol w:w="154"/>
        <w:gridCol w:w="2437"/>
        <w:gridCol w:w="109"/>
        <w:gridCol w:w="770"/>
        <w:gridCol w:w="124"/>
        <w:gridCol w:w="1211"/>
        <w:gridCol w:w="134"/>
        <w:gridCol w:w="772"/>
        <w:gridCol w:w="134"/>
        <w:gridCol w:w="851"/>
      </w:tblGrid>
      <w:tr>
        <w:trPr>
          <w:trHeight w:val="190" w:hRule="exact"/>
        </w:trPr>
        <w:tc>
          <w:tcPr>
            <w:tcW w:w="7740" w:type="dxa"/>
            <w:gridSpan w:val="9"/>
            <w:tcBorders>
              <w:top w:val="nil" w:sz="6" w:space="0" w:color="auto"/>
              <w:left w:val="nil" w:sz="6" w:space="0" w:color="auto"/>
              <w:bottom w:val="nil" w:sz="6" w:space="0" w:color="auto"/>
              <w:right w:val="nil" w:sz="6" w:space="0" w:color="auto"/>
            </w:tcBorders>
          </w:tcPr>
          <w:p>
            <w:pPr>
              <w:pStyle w:val="TableParagraph"/>
              <w:spacing w:line="180" w:lineRule="exact"/>
              <w:ind w:right="233"/>
              <w:jc w:val="right"/>
              <w:rPr>
                <w:rFonts w:ascii="宋体" w:hAnsi="宋体" w:cs="宋体" w:eastAsia="宋体" w:hint="default"/>
                <w:sz w:val="18"/>
                <w:szCs w:val="18"/>
              </w:rPr>
            </w:pPr>
            <w:r>
              <w:rPr>
                <w:rFonts w:ascii="宋体" w:hAnsi="宋体" w:cs="宋体" w:eastAsia="宋体" w:hint="default"/>
                <w:sz w:val="18"/>
                <w:szCs w:val="18"/>
              </w:rPr>
              <w:t>本公司持有权益比例</w:t>
            </w:r>
          </w:p>
        </w:tc>
        <w:tc>
          <w:tcPr>
            <w:tcW w:w="1891"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298" w:right="0"/>
              <w:jc w:val="left"/>
              <w:rPr>
                <w:rFonts w:ascii="宋体" w:hAnsi="宋体" w:cs="宋体" w:eastAsia="宋体" w:hint="default"/>
                <w:sz w:val="18"/>
                <w:szCs w:val="18"/>
              </w:rPr>
            </w:pPr>
            <w:r>
              <w:rPr>
                <w:rFonts w:ascii="宋体" w:hAnsi="宋体" w:cs="宋体" w:eastAsia="宋体" w:hint="default"/>
                <w:sz w:val="18"/>
                <w:szCs w:val="18"/>
              </w:rPr>
              <w:t>本公司表决权比例</w:t>
            </w:r>
          </w:p>
        </w:tc>
      </w:tr>
      <w:tr>
        <w:trPr>
          <w:trHeight w:val="179"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190" w:lineRule="exact"/>
              <w:ind w:left="114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6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190" w:lineRule="exact"/>
              <w:ind w:left="1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4805" w:type="dxa"/>
            <w:gridSpan w:val="6"/>
            <w:tcBorders>
              <w:top w:val="nil" w:sz="6" w:space="0" w:color="auto"/>
              <w:left w:val="nil" w:sz="6" w:space="0" w:color="auto"/>
              <w:bottom w:val="nil" w:sz="6" w:space="0" w:color="auto"/>
              <w:right w:val="nil" w:sz="6" w:space="0" w:color="auto"/>
            </w:tcBorders>
          </w:tcPr>
          <w:p>
            <w:pPr>
              <w:pStyle w:val="TableParagraph"/>
              <w:spacing w:line="190" w:lineRule="exact"/>
              <w:ind w:left="559" w:right="0"/>
              <w:jc w:val="left"/>
              <w:rPr>
                <w:rFonts w:ascii="宋体" w:hAnsi="宋体" w:cs="宋体" w:eastAsia="宋体" w:hint="default"/>
                <w:sz w:val="18"/>
                <w:szCs w:val="18"/>
              </w:rPr>
            </w:pPr>
            <w:r>
              <w:rPr>
                <w:rFonts w:ascii="宋体" w:hAnsi="宋体" w:cs="宋体" w:eastAsia="宋体" w:hint="default"/>
                <w:sz w:val="18"/>
                <w:szCs w:val="18"/>
              </w:rPr>
              <w:t>业务性质及经营范围</w:t>
            </w:r>
          </w:p>
        </w:tc>
        <w:tc>
          <w:tcPr>
            <w:tcW w:w="134"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r>
      <w:tr>
        <w:trPr>
          <w:trHeight w:val="323" w:hRule="exact"/>
        </w:trPr>
        <w:tc>
          <w:tcPr>
            <w:tcW w:w="1826" w:type="dxa"/>
            <w:tcBorders>
              <w:top w:val="nil" w:sz="6" w:space="0" w:color="auto"/>
              <w:left w:val="nil" w:sz="6" w:space="0" w:color="auto"/>
              <w:bottom w:val="single" w:sz="4" w:space="0" w:color="000000"/>
              <w:right w:val="nil" w:sz="6" w:space="0" w:color="auto"/>
            </w:tcBorders>
          </w:tcPr>
          <w:p>
            <w:pPr>
              <w:pStyle w:val="TableParagraph"/>
              <w:spacing w:line="169" w:lineRule="exact"/>
              <w:ind w:left="24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6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single" w:sz="4" w:space="0" w:color="000000"/>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2437" w:type="dxa"/>
            <w:tcBorders>
              <w:top w:val="nil" w:sz="6" w:space="0" w:color="auto"/>
              <w:left w:val="nil" w:sz="6" w:space="0" w:color="auto"/>
              <w:bottom w:val="single" w:sz="4" w:space="0" w:color="000000"/>
              <w:right w:val="nil" w:sz="6" w:space="0" w:color="auto"/>
            </w:tcBorders>
          </w:tcPr>
          <w:p>
            <w:pPr/>
          </w:p>
        </w:tc>
        <w:tc>
          <w:tcPr>
            <w:tcW w:w="109"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single" w:sz="4" w:space="0" w:color="000000"/>
              <w:right w:val="nil" w:sz="6" w:space="0" w:color="auto"/>
            </w:tcBorders>
          </w:tcPr>
          <w:p>
            <w:pPr>
              <w:pStyle w:val="TableParagraph"/>
              <w:spacing w:line="213" w:lineRule="exact"/>
              <w:ind w:left="21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24" w:type="dxa"/>
            <w:tcBorders>
              <w:top w:val="nil" w:sz="6" w:space="0" w:color="auto"/>
              <w:left w:val="nil" w:sz="6" w:space="0" w:color="auto"/>
              <w:bottom w:val="nil" w:sz="6" w:space="0" w:color="auto"/>
              <w:right w:val="nil" w:sz="6" w:space="0" w:color="auto"/>
            </w:tcBorders>
          </w:tcPr>
          <w:p>
            <w:pPr/>
          </w:p>
        </w:tc>
        <w:tc>
          <w:tcPr>
            <w:tcW w:w="1211" w:type="dxa"/>
            <w:tcBorders>
              <w:top w:val="nil" w:sz="6" w:space="0" w:color="auto"/>
              <w:left w:val="nil" w:sz="6" w:space="0" w:color="auto"/>
              <w:bottom w:val="single" w:sz="4" w:space="0" w:color="000000"/>
              <w:right w:val="nil" w:sz="6" w:space="0" w:color="auto"/>
            </w:tcBorders>
          </w:tcPr>
          <w:p>
            <w:pPr>
              <w:pStyle w:val="TableParagraph"/>
              <w:spacing w:line="213" w:lineRule="exact"/>
              <w:ind w:left="13"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4"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single" w:sz="4" w:space="0" w:color="000000"/>
              <w:right w:val="nil" w:sz="6" w:space="0" w:color="auto"/>
            </w:tcBorders>
          </w:tcPr>
          <w:p>
            <w:pPr>
              <w:pStyle w:val="TableParagraph"/>
              <w:spacing w:line="213" w:lineRule="exact"/>
              <w:ind w:left="21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34"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Style w:val="TableParagraph"/>
              <w:spacing w:line="213" w:lineRule="exact"/>
              <w:ind w:left="13" w:right="0"/>
              <w:jc w:val="center"/>
              <w:rPr>
                <w:rFonts w:ascii="宋体" w:hAnsi="宋体" w:cs="宋体" w:eastAsia="宋体" w:hint="default"/>
                <w:sz w:val="18"/>
                <w:szCs w:val="18"/>
              </w:rPr>
            </w:pPr>
            <w:r>
              <w:rPr>
                <w:rFonts w:ascii="宋体" w:hAnsi="宋体" w:cs="宋体" w:eastAsia="宋体" w:hint="default"/>
                <w:sz w:val="18"/>
                <w:szCs w:val="18"/>
              </w:rPr>
              <w:t>间接</w:t>
            </w:r>
          </w:p>
        </w:tc>
      </w:tr>
      <w:tr>
        <w:trPr>
          <w:trHeight w:val="916" w:hRule="exact"/>
        </w:trPr>
        <w:tc>
          <w:tcPr>
            <w:tcW w:w="182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42.3pt;height:.5pt;mso-position-horizontal-relative:char;mso-position-vertical-relative:line" coordorigin="0,0" coordsize="846,10">
                  <v:group style="position:absolute;left:5;top:5;width:837;height:2" coordorigin="5,5" coordsize="837,2">
                    <v:shape style="position:absolute;left:5;top:5;width:837;height:2" coordorigin="5,5" coordsize="837,0" path="m5,5l84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13"/>
              <w:ind w:right="0"/>
              <w:jc w:val="left"/>
              <w:rPr>
                <w:rFonts w:ascii="宋体" w:hAnsi="宋体" w:cs="宋体" w:eastAsia="宋体" w:hint="default"/>
                <w:sz w:val="26"/>
                <w:szCs w:val="26"/>
              </w:rPr>
            </w:pPr>
          </w:p>
          <w:p>
            <w:pPr>
              <w:pStyle w:val="TableParagraph"/>
              <w:tabs>
                <w:tab w:pos="1230" w:val="left" w:leader="none"/>
              </w:tabs>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北京信力</w:t>
              <w:tab/>
              <w:t>北京</w:t>
            </w:r>
          </w:p>
        </w:tc>
        <w:tc>
          <w:tcPr>
            <w:tcW w:w="161" w:type="dxa"/>
            <w:tcBorders>
              <w:top w:val="nil" w:sz="6" w:space="0" w:color="auto"/>
              <w:left w:val="nil" w:sz="6" w:space="0" w:color="auto"/>
              <w:bottom w:val="nil" w:sz="6" w:space="0" w:color="auto"/>
              <w:right w:val="nil" w:sz="6" w:space="0" w:color="auto"/>
            </w:tcBorders>
          </w:tcPr>
          <w:p>
            <w:pPr/>
          </w:p>
        </w:tc>
        <w:tc>
          <w:tcPr>
            <w:tcW w:w="94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8" w:right="0"/>
              <w:jc w:val="left"/>
              <w:rPr>
                <w:rFonts w:ascii="宋体" w:hAnsi="宋体" w:cs="宋体" w:eastAsia="宋体" w:hint="default"/>
                <w:sz w:val="18"/>
                <w:szCs w:val="18"/>
              </w:rPr>
            </w:pP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w:t>
            </w:r>
          </w:p>
        </w:tc>
        <w:tc>
          <w:tcPr>
            <w:tcW w:w="154" w:type="dxa"/>
            <w:tcBorders>
              <w:top w:val="nil" w:sz="6" w:space="0" w:color="auto"/>
              <w:left w:val="nil" w:sz="6" w:space="0" w:color="auto"/>
              <w:bottom w:val="nil" w:sz="6" w:space="0" w:color="auto"/>
              <w:right w:val="nil" w:sz="6" w:space="0" w:color="auto"/>
            </w:tcBorders>
          </w:tcPr>
          <w:p>
            <w:pPr/>
          </w:p>
        </w:tc>
        <w:tc>
          <w:tcPr>
            <w:tcW w:w="2437" w:type="dxa"/>
            <w:tcBorders>
              <w:top w:val="single" w:sz="4" w:space="0" w:color="000000"/>
              <w:left w:val="nil" w:sz="6" w:space="0" w:color="auto"/>
              <w:bottom w:val="nil" w:sz="6" w:space="0" w:color="auto"/>
              <w:right w:val="nil" w:sz="6" w:space="0" w:color="auto"/>
            </w:tcBorders>
          </w:tcPr>
          <w:p>
            <w:pPr>
              <w:pStyle w:val="TableParagraph"/>
              <w:spacing w:line="316" w:lineRule="auto" w:before="51"/>
              <w:ind w:left="7" w:right="0"/>
              <w:jc w:val="left"/>
              <w:rPr>
                <w:rFonts w:ascii="宋体" w:hAnsi="宋体" w:cs="宋体" w:eastAsia="宋体" w:hint="default"/>
                <w:sz w:val="18"/>
                <w:szCs w:val="18"/>
              </w:rPr>
            </w:pPr>
            <w:r>
              <w:rPr>
                <w:rFonts w:ascii="宋体" w:hAnsi="宋体" w:cs="宋体" w:eastAsia="宋体" w:hint="default"/>
                <w:spacing w:val="-7"/>
                <w:sz w:val="18"/>
                <w:szCs w:val="18"/>
              </w:rPr>
              <w:t>设计、销售电子设备、计算机工</w:t>
            </w:r>
            <w:r>
              <w:rPr>
                <w:rFonts w:ascii="宋体" w:hAnsi="宋体" w:cs="宋体" w:eastAsia="宋体" w:hint="default"/>
                <w:sz w:val="18"/>
                <w:szCs w:val="18"/>
              </w:rPr>
              <w:t> </w:t>
            </w:r>
            <w:r>
              <w:rPr>
                <w:rFonts w:ascii="宋体" w:hAnsi="宋体" w:cs="宋体" w:eastAsia="宋体" w:hint="default"/>
                <w:spacing w:val="-7"/>
                <w:sz w:val="18"/>
                <w:szCs w:val="18"/>
              </w:rPr>
              <w:t>程服务；系统集成；开发环保除</w:t>
            </w:r>
          </w:p>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pacing w:val="-12"/>
                <w:sz w:val="18"/>
                <w:szCs w:val="18"/>
              </w:rPr>
              <w:t>尘设备、计算机软件。</w:t>
            </w:r>
            <w:r>
              <w:rPr>
                <w:rFonts w:ascii="宋体" w:hAnsi="宋体" w:cs="宋体" w:eastAsia="宋体" w:hint="default"/>
                <w:sz w:val="18"/>
                <w:szCs w:val="18"/>
              </w:rPr>
            </w:r>
          </w:p>
        </w:tc>
        <w:tc>
          <w:tcPr>
            <w:tcW w:w="109" w:type="dxa"/>
            <w:tcBorders>
              <w:top w:val="nil" w:sz="6" w:space="0" w:color="auto"/>
              <w:left w:val="nil" w:sz="6" w:space="0" w:color="auto"/>
              <w:bottom w:val="nil" w:sz="6" w:space="0" w:color="auto"/>
              <w:right w:val="nil" w:sz="6" w:space="0" w:color="auto"/>
            </w:tcBorders>
          </w:tcPr>
          <w:p>
            <w:pPr/>
          </w:p>
        </w:tc>
        <w:tc>
          <w:tcPr>
            <w:tcW w:w="7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8" w:right="0"/>
              <w:jc w:val="left"/>
              <w:rPr>
                <w:rFonts w:ascii="宋体" w:hAnsi="宋体" w:cs="宋体" w:eastAsia="宋体" w:hint="default"/>
                <w:sz w:val="18"/>
                <w:szCs w:val="18"/>
              </w:rPr>
            </w:pPr>
            <w:r>
              <w:rPr>
                <w:rFonts w:ascii="宋体"/>
                <w:sz w:val="18"/>
              </w:rPr>
              <w:t>60%</w:t>
            </w:r>
          </w:p>
        </w:tc>
        <w:tc>
          <w:tcPr>
            <w:tcW w:w="124" w:type="dxa"/>
            <w:tcBorders>
              <w:top w:val="nil" w:sz="6" w:space="0" w:color="auto"/>
              <w:left w:val="nil" w:sz="6" w:space="0" w:color="auto"/>
              <w:bottom w:val="nil" w:sz="6" w:space="0" w:color="auto"/>
              <w:right w:val="nil" w:sz="6" w:space="0" w:color="auto"/>
            </w:tcBorders>
          </w:tcPr>
          <w:p>
            <w:pPr/>
          </w:p>
        </w:tc>
        <w:tc>
          <w:tcPr>
            <w:tcW w:w="121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 w:right="0"/>
              <w:jc w:val="center"/>
              <w:rPr>
                <w:rFonts w:ascii="宋体" w:hAnsi="宋体" w:cs="宋体" w:eastAsia="宋体" w:hint="default"/>
                <w:sz w:val="18"/>
                <w:szCs w:val="18"/>
              </w:rPr>
            </w:pPr>
            <w:r>
              <w:rPr>
                <w:rFonts w:ascii="宋体"/>
                <w:sz w:val="18"/>
              </w:rPr>
              <w:t>-</w:t>
            </w:r>
          </w:p>
        </w:tc>
        <w:tc>
          <w:tcPr>
            <w:tcW w:w="134" w:type="dxa"/>
            <w:tcBorders>
              <w:top w:val="nil" w:sz="6" w:space="0" w:color="auto"/>
              <w:left w:val="nil" w:sz="6" w:space="0" w:color="auto"/>
              <w:bottom w:val="nil" w:sz="6" w:space="0" w:color="auto"/>
              <w:right w:val="nil" w:sz="6" w:space="0" w:color="auto"/>
            </w:tcBorders>
          </w:tcPr>
          <w:p>
            <w:pPr/>
          </w:p>
        </w:tc>
        <w:tc>
          <w:tcPr>
            <w:tcW w:w="772"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8" w:right="0"/>
              <w:jc w:val="left"/>
              <w:rPr>
                <w:rFonts w:ascii="宋体" w:hAnsi="宋体" w:cs="宋体" w:eastAsia="宋体" w:hint="default"/>
                <w:sz w:val="18"/>
                <w:szCs w:val="18"/>
              </w:rPr>
            </w:pPr>
            <w:r>
              <w:rPr>
                <w:rFonts w:ascii="宋体"/>
                <w:sz w:val="18"/>
              </w:rPr>
              <w:t>60%</w:t>
            </w:r>
          </w:p>
        </w:tc>
        <w:tc>
          <w:tcPr>
            <w:tcW w:w="134" w:type="dxa"/>
            <w:tcBorders>
              <w:top w:val="nil" w:sz="6" w:space="0" w:color="auto"/>
              <w:left w:val="nil" w:sz="6" w:space="0" w:color="auto"/>
              <w:bottom w:val="nil" w:sz="6" w:space="0" w:color="auto"/>
              <w:right w:val="nil" w:sz="6" w:space="0" w:color="auto"/>
            </w:tcBorders>
          </w:tcPr>
          <w:p>
            <w:pP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 w:right="0"/>
              <w:jc w:val="center"/>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sz w:val="23"/>
          <w:szCs w:val="23"/>
        </w:rPr>
      </w:pPr>
    </w:p>
    <w:p>
      <w:pPr>
        <w:pStyle w:val="BodyText"/>
        <w:spacing w:line="420" w:lineRule="auto" w:before="26"/>
        <w:ind w:left="794" w:right="3530"/>
        <w:jc w:val="left"/>
        <w:rPr>
          <w:rFonts w:ascii="宋体" w:hAnsi="宋体" w:cs="宋体" w:eastAsia="宋体" w:hint="default"/>
        </w:rPr>
      </w:pPr>
      <w:r>
        <w:rPr/>
        <w:t>3、本年度合并财务报表范围的变更： 本年度本公司增加合并范围的子公司为北京信力公司。 </w:t>
      </w:r>
      <w:r>
        <w:rPr>
          <w:rFonts w:ascii="宋体" w:hAnsi="宋体" w:cs="宋体" w:eastAsia="宋体" w:hint="default"/>
          <w:b/>
          <w:bCs/>
        </w:rPr>
        <w:t>(二)企业合并</w:t>
      </w:r>
      <w:r>
        <w:rPr>
          <w:rFonts w:ascii="宋体" w:hAnsi="宋体" w:cs="宋体" w:eastAsia="宋体" w:hint="default"/>
        </w:rPr>
      </w:r>
    </w:p>
    <w:p>
      <w:pPr>
        <w:pStyle w:val="BodyText"/>
        <w:spacing w:line="240" w:lineRule="auto" w:before="25"/>
        <w:ind w:left="794" w:right="1890"/>
        <w:jc w:val="left"/>
      </w:pPr>
      <w:r>
        <w:rPr/>
        <w:t>1、非同一控制下企业合并：</w:t>
      </w:r>
    </w:p>
    <w:p>
      <w:pPr>
        <w:pStyle w:val="BodyText"/>
        <w:spacing w:line="304" w:lineRule="auto" w:before="196"/>
        <w:ind w:left="313" w:right="151" w:firstLine="499"/>
        <w:jc w:val="both"/>
      </w:pPr>
      <w:r>
        <w:rPr>
          <w:spacing w:val="25"/>
        </w:rPr>
        <w:t>2008年5月</w:t>
      </w:r>
      <w:r>
        <w:rPr>
          <w:spacing w:val="-54"/>
        </w:rPr>
        <w:t> </w:t>
      </w:r>
      <w:r>
        <w:rPr/>
        <w:t>26</w:t>
      </w:r>
      <w:r>
        <w:rPr>
          <w:spacing w:val="-54"/>
        </w:rPr>
        <w:t> </w:t>
      </w:r>
      <w:r>
        <w:rPr>
          <w:spacing w:val="-5"/>
        </w:rPr>
        <w:t>日，本公司与于富签订了股权转让协议，以</w:t>
      </w:r>
      <w:r>
        <w:rPr>
          <w:spacing w:val="-39"/>
        </w:rPr>
        <w:t> </w:t>
      </w:r>
      <w:r>
        <w:rPr>
          <w:spacing w:val="5"/>
        </w:rPr>
        <w:t>21,600,000.00</w:t>
      </w:r>
      <w:r>
        <w:rPr>
          <w:spacing w:val="-45"/>
        </w:rPr>
        <w:t> </w:t>
      </w:r>
      <w:r>
        <w:rPr>
          <w:spacing w:val="12"/>
        </w:rPr>
        <w:t>人民币元受</w:t>
      </w:r>
      <w:r>
        <w:rPr>
          <w:spacing w:val="12"/>
        </w:rPr>
        <w:t> </w:t>
      </w:r>
      <w:r>
        <w:rPr>
          <w:spacing w:val="10"/>
        </w:rPr>
        <w:t>让于富持有的北京信力</w:t>
      </w:r>
      <w:r>
        <w:rPr>
          <w:spacing w:val="-39"/>
        </w:rPr>
        <w:t> </w:t>
      </w:r>
      <w:r>
        <w:rPr/>
        <w:t>60%的股权。本次交易的购买日为</w:t>
      </w:r>
      <w:r>
        <w:rPr>
          <w:spacing w:val="-54"/>
        </w:rPr>
        <w:t> </w:t>
      </w:r>
      <w:r>
        <w:rPr>
          <w:spacing w:val="25"/>
        </w:rPr>
        <w:t>2008年5月</w:t>
      </w:r>
      <w:r>
        <w:rPr>
          <w:spacing w:val="-54"/>
        </w:rPr>
        <w:t> </w:t>
      </w:r>
      <w:r>
        <w:rPr/>
        <w:t>29</w:t>
      </w:r>
      <w:r>
        <w:rPr>
          <w:spacing w:val="-54"/>
        </w:rPr>
        <w:t> </w:t>
      </w:r>
      <w:r>
        <w:rPr>
          <w:spacing w:val="-5"/>
        </w:rPr>
        <w:t>日，系本公司实际</w:t>
      </w:r>
      <w:r>
        <w:rPr/>
        <w:t> </w:t>
      </w:r>
      <w:r>
        <w:rPr>
          <w:spacing w:val="2"/>
        </w:rPr>
        <w:t>取得北京信力净资产控制权的日期。收购取得的净资产与商誉的确认情况如下：</w:t>
      </w:r>
    </w:p>
    <w:p>
      <w:pPr>
        <w:spacing w:line="240" w:lineRule="auto" w:before="11"/>
        <w:rPr>
          <w:rFonts w:ascii="宋体" w:hAnsi="宋体" w:cs="宋体" w:eastAsia="宋体" w:hint="default"/>
          <w:sz w:val="15"/>
          <w:szCs w:val="15"/>
        </w:rPr>
      </w:pPr>
    </w:p>
    <w:tbl>
      <w:tblPr>
        <w:tblW w:w="0" w:type="auto"/>
        <w:jc w:val="left"/>
        <w:tblInd w:w="113" w:type="dxa"/>
        <w:tblLayout w:type="fixed"/>
        <w:tblCellMar>
          <w:top w:w="0" w:type="dxa"/>
          <w:left w:w="0" w:type="dxa"/>
          <w:bottom w:w="0" w:type="dxa"/>
          <w:right w:w="0" w:type="dxa"/>
        </w:tblCellMar>
        <w:tblLook w:val="01E0"/>
      </w:tblPr>
      <w:tblGrid>
        <w:gridCol w:w="7690"/>
        <w:gridCol w:w="2141"/>
      </w:tblGrid>
      <w:tr>
        <w:trPr>
          <w:trHeight w:val="290" w:hRule="exact"/>
        </w:trPr>
        <w:tc>
          <w:tcPr>
            <w:tcW w:w="769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2141" w:type="dxa"/>
            <w:tcBorders>
              <w:top w:val="nil" w:sz="6" w:space="0" w:color="auto"/>
              <w:left w:val="nil" w:sz="6" w:space="0" w:color="auto"/>
              <w:bottom w:val="single" w:sz="4" w:space="0" w:color="000000"/>
              <w:right w:val="nil" w:sz="6" w:space="0" w:color="auto"/>
            </w:tcBorders>
          </w:tcPr>
          <w:p>
            <w:pPr>
              <w:pStyle w:val="TableParagraph"/>
              <w:spacing w:line="180" w:lineRule="exact"/>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98" w:hRule="exact"/>
        </w:trPr>
        <w:tc>
          <w:tcPr>
            <w:tcW w:w="769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02" w:right="0"/>
              <w:jc w:val="left"/>
              <w:rPr>
                <w:rFonts w:ascii="宋体" w:hAnsi="宋体" w:cs="宋体" w:eastAsia="宋体" w:hint="default"/>
                <w:sz w:val="18"/>
                <w:szCs w:val="18"/>
              </w:rPr>
            </w:pPr>
            <w:r>
              <w:rPr>
                <w:rFonts w:ascii="宋体" w:hAnsi="宋体" w:cs="宋体" w:eastAsia="宋体" w:hint="default"/>
                <w:sz w:val="18"/>
                <w:szCs w:val="18"/>
              </w:rPr>
              <w:t>支付的现金</w:t>
            </w:r>
          </w:p>
        </w:tc>
        <w:tc>
          <w:tcPr>
            <w:tcW w:w="21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21,600,000.00</w:t>
            </w:r>
          </w:p>
        </w:tc>
      </w:tr>
      <w:tr>
        <w:trPr>
          <w:trHeight w:val="392" w:hRule="exact"/>
        </w:trPr>
        <w:tc>
          <w:tcPr>
            <w:tcW w:w="76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21,600,000.00</w:t>
            </w:r>
          </w:p>
        </w:tc>
      </w:tr>
      <w:tr>
        <w:trPr>
          <w:trHeight w:val="392" w:hRule="exact"/>
        </w:trPr>
        <w:tc>
          <w:tcPr>
            <w:tcW w:w="76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16,866,093.67</w:t>
            </w:r>
          </w:p>
        </w:tc>
      </w:tr>
      <w:tr>
        <w:trPr>
          <w:trHeight w:val="286" w:hRule="exact"/>
        </w:trPr>
        <w:tc>
          <w:tcPr>
            <w:tcW w:w="769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4,733,906.33</w:t>
            </w:r>
          </w:p>
        </w:tc>
      </w:tr>
    </w:tbl>
    <w:p>
      <w:pPr>
        <w:spacing w:line="240" w:lineRule="auto" w:before="0"/>
        <w:rPr>
          <w:rFonts w:ascii="宋体" w:hAnsi="宋体" w:cs="宋体" w:eastAsia="宋体" w:hint="default"/>
          <w:sz w:val="16"/>
          <w:szCs w:val="16"/>
        </w:rPr>
      </w:pPr>
    </w:p>
    <w:p>
      <w:pPr>
        <w:pStyle w:val="BodyText"/>
        <w:spacing w:line="240" w:lineRule="auto" w:before="26"/>
        <w:ind w:left="824" w:right="92"/>
        <w:jc w:val="left"/>
      </w:pPr>
      <w:r>
        <w:rPr>
          <w:spacing w:val="2"/>
        </w:rPr>
        <w:t>2、北京信力公司于购买日的资产、负债及与收购相关的现金流量情况列示如下：</w:t>
      </w:r>
    </w:p>
    <w:p>
      <w:pPr>
        <w:spacing w:line="240" w:lineRule="auto" w:before="7"/>
        <w:rPr>
          <w:rFonts w:ascii="宋体" w:hAnsi="宋体" w:cs="宋体" w:eastAsia="宋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5163"/>
        <w:gridCol w:w="2074"/>
        <w:gridCol w:w="385"/>
        <w:gridCol w:w="2209"/>
      </w:tblGrid>
      <w:tr>
        <w:trPr>
          <w:trHeight w:val="290" w:hRule="exact"/>
        </w:trPr>
        <w:tc>
          <w:tcPr>
            <w:tcW w:w="5163" w:type="dxa"/>
            <w:tcBorders>
              <w:top w:val="nil" w:sz="6" w:space="0" w:color="auto"/>
              <w:left w:val="nil" w:sz="6" w:space="0" w:color="auto"/>
              <w:bottom w:val="nil" w:sz="6" w:space="0" w:color="auto"/>
              <w:right w:val="nil" w:sz="6" w:space="0" w:color="auto"/>
            </w:tcBorders>
          </w:tcPr>
          <w:p>
            <w:pPr/>
          </w:p>
        </w:tc>
        <w:tc>
          <w:tcPr>
            <w:tcW w:w="2074" w:type="dxa"/>
            <w:tcBorders>
              <w:top w:val="nil" w:sz="6" w:space="0" w:color="auto"/>
              <w:left w:val="nil" w:sz="6" w:space="0" w:color="auto"/>
              <w:bottom w:val="single" w:sz="4" w:space="0" w:color="000000"/>
              <w:right w:val="nil" w:sz="6" w:space="0" w:color="auto"/>
            </w:tcBorders>
          </w:tcPr>
          <w:p>
            <w:pPr>
              <w:pStyle w:val="TableParagraph"/>
              <w:spacing w:line="180" w:lineRule="exact"/>
              <w:ind w:left="681"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single" w:sz="4" w:space="0" w:color="000000"/>
              <w:right w:val="nil" w:sz="6" w:space="0" w:color="auto"/>
            </w:tcBorders>
          </w:tcPr>
          <w:p>
            <w:pPr>
              <w:pStyle w:val="TableParagraph"/>
              <w:spacing w:line="180" w:lineRule="exact"/>
              <w:ind w:left="6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8"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20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
              <w:jc w:val="right"/>
              <w:rPr>
                <w:rFonts w:ascii="宋体" w:hAnsi="宋体" w:cs="宋体" w:eastAsia="宋体" w:hint="default"/>
                <w:sz w:val="18"/>
                <w:szCs w:val="18"/>
              </w:rPr>
            </w:pPr>
            <w:r>
              <w:rPr>
                <w:rFonts w:ascii="宋体"/>
                <w:sz w:val="18"/>
              </w:rPr>
              <w:t>11,338,187.24</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11,338,187.24</w:t>
            </w:r>
          </w:p>
        </w:tc>
      </w:tr>
      <w:tr>
        <w:trPr>
          <w:trHeight w:val="392"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
              <w:jc w:val="right"/>
              <w:rPr>
                <w:rFonts w:ascii="宋体" w:hAnsi="宋体" w:cs="宋体" w:eastAsia="宋体" w:hint="default"/>
                <w:sz w:val="18"/>
                <w:szCs w:val="18"/>
              </w:rPr>
            </w:pPr>
            <w:r>
              <w:rPr>
                <w:rFonts w:ascii="宋体"/>
                <w:sz w:val="18"/>
              </w:rPr>
              <w:t>8,352,035.03</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8,352,035.03</w:t>
            </w:r>
          </w:p>
        </w:tc>
      </w:tr>
      <w:tr>
        <w:trPr>
          <w:trHeight w:val="392"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
              <w:jc w:val="right"/>
              <w:rPr>
                <w:rFonts w:ascii="宋体" w:hAnsi="宋体" w:cs="宋体" w:eastAsia="宋体" w:hint="default"/>
                <w:sz w:val="18"/>
                <w:szCs w:val="18"/>
              </w:rPr>
            </w:pPr>
            <w:r>
              <w:rPr>
                <w:rFonts w:ascii="宋体"/>
                <w:sz w:val="18"/>
              </w:rPr>
              <w:t>73,792.92</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73,792.92</w:t>
            </w:r>
          </w:p>
        </w:tc>
      </w:tr>
      <w:tr>
        <w:trPr>
          <w:trHeight w:val="392"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
              <w:jc w:val="right"/>
              <w:rPr>
                <w:rFonts w:ascii="宋体" w:hAnsi="宋体" w:cs="宋体" w:eastAsia="宋体" w:hint="default"/>
                <w:sz w:val="18"/>
                <w:szCs w:val="18"/>
              </w:rPr>
            </w:pPr>
            <w:r>
              <w:rPr>
                <w:rFonts w:ascii="宋体"/>
                <w:sz w:val="18"/>
              </w:rPr>
              <w:t>533,153.19</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533,153.19</w:t>
            </w:r>
          </w:p>
        </w:tc>
      </w:tr>
      <w:tr>
        <w:trPr>
          <w:trHeight w:val="392"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
              <w:jc w:val="right"/>
              <w:rPr>
                <w:rFonts w:ascii="宋体" w:hAnsi="宋体" w:cs="宋体" w:eastAsia="宋体" w:hint="default"/>
                <w:sz w:val="18"/>
                <w:szCs w:val="18"/>
              </w:rPr>
            </w:pPr>
            <w:r>
              <w:rPr>
                <w:rFonts w:ascii="宋体"/>
                <w:sz w:val="18"/>
              </w:rPr>
              <w:t>7,563,757.50</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7,563,757.50</w:t>
            </w:r>
          </w:p>
        </w:tc>
      </w:tr>
      <w:tr>
        <w:trPr>
          <w:trHeight w:val="392"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
              <w:jc w:val="right"/>
              <w:rPr>
                <w:rFonts w:ascii="宋体" w:hAnsi="宋体" w:cs="宋体" w:eastAsia="宋体" w:hint="default"/>
                <w:sz w:val="18"/>
                <w:szCs w:val="18"/>
              </w:rPr>
            </w:pPr>
            <w:r>
              <w:rPr>
                <w:rFonts w:ascii="宋体"/>
                <w:sz w:val="18"/>
              </w:rPr>
              <w:t>168,322.25</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168,322.25</w:t>
            </w:r>
          </w:p>
        </w:tc>
      </w:tr>
      <w:tr>
        <w:trPr>
          <w:trHeight w:val="392"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98,905.68</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98,905.68</w:t>
            </w:r>
          </w:p>
        </w:tc>
      </w:tr>
      <w:tr>
        <w:trPr>
          <w:trHeight w:val="392"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减：应交税费</w:t>
            </w:r>
          </w:p>
        </w:tc>
        <w:tc>
          <w:tcPr>
            <w:tcW w:w="207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17,997.69</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17,997.69</w:t>
            </w:r>
          </w:p>
        </w:tc>
      </w:tr>
      <w:tr>
        <w:trPr>
          <w:trHeight w:val="395"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07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28,110,156.12</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28,110,156.12</w:t>
            </w:r>
          </w:p>
        </w:tc>
      </w:tr>
      <w:tr>
        <w:trPr>
          <w:trHeight w:val="402"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07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16,866,093.67</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16,866,093.67</w:t>
            </w:r>
          </w:p>
        </w:tc>
      </w:tr>
      <w:tr>
        <w:trPr>
          <w:trHeight w:val="398"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以现金支付的对价</w:t>
            </w:r>
          </w:p>
        </w:tc>
        <w:tc>
          <w:tcPr>
            <w:tcW w:w="20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
              <w:jc w:val="right"/>
              <w:rPr>
                <w:rFonts w:ascii="宋体" w:hAnsi="宋体" w:cs="宋体" w:eastAsia="宋体" w:hint="default"/>
                <w:sz w:val="18"/>
                <w:szCs w:val="18"/>
              </w:rPr>
            </w:pPr>
            <w:r>
              <w:rPr>
                <w:rFonts w:ascii="宋体"/>
                <w:sz w:val="18"/>
              </w:rPr>
              <w:t>21,600,000.00</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single" w:sz="4" w:space="0" w:color="000000"/>
              <w:left w:val="nil" w:sz="6" w:space="0" w:color="auto"/>
              <w:bottom w:val="nil" w:sz="6" w:space="0" w:color="auto"/>
              <w:right w:val="nil" w:sz="6" w:space="0" w:color="auto"/>
            </w:tcBorders>
          </w:tcPr>
          <w:p>
            <w:pPr/>
          </w:p>
        </w:tc>
      </w:tr>
      <w:tr>
        <w:trPr>
          <w:trHeight w:val="396"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减：取得的被收购子公司的现金及现金等价物</w:t>
            </w:r>
          </w:p>
        </w:tc>
        <w:tc>
          <w:tcPr>
            <w:tcW w:w="207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
              <w:jc w:val="right"/>
              <w:rPr>
                <w:rFonts w:ascii="宋体" w:hAnsi="宋体" w:cs="宋体" w:eastAsia="宋体" w:hint="default"/>
                <w:sz w:val="18"/>
                <w:szCs w:val="18"/>
              </w:rPr>
            </w:pPr>
            <w:r>
              <w:rPr>
                <w:rFonts w:ascii="宋体"/>
                <w:sz w:val="18"/>
              </w:rPr>
              <w:t>11,338,187.24</w:t>
            </w:r>
          </w:p>
        </w:tc>
        <w:tc>
          <w:tcPr>
            <w:tcW w:w="385" w:type="dxa"/>
            <w:tcBorders>
              <w:top w:val="nil" w:sz="6" w:space="0" w:color="auto"/>
              <w:left w:val="nil" w:sz="6" w:space="0" w:color="auto"/>
              <w:bottom w:val="nil" w:sz="6" w:space="0" w:color="auto"/>
              <w:right w:val="nil" w:sz="6" w:space="0" w:color="auto"/>
            </w:tcBorders>
          </w:tcPr>
          <w:p>
            <w:pPr/>
          </w:p>
        </w:tc>
        <w:tc>
          <w:tcPr>
            <w:tcW w:w="220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77" w:footer="1022" w:top="1100" w:bottom="1220" w:left="820" w:right="98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5163"/>
        <w:gridCol w:w="2070"/>
      </w:tblGrid>
      <w:tr>
        <w:trPr>
          <w:trHeight w:val="413" w:hRule="exact"/>
        </w:trPr>
        <w:tc>
          <w:tcPr>
            <w:tcW w:w="516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207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898" w:right="0"/>
              <w:jc w:val="left"/>
              <w:rPr>
                <w:rFonts w:ascii="宋体" w:hAnsi="宋体" w:cs="宋体" w:eastAsia="宋体" w:hint="default"/>
                <w:sz w:val="18"/>
                <w:szCs w:val="18"/>
              </w:rPr>
            </w:pPr>
            <w:r>
              <w:rPr>
                <w:rFonts w:ascii="宋体"/>
                <w:sz w:val="18"/>
              </w:rPr>
              <w:t>10,261,812.76</w:t>
            </w:r>
          </w:p>
        </w:tc>
      </w:tr>
    </w:tbl>
    <w:p>
      <w:pPr>
        <w:spacing w:line="240" w:lineRule="auto" w:before="13"/>
        <w:rPr>
          <w:rFonts w:ascii="宋体" w:hAnsi="宋体" w:cs="宋体" w:eastAsia="宋体" w:hint="default"/>
          <w:sz w:val="10"/>
          <w:szCs w:val="10"/>
        </w:rPr>
      </w:pPr>
    </w:p>
    <w:p>
      <w:pPr>
        <w:pStyle w:val="BodyText"/>
        <w:spacing w:line="240" w:lineRule="auto" w:before="26"/>
        <w:ind w:left="794" w:right="0"/>
        <w:jc w:val="left"/>
      </w:pPr>
      <w:r>
        <w:rPr>
          <w:spacing w:val="-1"/>
        </w:rPr>
        <w:t>北京信力公司自购买日</w:t>
      </w:r>
      <w:r>
        <w:rPr/>
        <w:t>到</w:t>
      </w:r>
      <w:r>
        <w:rPr>
          <w:spacing w:val="-74"/>
        </w:rPr>
        <w:t> </w:t>
      </w:r>
      <w:r>
        <w:rPr>
          <w:spacing w:val="-1"/>
        </w:rPr>
        <w:t>200</w:t>
      </w:r>
      <w:r>
        <w:rPr/>
        <w:t>8</w:t>
      </w:r>
      <w:r>
        <w:rPr>
          <w:spacing w:val="-74"/>
        </w:rPr>
        <w:t> </w:t>
      </w:r>
      <w:r>
        <w:rPr/>
        <w:t>年</w:t>
      </w:r>
      <w:r>
        <w:rPr>
          <w:spacing w:val="-74"/>
        </w:rPr>
        <w:t> </w:t>
      </w:r>
      <w:r>
        <w:rPr>
          <w:spacing w:val="-2"/>
        </w:rPr>
        <w:t>1</w:t>
      </w:r>
      <w:r>
        <w:rPr/>
        <w:t>2</w:t>
      </w:r>
      <w:r>
        <w:rPr>
          <w:spacing w:val="-74"/>
        </w:rPr>
        <w:t> </w:t>
      </w:r>
      <w:r>
        <w:rPr/>
        <w:t>月</w:t>
      </w:r>
      <w:r>
        <w:rPr>
          <w:spacing w:val="-74"/>
        </w:rPr>
        <w:t> </w:t>
      </w:r>
      <w:r>
        <w:rPr>
          <w:spacing w:val="-1"/>
        </w:rPr>
        <w:t>3</w:t>
      </w:r>
      <w:r>
        <w:rPr/>
        <w:t>1</w:t>
      </w:r>
      <w:r>
        <w:rPr>
          <w:spacing w:val="-74"/>
        </w:rPr>
        <w:t> </w:t>
      </w:r>
      <w:r>
        <w:rPr>
          <w:spacing w:val="-1"/>
        </w:rPr>
        <w:t>日止期间的收入</w:t>
      </w:r>
      <w:r>
        <w:rPr>
          <w:spacing w:val="-120"/>
        </w:rPr>
        <w:t>、</w:t>
      </w:r>
      <w:r>
        <w:rPr/>
        <w:t>净利润和现金流量列示如下：</w:t>
      </w:r>
    </w:p>
    <w:p>
      <w:pPr>
        <w:spacing w:line="240" w:lineRule="auto" w:before="4"/>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7292"/>
        <w:gridCol w:w="2546"/>
      </w:tblGrid>
      <w:tr>
        <w:trPr>
          <w:trHeight w:val="307" w:hRule="exact"/>
        </w:trPr>
        <w:tc>
          <w:tcPr>
            <w:tcW w:w="7292" w:type="dxa"/>
            <w:tcBorders>
              <w:top w:val="nil" w:sz="6" w:space="0" w:color="auto"/>
              <w:left w:val="nil" w:sz="6" w:space="0" w:color="auto"/>
              <w:bottom w:val="nil" w:sz="6" w:space="0" w:color="auto"/>
              <w:right w:val="nil" w:sz="6" w:space="0" w:color="auto"/>
            </w:tcBorders>
          </w:tcPr>
          <w:p>
            <w:pPr/>
          </w:p>
        </w:tc>
        <w:tc>
          <w:tcPr>
            <w:tcW w:w="2546"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31" w:hRule="exact"/>
        </w:trPr>
        <w:tc>
          <w:tcPr>
            <w:tcW w:w="729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546"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6,036,653.60</w:t>
            </w:r>
          </w:p>
        </w:tc>
      </w:tr>
      <w:tr>
        <w:trPr>
          <w:trHeight w:val="425" w:hRule="exact"/>
        </w:trPr>
        <w:tc>
          <w:tcPr>
            <w:tcW w:w="729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2,650,844.03</w:t>
            </w:r>
          </w:p>
        </w:tc>
      </w:tr>
      <w:tr>
        <w:trPr>
          <w:trHeight w:val="425" w:hRule="exact"/>
        </w:trPr>
        <w:tc>
          <w:tcPr>
            <w:tcW w:w="729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0"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7,113,068.89</w:t>
            </w:r>
          </w:p>
        </w:tc>
      </w:tr>
      <w:tr>
        <w:trPr>
          <w:trHeight w:val="302" w:hRule="exact"/>
        </w:trPr>
        <w:tc>
          <w:tcPr>
            <w:tcW w:w="729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0"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254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7.064,799.32</w:t>
            </w:r>
          </w:p>
        </w:tc>
      </w:tr>
    </w:tbl>
    <w:p>
      <w:pPr>
        <w:spacing w:line="240" w:lineRule="auto" w:before="4"/>
        <w:rPr>
          <w:rFonts w:ascii="宋体" w:hAnsi="宋体" w:cs="宋体" w:eastAsia="宋体" w:hint="default"/>
          <w:sz w:val="20"/>
          <w:szCs w:val="20"/>
        </w:rPr>
      </w:pPr>
    </w:p>
    <w:p>
      <w:pPr>
        <w:pStyle w:val="Heading4"/>
        <w:spacing w:line="240" w:lineRule="auto"/>
        <w:ind w:right="0"/>
        <w:jc w:val="left"/>
        <w:rPr>
          <w:rFonts w:ascii="黑体" w:hAnsi="黑体" w:cs="黑体" w:eastAsia="黑体" w:hint="default"/>
          <w:b w:val="0"/>
          <w:bCs w:val="0"/>
        </w:rPr>
      </w:pPr>
      <w:r>
        <w:rPr>
          <w:rFonts w:ascii="黑体" w:hAnsi="黑体" w:cs="黑体" w:eastAsia="黑体" w:hint="default"/>
        </w:rPr>
        <w:t>七、合并财务报表项目附注</w:t>
      </w:r>
      <w:r>
        <w:rPr>
          <w:rFonts w:ascii="黑体" w:hAnsi="黑体" w:cs="黑体" w:eastAsia="黑体" w:hint="default"/>
          <w:b w:val="0"/>
          <w:bCs w:val="0"/>
        </w:rPr>
      </w:r>
    </w:p>
    <w:p>
      <w:pPr>
        <w:pStyle w:val="Heading4"/>
        <w:spacing w:line="240" w:lineRule="auto" w:before="206"/>
        <w:ind w:right="0"/>
        <w:jc w:val="left"/>
        <w:rPr>
          <w:b w:val="0"/>
          <w:bCs w:val="0"/>
        </w:rPr>
      </w:pPr>
      <w:r>
        <w:rPr/>
        <w:t>1、货币资金</w:t>
      </w:r>
      <w:r>
        <w:rPr>
          <w:b w:val="0"/>
          <w:bCs w:val="0"/>
        </w:rPr>
      </w:r>
    </w:p>
    <w:p>
      <w:pPr>
        <w:spacing w:line="240" w:lineRule="auto" w:before="1"/>
        <w:rPr>
          <w:rFonts w:ascii="宋体" w:hAnsi="宋体" w:cs="宋体" w:eastAsia="宋体" w:hint="default"/>
          <w:b/>
          <w:bCs/>
          <w:sz w:val="20"/>
          <w:szCs w:val="20"/>
        </w:rPr>
      </w:pPr>
    </w:p>
    <w:tbl>
      <w:tblPr>
        <w:tblW w:w="0" w:type="auto"/>
        <w:jc w:val="left"/>
        <w:tblInd w:w="113" w:type="dxa"/>
        <w:tblLayout w:type="fixed"/>
        <w:tblCellMar>
          <w:top w:w="0" w:type="dxa"/>
          <w:left w:w="0" w:type="dxa"/>
          <w:bottom w:w="0" w:type="dxa"/>
          <w:right w:w="0" w:type="dxa"/>
        </w:tblCellMar>
        <w:tblLook w:val="01E0"/>
      </w:tblPr>
      <w:tblGrid>
        <w:gridCol w:w="4058"/>
        <w:gridCol w:w="2448"/>
        <w:gridCol w:w="806"/>
        <w:gridCol w:w="2526"/>
      </w:tblGrid>
      <w:tr>
        <w:trPr>
          <w:trHeight w:val="290" w:hRule="exact"/>
        </w:trPr>
        <w:tc>
          <w:tcPr>
            <w:tcW w:w="4058" w:type="dxa"/>
            <w:tcBorders>
              <w:top w:val="nil" w:sz="6" w:space="0" w:color="auto"/>
              <w:left w:val="nil" w:sz="6" w:space="0" w:color="auto"/>
              <w:bottom w:val="nil" w:sz="6" w:space="0" w:color="auto"/>
              <w:right w:val="nil" w:sz="6" w:space="0" w:color="auto"/>
            </w:tcBorders>
          </w:tcPr>
          <w:p>
            <w:pPr/>
          </w:p>
        </w:tc>
        <w:tc>
          <w:tcPr>
            <w:tcW w:w="2448" w:type="dxa"/>
            <w:tcBorders>
              <w:top w:val="nil" w:sz="6" w:space="0" w:color="auto"/>
              <w:left w:val="nil" w:sz="6" w:space="0" w:color="auto"/>
              <w:bottom w:val="single" w:sz="4" w:space="0" w:color="000000"/>
              <w:right w:val="nil" w:sz="6" w:space="0" w:color="auto"/>
            </w:tcBorders>
          </w:tcPr>
          <w:p>
            <w:pPr>
              <w:pStyle w:val="TableParagraph"/>
              <w:spacing w:line="180" w:lineRule="exact"/>
              <w:ind w:left="48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06" w:type="dxa"/>
            <w:tcBorders>
              <w:top w:val="nil" w:sz="6" w:space="0" w:color="auto"/>
              <w:left w:val="nil" w:sz="6" w:space="0" w:color="auto"/>
              <w:bottom w:val="nil" w:sz="6" w:space="0" w:color="auto"/>
              <w:right w:val="nil" w:sz="6" w:space="0" w:color="auto"/>
            </w:tcBorders>
          </w:tcPr>
          <w:p>
            <w:pPr/>
          </w:p>
        </w:tc>
        <w:tc>
          <w:tcPr>
            <w:tcW w:w="2526" w:type="dxa"/>
            <w:tcBorders>
              <w:top w:val="nil" w:sz="6" w:space="0" w:color="auto"/>
              <w:left w:val="nil" w:sz="6" w:space="0" w:color="auto"/>
              <w:bottom w:val="single" w:sz="4" w:space="0" w:color="000000"/>
              <w:right w:val="nil" w:sz="6" w:space="0" w:color="auto"/>
            </w:tcBorders>
          </w:tcPr>
          <w:p>
            <w:pPr>
              <w:pStyle w:val="TableParagraph"/>
              <w:spacing w:line="180" w:lineRule="exact"/>
              <w:ind w:left="52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8" w:hRule="exact"/>
        </w:trPr>
        <w:tc>
          <w:tcPr>
            <w:tcW w:w="405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244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127,389.20</w:t>
            </w:r>
          </w:p>
        </w:tc>
        <w:tc>
          <w:tcPr>
            <w:tcW w:w="806" w:type="dxa"/>
            <w:tcBorders>
              <w:top w:val="nil" w:sz="6" w:space="0" w:color="auto"/>
              <w:left w:val="nil" w:sz="6" w:space="0" w:color="auto"/>
              <w:bottom w:val="nil" w:sz="6" w:space="0" w:color="auto"/>
              <w:right w:val="nil" w:sz="6" w:space="0" w:color="auto"/>
            </w:tcBorders>
          </w:tcPr>
          <w:p>
            <w:pPr/>
          </w:p>
        </w:tc>
        <w:tc>
          <w:tcPr>
            <w:tcW w:w="252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62,221.29</w:t>
            </w:r>
          </w:p>
        </w:tc>
      </w:tr>
      <w:tr>
        <w:trPr>
          <w:trHeight w:val="392" w:hRule="exact"/>
        </w:trPr>
        <w:tc>
          <w:tcPr>
            <w:tcW w:w="40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4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113,458,692.56</w:t>
            </w:r>
          </w:p>
        </w:tc>
        <w:tc>
          <w:tcPr>
            <w:tcW w:w="806" w:type="dxa"/>
            <w:tcBorders>
              <w:top w:val="nil" w:sz="6" w:space="0" w:color="auto"/>
              <w:left w:val="nil" w:sz="6" w:space="0" w:color="auto"/>
              <w:bottom w:val="nil" w:sz="6" w:space="0" w:color="auto"/>
              <w:right w:val="nil" w:sz="6" w:space="0" w:color="auto"/>
            </w:tcBorders>
          </w:tcPr>
          <w:p>
            <w:pPr/>
          </w:p>
        </w:tc>
        <w:tc>
          <w:tcPr>
            <w:tcW w:w="25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
              <w:jc w:val="right"/>
              <w:rPr>
                <w:rFonts w:ascii="宋体" w:hAnsi="宋体" w:cs="宋体" w:eastAsia="宋体" w:hint="default"/>
                <w:sz w:val="18"/>
                <w:szCs w:val="18"/>
              </w:rPr>
            </w:pPr>
            <w:r>
              <w:rPr>
                <w:rFonts w:ascii="宋体"/>
                <w:sz w:val="18"/>
              </w:rPr>
              <w:t>99,965,913.43</w:t>
            </w:r>
          </w:p>
        </w:tc>
      </w:tr>
      <w:tr>
        <w:trPr>
          <w:trHeight w:val="396" w:hRule="exact"/>
        </w:trPr>
        <w:tc>
          <w:tcPr>
            <w:tcW w:w="405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44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43,769,392.31</w:t>
            </w:r>
          </w:p>
        </w:tc>
        <w:tc>
          <w:tcPr>
            <w:tcW w:w="806" w:type="dxa"/>
            <w:tcBorders>
              <w:top w:val="nil" w:sz="6" w:space="0" w:color="auto"/>
              <w:left w:val="nil" w:sz="6" w:space="0" w:color="auto"/>
              <w:bottom w:val="nil" w:sz="6" w:space="0" w:color="auto"/>
              <w:right w:val="nil" w:sz="6" w:space="0" w:color="auto"/>
            </w:tcBorders>
          </w:tcPr>
          <w:p>
            <w:pPr/>
          </w:p>
        </w:tc>
        <w:tc>
          <w:tcPr>
            <w:tcW w:w="252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6"/>
              <w:jc w:val="right"/>
              <w:rPr>
                <w:rFonts w:ascii="宋体" w:hAnsi="宋体" w:cs="宋体" w:eastAsia="宋体" w:hint="default"/>
                <w:sz w:val="18"/>
                <w:szCs w:val="18"/>
              </w:rPr>
            </w:pPr>
            <w:r>
              <w:rPr>
                <w:rFonts w:ascii="宋体"/>
                <w:sz w:val="18"/>
              </w:rPr>
              <w:t>193,912,738.84</w:t>
            </w:r>
          </w:p>
        </w:tc>
      </w:tr>
      <w:tr>
        <w:trPr>
          <w:trHeight w:val="413" w:hRule="exact"/>
        </w:trPr>
        <w:tc>
          <w:tcPr>
            <w:tcW w:w="405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608"/>
              <w:jc w:val="center"/>
              <w:rPr>
                <w:rFonts w:ascii="宋体" w:hAnsi="宋体" w:cs="宋体" w:eastAsia="宋体" w:hint="default"/>
                <w:sz w:val="18"/>
                <w:szCs w:val="18"/>
              </w:rPr>
            </w:pPr>
            <w:r>
              <w:rPr>
                <w:rFonts w:ascii="宋体" w:hAnsi="宋体" w:cs="宋体" w:eastAsia="宋体" w:hint="default"/>
                <w:sz w:val="18"/>
                <w:szCs w:val="18"/>
              </w:rPr>
              <w:t>合计</w:t>
            </w:r>
          </w:p>
        </w:tc>
        <w:tc>
          <w:tcPr>
            <w:tcW w:w="244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157,355,474.07</w:t>
            </w:r>
          </w:p>
        </w:tc>
        <w:tc>
          <w:tcPr>
            <w:tcW w:w="806" w:type="dxa"/>
            <w:tcBorders>
              <w:top w:val="nil" w:sz="6" w:space="0" w:color="auto"/>
              <w:left w:val="nil" w:sz="6" w:space="0" w:color="auto"/>
              <w:bottom w:val="nil" w:sz="6" w:space="0" w:color="auto"/>
              <w:right w:val="nil" w:sz="6" w:space="0" w:color="auto"/>
            </w:tcBorders>
          </w:tcPr>
          <w:p>
            <w:pPr/>
          </w:p>
        </w:tc>
        <w:tc>
          <w:tcPr>
            <w:tcW w:w="252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293,940,873.56</w:t>
            </w:r>
          </w:p>
        </w:tc>
      </w:tr>
    </w:tbl>
    <w:p>
      <w:pPr>
        <w:spacing w:line="240" w:lineRule="auto" w:before="13"/>
        <w:rPr>
          <w:rFonts w:ascii="宋体" w:hAnsi="宋体" w:cs="宋体" w:eastAsia="宋体" w:hint="default"/>
          <w:b/>
          <w:bCs/>
          <w:sz w:val="10"/>
          <w:szCs w:val="10"/>
        </w:rPr>
      </w:pPr>
    </w:p>
    <w:p>
      <w:pPr>
        <w:pStyle w:val="Heading4"/>
        <w:spacing w:line="240" w:lineRule="auto"/>
        <w:ind w:right="0"/>
        <w:jc w:val="left"/>
        <w:rPr>
          <w:b w:val="0"/>
          <w:bCs w:val="0"/>
        </w:rPr>
      </w:pPr>
      <w:r>
        <w:rPr/>
        <w:t>2、应收票据</w:t>
      </w:r>
      <w:r>
        <w:rPr>
          <w:b w:val="0"/>
          <w:bCs w:val="0"/>
        </w:rPr>
      </w:r>
    </w:p>
    <w:p>
      <w:pPr>
        <w:spacing w:line="240" w:lineRule="auto" w:before="1"/>
        <w:rPr>
          <w:rFonts w:ascii="宋体" w:hAnsi="宋体" w:cs="宋体" w:eastAsia="宋体" w:hint="default"/>
          <w:b/>
          <w:bCs/>
          <w:sz w:val="20"/>
          <w:szCs w:val="20"/>
        </w:rPr>
      </w:pPr>
    </w:p>
    <w:tbl>
      <w:tblPr>
        <w:tblW w:w="0" w:type="auto"/>
        <w:jc w:val="left"/>
        <w:tblInd w:w="114" w:type="dxa"/>
        <w:tblLayout w:type="fixed"/>
        <w:tblCellMar>
          <w:top w:w="0" w:type="dxa"/>
          <w:left w:w="0" w:type="dxa"/>
          <w:bottom w:w="0" w:type="dxa"/>
          <w:right w:w="0" w:type="dxa"/>
        </w:tblCellMar>
        <w:tblLook w:val="01E0"/>
      </w:tblPr>
      <w:tblGrid>
        <w:gridCol w:w="3975"/>
        <w:gridCol w:w="2399"/>
        <w:gridCol w:w="990"/>
        <w:gridCol w:w="2474"/>
      </w:tblGrid>
      <w:tr>
        <w:trPr>
          <w:trHeight w:val="290" w:hRule="exact"/>
        </w:trPr>
        <w:tc>
          <w:tcPr>
            <w:tcW w:w="3975"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single" w:sz="4" w:space="0" w:color="000000"/>
              <w:right w:val="nil" w:sz="6" w:space="0" w:color="auto"/>
            </w:tcBorders>
          </w:tcPr>
          <w:p>
            <w:pPr>
              <w:pStyle w:val="TableParagraph"/>
              <w:spacing w:line="180" w:lineRule="exact"/>
              <w:ind w:left="46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0"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180" w:lineRule="exact"/>
              <w:ind w:left="49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92" w:hRule="exact"/>
        </w:trPr>
        <w:tc>
          <w:tcPr>
            <w:tcW w:w="397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3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28" w:right="0"/>
              <w:jc w:val="left"/>
              <w:rPr>
                <w:rFonts w:ascii="宋体" w:hAnsi="宋体" w:cs="宋体" w:eastAsia="宋体" w:hint="default"/>
                <w:sz w:val="18"/>
                <w:szCs w:val="18"/>
              </w:rPr>
            </w:pPr>
            <w:r>
              <w:rPr>
                <w:rFonts w:ascii="宋体"/>
                <w:sz w:val="18"/>
              </w:rPr>
              <w:t>25,134,500.30</w:t>
            </w:r>
          </w:p>
        </w:tc>
        <w:tc>
          <w:tcPr>
            <w:tcW w:w="990"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52" w:right="0"/>
              <w:jc w:val="left"/>
              <w:rPr>
                <w:rFonts w:ascii="宋体" w:hAnsi="宋体" w:cs="宋体" w:eastAsia="宋体" w:hint="default"/>
                <w:sz w:val="18"/>
                <w:szCs w:val="18"/>
              </w:rPr>
            </w:pPr>
            <w:r>
              <w:rPr>
                <w:rFonts w:ascii="宋体"/>
                <w:spacing w:val="3"/>
                <w:sz w:val="18"/>
              </w:rPr>
              <w:t>24,801,922.90</w:t>
            </w:r>
            <w:r>
              <w:rPr>
                <w:rFonts w:ascii="宋体"/>
                <w:sz w:val="18"/>
              </w:rPr>
            </w:r>
          </w:p>
        </w:tc>
      </w:tr>
    </w:tbl>
    <w:p>
      <w:pPr>
        <w:spacing w:line="240" w:lineRule="auto" w:before="1"/>
        <w:rPr>
          <w:rFonts w:ascii="宋体" w:hAnsi="宋体" w:cs="宋体" w:eastAsia="宋体" w:hint="default"/>
          <w:b/>
          <w:bCs/>
          <w:sz w:val="19"/>
          <w:szCs w:val="19"/>
        </w:rPr>
      </w:pPr>
    </w:p>
    <w:p>
      <w:pPr>
        <w:pStyle w:val="Heading4"/>
        <w:spacing w:line="240" w:lineRule="auto"/>
        <w:ind w:right="0"/>
        <w:jc w:val="left"/>
        <w:rPr>
          <w:b w:val="0"/>
          <w:bCs w:val="0"/>
        </w:rPr>
      </w:pPr>
      <w:r>
        <w:rPr/>
        <w:t>3、应收账款</w:t>
      </w:r>
      <w:r>
        <w:rPr>
          <w:b w:val="0"/>
          <w:bCs w:val="0"/>
        </w:rPr>
      </w:r>
    </w:p>
    <w:p>
      <w:pPr>
        <w:spacing w:line="240" w:lineRule="auto" w:before="3"/>
        <w:rPr>
          <w:rFonts w:ascii="宋体" w:hAnsi="宋体" w:cs="宋体" w:eastAsia="宋体" w:hint="default"/>
          <w:b/>
          <w:bCs/>
          <w:sz w:val="20"/>
          <w:szCs w:val="20"/>
        </w:rPr>
      </w:pPr>
    </w:p>
    <w:tbl>
      <w:tblPr>
        <w:tblW w:w="0" w:type="auto"/>
        <w:jc w:val="left"/>
        <w:tblInd w:w="113" w:type="dxa"/>
        <w:tblLayout w:type="fixed"/>
        <w:tblCellMar>
          <w:top w:w="0" w:type="dxa"/>
          <w:left w:w="0" w:type="dxa"/>
          <w:bottom w:w="0" w:type="dxa"/>
          <w:right w:w="0" w:type="dxa"/>
        </w:tblCellMar>
        <w:tblLook w:val="01E0"/>
      </w:tblPr>
      <w:tblGrid>
        <w:gridCol w:w="4108"/>
        <w:gridCol w:w="2356"/>
        <w:gridCol w:w="905"/>
        <w:gridCol w:w="2470"/>
      </w:tblGrid>
      <w:tr>
        <w:trPr>
          <w:trHeight w:val="293" w:hRule="exact"/>
        </w:trPr>
        <w:tc>
          <w:tcPr>
            <w:tcW w:w="4108"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single" w:sz="4" w:space="0" w:color="000000"/>
              <w:right w:val="nil" w:sz="6" w:space="0" w:color="auto"/>
            </w:tcBorders>
          </w:tcPr>
          <w:p>
            <w:pPr>
              <w:pStyle w:val="TableParagraph"/>
              <w:spacing w:line="180" w:lineRule="exact"/>
              <w:ind w:left="43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05"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single" w:sz="4" w:space="0" w:color="000000"/>
              <w:right w:val="nil" w:sz="6" w:space="0" w:color="auto"/>
            </w:tcBorders>
          </w:tcPr>
          <w:p>
            <w:pPr>
              <w:pStyle w:val="TableParagraph"/>
              <w:spacing w:line="180" w:lineRule="exact"/>
              <w:ind w:left="49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3"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5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362,838,529.16</w:t>
            </w:r>
          </w:p>
        </w:tc>
        <w:tc>
          <w:tcPr>
            <w:tcW w:w="905" w:type="dxa"/>
            <w:tcBorders>
              <w:top w:val="nil" w:sz="6" w:space="0" w:color="auto"/>
              <w:left w:val="nil" w:sz="6" w:space="0" w:color="auto"/>
              <w:bottom w:val="nil" w:sz="6" w:space="0" w:color="auto"/>
              <w:right w:val="nil" w:sz="6" w:space="0" w:color="auto"/>
            </w:tcBorders>
          </w:tcPr>
          <w:p>
            <w:pPr/>
          </w:p>
        </w:tc>
        <w:tc>
          <w:tcPr>
            <w:tcW w:w="247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216,471,064.50</w:t>
            </w:r>
          </w:p>
        </w:tc>
      </w:tr>
      <w:tr>
        <w:trPr>
          <w:trHeight w:val="401" w:hRule="exact"/>
        </w:trPr>
        <w:tc>
          <w:tcPr>
            <w:tcW w:w="4108"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235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27,167,516.26</w:t>
            </w:r>
          </w:p>
        </w:tc>
        <w:tc>
          <w:tcPr>
            <w:tcW w:w="905" w:type="dxa"/>
            <w:tcBorders>
              <w:top w:val="nil" w:sz="6" w:space="0" w:color="auto"/>
              <w:left w:val="nil" w:sz="6" w:space="0" w:color="auto"/>
              <w:bottom w:val="nil" w:sz="6" w:space="0" w:color="auto"/>
              <w:right w:val="nil" w:sz="6" w:space="0" w:color="auto"/>
            </w:tcBorders>
          </w:tcPr>
          <w:p>
            <w:pPr/>
          </w:p>
        </w:tc>
        <w:tc>
          <w:tcPr>
            <w:tcW w:w="247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14,144,708.52</w:t>
            </w:r>
          </w:p>
        </w:tc>
      </w:tr>
      <w:tr>
        <w:trPr>
          <w:trHeight w:val="418" w:hRule="exact"/>
        </w:trPr>
        <w:tc>
          <w:tcPr>
            <w:tcW w:w="4108" w:type="dxa"/>
            <w:tcBorders>
              <w:top w:val="nil" w:sz="6" w:space="0" w:color="auto"/>
              <w:left w:val="nil" w:sz="6" w:space="0" w:color="auto"/>
              <w:bottom w:val="nil" w:sz="6" w:space="0" w:color="auto"/>
              <w:right w:val="nil" w:sz="6" w:space="0" w:color="auto"/>
            </w:tcBorders>
          </w:tcPr>
          <w:p>
            <w:pPr/>
          </w:p>
        </w:tc>
        <w:tc>
          <w:tcPr>
            <w:tcW w:w="2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335,671,012.90</w:t>
            </w:r>
          </w:p>
        </w:tc>
        <w:tc>
          <w:tcPr>
            <w:tcW w:w="905" w:type="dxa"/>
            <w:tcBorders>
              <w:top w:val="nil" w:sz="6" w:space="0" w:color="auto"/>
              <w:left w:val="nil" w:sz="6" w:space="0" w:color="auto"/>
              <w:bottom w:val="nil" w:sz="6" w:space="0" w:color="auto"/>
              <w:right w:val="nil" w:sz="6" w:space="0" w:color="auto"/>
            </w:tcBorders>
          </w:tcPr>
          <w:p>
            <w:pPr/>
          </w:p>
        </w:tc>
        <w:tc>
          <w:tcPr>
            <w:tcW w:w="2470"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202,326,355.98</w:t>
            </w:r>
          </w:p>
        </w:tc>
      </w:tr>
    </w:tbl>
    <w:p>
      <w:pPr>
        <w:spacing w:line="240" w:lineRule="auto" w:before="13"/>
        <w:rPr>
          <w:rFonts w:ascii="宋体" w:hAnsi="宋体" w:cs="宋体" w:eastAsia="宋体" w:hint="default"/>
          <w:b/>
          <w:bCs/>
          <w:sz w:val="10"/>
          <w:szCs w:val="10"/>
        </w:rPr>
      </w:pPr>
    </w:p>
    <w:p>
      <w:pPr>
        <w:pStyle w:val="BodyText"/>
        <w:spacing w:line="240" w:lineRule="auto" w:before="26"/>
        <w:ind w:left="794" w:right="0"/>
        <w:jc w:val="left"/>
      </w:pPr>
      <w:r>
        <w:rPr/>
        <w:t>(1)应收账款账龄及相应的坏账准备分析如下：</w:t>
      </w:r>
    </w:p>
    <w:p>
      <w:pPr>
        <w:tabs>
          <w:tab w:pos="7025" w:val="left" w:leader="none"/>
        </w:tabs>
        <w:spacing w:before="211"/>
        <w:ind w:left="2682" w:right="0" w:firstLine="0"/>
        <w:jc w:val="left"/>
        <w:rPr>
          <w:rFonts w:ascii="宋体" w:hAnsi="宋体" w:cs="宋体" w:eastAsia="宋体" w:hint="default"/>
          <w:sz w:val="18"/>
          <w:szCs w:val="18"/>
        </w:rPr>
      </w:pPr>
      <w:r>
        <w:rPr/>
        <w:pict>
          <v:group style="position:absolute;margin-left:107.279999pt;margin-top:27.719015pt;width:431.25pt;height:.5pt;mso-position-horizontal-relative:page;mso-position-vertical-relative:paragraph;z-index:-526768" coordorigin="2146,554" coordsize="8625,10">
            <v:group style="position:absolute;left:2150;top:559;width:4178;height:2" coordorigin="2150,559" coordsize="4178,2">
              <v:shape style="position:absolute;left:2150;top:559;width:4178;height:2" coordorigin="2150,559" coordsize="4178,0" path="m2150,559l6328,559e" filled="false" stroked="true" strokeweight=".48pt" strokecolor="#000000">
                <v:path arrowok="t"/>
              </v:shape>
            </v:group>
            <v:group style="position:absolute;left:6397;top:559;width:4368;height:2" coordorigin="6397,559" coordsize="4368,2">
              <v:shape style="position:absolute;left:6397;top:559;width:4368;height:2" coordorigin="6397,559" coordsize="4368,0" path="m6397,559l10765,559e" filled="false" stroked="true" strokeweight=".48pt" strokecolor="#000000">
                <v:path arrowok="t"/>
              </v:shape>
            </v:group>
            <w10:wrap type="none"/>
          </v:group>
        </w:pic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bl>
      <w:tblPr>
        <w:tblW w:w="0" w:type="auto"/>
        <w:jc w:val="left"/>
        <w:tblInd w:w="278" w:type="dxa"/>
        <w:tblLayout w:type="fixed"/>
        <w:tblCellMar>
          <w:top w:w="0" w:type="dxa"/>
          <w:left w:w="0" w:type="dxa"/>
          <w:bottom w:w="0" w:type="dxa"/>
          <w:right w:w="0" w:type="dxa"/>
        </w:tblCellMar>
        <w:tblLook w:val="01E0"/>
      </w:tblPr>
      <w:tblGrid>
        <w:gridCol w:w="841"/>
        <w:gridCol w:w="211"/>
        <w:gridCol w:w="1443"/>
        <w:gridCol w:w="193"/>
        <w:gridCol w:w="1040"/>
        <w:gridCol w:w="162"/>
        <w:gridCol w:w="1468"/>
        <w:gridCol w:w="1383"/>
        <w:gridCol w:w="192"/>
        <w:gridCol w:w="1265"/>
        <w:gridCol w:w="130"/>
        <w:gridCol w:w="1380"/>
      </w:tblGrid>
      <w:tr>
        <w:trPr>
          <w:trHeight w:val="497" w:hRule="exact"/>
        </w:trPr>
        <w:tc>
          <w:tcPr>
            <w:tcW w:w="841" w:type="dxa"/>
            <w:tcBorders>
              <w:top w:val="nil" w:sz="6" w:space="0" w:color="auto"/>
              <w:left w:val="nil" w:sz="6" w:space="0" w:color="auto"/>
              <w:bottom w:val="single" w:sz="4" w:space="0" w:color="000000"/>
              <w:right w:val="nil" w:sz="6" w:space="0" w:color="auto"/>
            </w:tcBorders>
          </w:tcPr>
          <w:p>
            <w:pPr>
              <w:pStyle w:val="TableParagraph"/>
              <w:spacing w:line="180" w:lineRule="exact"/>
              <w:ind w:left="4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11"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left="6"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3"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64"/>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62"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left="3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right="51"/>
              <w:jc w:val="center"/>
              <w:rPr>
                <w:rFonts w:ascii="宋体" w:hAnsi="宋体" w:cs="宋体" w:eastAsia="宋体" w:hint="default"/>
                <w:sz w:val="18"/>
                <w:szCs w:val="18"/>
              </w:rPr>
            </w:pPr>
            <w:r>
              <w:rPr>
                <w:rFonts w:ascii="宋体" w:hAnsi="宋体" w:cs="宋体" w:eastAsia="宋体" w:hint="default"/>
                <w:sz w:val="18"/>
                <w:szCs w:val="18"/>
              </w:rPr>
              <w:t>金额</w:t>
            </w:r>
          </w:p>
        </w:tc>
        <w:tc>
          <w:tcPr>
            <w:tcW w:w="19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left="189" w:right="0"/>
              <w:jc w:val="left"/>
              <w:rPr>
                <w:rFonts w:ascii="宋体" w:hAnsi="宋体" w:cs="宋体" w:eastAsia="宋体" w:hint="default"/>
                <w:sz w:val="18"/>
                <w:szCs w:val="18"/>
              </w:rPr>
            </w:pPr>
            <w:r>
              <w:rPr>
                <w:rFonts w:ascii="宋体" w:hAnsi="宋体" w:cs="宋体" w:eastAsia="宋体" w:hint="default"/>
                <w:sz w:val="18"/>
                <w:szCs w:val="18"/>
              </w:rPr>
              <w:t>占总额比例</w:t>
            </w:r>
          </w:p>
        </w:tc>
        <w:tc>
          <w:tcPr>
            <w:tcW w:w="13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148"/>
              <w:ind w:left="31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84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47"/>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211" w:type="dxa"/>
            <w:tcBorders>
              <w:top w:val="nil" w:sz="6" w:space="0" w:color="auto"/>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259,398,524.84</w:t>
            </w:r>
          </w:p>
        </w:tc>
        <w:tc>
          <w:tcPr>
            <w:tcW w:w="193" w:type="dxa"/>
            <w:tcBorders>
              <w:top w:val="nil" w:sz="6" w:space="0" w:color="auto"/>
              <w:left w:val="nil" w:sz="6" w:space="0" w:color="auto"/>
              <w:bottom w:val="nil" w:sz="6" w:space="0" w:color="auto"/>
              <w:right w:val="nil" w:sz="6" w:space="0" w:color="auto"/>
            </w:tcBorders>
          </w:tcPr>
          <w:p>
            <w:pPr/>
          </w:p>
        </w:tc>
        <w:tc>
          <w:tcPr>
            <w:tcW w:w="104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71.48%</w:t>
            </w:r>
          </w:p>
        </w:tc>
        <w:tc>
          <w:tcPr>
            <w:tcW w:w="162" w:type="dxa"/>
            <w:tcBorders>
              <w:top w:val="nil" w:sz="6" w:space="0" w:color="auto"/>
              <w:left w:val="nil" w:sz="6" w:space="0" w:color="auto"/>
              <w:bottom w:val="nil" w:sz="6" w:space="0" w:color="auto"/>
              <w:right w:val="nil" w:sz="6" w:space="0" w:color="auto"/>
            </w:tcBorders>
          </w:tcPr>
          <w:p>
            <w:pPr/>
          </w:p>
        </w:tc>
        <w:tc>
          <w:tcPr>
            <w:tcW w:w="146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20"/>
              <w:jc w:val="right"/>
              <w:rPr>
                <w:rFonts w:ascii="宋体" w:hAnsi="宋体" w:cs="宋体" w:eastAsia="宋体" w:hint="default"/>
                <w:sz w:val="18"/>
                <w:szCs w:val="18"/>
              </w:rPr>
            </w:pPr>
            <w:r>
              <w:rPr>
                <w:rFonts w:ascii="宋体"/>
                <w:sz w:val="18"/>
              </w:rPr>
              <w:t>12,969,926.24</w:t>
            </w: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179,529,764.19</w:t>
            </w:r>
          </w:p>
        </w:tc>
        <w:tc>
          <w:tcPr>
            <w:tcW w:w="192"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9"/>
              <w:jc w:val="right"/>
              <w:rPr>
                <w:rFonts w:ascii="宋体" w:hAnsi="宋体" w:cs="宋体" w:eastAsia="宋体" w:hint="default"/>
                <w:sz w:val="18"/>
                <w:szCs w:val="18"/>
              </w:rPr>
            </w:pPr>
            <w:r>
              <w:rPr>
                <w:rFonts w:ascii="宋体"/>
                <w:sz w:val="18"/>
              </w:rPr>
              <w:t>82.93%</w:t>
            </w:r>
          </w:p>
        </w:tc>
        <w:tc>
          <w:tcPr>
            <w:tcW w:w="130" w:type="dxa"/>
            <w:tcBorders>
              <w:top w:val="nil" w:sz="6" w:space="0" w:color="auto"/>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8,976,488.20</w:t>
            </w:r>
          </w:p>
        </w:tc>
      </w:tr>
      <w:tr>
        <w:trPr>
          <w:trHeight w:val="397"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7"/>
              <w:jc w:val="center"/>
              <w:rPr>
                <w:rFonts w:ascii="宋体" w:hAnsi="宋体" w:cs="宋体" w:eastAsia="宋体" w:hint="default"/>
                <w:sz w:val="18"/>
                <w:szCs w:val="18"/>
              </w:rPr>
            </w:pPr>
            <w:r>
              <w:rPr>
                <w:rFonts w:ascii="宋体" w:hAnsi="宋体" w:cs="宋体" w:eastAsia="宋体" w:hint="default"/>
                <w:sz w:val="18"/>
                <w:szCs w:val="18"/>
              </w:rPr>
              <w:t>一到二年</w:t>
            </w:r>
          </w:p>
        </w:tc>
        <w:tc>
          <w:tcPr>
            <w:tcW w:w="211"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73,785,426.65</w:t>
            </w:r>
          </w:p>
        </w:tc>
        <w:tc>
          <w:tcPr>
            <w:tcW w:w="193"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20.34%</w:t>
            </w:r>
          </w:p>
        </w:tc>
        <w:tc>
          <w:tcPr>
            <w:tcW w:w="162"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0"/>
              <w:jc w:val="right"/>
              <w:rPr>
                <w:rFonts w:ascii="宋体" w:hAnsi="宋体" w:cs="宋体" w:eastAsia="宋体" w:hint="default"/>
                <w:sz w:val="18"/>
                <w:szCs w:val="18"/>
              </w:rPr>
            </w:pPr>
            <w:r>
              <w:rPr>
                <w:rFonts w:ascii="宋体"/>
                <w:sz w:val="18"/>
              </w:rPr>
              <w:t>7,378,542.66</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28,079,419.27</w:t>
            </w:r>
          </w:p>
        </w:tc>
        <w:tc>
          <w:tcPr>
            <w:tcW w:w="19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
              <w:jc w:val="right"/>
              <w:rPr>
                <w:rFonts w:ascii="宋体" w:hAnsi="宋体" w:cs="宋体" w:eastAsia="宋体" w:hint="default"/>
                <w:sz w:val="18"/>
                <w:szCs w:val="18"/>
              </w:rPr>
            </w:pPr>
            <w:r>
              <w:rPr>
                <w:rFonts w:ascii="宋体"/>
                <w:sz w:val="18"/>
              </w:rPr>
              <w:t>12.97%</w:t>
            </w:r>
          </w:p>
        </w:tc>
        <w:tc>
          <w:tcPr>
            <w:tcW w:w="13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2,807,941.93</w:t>
            </w:r>
          </w:p>
        </w:tc>
      </w:tr>
      <w:tr>
        <w:trPr>
          <w:trHeight w:val="397"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center"/>
              <w:rPr>
                <w:rFonts w:ascii="宋体" w:hAnsi="宋体" w:cs="宋体" w:eastAsia="宋体" w:hint="default"/>
                <w:sz w:val="18"/>
                <w:szCs w:val="18"/>
              </w:rPr>
            </w:pPr>
            <w:r>
              <w:rPr>
                <w:rFonts w:ascii="宋体" w:hAnsi="宋体" w:cs="宋体" w:eastAsia="宋体" w:hint="default"/>
                <w:sz w:val="18"/>
                <w:szCs w:val="18"/>
              </w:rPr>
              <w:t>二到三年</w:t>
            </w:r>
          </w:p>
        </w:tc>
        <w:tc>
          <w:tcPr>
            <w:tcW w:w="211"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20,773,259.44</w:t>
            </w:r>
          </w:p>
        </w:tc>
        <w:tc>
          <w:tcPr>
            <w:tcW w:w="193"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5.73%</w:t>
            </w:r>
          </w:p>
        </w:tc>
        <w:tc>
          <w:tcPr>
            <w:tcW w:w="162"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z w:val="18"/>
              </w:rPr>
              <w:t>4,154,651.89</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2,982,859.24</w:t>
            </w:r>
          </w:p>
        </w:tc>
        <w:tc>
          <w:tcPr>
            <w:tcW w:w="19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
              <w:jc w:val="right"/>
              <w:rPr>
                <w:rFonts w:ascii="宋体" w:hAnsi="宋体" w:cs="宋体" w:eastAsia="宋体" w:hint="default"/>
                <w:sz w:val="18"/>
                <w:szCs w:val="18"/>
              </w:rPr>
            </w:pPr>
            <w:r>
              <w:rPr>
                <w:rFonts w:ascii="宋体"/>
                <w:sz w:val="18"/>
              </w:rPr>
              <w:t>1.38%</w:t>
            </w:r>
          </w:p>
        </w:tc>
        <w:tc>
          <w:tcPr>
            <w:tcW w:w="13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596,571.85</w:t>
            </w:r>
          </w:p>
        </w:tc>
      </w:tr>
      <w:tr>
        <w:trPr>
          <w:trHeight w:val="399" w:hRule="exact"/>
        </w:trPr>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8"/>
              <w:jc w:val="center"/>
              <w:rPr>
                <w:rFonts w:ascii="宋体" w:hAnsi="宋体" w:cs="宋体" w:eastAsia="宋体" w:hint="default"/>
                <w:sz w:val="18"/>
                <w:szCs w:val="18"/>
              </w:rPr>
            </w:pPr>
            <w:r>
              <w:rPr>
                <w:rFonts w:ascii="宋体" w:hAnsi="宋体" w:cs="宋体" w:eastAsia="宋体" w:hint="default"/>
                <w:sz w:val="18"/>
                <w:szCs w:val="18"/>
              </w:rPr>
              <w:t>三年以上</w:t>
            </w:r>
          </w:p>
        </w:tc>
        <w:tc>
          <w:tcPr>
            <w:tcW w:w="211" w:type="dxa"/>
            <w:tcBorders>
              <w:top w:val="nil" w:sz="6" w:space="0" w:color="auto"/>
              <w:left w:val="nil" w:sz="6" w:space="0" w:color="auto"/>
              <w:bottom w:val="nil" w:sz="6" w:space="0" w:color="auto"/>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8,881,318.23</w:t>
            </w:r>
          </w:p>
        </w:tc>
        <w:tc>
          <w:tcPr>
            <w:tcW w:w="193"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2.45%</w:t>
            </w:r>
          </w:p>
        </w:tc>
        <w:tc>
          <w:tcPr>
            <w:tcW w:w="162"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21"/>
              <w:jc w:val="right"/>
              <w:rPr>
                <w:rFonts w:ascii="宋体" w:hAnsi="宋体" w:cs="宋体" w:eastAsia="宋体" w:hint="default"/>
                <w:sz w:val="18"/>
                <w:szCs w:val="18"/>
              </w:rPr>
            </w:pPr>
            <w:r>
              <w:rPr>
                <w:rFonts w:ascii="宋体"/>
                <w:sz w:val="18"/>
              </w:rPr>
              <w:t>2,664,395.47</w:t>
            </w:r>
          </w:p>
        </w:tc>
        <w:tc>
          <w:tcPr>
            <w:tcW w:w="138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5,879,021.80</w:t>
            </w:r>
          </w:p>
        </w:tc>
        <w:tc>
          <w:tcPr>
            <w:tcW w:w="192"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
              <w:jc w:val="right"/>
              <w:rPr>
                <w:rFonts w:ascii="宋体" w:hAnsi="宋体" w:cs="宋体" w:eastAsia="宋体" w:hint="default"/>
                <w:sz w:val="18"/>
                <w:szCs w:val="18"/>
              </w:rPr>
            </w:pPr>
            <w:r>
              <w:rPr>
                <w:rFonts w:ascii="宋体"/>
                <w:sz w:val="18"/>
              </w:rPr>
              <w:t>2.72%</w:t>
            </w:r>
          </w:p>
        </w:tc>
        <w:tc>
          <w:tcPr>
            <w:tcW w:w="130"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1,763,706.54</w:t>
            </w:r>
          </w:p>
        </w:tc>
      </w:tr>
      <w:tr>
        <w:trPr>
          <w:trHeight w:val="396" w:hRule="exact"/>
        </w:trPr>
        <w:tc>
          <w:tcPr>
            <w:tcW w:w="841"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362,838,529.16</w:t>
            </w:r>
          </w:p>
        </w:tc>
        <w:tc>
          <w:tcPr>
            <w:tcW w:w="193" w:type="dxa"/>
            <w:tcBorders>
              <w:top w:val="nil" w:sz="6" w:space="0" w:color="auto"/>
              <w:left w:val="nil" w:sz="6" w:space="0" w:color="auto"/>
              <w:bottom w:val="nil" w:sz="6" w:space="0" w:color="auto"/>
              <w:right w:val="nil" w:sz="6" w:space="0" w:color="auto"/>
            </w:tcBorders>
          </w:tcPr>
          <w:p>
            <w:pPr/>
          </w:p>
        </w:tc>
        <w:tc>
          <w:tcPr>
            <w:tcW w:w="1040"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100.00%</w:t>
            </w:r>
          </w:p>
        </w:tc>
        <w:tc>
          <w:tcPr>
            <w:tcW w:w="162" w:type="dxa"/>
            <w:tcBorders>
              <w:top w:val="nil" w:sz="6" w:space="0" w:color="auto"/>
              <w:left w:val="nil" w:sz="6" w:space="0" w:color="auto"/>
              <w:bottom w:val="nil" w:sz="6" w:space="0" w:color="auto"/>
              <w:right w:val="nil" w:sz="6" w:space="0" w:color="auto"/>
            </w:tcBorders>
          </w:tcPr>
          <w:p>
            <w:pPr/>
          </w:p>
        </w:tc>
        <w:tc>
          <w:tcPr>
            <w:tcW w:w="1468" w:type="dxa"/>
            <w:tcBorders>
              <w:top w:val="single" w:sz="4" w:space="0" w:color="000000"/>
              <w:left w:val="nil" w:sz="6" w:space="0" w:color="auto"/>
              <w:bottom w:val="nil" w:sz="6" w:space="0" w:color="auto"/>
              <w:right w:val="nil" w:sz="6" w:space="0" w:color="auto"/>
            </w:tcBorders>
          </w:tcPr>
          <w:p>
            <w:pPr>
              <w:pStyle w:val="TableParagraph"/>
              <w:spacing w:line="240" w:lineRule="auto" w:before="54"/>
              <w:ind w:right="121"/>
              <w:jc w:val="right"/>
              <w:rPr>
                <w:rFonts w:ascii="宋体" w:hAnsi="宋体" w:cs="宋体" w:eastAsia="宋体" w:hint="default"/>
                <w:sz w:val="18"/>
                <w:szCs w:val="18"/>
              </w:rPr>
            </w:pPr>
            <w:r>
              <w:rPr>
                <w:rFonts w:ascii="宋体"/>
                <w:sz w:val="18"/>
              </w:rPr>
              <w:t>27,167,516.26</w:t>
            </w:r>
          </w:p>
        </w:tc>
        <w:tc>
          <w:tcPr>
            <w:tcW w:w="1383"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216,471,064.50</w:t>
            </w:r>
          </w:p>
        </w:tc>
        <w:tc>
          <w:tcPr>
            <w:tcW w:w="192"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9"/>
              <w:jc w:val="right"/>
              <w:rPr>
                <w:rFonts w:ascii="宋体" w:hAnsi="宋体" w:cs="宋体" w:eastAsia="宋体" w:hint="default"/>
                <w:sz w:val="18"/>
                <w:szCs w:val="18"/>
              </w:rPr>
            </w:pPr>
            <w:r>
              <w:rPr>
                <w:rFonts w:ascii="宋体"/>
                <w:sz w:val="18"/>
              </w:rPr>
              <w:t>100.00%</w:t>
            </w:r>
          </w:p>
        </w:tc>
        <w:tc>
          <w:tcPr>
            <w:tcW w:w="130" w:type="dxa"/>
            <w:tcBorders>
              <w:top w:val="nil" w:sz="6" w:space="0" w:color="auto"/>
              <w:left w:val="nil" w:sz="6" w:space="0" w:color="auto"/>
              <w:bottom w:val="nil" w:sz="6" w:space="0" w:color="auto"/>
              <w:right w:val="nil" w:sz="6" w:space="0" w:color="auto"/>
            </w:tcBorders>
          </w:tcPr>
          <w:p>
            <w:pP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33"/>
              <w:jc w:val="right"/>
              <w:rPr>
                <w:rFonts w:ascii="宋体" w:hAnsi="宋体" w:cs="宋体" w:eastAsia="宋体" w:hint="default"/>
                <w:sz w:val="18"/>
                <w:szCs w:val="18"/>
              </w:rPr>
            </w:pPr>
            <w:r>
              <w:rPr>
                <w:rFonts w:ascii="宋体"/>
                <w:sz w:val="18"/>
              </w:rPr>
              <w:t>14,144,708.52</w:t>
            </w:r>
          </w:p>
        </w:tc>
      </w:tr>
    </w:tbl>
    <w:p>
      <w:pPr>
        <w:spacing w:line="240" w:lineRule="auto" w:before="5"/>
        <w:rPr>
          <w:rFonts w:ascii="宋体" w:hAnsi="宋体" w:cs="宋体" w:eastAsia="宋体" w:hint="default"/>
          <w:sz w:val="2"/>
          <w:szCs w:val="2"/>
        </w:rPr>
      </w:pPr>
    </w:p>
    <w:p>
      <w:pPr>
        <w:spacing w:line="28" w:lineRule="exact"/>
        <w:ind w:left="1318" w:right="0" w:firstLine="0"/>
        <w:rPr>
          <w:rFonts w:ascii="宋体" w:hAnsi="宋体" w:cs="宋体" w:eastAsia="宋体" w:hint="default"/>
          <w:sz w:val="2"/>
          <w:szCs w:val="2"/>
        </w:rPr>
      </w:pPr>
      <w:r>
        <w:rPr>
          <w:rFonts w:ascii="宋体"/>
          <w:position w:val="0"/>
          <w:sz w:val="2"/>
        </w:rPr>
        <w:pict>
          <v:group style="width:73.05pt;height:1.45pt;mso-position-horizontal-relative:char;mso-position-vertical-relative:line" coordorigin="0,0" coordsize="1461,29">
            <v:group style="position:absolute;left:5;top:24;width:1451;height:2" coordorigin="5,24" coordsize="1451,2">
              <v:shape style="position:absolute;left:5;top:24;width:1451;height:2" coordorigin="5,24" coordsize="1451,0" path="m5,24l1456,24e" filled="false" stroked="true" strokeweight=".48pt" strokecolor="#000000">
                <v:path arrowok="t"/>
              </v:shape>
            </v:group>
            <v:group style="position:absolute;left:5;top:5;width:1451;height:2" coordorigin="5,5" coordsize="1451,2">
              <v:shape style="position:absolute;left:5;top:5;width:1451;height:2" coordorigin="5,5" coordsize="1451,0" path="m5,5l1456,5e" filled="false" stroked="true" strokeweight=".48pt" strokecolor="#000000">
                <v:path arrowok="t"/>
              </v:shape>
            </v:group>
          </v:group>
        </w:pict>
      </w:r>
      <w:r>
        <w:rPr>
          <w:rFonts w:ascii="宋体"/>
          <w:position w:val="0"/>
          <w:sz w:val="2"/>
        </w:rPr>
      </w:r>
      <w:r>
        <w:rPr>
          <w:rFonts w:ascii="Times New Roman"/>
          <w:spacing w:val="160"/>
          <w:position w:val="0"/>
          <w:sz w:val="2"/>
        </w:rPr>
        <w:t> </w:t>
      </w:r>
      <w:r>
        <w:rPr>
          <w:rFonts w:ascii="宋体"/>
          <w:spacing w:val="160"/>
          <w:position w:val="0"/>
          <w:sz w:val="2"/>
        </w:rPr>
        <w:pict>
          <v:group style="width:52.9pt;height:1.45pt;mso-position-horizontal-relative:char;mso-position-vertical-relative:line" coordorigin="0,0" coordsize="1058,29">
            <v:group style="position:absolute;left:5;top:24;width:1048;height:2" coordorigin="5,24" coordsize="1048,2">
              <v:shape style="position:absolute;left:5;top:24;width:1048;height:2" coordorigin="5,24" coordsize="1048,0" path="m5,24l1052,24e" filled="false" stroked="true" strokeweight=".48pt" strokecolor="#000000">
                <v:path arrowok="t"/>
              </v:shape>
            </v:group>
            <v:group style="position:absolute;left:5;top:5;width:1048;height:2" coordorigin="5,5" coordsize="1048,2">
              <v:shape style="position:absolute;left:5;top:5;width:1048;height:2" coordorigin="5,5" coordsize="1048,0" path="m5,5l1052,5e" filled="false" stroked="true" strokeweight=".48pt" strokecolor="#000000">
                <v:path arrowok="t"/>
              </v:shape>
            </v:group>
          </v:group>
        </w:pict>
      </w:r>
      <w:r>
        <w:rPr>
          <w:rFonts w:ascii="宋体"/>
          <w:spacing w:val="160"/>
          <w:position w:val="0"/>
          <w:sz w:val="2"/>
        </w:rPr>
      </w:r>
      <w:r>
        <w:rPr>
          <w:rFonts w:ascii="Times New Roman"/>
          <w:spacing w:val="129"/>
          <w:position w:val="0"/>
          <w:sz w:val="2"/>
        </w:rPr>
        <w:t> </w:t>
      </w:r>
      <w:r>
        <w:rPr>
          <w:rFonts w:ascii="宋体"/>
          <w:spacing w:val="129"/>
          <w:position w:val="0"/>
          <w:sz w:val="2"/>
        </w:rPr>
        <w:pict>
          <v:group style="width:143.35pt;height:1.45pt;mso-position-horizontal-relative:char;mso-position-vertical-relative:line" coordorigin="0,0" coordsize="2867,29">
            <v:group style="position:absolute;left:5;top:24;width:1353;height:2" coordorigin="5,24" coordsize="1353,2">
              <v:shape style="position:absolute;left:5;top:24;width:1353;height:2" coordorigin="5,24" coordsize="1353,0" path="m5,24l1357,24e" filled="false" stroked="true" strokeweight=".48pt" strokecolor="#000000">
                <v:path arrowok="t"/>
              </v:shape>
            </v:group>
            <v:group style="position:absolute;left:5;top:5;width:1353;height:2" coordorigin="5,5" coordsize="1353,2">
              <v:shape style="position:absolute;left:5;top:5;width:1353;height:2" coordorigin="5,5" coordsize="1353,0" path="m5,5l1357,5e" filled="false" stroked="true" strokeweight=".48pt" strokecolor="#000000">
                <v:path arrowok="t"/>
              </v:shape>
            </v:group>
            <v:group style="position:absolute;left:1412;top:24;width:1450;height:2" coordorigin="1412,24" coordsize="1450,2">
              <v:shape style="position:absolute;left:1412;top:24;width:1450;height:2" coordorigin="1412,24" coordsize="1450,0" path="m1412,24l2862,24e" filled="false" stroked="true" strokeweight=".48pt" strokecolor="#000000">
                <v:path arrowok="t"/>
              </v:shape>
            </v:group>
            <v:group style="position:absolute;left:1412;top:5;width:1450;height:2" coordorigin="1412,5" coordsize="1450,2">
              <v:shape style="position:absolute;left:1412;top:5;width:1450;height:2" coordorigin="1412,5" coordsize="1450,0" path="m1412,5l2862,5e" filled="false" stroked="true" strokeweight=".48pt" strokecolor="#000000">
                <v:path arrowok="t"/>
              </v:shape>
            </v:group>
          </v:group>
        </w:pict>
      </w:r>
      <w:r>
        <w:rPr>
          <w:rFonts w:ascii="宋体"/>
          <w:spacing w:val="129"/>
          <w:position w:val="0"/>
          <w:sz w:val="2"/>
        </w:rPr>
      </w:r>
      <w:r>
        <w:rPr>
          <w:rFonts w:ascii="Times New Roman"/>
          <w:spacing w:val="161"/>
          <w:position w:val="0"/>
          <w:sz w:val="2"/>
        </w:rPr>
        <w:t> </w:t>
      </w:r>
      <w:r>
        <w:rPr>
          <w:rFonts w:ascii="宋体"/>
          <w:spacing w:val="161"/>
          <w:position w:val="0"/>
          <w:sz w:val="2"/>
        </w:rPr>
        <w:pict>
          <v:group style="width:64.45pt;height:1.45pt;mso-position-horizontal-relative:char;mso-position-vertical-relative:line" coordorigin="0,0" coordsize="1289,29">
            <v:group style="position:absolute;left:5;top:24;width:1280;height:2" coordorigin="5,24" coordsize="1280,2">
              <v:shape style="position:absolute;left:5;top:24;width:1280;height:2" coordorigin="5,24" coordsize="1280,0" path="m5,24l1284,24e" filled="false" stroked="true" strokeweight=".48pt" strokecolor="#000000">
                <v:path arrowok="t"/>
              </v:shape>
            </v:group>
            <v:group style="position:absolute;left:5;top:5;width:1280;height:2" coordorigin="5,5" coordsize="1280,2">
              <v:shape style="position:absolute;left:5;top:5;width:1280;height:2" coordorigin="5,5" coordsize="1280,0" path="m5,5l1284,5e" filled="false" stroked="true" strokeweight=".48pt" strokecolor="#000000">
                <v:path arrowok="t"/>
              </v:shape>
            </v:group>
          </v:group>
        </w:pict>
      </w:r>
      <w:r>
        <w:rPr>
          <w:rFonts w:ascii="宋体"/>
          <w:spacing w:val="161"/>
          <w:position w:val="0"/>
          <w:sz w:val="2"/>
        </w:rPr>
      </w:r>
      <w:r>
        <w:rPr>
          <w:rFonts w:ascii="Times New Roman"/>
          <w:spacing w:val="90"/>
          <w:position w:val="0"/>
          <w:sz w:val="2"/>
        </w:rPr>
        <w:t> </w:t>
      </w:r>
      <w:r>
        <w:rPr>
          <w:rFonts w:ascii="宋体"/>
          <w:spacing w:val="90"/>
          <w:position w:val="0"/>
          <w:sz w:val="2"/>
        </w:rPr>
        <w:pict>
          <v:group style="width:68.1pt;height:1.45pt;mso-position-horizontal-relative:char;mso-position-vertical-relative:line" coordorigin="0,0" coordsize="1362,29">
            <v:group style="position:absolute;left:5;top:24;width:1353;height:2" coordorigin="5,24" coordsize="1353,2">
              <v:shape style="position:absolute;left:5;top:24;width:1353;height:2" coordorigin="5,24" coordsize="1353,0" path="m5,24l1357,24e" filled="false" stroked="true" strokeweight=".48pt" strokecolor="#000000">
                <v:path arrowok="t"/>
              </v:shape>
            </v:group>
            <v:group style="position:absolute;left:5;top:5;width:1353;height:2" coordorigin="5,5" coordsize="1353,2">
              <v:shape style="position:absolute;left:5;top:5;width:1353;height:2" coordorigin="5,5" coordsize="1353,0" path="m5,5l1357,5e" filled="false" stroked="true" strokeweight=".48pt" strokecolor="#000000">
                <v:path arrowok="t"/>
              </v:shape>
            </v:group>
          </v:group>
        </w:pict>
      </w:r>
      <w:r>
        <w:rPr>
          <w:rFonts w:ascii="宋体"/>
          <w:spacing w:val="90"/>
          <w:position w:val="0"/>
          <w:sz w:val="2"/>
        </w:rPr>
      </w:r>
    </w:p>
    <w:p>
      <w:pPr>
        <w:spacing w:after="0" w:line="28" w:lineRule="exact"/>
        <w:rPr>
          <w:rFonts w:ascii="宋体" w:hAnsi="宋体" w:cs="宋体" w:eastAsia="宋体" w:hint="default"/>
          <w:sz w:val="2"/>
          <w:szCs w:val="2"/>
        </w:rPr>
        <w:sectPr>
          <w:pgSz w:w="11910" w:h="16840"/>
          <w:pgMar w:header="877" w:footer="1022" w:top="1100" w:bottom="1220" w:left="820" w:right="900"/>
        </w:sectPr>
      </w:pPr>
    </w:p>
    <w:p>
      <w:pPr>
        <w:spacing w:line="240" w:lineRule="auto" w:before="4"/>
        <w:rPr>
          <w:rFonts w:ascii="宋体" w:hAnsi="宋体" w:cs="宋体" w:eastAsia="宋体" w:hint="default"/>
          <w:sz w:val="26"/>
          <w:szCs w:val="26"/>
        </w:rPr>
      </w:pPr>
      <w:r>
        <w:rPr/>
        <w:pict>
          <v:group style="position:absolute;margin-left:143.699997pt;margin-top:538.380005pt;width:194.05pt;height:.1pt;mso-position-horizontal-relative:page;mso-position-vertical-relative:page;z-index:-526744" coordorigin="2874,10768" coordsize="3881,2">
            <v:shape style="position:absolute;left:2874;top:10768;width:3881;height:2" coordorigin="2874,10768" coordsize="3881,0" path="m2874,10768l6755,10768e" filled="false" stroked="true" strokeweight=".48pt" strokecolor="#000000">
              <v:path arrowok="t"/>
            </v:shape>
            <w10:wrap type="none"/>
          </v:group>
        </w:pict>
      </w:r>
      <w:r>
        <w:rPr/>
        <w:pict>
          <v:group style="position:absolute;margin-left:356.76001pt;margin-top:538.380005pt;width:181.5pt;height:.1pt;mso-position-horizontal-relative:page;mso-position-vertical-relative:page;z-index:-526720" coordorigin="7135,10768" coordsize="3630,2">
            <v:shape style="position:absolute;left:7135;top:10768;width:3630;height:2" coordorigin="7135,10768" coordsize="3630,0" path="m7135,10768l10765,10768e" filled="false" stroked="true" strokeweight=".48pt" strokecolor="#000000">
              <v:path arrowok="t"/>
            </v:shape>
            <w10:wrap type="none"/>
          </v:group>
        </w:pict>
      </w:r>
    </w:p>
    <w:p>
      <w:pPr>
        <w:pStyle w:val="BodyText"/>
        <w:spacing w:line="240" w:lineRule="auto" w:before="26"/>
        <w:ind w:left="794" w:right="90"/>
        <w:jc w:val="left"/>
      </w:pPr>
      <w:r>
        <w:rPr/>
        <w:t>(2)应收账款按类别分析如下：</w:t>
      </w:r>
    </w:p>
    <w:p>
      <w:pPr>
        <w:spacing w:line="240" w:lineRule="auto" w:before="13"/>
        <w:rPr>
          <w:rFonts w:ascii="宋体" w:hAnsi="宋体" w:cs="宋体" w:eastAsia="宋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1900"/>
        <w:gridCol w:w="1271"/>
        <w:gridCol w:w="941"/>
        <w:gridCol w:w="1080"/>
        <w:gridCol w:w="748"/>
        <w:gridCol w:w="1203"/>
        <w:gridCol w:w="937"/>
        <w:gridCol w:w="1024"/>
        <w:gridCol w:w="727"/>
      </w:tblGrid>
      <w:tr>
        <w:trPr>
          <w:trHeight w:val="257" w:hRule="exact"/>
        </w:trPr>
        <w:tc>
          <w:tcPr>
            <w:tcW w:w="5192" w:type="dxa"/>
            <w:gridSpan w:val="4"/>
            <w:tcBorders>
              <w:top w:val="nil" w:sz="6" w:space="0" w:color="auto"/>
              <w:left w:val="nil" w:sz="6" w:space="0" w:color="auto"/>
              <w:bottom w:val="nil" w:sz="6" w:space="0" w:color="auto"/>
              <w:right w:val="nil" w:sz="6" w:space="0" w:color="auto"/>
            </w:tcBorders>
          </w:tcPr>
          <w:p>
            <w:pPr>
              <w:pStyle w:val="TableParagraph"/>
              <w:spacing w:line="150" w:lineRule="exact"/>
              <w:ind w:left="3297"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31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748" w:type="dxa"/>
            <w:tcBorders>
              <w:top w:val="nil" w:sz="6" w:space="0" w:color="auto"/>
              <w:left w:val="nil" w:sz="6" w:space="0" w:color="auto"/>
              <w:bottom w:val="single" w:sz="4" w:space="0" w:color="000000"/>
              <w:right w:val="nil" w:sz="6" w:space="0" w:color="auto"/>
            </w:tcBorders>
          </w:tcPr>
          <w:p>
            <w:pPr/>
          </w:p>
        </w:tc>
        <w:tc>
          <w:tcPr>
            <w:tcW w:w="1203" w:type="dxa"/>
            <w:tcBorders>
              <w:top w:val="nil" w:sz="6" w:space="0" w:color="auto"/>
              <w:left w:val="nil" w:sz="6" w:space="0" w:color="auto"/>
              <w:bottom w:val="single" w:sz="4" w:space="0" w:color="000000"/>
              <w:right w:val="nil" w:sz="6" w:space="0" w:color="auto"/>
            </w:tcBorders>
          </w:tcPr>
          <w:p>
            <w:pPr/>
          </w:p>
        </w:tc>
        <w:tc>
          <w:tcPr>
            <w:tcW w:w="1962" w:type="dxa"/>
            <w:gridSpan w:val="2"/>
            <w:tcBorders>
              <w:top w:val="nil" w:sz="6" w:space="0" w:color="auto"/>
              <w:left w:val="nil" w:sz="6" w:space="0" w:color="auto"/>
              <w:bottom w:val="single" w:sz="4" w:space="0" w:color="000000"/>
              <w:right w:val="nil" w:sz="6" w:space="0" w:color="auto"/>
            </w:tcBorders>
          </w:tcPr>
          <w:p>
            <w:pPr>
              <w:pStyle w:val="TableParagraph"/>
              <w:spacing w:line="150" w:lineRule="exact"/>
              <w:ind w:left="131" w:right="0"/>
              <w:jc w:val="left"/>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31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727" w:type="dxa"/>
            <w:tcBorders>
              <w:top w:val="nil" w:sz="6" w:space="0" w:color="auto"/>
              <w:left w:val="nil" w:sz="6" w:space="0" w:color="auto"/>
              <w:bottom w:val="single" w:sz="4" w:space="0" w:color="000000"/>
              <w:right w:val="nil" w:sz="6" w:space="0" w:color="auto"/>
            </w:tcBorders>
          </w:tcPr>
          <w:p>
            <w:pPr/>
          </w:p>
        </w:tc>
      </w:tr>
      <w:tr>
        <w:trPr>
          <w:trHeight w:val="407" w:hRule="exact"/>
        </w:trPr>
        <w:tc>
          <w:tcPr>
            <w:tcW w:w="1900" w:type="dxa"/>
            <w:tcBorders>
              <w:top w:val="nil" w:sz="6" w:space="0" w:color="auto"/>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5"/>
              <w:jc w:val="center"/>
              <w:rPr>
                <w:rFonts w:ascii="宋体" w:hAnsi="宋体" w:cs="宋体" w:eastAsia="宋体" w:hint="default"/>
                <w:sz w:val="15"/>
                <w:szCs w:val="15"/>
              </w:rPr>
            </w:pPr>
            <w:r>
              <w:rPr>
                <w:rFonts w:ascii="宋体" w:hAnsi="宋体" w:cs="宋体" w:eastAsia="宋体" w:hint="default"/>
                <w:sz w:val="15"/>
                <w:szCs w:val="15"/>
              </w:rPr>
              <w:t>金额</w:t>
            </w:r>
          </w:p>
        </w:tc>
        <w:tc>
          <w:tcPr>
            <w:tcW w:w="941"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136"/>
              <w:jc w:val="right"/>
              <w:rPr>
                <w:rFonts w:ascii="宋体" w:hAnsi="宋体" w:cs="宋体" w:eastAsia="宋体" w:hint="default"/>
                <w:sz w:val="15"/>
                <w:szCs w:val="15"/>
              </w:rPr>
            </w:pPr>
            <w:r>
              <w:rPr>
                <w:rFonts w:ascii="宋体" w:hAnsi="宋体" w:cs="宋体" w:eastAsia="宋体" w:hint="default"/>
                <w:sz w:val="15"/>
                <w:szCs w:val="15"/>
              </w:rPr>
              <w:t>占总额比例</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45"/>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748"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65"/>
              <w:jc w:val="right"/>
              <w:rPr>
                <w:rFonts w:ascii="宋体" w:hAnsi="宋体" w:cs="宋体" w:eastAsia="宋体" w:hint="default"/>
                <w:sz w:val="15"/>
                <w:szCs w:val="15"/>
              </w:rPr>
            </w:pPr>
            <w:r>
              <w:rPr>
                <w:rFonts w:ascii="宋体" w:hAnsi="宋体" w:cs="宋体" w:eastAsia="宋体" w:hint="default"/>
                <w:sz w:val="15"/>
                <w:szCs w:val="15"/>
              </w:rPr>
              <w:t>计提比例</w:t>
            </w:r>
          </w:p>
        </w:tc>
        <w:tc>
          <w:tcPr>
            <w:tcW w:w="1203"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25"/>
              <w:jc w:val="center"/>
              <w:rPr>
                <w:rFonts w:ascii="宋体" w:hAnsi="宋体" w:cs="宋体" w:eastAsia="宋体" w:hint="default"/>
                <w:sz w:val="15"/>
                <w:szCs w:val="15"/>
              </w:rPr>
            </w:pPr>
            <w:r>
              <w:rPr>
                <w:rFonts w:ascii="宋体" w:hAnsi="宋体" w:cs="宋体" w:eastAsia="宋体" w:hint="default"/>
                <w:sz w:val="15"/>
                <w:szCs w:val="15"/>
              </w:rPr>
              <w:t>金额</w:t>
            </w:r>
          </w:p>
        </w:tc>
        <w:tc>
          <w:tcPr>
            <w:tcW w:w="937"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53" w:right="0"/>
              <w:jc w:val="left"/>
              <w:rPr>
                <w:rFonts w:ascii="宋体" w:hAnsi="宋体" w:cs="宋体" w:eastAsia="宋体" w:hint="default"/>
                <w:sz w:val="15"/>
                <w:szCs w:val="15"/>
              </w:rPr>
            </w:pPr>
            <w:r>
              <w:rPr>
                <w:rFonts w:ascii="宋体" w:hAnsi="宋体" w:cs="宋体" w:eastAsia="宋体" w:hint="default"/>
                <w:sz w:val="15"/>
                <w:szCs w:val="15"/>
              </w:rPr>
              <w:t>占总额比例</w:t>
            </w:r>
          </w:p>
        </w:tc>
        <w:tc>
          <w:tcPr>
            <w:tcW w:w="1024"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left="191"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27" w:type="dxa"/>
            <w:tcBorders>
              <w:top w:val="single" w:sz="4" w:space="0" w:color="000000"/>
              <w:left w:val="nil" w:sz="6" w:space="0" w:color="auto"/>
              <w:bottom w:val="single" w:sz="4" w:space="0" w:color="000000"/>
              <w:right w:val="nil" w:sz="6" w:space="0" w:color="auto"/>
            </w:tcBorders>
          </w:tcPr>
          <w:p>
            <w:pPr>
              <w:pStyle w:val="TableParagraph"/>
              <w:spacing w:line="240" w:lineRule="auto" w:before="98"/>
              <w:ind w:right="43"/>
              <w:jc w:val="right"/>
              <w:rPr>
                <w:rFonts w:ascii="宋体" w:hAnsi="宋体" w:cs="宋体" w:eastAsia="宋体" w:hint="default"/>
                <w:sz w:val="15"/>
                <w:szCs w:val="15"/>
              </w:rPr>
            </w:pPr>
            <w:r>
              <w:rPr>
                <w:rFonts w:ascii="宋体" w:hAnsi="宋体" w:cs="宋体" w:eastAsia="宋体" w:hint="default"/>
                <w:sz w:val="15"/>
                <w:szCs w:val="15"/>
              </w:rPr>
              <w:t>计提比例</w:t>
            </w:r>
          </w:p>
        </w:tc>
      </w:tr>
      <w:tr>
        <w:trPr>
          <w:trHeight w:val="587"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95" w:lineRule="auto" w:before="64"/>
              <w:ind w:left="200" w:right="11"/>
              <w:jc w:val="left"/>
              <w:rPr>
                <w:rFonts w:ascii="宋体" w:hAnsi="宋体" w:cs="宋体" w:eastAsia="宋体" w:hint="default"/>
                <w:sz w:val="15"/>
                <w:szCs w:val="15"/>
              </w:rPr>
            </w:pPr>
            <w:r>
              <w:rPr>
                <w:rFonts w:ascii="宋体" w:hAnsi="宋体" w:cs="宋体" w:eastAsia="宋体" w:hint="default"/>
                <w:spacing w:val="2"/>
                <w:sz w:val="15"/>
                <w:szCs w:val="15"/>
              </w:rPr>
              <w:t>单项金额重大的外部应收</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款</w:t>
            </w: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0"/>
              <w:jc w:val="right"/>
              <w:rPr>
                <w:rFonts w:ascii="宋体" w:hAnsi="宋体" w:cs="宋体" w:eastAsia="宋体" w:hint="default"/>
                <w:sz w:val="15"/>
                <w:szCs w:val="15"/>
              </w:rPr>
            </w:pPr>
            <w:r>
              <w:rPr>
                <w:rFonts w:ascii="宋体"/>
                <w:spacing w:val="-1"/>
                <w:sz w:val="15"/>
              </w:rPr>
              <w:t>302,418,075.12</w:t>
            </w:r>
          </w:p>
        </w:tc>
        <w:tc>
          <w:tcPr>
            <w:tcW w:w="94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91"/>
              <w:jc w:val="right"/>
              <w:rPr>
                <w:rFonts w:ascii="宋体" w:hAnsi="宋体" w:cs="宋体" w:eastAsia="宋体" w:hint="default"/>
                <w:sz w:val="15"/>
                <w:szCs w:val="15"/>
              </w:rPr>
            </w:pPr>
            <w:r>
              <w:rPr>
                <w:rFonts w:ascii="宋体"/>
                <w:spacing w:val="-1"/>
                <w:sz w:val="15"/>
              </w:rPr>
              <w:t>83.35%</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81" w:right="0"/>
              <w:jc w:val="center"/>
              <w:rPr>
                <w:rFonts w:ascii="宋体" w:hAnsi="宋体" w:cs="宋体" w:eastAsia="宋体" w:hint="default"/>
                <w:sz w:val="15"/>
                <w:szCs w:val="15"/>
              </w:rPr>
            </w:pPr>
            <w:r>
              <w:rPr>
                <w:rFonts w:ascii="宋体"/>
                <w:sz w:val="15"/>
              </w:rPr>
              <w:t>21,046,956.63</w:t>
            </w:r>
          </w:p>
        </w:tc>
        <w:tc>
          <w:tcPr>
            <w:tcW w:w="74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6.96%</w:t>
            </w:r>
          </w:p>
        </w:tc>
        <w:tc>
          <w:tcPr>
            <w:tcW w:w="120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51"/>
              <w:jc w:val="right"/>
              <w:rPr>
                <w:rFonts w:ascii="宋体" w:hAnsi="宋体" w:cs="宋体" w:eastAsia="宋体" w:hint="default"/>
                <w:sz w:val="15"/>
                <w:szCs w:val="15"/>
              </w:rPr>
            </w:pPr>
            <w:r>
              <w:rPr>
                <w:rFonts w:ascii="宋体"/>
                <w:spacing w:val="-5"/>
                <w:sz w:val="15"/>
              </w:rPr>
              <w:t>171,401,775.17</w:t>
            </w:r>
            <w:r>
              <w:rPr>
                <w:rFonts w:ascii="宋体"/>
                <w:sz w:val="15"/>
              </w:rPr>
            </w:r>
          </w:p>
        </w:tc>
        <w:tc>
          <w:tcPr>
            <w:tcW w:w="93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87"/>
              <w:jc w:val="right"/>
              <w:rPr>
                <w:rFonts w:ascii="宋体" w:hAnsi="宋体" w:cs="宋体" w:eastAsia="宋体" w:hint="default"/>
                <w:sz w:val="15"/>
                <w:szCs w:val="15"/>
              </w:rPr>
            </w:pPr>
            <w:r>
              <w:rPr>
                <w:rFonts w:ascii="宋体"/>
                <w:spacing w:val="-5"/>
                <w:sz w:val="15"/>
              </w:rPr>
              <w:t>79.18%</w:t>
            </w:r>
            <w:r>
              <w:rPr>
                <w:rFonts w:ascii="宋体"/>
                <w:sz w:val="15"/>
              </w:rPr>
            </w:r>
          </w:p>
        </w:tc>
        <w:tc>
          <w:tcPr>
            <w:tcW w:w="102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5"/>
                <w:szCs w:val="15"/>
              </w:rPr>
            </w:pPr>
            <w:r>
              <w:rPr>
                <w:rFonts w:ascii="宋体"/>
                <w:spacing w:val="-5"/>
                <w:sz w:val="15"/>
              </w:rPr>
              <w:t>10,279,388.76</w:t>
            </w:r>
            <w:r>
              <w:rPr>
                <w:rFonts w:ascii="宋体"/>
                <w:sz w:val="15"/>
              </w:rPr>
            </w:r>
          </w:p>
        </w:tc>
        <w:tc>
          <w:tcPr>
            <w:tcW w:w="72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1"/>
              <w:jc w:val="right"/>
              <w:rPr>
                <w:rFonts w:ascii="宋体" w:hAnsi="宋体" w:cs="宋体" w:eastAsia="宋体" w:hint="default"/>
                <w:sz w:val="15"/>
                <w:szCs w:val="15"/>
              </w:rPr>
            </w:pPr>
            <w:r>
              <w:rPr>
                <w:rFonts w:ascii="宋体"/>
                <w:spacing w:val="-5"/>
                <w:sz w:val="15"/>
              </w:rPr>
              <w:t>6.00%</w:t>
            </w:r>
            <w:r>
              <w:rPr>
                <w:rFonts w:ascii="宋体"/>
                <w:sz w:val="15"/>
              </w:rPr>
            </w:r>
          </w:p>
        </w:tc>
      </w:tr>
      <w:tr>
        <w:trPr>
          <w:trHeight w:val="580"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95" w:lineRule="auto" w:before="38"/>
              <w:ind w:left="200" w:right="11"/>
              <w:jc w:val="left"/>
              <w:rPr>
                <w:rFonts w:ascii="宋体" w:hAnsi="宋体" w:cs="宋体" w:eastAsia="宋体" w:hint="default"/>
                <w:sz w:val="15"/>
                <w:szCs w:val="15"/>
              </w:rPr>
            </w:pPr>
            <w:r>
              <w:rPr>
                <w:rFonts w:ascii="宋体" w:hAnsi="宋体" w:cs="宋体" w:eastAsia="宋体" w:hint="default"/>
                <w:spacing w:val="2"/>
                <w:sz w:val="15"/>
                <w:szCs w:val="15"/>
              </w:rPr>
              <w:t>单项金额不重大但组合风</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z w:val="15"/>
                <w:szCs w:val="15"/>
              </w:rPr>
              <w:t>险较大</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51"/>
              <w:jc w:val="right"/>
              <w:rPr>
                <w:rFonts w:ascii="宋体" w:hAnsi="宋体" w:cs="宋体" w:eastAsia="宋体" w:hint="default"/>
                <w:sz w:val="15"/>
                <w:szCs w:val="15"/>
              </w:rPr>
            </w:pPr>
            <w:r>
              <w:rPr>
                <w:rFonts w:ascii="宋体"/>
                <w:spacing w:val="-1"/>
                <w:sz w:val="15"/>
              </w:rPr>
              <w:t>5,234,318.23</w:t>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91"/>
              <w:jc w:val="right"/>
              <w:rPr>
                <w:rFonts w:ascii="宋体" w:hAnsi="宋体" w:cs="宋体" w:eastAsia="宋体" w:hint="default"/>
                <w:sz w:val="15"/>
                <w:szCs w:val="15"/>
              </w:rPr>
            </w:pPr>
            <w:r>
              <w:rPr>
                <w:rFonts w:ascii="宋体"/>
                <w:spacing w:val="-1"/>
                <w:sz w:val="15"/>
              </w:rPr>
              <w:t>1.44%</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left="156" w:right="0"/>
              <w:jc w:val="center"/>
              <w:rPr>
                <w:rFonts w:ascii="宋体" w:hAnsi="宋体" w:cs="宋体" w:eastAsia="宋体" w:hint="default"/>
                <w:sz w:val="15"/>
                <w:szCs w:val="15"/>
              </w:rPr>
            </w:pPr>
            <w:r>
              <w:rPr>
                <w:rFonts w:ascii="宋体"/>
                <w:sz w:val="15"/>
              </w:rPr>
              <w:t>1,570,295.47</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32"/>
              <w:jc w:val="right"/>
              <w:rPr>
                <w:rFonts w:ascii="宋体" w:hAnsi="宋体" w:cs="宋体" w:eastAsia="宋体" w:hint="default"/>
                <w:sz w:val="15"/>
                <w:szCs w:val="15"/>
              </w:rPr>
            </w:pPr>
            <w:r>
              <w:rPr>
                <w:rFonts w:ascii="宋体"/>
                <w:spacing w:val="-1"/>
                <w:sz w:val="15"/>
              </w:rPr>
              <w:t>30.00%</w:t>
            </w:r>
          </w:p>
        </w:tc>
        <w:tc>
          <w:tcPr>
            <w:tcW w:w="12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51"/>
              <w:jc w:val="right"/>
              <w:rPr>
                <w:rFonts w:ascii="宋体" w:hAnsi="宋体" w:cs="宋体" w:eastAsia="宋体" w:hint="default"/>
                <w:sz w:val="15"/>
                <w:szCs w:val="15"/>
              </w:rPr>
            </w:pPr>
            <w:r>
              <w:rPr>
                <w:rFonts w:ascii="宋体"/>
                <w:spacing w:val="-5"/>
                <w:sz w:val="15"/>
              </w:rPr>
              <w:t>2,177,021.80</w:t>
            </w:r>
            <w:r>
              <w:rPr>
                <w:rFonts w:ascii="宋体"/>
                <w:sz w:val="15"/>
              </w:rPr>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87"/>
              <w:jc w:val="right"/>
              <w:rPr>
                <w:rFonts w:ascii="宋体" w:hAnsi="宋体" w:cs="宋体" w:eastAsia="宋体" w:hint="default"/>
                <w:sz w:val="15"/>
                <w:szCs w:val="15"/>
              </w:rPr>
            </w:pPr>
            <w:r>
              <w:rPr>
                <w:rFonts w:ascii="宋体"/>
                <w:spacing w:val="-5"/>
                <w:sz w:val="15"/>
              </w:rPr>
              <w:t>1.01%</w:t>
            </w:r>
            <w:r>
              <w:rPr>
                <w:rFonts w:ascii="宋体"/>
                <w:sz w:val="15"/>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5"/>
              <w:jc w:val="right"/>
              <w:rPr>
                <w:rFonts w:ascii="宋体" w:hAnsi="宋体" w:cs="宋体" w:eastAsia="宋体" w:hint="default"/>
                <w:sz w:val="15"/>
                <w:szCs w:val="15"/>
              </w:rPr>
            </w:pPr>
            <w:r>
              <w:rPr>
                <w:rFonts w:ascii="宋体"/>
                <w:spacing w:val="-5"/>
                <w:sz w:val="15"/>
              </w:rPr>
              <w:t>653,106.54</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1"/>
              <w:jc w:val="right"/>
              <w:rPr>
                <w:rFonts w:ascii="宋体" w:hAnsi="宋体" w:cs="宋体" w:eastAsia="宋体" w:hint="default"/>
                <w:sz w:val="15"/>
                <w:szCs w:val="15"/>
              </w:rPr>
            </w:pPr>
            <w:r>
              <w:rPr>
                <w:rFonts w:ascii="宋体"/>
                <w:spacing w:val="-5"/>
                <w:sz w:val="15"/>
              </w:rPr>
              <w:t>30.00%</w:t>
            </w:r>
            <w:r>
              <w:rPr>
                <w:rFonts w:ascii="宋体"/>
                <w:sz w:val="15"/>
              </w:rPr>
            </w:r>
          </w:p>
        </w:tc>
      </w:tr>
      <w:tr>
        <w:trPr>
          <w:trHeight w:val="361" w:hRule="exact"/>
        </w:trPr>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2"/>
              <w:jc w:val="right"/>
              <w:rPr>
                <w:rFonts w:ascii="宋体" w:hAnsi="宋体" w:cs="宋体" w:eastAsia="宋体" w:hint="default"/>
                <w:sz w:val="15"/>
                <w:szCs w:val="15"/>
              </w:rPr>
            </w:pPr>
            <w:r>
              <w:rPr>
                <w:rFonts w:ascii="宋体"/>
                <w:spacing w:val="-1"/>
                <w:sz w:val="15"/>
              </w:rPr>
              <w:t>55,186,135.81</w:t>
            </w:r>
            <w:r>
              <w:rPr>
                <w:rFonts w:ascii="宋体"/>
                <w:sz w:val="15"/>
              </w:rPr>
            </w:r>
          </w:p>
        </w:tc>
        <w:tc>
          <w:tcPr>
            <w:tcW w:w="94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1"/>
              <w:jc w:val="right"/>
              <w:rPr>
                <w:rFonts w:ascii="宋体" w:hAnsi="宋体" w:cs="宋体" w:eastAsia="宋体" w:hint="default"/>
                <w:sz w:val="15"/>
                <w:szCs w:val="15"/>
              </w:rPr>
            </w:pPr>
            <w:r>
              <w:rPr>
                <w:rFonts w:ascii="宋体"/>
                <w:spacing w:val="-1"/>
                <w:sz w:val="15"/>
              </w:rPr>
              <w:t>15.21%</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56" w:right="0"/>
              <w:jc w:val="center"/>
              <w:rPr>
                <w:rFonts w:ascii="宋体" w:hAnsi="宋体" w:cs="宋体" w:eastAsia="宋体" w:hint="default"/>
                <w:sz w:val="15"/>
                <w:szCs w:val="15"/>
              </w:rPr>
            </w:pPr>
            <w:r>
              <w:rPr>
                <w:rFonts w:ascii="宋体"/>
                <w:sz w:val="15"/>
              </w:rPr>
              <w:t>4,550,264.16</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2"/>
              <w:jc w:val="right"/>
              <w:rPr>
                <w:rFonts w:ascii="宋体" w:hAnsi="宋体" w:cs="宋体" w:eastAsia="宋体" w:hint="default"/>
                <w:sz w:val="15"/>
                <w:szCs w:val="15"/>
              </w:rPr>
            </w:pPr>
            <w:r>
              <w:rPr>
                <w:rFonts w:ascii="宋体"/>
                <w:spacing w:val="-1"/>
                <w:sz w:val="15"/>
              </w:rPr>
              <w:t>8.25%</w:t>
            </w:r>
          </w:p>
        </w:tc>
        <w:tc>
          <w:tcPr>
            <w:tcW w:w="120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1"/>
              <w:jc w:val="right"/>
              <w:rPr>
                <w:rFonts w:ascii="宋体" w:hAnsi="宋体" w:cs="宋体" w:eastAsia="宋体" w:hint="default"/>
                <w:sz w:val="15"/>
                <w:szCs w:val="15"/>
              </w:rPr>
            </w:pPr>
            <w:r>
              <w:rPr>
                <w:rFonts w:ascii="宋体"/>
                <w:spacing w:val="-5"/>
                <w:sz w:val="15"/>
              </w:rPr>
              <w:t>42,892,267.53</w:t>
            </w:r>
            <w:r>
              <w:rPr>
                <w:rFonts w:ascii="宋体"/>
                <w:sz w:val="15"/>
              </w:rPr>
            </w:r>
          </w:p>
        </w:tc>
        <w:tc>
          <w:tcPr>
            <w:tcW w:w="93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87"/>
              <w:jc w:val="right"/>
              <w:rPr>
                <w:rFonts w:ascii="宋体" w:hAnsi="宋体" w:cs="宋体" w:eastAsia="宋体" w:hint="default"/>
                <w:sz w:val="15"/>
                <w:szCs w:val="15"/>
              </w:rPr>
            </w:pPr>
            <w:r>
              <w:rPr>
                <w:rFonts w:ascii="宋体"/>
                <w:spacing w:val="-5"/>
                <w:sz w:val="15"/>
              </w:rPr>
              <w:t>19.81%</w:t>
            </w:r>
            <w:r>
              <w:rPr>
                <w:rFonts w:ascii="宋体"/>
                <w:sz w:val="15"/>
              </w:rPr>
            </w:r>
          </w:p>
        </w:tc>
        <w:tc>
          <w:tcPr>
            <w:tcW w:w="102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
              <w:jc w:val="right"/>
              <w:rPr>
                <w:rFonts w:ascii="宋体" w:hAnsi="宋体" w:cs="宋体" w:eastAsia="宋体" w:hint="default"/>
                <w:sz w:val="15"/>
                <w:szCs w:val="15"/>
              </w:rPr>
            </w:pPr>
            <w:r>
              <w:rPr>
                <w:rFonts w:ascii="宋体"/>
                <w:spacing w:val="-5"/>
                <w:sz w:val="15"/>
              </w:rPr>
              <w:t>3,212,213.22</w:t>
            </w:r>
            <w:r>
              <w:rPr>
                <w:rFonts w:ascii="宋体"/>
                <w:sz w:val="15"/>
              </w:rPr>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
              <w:jc w:val="right"/>
              <w:rPr>
                <w:rFonts w:ascii="宋体" w:hAnsi="宋体" w:cs="宋体" w:eastAsia="宋体" w:hint="default"/>
                <w:sz w:val="15"/>
                <w:szCs w:val="15"/>
              </w:rPr>
            </w:pPr>
            <w:r>
              <w:rPr>
                <w:rFonts w:ascii="宋体"/>
                <w:spacing w:val="-5"/>
                <w:sz w:val="15"/>
              </w:rPr>
              <w:t>7.49%</w:t>
            </w:r>
            <w:r>
              <w:rPr>
                <w:rFonts w:ascii="宋体"/>
                <w:sz w:val="15"/>
              </w:rPr>
            </w:r>
          </w:p>
        </w:tc>
      </w:tr>
      <w:tr>
        <w:trPr>
          <w:trHeight w:val="418" w:hRule="exact"/>
        </w:trPr>
        <w:tc>
          <w:tcPr>
            <w:tcW w:w="1900" w:type="dxa"/>
            <w:tcBorders>
              <w:top w:val="nil" w:sz="6" w:space="0" w:color="auto"/>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49"/>
              <w:jc w:val="right"/>
              <w:rPr>
                <w:rFonts w:ascii="宋体" w:hAnsi="宋体" w:cs="宋体" w:eastAsia="宋体" w:hint="default"/>
                <w:sz w:val="15"/>
                <w:szCs w:val="15"/>
              </w:rPr>
            </w:pPr>
            <w:r>
              <w:rPr>
                <w:rFonts w:ascii="宋体"/>
                <w:spacing w:val="-1"/>
                <w:sz w:val="15"/>
              </w:rPr>
              <w:t>362,838,529.16</w:t>
            </w:r>
          </w:p>
        </w:tc>
        <w:tc>
          <w:tcPr>
            <w:tcW w:w="941"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91"/>
              <w:jc w:val="right"/>
              <w:rPr>
                <w:rFonts w:ascii="宋体" w:hAnsi="宋体" w:cs="宋体" w:eastAsia="宋体" w:hint="default"/>
                <w:sz w:val="15"/>
                <w:szCs w:val="15"/>
              </w:rPr>
            </w:pPr>
            <w:r>
              <w:rPr>
                <w:rFonts w:ascii="宋体"/>
                <w:spacing w:val="-1"/>
                <w:sz w:val="15"/>
              </w:rPr>
              <w:t>100.00%</w:t>
            </w:r>
          </w:p>
        </w:tc>
        <w:tc>
          <w:tcPr>
            <w:tcW w:w="1080"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left="82" w:right="0"/>
              <w:jc w:val="center"/>
              <w:rPr>
                <w:rFonts w:ascii="宋体" w:hAnsi="宋体" w:cs="宋体" w:eastAsia="宋体" w:hint="default"/>
                <w:sz w:val="15"/>
                <w:szCs w:val="15"/>
              </w:rPr>
            </w:pPr>
            <w:r>
              <w:rPr>
                <w:rFonts w:ascii="宋体"/>
                <w:sz w:val="15"/>
              </w:rPr>
              <w:t>27,167,516.26</w:t>
            </w:r>
          </w:p>
        </w:tc>
        <w:tc>
          <w:tcPr>
            <w:tcW w:w="748" w:type="dxa"/>
            <w:tcBorders>
              <w:top w:val="nil" w:sz="6" w:space="0" w:color="auto"/>
              <w:left w:val="nil" w:sz="6" w:space="0" w:color="auto"/>
              <w:bottom w:val="nil" w:sz="6" w:space="0" w:color="auto"/>
              <w:right w:val="nil" w:sz="6" w:space="0" w:color="auto"/>
            </w:tcBorders>
          </w:tcPr>
          <w:p>
            <w:pPr/>
          </w:p>
        </w:tc>
        <w:tc>
          <w:tcPr>
            <w:tcW w:w="1203"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51"/>
              <w:jc w:val="right"/>
              <w:rPr>
                <w:rFonts w:ascii="宋体" w:hAnsi="宋体" w:cs="宋体" w:eastAsia="宋体" w:hint="default"/>
                <w:sz w:val="15"/>
                <w:szCs w:val="15"/>
              </w:rPr>
            </w:pPr>
            <w:r>
              <w:rPr>
                <w:rFonts w:ascii="宋体"/>
                <w:spacing w:val="-5"/>
                <w:sz w:val="15"/>
              </w:rPr>
              <w:t>216,471,064.50</w:t>
            </w:r>
            <w:r>
              <w:rPr>
                <w:rFonts w:ascii="宋体"/>
                <w:sz w:val="15"/>
              </w:rPr>
            </w:r>
          </w:p>
        </w:tc>
        <w:tc>
          <w:tcPr>
            <w:tcW w:w="937"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87"/>
              <w:jc w:val="right"/>
              <w:rPr>
                <w:rFonts w:ascii="宋体" w:hAnsi="宋体" w:cs="宋体" w:eastAsia="宋体" w:hint="default"/>
                <w:sz w:val="15"/>
                <w:szCs w:val="15"/>
              </w:rPr>
            </w:pPr>
            <w:r>
              <w:rPr>
                <w:rFonts w:ascii="宋体"/>
                <w:spacing w:val="-5"/>
                <w:sz w:val="15"/>
              </w:rPr>
              <w:t>100.00%</w:t>
            </w:r>
            <w:r>
              <w:rPr>
                <w:rFonts w:ascii="宋体"/>
                <w:sz w:val="15"/>
              </w:rPr>
            </w:r>
          </w:p>
        </w:tc>
        <w:tc>
          <w:tcPr>
            <w:tcW w:w="1024"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9"/>
              <w:jc w:val="right"/>
              <w:rPr>
                <w:rFonts w:ascii="宋体" w:hAnsi="宋体" w:cs="宋体" w:eastAsia="宋体" w:hint="default"/>
                <w:sz w:val="15"/>
                <w:szCs w:val="15"/>
              </w:rPr>
            </w:pPr>
            <w:r>
              <w:rPr>
                <w:rFonts w:ascii="宋体"/>
                <w:spacing w:val="-5"/>
                <w:sz w:val="15"/>
              </w:rPr>
              <w:t>14,144,708.52</w:t>
            </w:r>
            <w:r>
              <w:rPr>
                <w:rFonts w:ascii="宋体"/>
                <w:sz w:val="15"/>
              </w:rPr>
            </w:r>
          </w:p>
        </w:tc>
        <w:tc>
          <w:tcPr>
            <w:tcW w:w="72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4"/>
          <w:szCs w:val="14"/>
        </w:rPr>
      </w:pPr>
    </w:p>
    <w:p>
      <w:pPr>
        <w:pStyle w:val="BodyText"/>
        <w:spacing w:line="427" w:lineRule="auto" w:before="26"/>
        <w:ind w:left="794" w:right="90"/>
        <w:jc w:val="left"/>
      </w:pPr>
      <w:r>
        <w:rPr/>
        <w:t>(a)单项金额重大的外部应收款项，是指金额</w:t>
      </w:r>
      <w:r>
        <w:rPr>
          <w:spacing w:val="-60"/>
        </w:rPr>
        <w:t> </w:t>
      </w:r>
      <w:r>
        <w:rPr/>
        <w:t>100</w:t>
      </w:r>
      <w:r>
        <w:rPr>
          <w:spacing w:val="-60"/>
        </w:rPr>
        <w:t> </w:t>
      </w:r>
      <w:r>
        <w:rPr/>
        <w:t>万元及以上的应收款项；</w:t>
      </w:r>
      <w:r>
        <w:rPr/>
        <w:t> </w:t>
      </w:r>
      <w:r>
        <w:rPr>
          <w:spacing w:val="-3"/>
        </w:rPr>
        <w:t>(b)单项金额不重大但按信用风险特征组合后该组合的风险较大的应收款项，是指单项金</w:t>
      </w:r>
    </w:p>
    <w:p>
      <w:pPr>
        <w:pStyle w:val="BodyText"/>
        <w:spacing w:line="252" w:lineRule="exact"/>
        <w:ind w:left="314" w:right="90"/>
        <w:jc w:val="left"/>
      </w:pPr>
      <w:r>
        <w:rPr/>
        <w:t>额不重大但账龄</w:t>
      </w:r>
      <w:r>
        <w:rPr>
          <w:spacing w:val="-60"/>
        </w:rPr>
        <w:t> </w:t>
      </w:r>
      <w:r>
        <w:rPr/>
        <w:t>3</w:t>
      </w:r>
      <w:r>
        <w:rPr>
          <w:spacing w:val="-60"/>
        </w:rPr>
        <w:t> </w:t>
      </w:r>
      <w:r>
        <w:rPr/>
        <w:t>年及以上的应收款项；</w:t>
      </w:r>
    </w:p>
    <w:p>
      <w:pPr>
        <w:spacing w:line="240" w:lineRule="auto" w:before="11"/>
        <w:rPr>
          <w:rFonts w:ascii="宋体" w:hAnsi="宋体" w:cs="宋体" w:eastAsia="宋体" w:hint="default"/>
          <w:sz w:val="18"/>
          <w:szCs w:val="18"/>
        </w:rPr>
      </w:pPr>
    </w:p>
    <w:p>
      <w:pPr>
        <w:pStyle w:val="BodyText"/>
        <w:spacing w:line="336" w:lineRule="auto"/>
        <w:ind w:left="314" w:right="90" w:firstLine="480"/>
        <w:jc w:val="left"/>
      </w:pPr>
      <w:r>
        <w:rPr/>
        <w:t>(c)年末应收账款前五名债务人欠款金额合计为</w:t>
      </w:r>
      <w:r>
        <w:rPr>
          <w:spacing w:val="-60"/>
        </w:rPr>
        <w:t> </w:t>
      </w:r>
      <w:r>
        <w:rPr/>
        <w:t>67,852,241.39</w:t>
      </w:r>
      <w:r>
        <w:rPr>
          <w:spacing w:val="-60"/>
        </w:rPr>
        <w:t> </w:t>
      </w:r>
      <w:r>
        <w:rPr/>
        <w:t>元，账龄均为一年以内，</w:t>
      </w:r>
      <w:r>
        <w:rPr/>
        <w:t> 占应收账款总额的</w:t>
      </w:r>
      <w:r>
        <w:rPr>
          <w:spacing w:val="-60"/>
        </w:rPr>
        <w:t> </w:t>
      </w:r>
      <w:r>
        <w:rPr/>
        <w:t>18.70%。明细如下：</w:t>
      </w:r>
    </w:p>
    <w:p>
      <w:pPr>
        <w:spacing w:line="240" w:lineRule="auto" w:before="1"/>
        <w:rPr>
          <w:rFonts w:ascii="宋体" w:hAnsi="宋体" w:cs="宋体" w:eastAsia="宋体" w:hint="default"/>
          <w:sz w:val="10"/>
          <w:szCs w:val="10"/>
        </w:rPr>
      </w:pPr>
    </w:p>
    <w:tbl>
      <w:tblPr>
        <w:tblW w:w="0" w:type="auto"/>
        <w:jc w:val="left"/>
        <w:tblInd w:w="313" w:type="dxa"/>
        <w:tblLayout w:type="fixed"/>
        <w:tblCellMar>
          <w:top w:w="0" w:type="dxa"/>
          <w:left w:w="0" w:type="dxa"/>
          <w:bottom w:w="0" w:type="dxa"/>
          <w:right w:w="0" w:type="dxa"/>
        </w:tblCellMar>
        <w:tblLook w:val="01E0"/>
      </w:tblPr>
      <w:tblGrid>
        <w:gridCol w:w="3242"/>
        <w:gridCol w:w="448"/>
        <w:gridCol w:w="2139"/>
        <w:gridCol w:w="309"/>
        <w:gridCol w:w="1498"/>
        <w:gridCol w:w="670"/>
        <w:gridCol w:w="1333"/>
      </w:tblGrid>
      <w:tr>
        <w:trPr>
          <w:trHeight w:val="253" w:hRule="exact"/>
        </w:trPr>
        <w:tc>
          <w:tcPr>
            <w:tcW w:w="3242"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4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single" w:sz="4" w:space="0" w:color="000000"/>
              <w:right w:val="nil" w:sz="6" w:space="0" w:color="auto"/>
            </w:tcBorders>
          </w:tcPr>
          <w:p>
            <w:pPr>
              <w:pStyle w:val="TableParagraph"/>
              <w:spacing w:line="180" w:lineRule="exact"/>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0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70"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single" w:sz="4" w:space="0" w:color="000000"/>
              <w:right w:val="nil" w:sz="6" w:space="0" w:color="auto"/>
            </w:tcBorders>
          </w:tcPr>
          <w:p>
            <w:pPr>
              <w:pStyle w:val="TableParagraph"/>
              <w:spacing w:line="180" w:lineRule="exact"/>
              <w:ind w:left="356" w:right="0"/>
              <w:jc w:val="left"/>
              <w:rPr>
                <w:rFonts w:ascii="宋体" w:hAnsi="宋体" w:cs="宋体" w:eastAsia="宋体" w:hint="default"/>
                <w:sz w:val="18"/>
                <w:szCs w:val="18"/>
              </w:rPr>
            </w:pPr>
            <w:r>
              <w:rPr>
                <w:rFonts w:ascii="宋体" w:hAnsi="宋体" w:cs="宋体" w:eastAsia="宋体" w:hint="default"/>
                <w:sz w:val="18"/>
                <w:szCs w:val="18"/>
              </w:rPr>
              <w:t>占总额%</w:t>
            </w:r>
          </w:p>
        </w:tc>
      </w:tr>
      <w:tr>
        <w:trPr>
          <w:trHeight w:val="327" w:hRule="exact"/>
        </w:trPr>
        <w:tc>
          <w:tcPr>
            <w:tcW w:w="324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0"/>
              <w:jc w:val="left"/>
              <w:rPr>
                <w:rFonts w:ascii="宋体" w:hAnsi="宋体" w:cs="宋体" w:eastAsia="宋体" w:hint="default"/>
                <w:sz w:val="18"/>
                <w:szCs w:val="18"/>
              </w:rPr>
            </w:pPr>
            <w:r>
              <w:rPr>
                <w:rFonts w:ascii="宋体" w:hAnsi="宋体" w:cs="宋体" w:eastAsia="宋体" w:hint="default"/>
                <w:sz w:val="18"/>
                <w:szCs w:val="18"/>
              </w:rPr>
              <w:t>阳泉煤业(集团)有限责任公司</w:t>
            </w:r>
          </w:p>
        </w:tc>
        <w:tc>
          <w:tcPr>
            <w:tcW w:w="448" w:type="dxa"/>
            <w:tcBorders>
              <w:top w:val="nil" w:sz="6" w:space="0" w:color="auto"/>
              <w:left w:val="nil" w:sz="6" w:space="0" w:color="auto"/>
              <w:bottom w:val="nil" w:sz="6" w:space="0" w:color="auto"/>
              <w:right w:val="nil" w:sz="6" w:space="0" w:color="auto"/>
            </w:tcBorders>
          </w:tcPr>
          <w:p>
            <w:pPr/>
          </w:p>
        </w:tc>
        <w:tc>
          <w:tcPr>
            <w:tcW w:w="2139"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17,219,628.00</w:t>
            </w:r>
          </w:p>
        </w:tc>
        <w:tc>
          <w:tcPr>
            <w:tcW w:w="309" w:type="dxa"/>
            <w:tcBorders>
              <w:top w:val="nil" w:sz="6" w:space="0" w:color="auto"/>
              <w:left w:val="nil" w:sz="6" w:space="0" w:color="auto"/>
              <w:bottom w:val="nil" w:sz="6" w:space="0" w:color="auto"/>
              <w:right w:val="nil" w:sz="6" w:space="0" w:color="auto"/>
            </w:tcBorders>
          </w:tcPr>
          <w:p>
            <w:pPr/>
          </w:p>
        </w:tc>
        <w:tc>
          <w:tcPr>
            <w:tcW w:w="1498"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670" w:type="dxa"/>
            <w:tcBorders>
              <w:top w:val="nil" w:sz="6" w:space="0" w:color="auto"/>
              <w:left w:val="nil" w:sz="6" w:space="0" w:color="auto"/>
              <w:bottom w:val="nil" w:sz="6" w:space="0" w:color="auto"/>
              <w:right w:val="nil" w:sz="6" w:space="0" w:color="auto"/>
            </w:tcBorders>
          </w:tcPr>
          <w:p>
            <w:pP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4.74%</w:t>
            </w:r>
          </w:p>
        </w:tc>
      </w:tr>
      <w:tr>
        <w:trPr>
          <w:trHeight w:val="320"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陕西国华锦界能源有限责任公司</w:t>
            </w:r>
          </w:p>
        </w:tc>
        <w:tc>
          <w:tcPr>
            <w:tcW w:w="44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15,076,201.40</w:t>
            </w:r>
          </w:p>
        </w:tc>
        <w:tc>
          <w:tcPr>
            <w:tcW w:w="30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670"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4.16%</w:t>
            </w:r>
          </w:p>
        </w:tc>
      </w:tr>
      <w:tr>
        <w:trPr>
          <w:trHeight w:val="320"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天津钢铁有限公司</w:t>
            </w:r>
          </w:p>
        </w:tc>
        <w:tc>
          <w:tcPr>
            <w:tcW w:w="44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13,925,412.00</w:t>
            </w:r>
          </w:p>
        </w:tc>
        <w:tc>
          <w:tcPr>
            <w:tcW w:w="30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670"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3.84%</w:t>
            </w:r>
          </w:p>
        </w:tc>
      </w:tr>
      <w:tr>
        <w:trPr>
          <w:trHeight w:val="320"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中铁电气化局集团有限公司物资处</w:t>
            </w:r>
          </w:p>
        </w:tc>
        <w:tc>
          <w:tcPr>
            <w:tcW w:w="44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10,890,000.00</w:t>
            </w:r>
          </w:p>
        </w:tc>
        <w:tc>
          <w:tcPr>
            <w:tcW w:w="30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670"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3.00%</w:t>
            </w:r>
          </w:p>
        </w:tc>
      </w:tr>
      <w:tr>
        <w:trPr>
          <w:trHeight w:val="323"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舞阳钢铁有限责任公司</w:t>
            </w:r>
          </w:p>
        </w:tc>
        <w:tc>
          <w:tcPr>
            <w:tcW w:w="448" w:type="dxa"/>
            <w:tcBorders>
              <w:top w:val="nil" w:sz="6" w:space="0" w:color="auto"/>
              <w:left w:val="nil" w:sz="6" w:space="0" w:color="auto"/>
              <w:bottom w:val="nil" w:sz="6" w:space="0" w:color="auto"/>
              <w:right w:val="nil" w:sz="6" w:space="0" w:color="auto"/>
            </w:tcBorders>
          </w:tcPr>
          <w:p>
            <w:pPr/>
          </w:p>
        </w:tc>
        <w:tc>
          <w:tcPr>
            <w:tcW w:w="2139"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10,740,999.99</w:t>
            </w:r>
          </w:p>
        </w:tc>
        <w:tc>
          <w:tcPr>
            <w:tcW w:w="30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670"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0"/>
              <w:jc w:val="right"/>
              <w:rPr>
                <w:rFonts w:ascii="宋体" w:hAnsi="宋体" w:cs="宋体" w:eastAsia="宋体" w:hint="default"/>
                <w:sz w:val="18"/>
                <w:szCs w:val="18"/>
              </w:rPr>
            </w:pPr>
            <w:r>
              <w:rPr>
                <w:rFonts w:ascii="宋体"/>
                <w:sz w:val="18"/>
              </w:rPr>
              <w:t>2.96%</w:t>
            </w:r>
          </w:p>
        </w:tc>
      </w:tr>
      <w:tr>
        <w:trPr>
          <w:trHeight w:val="341" w:hRule="exact"/>
        </w:trPr>
        <w:tc>
          <w:tcPr>
            <w:tcW w:w="324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448" w:type="dxa"/>
            <w:tcBorders>
              <w:top w:val="nil" w:sz="6" w:space="0" w:color="auto"/>
              <w:left w:val="nil" w:sz="6" w:space="0" w:color="auto"/>
              <w:bottom w:val="nil" w:sz="6" w:space="0" w:color="auto"/>
              <w:right w:val="nil" w:sz="6" w:space="0" w:color="auto"/>
            </w:tcBorders>
          </w:tcPr>
          <w:p>
            <w:pPr/>
          </w:p>
        </w:tc>
        <w:tc>
          <w:tcPr>
            <w:tcW w:w="2139" w:type="dxa"/>
            <w:tcBorders>
              <w:top w:val="single" w:sz="4" w:space="0" w:color="000000"/>
              <w:left w:val="nil" w:sz="6" w:space="0" w:color="auto"/>
              <w:bottom w:val="single" w:sz="12"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67,852,241.39</w:t>
            </w:r>
          </w:p>
        </w:tc>
        <w:tc>
          <w:tcPr>
            <w:tcW w:w="309"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3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6"/>
              <w:ind w:right="0"/>
              <w:jc w:val="right"/>
              <w:rPr>
                <w:rFonts w:ascii="宋体" w:hAnsi="宋体" w:cs="宋体" w:eastAsia="宋体" w:hint="default"/>
                <w:sz w:val="18"/>
                <w:szCs w:val="18"/>
              </w:rPr>
            </w:pPr>
            <w:r>
              <w:rPr>
                <w:rFonts w:ascii="宋体"/>
                <w:sz w:val="18"/>
              </w:rPr>
              <w:t>18.70%</w:t>
            </w:r>
          </w:p>
        </w:tc>
      </w:tr>
    </w:tbl>
    <w:p>
      <w:pPr>
        <w:spacing w:line="240" w:lineRule="auto" w:before="13"/>
        <w:rPr>
          <w:rFonts w:ascii="宋体" w:hAnsi="宋体" w:cs="宋体" w:eastAsia="宋体" w:hint="default"/>
          <w:sz w:val="10"/>
          <w:szCs w:val="10"/>
        </w:rPr>
      </w:pPr>
    </w:p>
    <w:tbl>
      <w:tblPr>
        <w:tblW w:w="0" w:type="auto"/>
        <w:jc w:val="left"/>
        <w:tblInd w:w="386" w:type="dxa"/>
        <w:tblLayout w:type="fixed"/>
        <w:tblCellMar>
          <w:top w:w="0" w:type="dxa"/>
          <w:left w:w="0" w:type="dxa"/>
          <w:bottom w:w="0" w:type="dxa"/>
          <w:right w:w="0" w:type="dxa"/>
        </w:tblCellMar>
        <w:tblLook w:val="01E0"/>
      </w:tblPr>
      <w:tblGrid>
        <w:gridCol w:w="2162"/>
        <w:gridCol w:w="2270"/>
        <w:gridCol w:w="1651"/>
        <w:gridCol w:w="2425"/>
        <w:gridCol w:w="1036"/>
      </w:tblGrid>
      <w:tr>
        <w:trPr>
          <w:trHeight w:val="818"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09" w:right="0"/>
              <w:jc w:val="left"/>
              <w:rPr>
                <w:rFonts w:ascii="宋体" w:hAnsi="宋体" w:cs="宋体" w:eastAsia="宋体" w:hint="default"/>
                <w:sz w:val="24"/>
                <w:szCs w:val="24"/>
              </w:rPr>
            </w:pPr>
            <w:r>
              <w:rPr>
                <w:rFonts w:ascii="宋体" w:hAnsi="宋体" w:cs="宋体" w:eastAsia="宋体" w:hint="default"/>
                <w:b/>
                <w:bCs/>
                <w:sz w:val="24"/>
                <w:szCs w:val="24"/>
              </w:rPr>
              <w:t>4、预付款项</w:t>
            </w:r>
            <w:r>
              <w:rPr>
                <w:rFonts w:ascii="宋体" w:hAnsi="宋体" w:cs="宋体" w:eastAsia="宋体" w:hint="default"/>
                <w:sz w:val="24"/>
                <w:szCs w:val="24"/>
              </w:rPr>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70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51" w:type="dxa"/>
            <w:tcBorders>
              <w:top w:val="nil" w:sz="6" w:space="0" w:color="auto"/>
              <w:left w:val="nil" w:sz="6" w:space="0" w:color="auto"/>
              <w:bottom w:val="nil" w:sz="6" w:space="0" w:color="auto"/>
              <w:right w:val="nil" w:sz="6" w:space="0" w:color="auto"/>
            </w:tcBorders>
          </w:tcPr>
          <w:p>
            <w:pP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5"/>
                <w:szCs w:val="25"/>
              </w:rPr>
            </w:pPr>
          </w:p>
          <w:p>
            <w:pPr>
              <w:pStyle w:val="TableParagraph"/>
              <w:spacing w:line="240" w:lineRule="auto"/>
              <w:ind w:left="92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36" w:type="dxa"/>
            <w:tcBorders>
              <w:top w:val="nil" w:sz="6" w:space="0" w:color="auto"/>
              <w:left w:val="nil" w:sz="6" w:space="0" w:color="auto"/>
              <w:bottom w:val="nil" w:sz="6" w:space="0" w:color="auto"/>
              <w:right w:val="nil" w:sz="6" w:space="0" w:color="auto"/>
            </w:tcBorders>
          </w:tcPr>
          <w:p>
            <w:pPr/>
          </w:p>
        </w:tc>
      </w:tr>
      <w:tr>
        <w:trPr>
          <w:trHeight w:val="505"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199" w:lineRule="exact"/>
              <w:ind w:left="45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673"/>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8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425"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426" w:right="0"/>
              <w:jc w:val="left"/>
              <w:rPr>
                <w:rFonts w:ascii="宋体" w:hAnsi="宋体" w:cs="宋体" w:eastAsia="宋体" w:hint="default"/>
                <w:sz w:val="18"/>
                <w:szCs w:val="18"/>
              </w:rPr>
            </w:pPr>
            <w:r>
              <w:rPr>
                <w:rFonts w:ascii="宋体"/>
                <w:sz w:val="18"/>
              </w:rPr>
              <w:t>58,799,404.97</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632"/>
              <w:jc w:val="right"/>
              <w:rPr>
                <w:rFonts w:ascii="宋体" w:hAnsi="宋体" w:cs="宋体" w:eastAsia="宋体" w:hint="default"/>
                <w:sz w:val="18"/>
                <w:szCs w:val="18"/>
              </w:rPr>
            </w:pPr>
            <w:r>
              <w:rPr>
                <w:rFonts w:ascii="宋体"/>
                <w:sz w:val="18"/>
              </w:rPr>
              <w:t>75.98%</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34" w:right="0"/>
              <w:jc w:val="left"/>
              <w:rPr>
                <w:rFonts w:ascii="宋体" w:hAnsi="宋体" w:cs="宋体" w:eastAsia="宋体" w:hint="default"/>
                <w:sz w:val="18"/>
                <w:szCs w:val="18"/>
              </w:rPr>
            </w:pPr>
            <w:r>
              <w:rPr>
                <w:rFonts w:ascii="宋体"/>
                <w:spacing w:val="-3"/>
                <w:sz w:val="18"/>
              </w:rPr>
              <w:t>44,305,782.34</w:t>
            </w:r>
            <w:r>
              <w:rPr>
                <w:rFonts w:ascii="宋体"/>
                <w:sz w:val="18"/>
              </w:rPr>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4"/>
              <w:jc w:val="right"/>
              <w:rPr>
                <w:rFonts w:ascii="宋体" w:hAnsi="宋体" w:cs="宋体" w:eastAsia="宋体" w:hint="default"/>
                <w:sz w:val="18"/>
                <w:szCs w:val="18"/>
              </w:rPr>
            </w:pPr>
            <w:r>
              <w:rPr>
                <w:rFonts w:ascii="宋体"/>
                <w:spacing w:val="-3"/>
                <w:sz w:val="18"/>
              </w:rPr>
              <w:t>98.30%</w:t>
            </w:r>
            <w:r>
              <w:rPr>
                <w:rFonts w:ascii="宋体"/>
                <w:sz w:val="18"/>
              </w:rPr>
            </w:r>
          </w:p>
        </w:tc>
      </w:tr>
      <w:tr>
        <w:trPr>
          <w:trHeight w:val="425"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26" w:right="0"/>
              <w:jc w:val="left"/>
              <w:rPr>
                <w:rFonts w:ascii="宋体" w:hAnsi="宋体" w:cs="宋体" w:eastAsia="宋体" w:hint="default"/>
                <w:sz w:val="18"/>
                <w:szCs w:val="18"/>
              </w:rPr>
            </w:pPr>
            <w:r>
              <w:rPr>
                <w:rFonts w:ascii="宋体"/>
                <w:sz w:val="18"/>
              </w:rPr>
              <w:t>18,259,872.05</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32"/>
              <w:jc w:val="right"/>
              <w:rPr>
                <w:rFonts w:ascii="宋体" w:hAnsi="宋体" w:cs="宋体" w:eastAsia="宋体" w:hint="default"/>
                <w:sz w:val="18"/>
                <w:szCs w:val="18"/>
              </w:rPr>
            </w:pPr>
            <w:r>
              <w:rPr>
                <w:rFonts w:ascii="宋体"/>
                <w:sz w:val="18"/>
              </w:rPr>
              <w:t>23.60%</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99" w:right="0"/>
              <w:jc w:val="left"/>
              <w:rPr>
                <w:rFonts w:ascii="宋体" w:hAnsi="宋体" w:cs="宋体" w:eastAsia="宋体" w:hint="default"/>
                <w:sz w:val="18"/>
                <w:szCs w:val="18"/>
              </w:rPr>
            </w:pPr>
            <w:r>
              <w:rPr>
                <w:rFonts w:ascii="宋体"/>
                <w:spacing w:val="-3"/>
                <w:sz w:val="18"/>
              </w:rPr>
              <w:t>154,077.16</w:t>
            </w:r>
            <w:r>
              <w:rPr>
                <w:rFonts w:ascii="宋体"/>
                <w:sz w:val="18"/>
              </w:rPr>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2"/>
              <w:jc w:val="right"/>
              <w:rPr>
                <w:rFonts w:ascii="宋体" w:hAnsi="宋体" w:cs="宋体" w:eastAsia="宋体" w:hint="default"/>
                <w:sz w:val="18"/>
                <w:szCs w:val="18"/>
              </w:rPr>
            </w:pPr>
            <w:r>
              <w:rPr>
                <w:rFonts w:ascii="宋体"/>
                <w:spacing w:val="-3"/>
                <w:sz w:val="18"/>
              </w:rPr>
              <w:t>0.34%</w:t>
            </w:r>
          </w:p>
        </w:tc>
      </w:tr>
      <w:tr>
        <w:trPr>
          <w:trHeight w:val="425"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96" w:right="0"/>
              <w:jc w:val="left"/>
              <w:rPr>
                <w:rFonts w:ascii="宋体" w:hAnsi="宋体" w:cs="宋体" w:eastAsia="宋体" w:hint="default"/>
                <w:sz w:val="18"/>
                <w:szCs w:val="18"/>
              </w:rPr>
            </w:pPr>
            <w:r>
              <w:rPr>
                <w:rFonts w:ascii="宋体"/>
                <w:sz w:val="18"/>
              </w:rPr>
              <w:t>307,552.16</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32"/>
              <w:jc w:val="right"/>
              <w:rPr>
                <w:rFonts w:ascii="宋体" w:hAnsi="宋体" w:cs="宋体" w:eastAsia="宋体" w:hint="default"/>
                <w:sz w:val="18"/>
                <w:szCs w:val="18"/>
              </w:rPr>
            </w:pPr>
            <w:r>
              <w:rPr>
                <w:rFonts w:ascii="宋体"/>
                <w:sz w:val="18"/>
              </w:rPr>
              <w:t>0.40%</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99" w:right="0"/>
              <w:jc w:val="left"/>
              <w:rPr>
                <w:rFonts w:ascii="宋体" w:hAnsi="宋体" w:cs="宋体" w:eastAsia="宋体" w:hint="default"/>
                <w:sz w:val="18"/>
                <w:szCs w:val="18"/>
              </w:rPr>
            </w:pPr>
            <w:r>
              <w:rPr>
                <w:rFonts w:ascii="宋体"/>
                <w:spacing w:val="-3"/>
                <w:sz w:val="18"/>
              </w:rPr>
              <w:t>251,231.50</w:t>
            </w:r>
            <w:r>
              <w:rPr>
                <w:rFonts w:ascii="宋体"/>
                <w:sz w:val="18"/>
              </w:rPr>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2"/>
              <w:jc w:val="right"/>
              <w:rPr>
                <w:rFonts w:ascii="宋体" w:hAnsi="宋体" w:cs="宋体" w:eastAsia="宋体" w:hint="default"/>
                <w:sz w:val="18"/>
                <w:szCs w:val="18"/>
              </w:rPr>
            </w:pPr>
            <w:r>
              <w:rPr>
                <w:rFonts w:ascii="宋体"/>
                <w:spacing w:val="-3"/>
                <w:sz w:val="18"/>
              </w:rPr>
              <w:t>0.56%</w:t>
            </w:r>
          </w:p>
        </w:tc>
      </w:tr>
      <w:tr>
        <w:trPr>
          <w:trHeight w:val="425" w:hRule="exact"/>
        </w:trPr>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86" w:right="0"/>
              <w:jc w:val="left"/>
              <w:rPr>
                <w:rFonts w:ascii="宋体" w:hAnsi="宋体" w:cs="宋体" w:eastAsia="宋体" w:hint="default"/>
                <w:sz w:val="18"/>
                <w:szCs w:val="18"/>
              </w:rPr>
            </w:pPr>
            <w:r>
              <w:rPr>
                <w:rFonts w:ascii="宋体"/>
                <w:sz w:val="18"/>
              </w:rPr>
              <w:t>17,946.50</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32"/>
              <w:jc w:val="right"/>
              <w:rPr>
                <w:rFonts w:ascii="宋体" w:hAnsi="宋体" w:cs="宋体" w:eastAsia="宋体" w:hint="default"/>
                <w:sz w:val="18"/>
                <w:szCs w:val="18"/>
              </w:rPr>
            </w:pPr>
            <w:r>
              <w:rPr>
                <w:rFonts w:ascii="宋体"/>
                <w:sz w:val="18"/>
              </w:rPr>
              <w:t>0.02%</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99" w:right="0"/>
              <w:jc w:val="left"/>
              <w:rPr>
                <w:rFonts w:ascii="宋体" w:hAnsi="宋体" w:cs="宋体" w:eastAsia="宋体" w:hint="default"/>
                <w:sz w:val="18"/>
                <w:szCs w:val="18"/>
              </w:rPr>
            </w:pPr>
            <w:r>
              <w:rPr>
                <w:rFonts w:ascii="宋体"/>
                <w:spacing w:val="-3"/>
                <w:sz w:val="18"/>
              </w:rPr>
              <w:t>360,900.00</w:t>
            </w:r>
            <w:r>
              <w:rPr>
                <w:rFonts w:ascii="宋体"/>
                <w:sz w:val="18"/>
              </w:rPr>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2"/>
              <w:jc w:val="right"/>
              <w:rPr>
                <w:rFonts w:ascii="宋体" w:hAnsi="宋体" w:cs="宋体" w:eastAsia="宋体" w:hint="default"/>
                <w:sz w:val="18"/>
                <w:szCs w:val="18"/>
              </w:rPr>
            </w:pPr>
            <w:r>
              <w:rPr>
                <w:rFonts w:ascii="宋体"/>
                <w:spacing w:val="-3"/>
                <w:sz w:val="18"/>
              </w:rPr>
              <w:t>0.80%</w:t>
            </w:r>
          </w:p>
        </w:tc>
      </w:tr>
      <w:tr>
        <w:trPr>
          <w:trHeight w:val="420" w:hRule="exact"/>
        </w:trPr>
        <w:tc>
          <w:tcPr>
            <w:tcW w:w="2162"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26" w:right="0"/>
              <w:jc w:val="left"/>
              <w:rPr>
                <w:rFonts w:ascii="宋体" w:hAnsi="宋体" w:cs="宋体" w:eastAsia="宋体" w:hint="default"/>
                <w:sz w:val="18"/>
                <w:szCs w:val="18"/>
              </w:rPr>
            </w:pPr>
            <w:r>
              <w:rPr>
                <w:rFonts w:ascii="宋体"/>
                <w:sz w:val="18"/>
              </w:rPr>
              <w:t>77,384,775.68</w:t>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632"/>
              <w:jc w:val="right"/>
              <w:rPr>
                <w:rFonts w:ascii="宋体" w:hAnsi="宋体" w:cs="宋体" w:eastAsia="宋体" w:hint="default"/>
                <w:sz w:val="18"/>
                <w:szCs w:val="18"/>
              </w:rPr>
            </w:pPr>
            <w:r>
              <w:rPr>
                <w:rFonts w:ascii="宋体"/>
                <w:sz w:val="18"/>
              </w:rPr>
              <w:t>100.00%</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34" w:right="0"/>
              <w:jc w:val="left"/>
              <w:rPr>
                <w:rFonts w:ascii="宋体" w:hAnsi="宋体" w:cs="宋体" w:eastAsia="宋体" w:hint="default"/>
                <w:sz w:val="18"/>
                <w:szCs w:val="18"/>
              </w:rPr>
            </w:pPr>
            <w:r>
              <w:rPr>
                <w:rFonts w:ascii="宋体"/>
                <w:spacing w:val="-3"/>
                <w:sz w:val="18"/>
              </w:rPr>
              <w:t>45,071,991.00</w:t>
            </w:r>
            <w:r>
              <w:rPr>
                <w:rFonts w:ascii="宋体"/>
                <w:sz w:val="18"/>
              </w:rPr>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4"/>
              <w:jc w:val="right"/>
              <w:rPr>
                <w:rFonts w:ascii="宋体" w:hAnsi="宋体" w:cs="宋体" w:eastAsia="宋体" w:hint="default"/>
                <w:sz w:val="18"/>
                <w:szCs w:val="18"/>
              </w:rPr>
            </w:pPr>
            <w:r>
              <w:rPr>
                <w:rFonts w:ascii="宋体"/>
                <w:spacing w:val="-3"/>
                <w:sz w:val="18"/>
              </w:rPr>
              <w:t>100.00%</w:t>
            </w:r>
            <w:r>
              <w:rPr>
                <w:rFonts w:ascii="宋体"/>
                <w:sz w:val="18"/>
              </w:rPr>
            </w:r>
          </w:p>
        </w:tc>
      </w:tr>
    </w:tbl>
    <w:p>
      <w:pPr>
        <w:spacing w:line="240" w:lineRule="auto" w:before="13"/>
        <w:rPr>
          <w:rFonts w:ascii="宋体" w:hAnsi="宋体" w:cs="宋体" w:eastAsia="宋体" w:hint="default"/>
          <w:sz w:val="16"/>
          <w:szCs w:val="16"/>
        </w:rPr>
      </w:pPr>
    </w:p>
    <w:p>
      <w:pPr>
        <w:pStyle w:val="BodyText"/>
        <w:spacing w:line="336" w:lineRule="auto" w:before="26"/>
        <w:ind w:left="314" w:right="177" w:firstLine="480"/>
        <w:jc w:val="left"/>
      </w:pPr>
      <w:r>
        <w:rPr/>
        <w:t>于</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3"/>
        </w:rPr>
        <w:t>日，账龄超过一年的预付款项为</w:t>
      </w:r>
      <w:r>
        <w:rPr>
          <w:spacing w:val="-60"/>
        </w:rPr>
        <w:t> </w:t>
      </w:r>
      <w:r>
        <w:rPr/>
        <w:t>18,585,370.71</w:t>
      </w:r>
      <w:r>
        <w:rPr>
          <w:spacing w:val="-60"/>
        </w:rPr>
        <w:t> </w:t>
      </w:r>
      <w:r>
        <w:rPr>
          <w:spacing w:val="-5"/>
        </w:rPr>
        <w:t>元，主要为预付设备</w:t>
      </w:r>
      <w:r>
        <w:rPr/>
        <w:t> 款项，因为设备合同尚未履行完毕，故款项尚未结清。</w:t>
      </w:r>
    </w:p>
    <w:p>
      <w:pPr>
        <w:pStyle w:val="Heading4"/>
        <w:spacing w:line="240" w:lineRule="auto" w:before="110"/>
        <w:ind w:right="90"/>
        <w:jc w:val="left"/>
        <w:rPr>
          <w:b w:val="0"/>
          <w:bCs w:val="0"/>
        </w:rPr>
      </w:pPr>
      <w:r>
        <w:rPr/>
        <w:t>5、其他应收款</w:t>
      </w:r>
      <w:r>
        <w:rPr>
          <w:b w:val="0"/>
          <w:bCs w:val="0"/>
        </w:rPr>
      </w:r>
    </w:p>
    <w:p>
      <w:pPr>
        <w:spacing w:line="240" w:lineRule="auto" w:before="1"/>
        <w:rPr>
          <w:rFonts w:ascii="宋体" w:hAnsi="宋体" w:cs="宋体" w:eastAsia="宋体" w:hint="default"/>
          <w:b/>
          <w:bCs/>
          <w:sz w:val="20"/>
          <w:szCs w:val="20"/>
        </w:rPr>
      </w:pPr>
    </w:p>
    <w:tbl>
      <w:tblPr>
        <w:tblW w:w="0" w:type="auto"/>
        <w:jc w:val="left"/>
        <w:tblInd w:w="4517" w:type="dxa"/>
        <w:tblLayout w:type="fixed"/>
        <w:tblCellMar>
          <w:top w:w="0" w:type="dxa"/>
          <w:left w:w="0" w:type="dxa"/>
          <w:bottom w:w="0" w:type="dxa"/>
          <w:right w:w="0" w:type="dxa"/>
        </w:tblCellMar>
        <w:tblLook w:val="01E0"/>
      </w:tblPr>
      <w:tblGrid>
        <w:gridCol w:w="1823"/>
        <w:gridCol w:w="1793"/>
        <w:gridCol w:w="1819"/>
      </w:tblGrid>
      <w:tr>
        <w:trPr>
          <w:trHeight w:val="290" w:hRule="exact"/>
        </w:trPr>
        <w:tc>
          <w:tcPr>
            <w:tcW w:w="1823" w:type="dxa"/>
            <w:tcBorders>
              <w:top w:val="nil" w:sz="6" w:space="0" w:color="auto"/>
              <w:left w:val="nil" w:sz="6" w:space="0" w:color="auto"/>
              <w:bottom w:val="single" w:sz="4" w:space="0" w:color="000000"/>
              <w:right w:val="nil" w:sz="6" w:space="0" w:color="auto"/>
            </w:tcBorders>
          </w:tcPr>
          <w:p>
            <w:pPr>
              <w:pStyle w:val="TableParagraph"/>
              <w:spacing w:line="180" w:lineRule="exact"/>
              <w:ind w:left="17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93"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4" w:space="0" w:color="000000"/>
              <w:right w:val="nil" w:sz="6" w:space="0" w:color="auto"/>
            </w:tcBorders>
          </w:tcPr>
          <w:p>
            <w:pPr>
              <w:pStyle w:val="TableParagraph"/>
              <w:spacing w:line="180" w:lineRule="exact"/>
              <w:ind w:left="17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180" w:lineRule="exact"/>
        <w:jc w:val="left"/>
        <w:rPr>
          <w:rFonts w:ascii="宋体" w:hAnsi="宋体" w:cs="宋体" w:eastAsia="宋体" w:hint="default"/>
          <w:sz w:val="18"/>
          <w:szCs w:val="18"/>
        </w:rPr>
        <w:sectPr>
          <w:pgSz w:w="11910" w:h="16840"/>
          <w:pgMar w:header="877" w:footer="1022" w:top="1100" w:bottom="1220" w:left="820" w:right="9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2"/>
          <w:szCs w:val="12"/>
        </w:rPr>
      </w:pPr>
    </w:p>
    <w:tbl>
      <w:tblPr>
        <w:tblW w:w="0" w:type="auto"/>
        <w:jc w:val="left"/>
        <w:tblInd w:w="222" w:type="dxa"/>
        <w:tblLayout w:type="fixed"/>
        <w:tblCellMar>
          <w:top w:w="0" w:type="dxa"/>
          <w:left w:w="0" w:type="dxa"/>
          <w:bottom w:w="0" w:type="dxa"/>
          <w:right w:w="0" w:type="dxa"/>
        </w:tblCellMar>
        <w:tblLook w:val="01E0"/>
      </w:tblPr>
      <w:tblGrid>
        <w:gridCol w:w="3060"/>
        <w:gridCol w:w="4216"/>
        <w:gridCol w:w="2545"/>
      </w:tblGrid>
      <w:tr>
        <w:trPr>
          <w:trHeight w:val="286" w:hRule="exact"/>
        </w:trPr>
        <w:tc>
          <w:tcPr>
            <w:tcW w:w="306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216" w:type="dxa"/>
            <w:tcBorders>
              <w:top w:val="nil" w:sz="6" w:space="0" w:color="auto"/>
              <w:left w:val="nil" w:sz="6" w:space="0" w:color="auto"/>
              <w:bottom w:val="nil" w:sz="6" w:space="0" w:color="auto"/>
              <w:right w:val="nil" w:sz="6" w:space="0" w:color="auto"/>
            </w:tcBorders>
          </w:tcPr>
          <w:p>
            <w:pPr>
              <w:pStyle w:val="TableParagraph"/>
              <w:spacing w:line="180" w:lineRule="exact"/>
              <w:ind w:right="1263"/>
              <w:jc w:val="right"/>
              <w:rPr>
                <w:rFonts w:ascii="宋体" w:hAnsi="宋体" w:cs="宋体" w:eastAsia="宋体" w:hint="default"/>
                <w:sz w:val="18"/>
                <w:szCs w:val="18"/>
              </w:rPr>
            </w:pPr>
            <w:r>
              <w:rPr>
                <w:rFonts w:ascii="宋体"/>
                <w:sz w:val="18"/>
              </w:rPr>
              <w:t>13,577,099.93</w:t>
            </w:r>
          </w:p>
        </w:tc>
        <w:tc>
          <w:tcPr>
            <w:tcW w:w="2545"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z w:val="18"/>
              </w:rPr>
              <w:t>5,580,530.44</w:t>
            </w:r>
          </w:p>
        </w:tc>
      </w:tr>
      <w:tr>
        <w:trPr>
          <w:trHeight w:val="392" w:hRule="exact"/>
        </w:trPr>
        <w:tc>
          <w:tcPr>
            <w:tcW w:w="306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42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63"/>
              <w:jc w:val="right"/>
              <w:rPr>
                <w:rFonts w:ascii="宋体" w:hAnsi="宋体" w:cs="宋体" w:eastAsia="宋体" w:hint="default"/>
                <w:sz w:val="18"/>
                <w:szCs w:val="18"/>
              </w:rPr>
            </w:pPr>
            <w:r>
              <w:rPr>
                <w:rFonts w:ascii="宋体"/>
                <w:sz w:val="18"/>
              </w:rPr>
              <w:t>708,704.60</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sz w:val="18"/>
              </w:rPr>
              <w:t>383,591.97</w:t>
            </w:r>
          </w:p>
        </w:tc>
      </w:tr>
      <w:tr>
        <w:trPr>
          <w:trHeight w:val="286" w:hRule="exact"/>
        </w:trPr>
        <w:tc>
          <w:tcPr>
            <w:tcW w:w="3060" w:type="dxa"/>
            <w:tcBorders>
              <w:top w:val="nil" w:sz="6" w:space="0" w:color="auto"/>
              <w:left w:val="nil" w:sz="6" w:space="0" w:color="auto"/>
              <w:bottom w:val="nil" w:sz="6" w:space="0" w:color="auto"/>
              <w:right w:val="nil" w:sz="6" w:space="0" w:color="auto"/>
            </w:tcBorders>
          </w:tcPr>
          <w:p>
            <w:pPr/>
          </w:p>
        </w:tc>
        <w:tc>
          <w:tcPr>
            <w:tcW w:w="42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63"/>
              <w:jc w:val="right"/>
              <w:rPr>
                <w:rFonts w:ascii="宋体" w:hAnsi="宋体" w:cs="宋体" w:eastAsia="宋体" w:hint="default"/>
                <w:sz w:val="18"/>
                <w:szCs w:val="18"/>
              </w:rPr>
            </w:pPr>
            <w:r>
              <w:rPr>
                <w:rFonts w:ascii="宋体"/>
                <w:sz w:val="18"/>
              </w:rPr>
              <w:t>12,868,395.33</w:t>
            </w:r>
          </w:p>
        </w:tc>
        <w:tc>
          <w:tcPr>
            <w:tcW w:w="25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98"/>
              <w:jc w:val="right"/>
              <w:rPr>
                <w:rFonts w:ascii="宋体" w:hAnsi="宋体" w:cs="宋体" w:eastAsia="宋体" w:hint="default"/>
                <w:sz w:val="18"/>
                <w:szCs w:val="18"/>
              </w:rPr>
            </w:pPr>
            <w:r>
              <w:rPr>
                <w:rFonts w:ascii="宋体"/>
                <w:sz w:val="18"/>
              </w:rPr>
              <w:t>5,196,938.47</w:t>
            </w:r>
          </w:p>
        </w:tc>
      </w:tr>
    </w:tbl>
    <w:p>
      <w:pPr>
        <w:spacing w:line="240" w:lineRule="auto" w:before="1"/>
        <w:rPr>
          <w:rFonts w:ascii="宋体" w:hAnsi="宋体" w:cs="宋体" w:eastAsia="宋体" w:hint="default"/>
          <w:b/>
          <w:bCs/>
          <w:sz w:val="19"/>
          <w:szCs w:val="19"/>
        </w:rPr>
      </w:pPr>
    </w:p>
    <w:p>
      <w:pPr>
        <w:pStyle w:val="BodyText"/>
        <w:spacing w:line="240" w:lineRule="auto" w:before="26"/>
        <w:ind w:left="794" w:right="90"/>
        <w:jc w:val="left"/>
      </w:pPr>
      <w:r>
        <w:rPr/>
        <w:t>(1)其他应收款账龄及相应的坏账准备分析如下：</w:t>
      </w:r>
    </w:p>
    <w:p>
      <w:pPr>
        <w:spacing w:line="240" w:lineRule="auto" w:before="6"/>
        <w:rPr>
          <w:rFonts w:ascii="宋体" w:hAnsi="宋体" w:cs="宋体" w:eastAsia="宋体" w:hint="default"/>
          <w:sz w:val="12"/>
          <w:szCs w:val="12"/>
        </w:rPr>
      </w:pPr>
    </w:p>
    <w:p>
      <w:pPr>
        <w:tabs>
          <w:tab w:pos="5890" w:val="left" w:leader="none"/>
        </w:tabs>
        <w:spacing w:line="218" w:lineRule="exact" w:before="44"/>
        <w:ind w:left="1731" w:right="0" w:firstLine="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01" w:lineRule="exact" w:before="0"/>
        <w:ind w:left="741" w:right="90" w:firstLine="0"/>
        <w:jc w:val="left"/>
        <w:rPr>
          <w:rFonts w:ascii="宋体" w:hAnsi="宋体" w:cs="宋体" w:eastAsia="宋体" w:hint="default"/>
          <w:sz w:val="18"/>
          <w:szCs w:val="18"/>
        </w:rPr>
      </w:pPr>
      <w:r>
        <w:rPr/>
        <w:pict>
          <v:group style="position:absolute;margin-left:129.240005pt;margin-top:6.391861pt;width:208.7pt;height:.1pt;mso-position-horizontal-relative:page;mso-position-vertical-relative:paragraph;z-index:1864" coordorigin="2585,128" coordsize="4174,2">
            <v:shape style="position:absolute;left:2585;top:128;width:4174;height:2" coordorigin="2585,128" coordsize="4174,0" path="m2585,128l6758,128e" filled="false" stroked="true" strokeweight=".48pt" strokecolor="#000000">
              <v:path arrowok="t"/>
            </v:shape>
            <w10:wrap type="none"/>
          </v:group>
        </w:pict>
      </w:r>
      <w:r>
        <w:rPr/>
        <w:pict>
          <v:group style="position:absolute;margin-left:344.76001pt;margin-top:6.391861pt;width:194.8pt;height:.1pt;mso-position-horizontal-relative:page;mso-position-vertical-relative:paragraph;z-index:1888" coordorigin="6895,128" coordsize="3896,2">
            <v:shape style="position:absolute;left:6895;top:128;width:3896;height:2" coordorigin="6895,128" coordsize="3896,0" path="m6895,128l10790,128e" filled="false" stroked="true" strokeweight=".48pt" strokecolor="#000000">
              <v:path arrowok="t"/>
            </v:shape>
            <w10:wrap type="none"/>
          </v:group>
        </w:pict>
      </w:r>
      <w:r>
        <w:rPr>
          <w:rFonts w:ascii="宋体" w:hAnsi="宋体" w:cs="宋体" w:eastAsia="宋体" w:hint="default"/>
          <w:sz w:val="18"/>
          <w:szCs w:val="18"/>
        </w:rPr>
        <w:t>账龄</w:t>
      </w:r>
    </w:p>
    <w:p>
      <w:pPr>
        <w:tabs>
          <w:tab w:pos="3023" w:val="left" w:leader="none"/>
          <w:tab w:pos="4526" w:val="left" w:leader="none"/>
          <w:tab w:pos="6163" w:val="left" w:leader="none"/>
          <w:tab w:pos="7133" w:val="left" w:leader="none"/>
          <w:tab w:pos="8565" w:val="left" w:leader="none"/>
        </w:tabs>
        <w:spacing w:line="219" w:lineRule="exact" w:before="0"/>
        <w:ind w:left="1821" w:right="0" w:firstLine="0"/>
        <w:jc w:val="center"/>
        <w:rPr>
          <w:rFonts w:ascii="宋体" w:hAnsi="宋体" w:cs="宋体" w:eastAsia="宋体" w:hint="default"/>
          <w:sz w:val="18"/>
          <w:szCs w:val="18"/>
        </w:rPr>
      </w:pPr>
      <w:r>
        <w:rPr>
          <w:rFonts w:ascii="宋体" w:hAnsi="宋体" w:cs="宋体" w:eastAsia="宋体" w:hint="default"/>
          <w:sz w:val="18"/>
          <w:szCs w:val="18"/>
        </w:rPr>
        <w:t>金额</w:t>
        <w:tab/>
        <w:t>占总额比例</w:t>
        <w:tab/>
        <w:t>坏账准备</w:t>
        <w:tab/>
        <w:t>金额</w:t>
        <w:tab/>
        <w:t>占总额比例</w:t>
        <w:tab/>
        <w:t>坏账准备</w:t>
      </w:r>
    </w:p>
    <w:p>
      <w:pPr>
        <w:spacing w:line="240" w:lineRule="auto" w:before="1"/>
        <w:rPr>
          <w:rFonts w:ascii="宋体" w:hAnsi="宋体" w:cs="宋体" w:eastAsia="宋体" w:hint="default"/>
          <w:sz w:val="8"/>
          <w:szCs w:val="8"/>
        </w:rPr>
      </w:pPr>
    </w:p>
    <w:p>
      <w:pPr>
        <w:tabs>
          <w:tab w:pos="1760" w:val="left" w:leader="none"/>
          <w:tab w:pos="3345" w:val="left" w:leader="none"/>
          <w:tab w:pos="4674" w:val="left" w:leader="none"/>
        </w:tabs>
        <w:spacing w:line="20" w:lineRule="exact"/>
        <w:ind w:left="309" w:right="0" w:firstLine="0"/>
        <w:rPr>
          <w:rFonts w:ascii="宋体" w:hAnsi="宋体" w:cs="宋体" w:eastAsia="宋体" w:hint="default"/>
          <w:sz w:val="2"/>
          <w:szCs w:val="2"/>
        </w:rPr>
      </w:pPr>
      <w:r>
        <w:rPr>
          <w:rFonts w:ascii="宋体"/>
          <w:sz w:val="2"/>
        </w:rPr>
        <w:pict>
          <v:group style="width:60.9pt;height:.5pt;mso-position-horizontal-relative:char;mso-position-vertical-relative:line" coordorigin="0,0" coordsize="1218,10">
            <v:group style="position:absolute;left:5;top:5;width:1209;height:2" coordorigin="5,5" coordsize="1209,2">
              <v:shape style="position:absolute;left:5;top:5;width:1209;height:2" coordorigin="5,5" coordsize="1209,0" path="m5,5l1213,5e" filled="false" stroked="true" strokeweight=".48pt" strokecolor="#000000">
                <v:path arrowok="t"/>
              </v:shape>
            </v:group>
          </v:group>
        </w:pict>
      </w:r>
      <w:r>
        <w:rPr>
          <w:rFonts w:ascii="宋体"/>
          <w:sz w:val="2"/>
        </w:rPr>
      </w:r>
      <w:r>
        <w:rPr>
          <w:rFonts w:ascii="宋体"/>
          <w:sz w:val="2"/>
        </w:rPr>
        <w:tab/>
      </w:r>
      <w:r>
        <w:rPr>
          <w:rFonts w:ascii="宋体"/>
          <w:sz w:val="2"/>
        </w:rPr>
        <w:pict>
          <v:group style="width:66.4pt;height:.5pt;mso-position-horizontal-relative:char;mso-position-vertical-relative:line" coordorigin="0,0" coordsize="1328,10">
            <v:group style="position:absolute;left:5;top:5;width:1318;height:2" coordorigin="5,5" coordsize="1318,2">
              <v:shape style="position:absolute;left:5;top:5;width:1318;height:2" coordorigin="5,5" coordsize="1318,0" path="m5,5l1322,5e" filled="false" stroked="true" strokeweight=".48pt" strokecolor="#000000">
                <v:path arrowok="t"/>
              </v:shape>
            </v:group>
          </v:group>
        </w:pict>
      </w:r>
      <w:r>
        <w:rPr>
          <w:rFonts w:ascii="宋体"/>
          <w:sz w:val="2"/>
        </w:rPr>
      </w:r>
      <w:r>
        <w:rPr>
          <w:rFonts w:ascii="宋体"/>
          <w:sz w:val="2"/>
        </w:rPr>
        <w:tab/>
      </w:r>
      <w:r>
        <w:rPr>
          <w:rFonts w:ascii="宋体"/>
          <w:sz w:val="2"/>
        </w:rPr>
        <w:pict>
          <v:group style="width:55.1pt;height:.5pt;mso-position-horizontal-relative:char;mso-position-vertical-relative:line" coordorigin="0,0" coordsize="1102,10">
            <v:group style="position:absolute;left:5;top:5;width:1092;height:2" coordorigin="5,5" coordsize="1092,2">
              <v:shape style="position:absolute;left:5;top:5;width:1092;height:2" coordorigin="5,5" coordsize="1092,0" path="m5,5l1097,5e" filled="false" stroked="true" strokeweight=".48pt" strokecolor="#000000">
                <v:path arrowok="t"/>
              </v:shape>
            </v:group>
          </v:group>
        </w:pict>
      </w:r>
      <w:r>
        <w:rPr>
          <w:rFonts w:ascii="宋体"/>
          <w:sz w:val="2"/>
        </w:rPr>
      </w:r>
      <w:r>
        <w:rPr>
          <w:rFonts w:ascii="宋体"/>
          <w:sz w:val="2"/>
        </w:rPr>
        <w:tab/>
      </w:r>
      <w:r>
        <w:rPr>
          <w:rFonts w:ascii="宋体"/>
          <w:sz w:val="2"/>
        </w:rPr>
        <w:pict>
          <v:group style="width:63.45pt;height:.5pt;mso-position-horizontal-relative:char;mso-position-vertical-relative:line" coordorigin="0,0" coordsize="1269,10">
            <v:group style="position:absolute;left:5;top:5;width:1259;height:2" coordorigin="5,5" coordsize="1259,2">
              <v:shape style="position:absolute;left:5;top:5;width:1259;height:2" coordorigin="5,5" coordsize="1259,0" path="m5,5l1264,5e" filled="false" stroked="true" strokeweight=".48pt" strokecolor="#000000">
                <v:path arrowok="t"/>
              </v:shape>
            </v:group>
          </v:group>
        </w:pict>
      </w:r>
      <w:r>
        <w:rPr>
          <w:rFonts w:ascii="宋体"/>
          <w:sz w:val="2"/>
        </w:rPr>
      </w:r>
      <w:r>
        <w:rPr>
          <w:rFonts w:ascii="Times New Roman"/>
          <w:spacing w:val="116"/>
          <w:sz w:val="2"/>
        </w:rPr>
        <w:t> </w:t>
      </w:r>
      <w:r>
        <w:rPr>
          <w:rFonts w:ascii="宋体"/>
          <w:spacing w:val="116"/>
          <w:sz w:val="2"/>
        </w:rPr>
        <w:pict>
          <v:group style="width:123.5pt;height:.5pt;mso-position-horizontal-relative:char;mso-position-vertical-relative:line" coordorigin="0,0" coordsize="2470,10">
            <v:group style="position:absolute;left:5;top:5;width:1380;height:2" coordorigin="5,5" coordsize="1380,2">
              <v:shape style="position:absolute;left:5;top:5;width:1380;height:2" coordorigin="5,5" coordsize="1380,0" path="m5,5l1385,5e" filled="false" stroked="true" strokeweight=".48pt" strokecolor="#000000">
                <v:path arrowok="t"/>
              </v:shape>
            </v:group>
            <v:group style="position:absolute;left:1408;top:5;width:1058;height:2" coordorigin="1408,5" coordsize="1058,2">
              <v:shape style="position:absolute;left:1408;top:5;width:1058;height:2" coordorigin="1408,5" coordsize="1058,0" path="m1408,5l2465,5e" filled="false" stroked="true" strokeweight=".48pt" strokecolor="#000000">
                <v:path arrowok="t"/>
              </v:shape>
            </v:group>
          </v:group>
        </w:pict>
      </w:r>
      <w:r>
        <w:rPr>
          <w:rFonts w:ascii="宋体"/>
          <w:spacing w:val="116"/>
          <w:sz w:val="2"/>
        </w:rPr>
      </w:r>
      <w:r>
        <w:rPr>
          <w:rFonts w:ascii="Times New Roman"/>
          <w:spacing w:val="174"/>
          <w:sz w:val="2"/>
        </w:rPr>
        <w:t> </w:t>
      </w:r>
      <w:r>
        <w:rPr>
          <w:rFonts w:ascii="宋体"/>
          <w:spacing w:val="174"/>
          <w:sz w:val="2"/>
        </w:rPr>
        <w:pict>
          <v:group style="width:62.4pt;height:.5pt;mso-position-horizontal-relative:char;mso-position-vertical-relative:line" coordorigin="0,0" coordsize="1248,10">
            <v:group style="position:absolute;left:5;top:5;width:1239;height:2" coordorigin="5,5" coordsize="1239,2">
              <v:shape style="position:absolute;left:5;top:5;width:1239;height:2" coordorigin="5,5" coordsize="1239,0" path="m5,5l1243,5e" filled="false" stroked="true" strokeweight=".48pt" strokecolor="#000000">
                <v:path arrowok="t"/>
              </v:shape>
            </v:group>
          </v:group>
        </w:pict>
      </w:r>
      <w:r>
        <w:rPr>
          <w:rFonts w:ascii="宋体"/>
          <w:spacing w:val="174"/>
          <w:sz w:val="2"/>
        </w:rPr>
      </w:r>
    </w:p>
    <w:tbl>
      <w:tblPr>
        <w:tblW w:w="0" w:type="auto"/>
        <w:jc w:val="left"/>
        <w:tblInd w:w="278" w:type="dxa"/>
        <w:tblLayout w:type="fixed"/>
        <w:tblCellMar>
          <w:top w:w="0" w:type="dxa"/>
          <w:left w:w="0" w:type="dxa"/>
          <w:bottom w:w="0" w:type="dxa"/>
          <w:right w:w="0" w:type="dxa"/>
        </w:tblCellMar>
        <w:tblLook w:val="01E0"/>
      </w:tblPr>
      <w:tblGrid>
        <w:gridCol w:w="1486"/>
        <w:gridCol w:w="1325"/>
        <w:gridCol w:w="260"/>
        <w:gridCol w:w="1092"/>
        <w:gridCol w:w="238"/>
        <w:gridCol w:w="1265"/>
        <w:gridCol w:w="131"/>
        <w:gridCol w:w="1594"/>
        <w:gridCol w:w="866"/>
        <w:gridCol w:w="194"/>
        <w:gridCol w:w="1238"/>
      </w:tblGrid>
      <w:tr>
        <w:trPr>
          <w:trHeight w:val="386"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12,667,239.93</w:t>
            </w:r>
          </w:p>
        </w:tc>
        <w:tc>
          <w:tcPr>
            <w:tcW w:w="260"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
              <w:jc w:val="right"/>
              <w:rPr>
                <w:rFonts w:ascii="宋体" w:hAnsi="宋体" w:cs="宋体" w:eastAsia="宋体" w:hint="default"/>
                <w:sz w:val="18"/>
                <w:szCs w:val="18"/>
              </w:rPr>
            </w:pPr>
            <w:r>
              <w:rPr>
                <w:rFonts w:ascii="宋体"/>
                <w:sz w:val="18"/>
              </w:rPr>
              <w:t>93.29%</w:t>
            </w:r>
          </w:p>
        </w:tc>
        <w:tc>
          <w:tcPr>
            <w:tcW w:w="238"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569,228.20</w:t>
            </w:r>
          </w:p>
        </w:tc>
        <w:tc>
          <w:tcPr>
            <w:tcW w:w="13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22"/>
              <w:jc w:val="right"/>
              <w:rPr>
                <w:rFonts w:ascii="宋体" w:hAnsi="宋体" w:cs="宋体" w:eastAsia="宋体" w:hint="default"/>
                <w:sz w:val="18"/>
                <w:szCs w:val="18"/>
              </w:rPr>
            </w:pPr>
            <w:r>
              <w:rPr>
                <w:rFonts w:ascii="宋体"/>
                <w:sz w:val="18"/>
              </w:rPr>
              <w:t>4,880,501.52</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
              <w:jc w:val="right"/>
              <w:rPr>
                <w:rFonts w:ascii="宋体" w:hAnsi="宋体" w:cs="宋体" w:eastAsia="宋体" w:hint="default"/>
                <w:sz w:val="18"/>
                <w:szCs w:val="18"/>
              </w:rPr>
            </w:pPr>
            <w:r>
              <w:rPr>
                <w:rFonts w:ascii="宋体"/>
                <w:sz w:val="18"/>
              </w:rPr>
              <w:t>87.46%</w:t>
            </w:r>
          </w:p>
        </w:tc>
        <w:tc>
          <w:tcPr>
            <w:tcW w:w="19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
              <w:jc w:val="right"/>
              <w:rPr>
                <w:rFonts w:ascii="宋体" w:hAnsi="宋体" w:cs="宋体" w:eastAsia="宋体" w:hint="default"/>
                <w:sz w:val="18"/>
                <w:szCs w:val="18"/>
              </w:rPr>
            </w:pPr>
            <w:r>
              <w:rPr>
                <w:rFonts w:ascii="宋体"/>
                <w:sz w:val="18"/>
              </w:rPr>
              <w:t>244,025.08</w:t>
            </w:r>
          </w:p>
        </w:tc>
      </w:tr>
      <w:tr>
        <w:trPr>
          <w:trHeight w:val="392"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520,758.00</w:t>
            </w:r>
          </w:p>
        </w:tc>
        <w:tc>
          <w:tcPr>
            <w:tcW w:w="260"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3.84%</w:t>
            </w:r>
          </w:p>
        </w:tc>
        <w:tc>
          <w:tcPr>
            <w:tcW w:w="238"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28,545.80</w:t>
            </w:r>
          </w:p>
        </w:tc>
        <w:tc>
          <w:tcPr>
            <w:tcW w:w="13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2"/>
              <w:jc w:val="right"/>
              <w:rPr>
                <w:rFonts w:ascii="宋体" w:hAnsi="宋体" w:cs="宋体" w:eastAsia="宋体" w:hint="default"/>
                <w:sz w:val="18"/>
                <w:szCs w:val="18"/>
              </w:rPr>
            </w:pPr>
            <w:r>
              <w:rPr>
                <w:rFonts w:ascii="宋体"/>
                <w:sz w:val="18"/>
              </w:rPr>
              <w:t>311,708.92</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5.59%</w:t>
            </w:r>
          </w:p>
        </w:tc>
        <w:tc>
          <w:tcPr>
            <w:tcW w:w="19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31,170.89</w:t>
            </w:r>
          </w:p>
        </w:tc>
      </w:tr>
      <w:tr>
        <w:trPr>
          <w:trHeight w:val="392"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58,000.00</w:t>
            </w:r>
          </w:p>
        </w:tc>
        <w:tc>
          <w:tcPr>
            <w:tcW w:w="260"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0.43%</w:t>
            </w:r>
          </w:p>
        </w:tc>
        <w:tc>
          <w:tcPr>
            <w:tcW w:w="238"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11,600.00</w:t>
            </w:r>
          </w:p>
        </w:tc>
        <w:tc>
          <w:tcPr>
            <w:tcW w:w="13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2"/>
              <w:jc w:val="right"/>
              <w:rPr>
                <w:rFonts w:ascii="宋体" w:hAnsi="宋体" w:cs="宋体" w:eastAsia="宋体" w:hint="default"/>
                <w:sz w:val="18"/>
                <w:szCs w:val="18"/>
              </w:rPr>
            </w:pPr>
            <w:r>
              <w:rPr>
                <w:rFonts w:ascii="宋体"/>
                <w:sz w:val="18"/>
              </w:rPr>
              <w:t>81,000.00</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1.44%</w:t>
            </w:r>
          </w:p>
        </w:tc>
        <w:tc>
          <w:tcPr>
            <w:tcW w:w="19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16,200.00</w:t>
            </w:r>
          </w:p>
        </w:tc>
      </w:tr>
      <w:tr>
        <w:trPr>
          <w:trHeight w:val="396" w:hRule="exact"/>
        </w:trPr>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32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331,102.00</w:t>
            </w:r>
          </w:p>
        </w:tc>
        <w:tc>
          <w:tcPr>
            <w:tcW w:w="260"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2.44%</w:t>
            </w:r>
          </w:p>
        </w:tc>
        <w:tc>
          <w:tcPr>
            <w:tcW w:w="238"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99,330.60</w:t>
            </w:r>
          </w:p>
        </w:tc>
        <w:tc>
          <w:tcPr>
            <w:tcW w:w="13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22"/>
              <w:jc w:val="right"/>
              <w:rPr>
                <w:rFonts w:ascii="宋体" w:hAnsi="宋体" w:cs="宋体" w:eastAsia="宋体" w:hint="default"/>
                <w:sz w:val="18"/>
                <w:szCs w:val="18"/>
              </w:rPr>
            </w:pPr>
            <w:r>
              <w:rPr>
                <w:rFonts w:ascii="宋体"/>
                <w:sz w:val="18"/>
              </w:rPr>
              <w:t>307,320.00</w:t>
            </w:r>
          </w:p>
        </w:tc>
        <w:tc>
          <w:tcPr>
            <w:tcW w:w="86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5.51%</w:t>
            </w:r>
          </w:p>
        </w:tc>
        <w:tc>
          <w:tcPr>
            <w:tcW w:w="19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92,196.00</w:t>
            </w:r>
          </w:p>
        </w:tc>
      </w:tr>
      <w:tr>
        <w:trPr>
          <w:trHeight w:val="392" w:hRule="exact"/>
        </w:trPr>
        <w:tc>
          <w:tcPr>
            <w:tcW w:w="1486"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13,577,099.93</w:t>
            </w:r>
          </w:p>
        </w:tc>
        <w:tc>
          <w:tcPr>
            <w:tcW w:w="260" w:type="dxa"/>
            <w:tcBorders>
              <w:top w:val="nil" w:sz="6" w:space="0" w:color="auto"/>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708,704.60</w:t>
            </w:r>
          </w:p>
        </w:tc>
        <w:tc>
          <w:tcPr>
            <w:tcW w:w="131"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23"/>
              <w:jc w:val="right"/>
              <w:rPr>
                <w:rFonts w:ascii="宋体" w:hAnsi="宋体" w:cs="宋体" w:eastAsia="宋体" w:hint="default"/>
                <w:sz w:val="18"/>
                <w:szCs w:val="18"/>
              </w:rPr>
            </w:pPr>
            <w:r>
              <w:rPr>
                <w:rFonts w:ascii="宋体"/>
                <w:sz w:val="18"/>
              </w:rPr>
              <w:t>5,580,530.44</w:t>
            </w:r>
          </w:p>
        </w:tc>
        <w:tc>
          <w:tcPr>
            <w:tcW w:w="86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100.00%</w:t>
            </w:r>
          </w:p>
        </w:tc>
        <w:tc>
          <w:tcPr>
            <w:tcW w:w="194" w:type="dxa"/>
            <w:tcBorders>
              <w:top w:val="nil" w:sz="6" w:space="0" w:color="auto"/>
              <w:left w:val="nil" w:sz="6" w:space="0" w:color="auto"/>
              <w:bottom w:val="nil" w:sz="6" w:space="0" w:color="auto"/>
              <w:right w:val="nil" w:sz="6" w:space="0" w:color="auto"/>
            </w:tcBorders>
          </w:tcPr>
          <w:p>
            <w:pP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383,591.97</w:t>
            </w:r>
          </w:p>
        </w:tc>
      </w:tr>
    </w:tbl>
    <w:p>
      <w:pPr>
        <w:tabs>
          <w:tab w:pos="3338" w:val="left" w:leader="none"/>
          <w:tab w:pos="4667" w:val="left" w:leader="none"/>
        </w:tabs>
        <w:spacing w:line="28" w:lineRule="exact"/>
        <w:ind w:left="1752" w:right="0" w:firstLine="0"/>
        <w:rPr>
          <w:rFonts w:ascii="宋体" w:hAnsi="宋体" w:cs="宋体" w:eastAsia="宋体" w:hint="default"/>
          <w:sz w:val="2"/>
          <w:szCs w:val="2"/>
        </w:rPr>
      </w:pPr>
      <w:r>
        <w:rPr>
          <w:rFonts w:ascii="宋体"/>
          <w:position w:val="0"/>
          <w:sz w:val="2"/>
        </w:rPr>
        <w:pict>
          <v:group style="width:67.1pt;height:1.45pt;mso-position-horizontal-relative:char;mso-position-vertical-relative:line" coordorigin="0,0" coordsize="1342,29">
            <v:group style="position:absolute;left:5;top:24;width:1332;height:2" coordorigin="5,24" coordsize="1332,2">
              <v:shape style="position:absolute;left:5;top:24;width:1332;height:2" coordorigin="5,24" coordsize="1332,0" path="m5,24l1337,24e" filled="false" stroked="true" strokeweight=".48pt" strokecolor="#000000">
                <v:path arrowok="t"/>
              </v:shape>
            </v:group>
            <v:group style="position:absolute;left:5;top:5;width:1332;height:2" coordorigin="5,5" coordsize="1332,2">
              <v:shape style="position:absolute;left:5;top:5;width:1332;height:2" coordorigin="5,5" coordsize="1332,0" path="m5,5l1337,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5.8pt;height:1.45pt;mso-position-horizontal-relative:char;mso-position-vertical-relative:line" coordorigin="0,0" coordsize="1116,29">
            <v:group style="position:absolute;left:5;top:24;width:1107;height:2" coordorigin="5,24" coordsize="1107,2">
              <v:shape style="position:absolute;left:5;top:24;width:1107;height:2" coordorigin="5,24" coordsize="1107,0" path="m5,24l1111,24e" filled="false" stroked="true" strokeweight=".48pt" strokecolor="#000000">
                <v:path arrowok="t"/>
              </v:shape>
            </v:group>
            <v:group style="position:absolute;left:5;top:5;width:1107;height:2" coordorigin="5,5" coordsize="1107,2">
              <v:shape style="position:absolute;left:5;top:5;width:1107;height:2" coordorigin="5,5" coordsize="1107,0" path="m5,5l1111,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64.1500pt;height:1.45pt;mso-position-horizontal-relative:char;mso-position-vertical-relative:line" coordorigin="0,0" coordsize="1283,29">
            <v:group style="position:absolute;left:5;top:24;width:1274;height:2" coordorigin="5,24" coordsize="1274,2">
              <v:shape style="position:absolute;left:5;top:24;width:1274;height:2" coordorigin="5,24" coordsize="1274,0" path="m5,24l1278,24e" filled="false" stroked="true" strokeweight=".48pt" strokecolor="#000000">
                <v:path arrowok="t"/>
              </v:shape>
            </v:group>
            <v:group style="position:absolute;left:5;top:5;width:1274;height:2" coordorigin="5,5" coordsize="1274,2">
              <v:shape style="position:absolute;left:5;top:5;width:1274;height:2" coordorigin="5,5" coordsize="1274,0" path="m5,5l1278,5e" filled="false" stroked="true" strokeweight=".48pt" strokecolor="#000000">
                <v:path arrowok="t"/>
              </v:shape>
            </v:group>
          </v:group>
        </w:pict>
      </w:r>
      <w:r>
        <w:rPr>
          <w:rFonts w:ascii="宋体"/>
          <w:position w:val="0"/>
          <w:sz w:val="2"/>
        </w:rPr>
      </w:r>
      <w:r>
        <w:rPr>
          <w:rFonts w:ascii="Times New Roman"/>
          <w:spacing w:val="97"/>
          <w:position w:val="0"/>
          <w:sz w:val="2"/>
        </w:rPr>
        <w:t> </w:t>
      </w:r>
      <w:r>
        <w:rPr>
          <w:rFonts w:ascii="宋体"/>
          <w:spacing w:val="97"/>
          <w:position w:val="0"/>
          <w:sz w:val="2"/>
        </w:rPr>
        <w:pict>
          <v:group style="width:124.2pt;height:1.45pt;mso-position-horizontal-relative:char;mso-position-vertical-relative:line" coordorigin="0,0" coordsize="2484,29">
            <v:group style="position:absolute;left:5;top:24;width:1395;height:2" coordorigin="5,24" coordsize="1395,2">
              <v:shape style="position:absolute;left:5;top:24;width:1395;height:2" coordorigin="5,24" coordsize="1395,0" path="m5,24l1399,24e" filled="false" stroked="true" strokeweight=".48pt" strokecolor="#000000">
                <v:path arrowok="t"/>
              </v:shape>
            </v:group>
            <v:group style="position:absolute;left:5;top:5;width:1395;height:2" coordorigin="5,5" coordsize="1395,2">
              <v:shape style="position:absolute;left:5;top:5;width:1395;height:2" coordorigin="5,5" coordsize="1395,0" path="m5,5l1399,5e" filled="false" stroked="true" strokeweight=".48pt" strokecolor="#000000">
                <v:path arrowok="t"/>
              </v:shape>
            </v:group>
            <v:group style="position:absolute;left:1408;top:24;width:1072;height:2" coordorigin="1408,24" coordsize="1072,2">
              <v:shape style="position:absolute;left:1408;top:24;width:1072;height:2" coordorigin="1408,24" coordsize="1072,0" path="m1408,24l2479,24e" filled="false" stroked="true" strokeweight=".48pt" strokecolor="#000000">
                <v:path arrowok="t"/>
              </v:shape>
            </v:group>
            <v:group style="position:absolute;left:1408;top:5;width:1072;height:2" coordorigin="1408,5" coordsize="1072,2">
              <v:shape style="position:absolute;left:1408;top:5;width:1072;height:2" coordorigin="1408,5" coordsize="1072,0" path="m1408,5l2479,5e" filled="false" stroked="true" strokeweight=".48pt" strokecolor="#000000">
                <v:path arrowok="t"/>
              </v:shape>
            </v:group>
          </v:group>
        </w:pict>
      </w:r>
      <w:r>
        <w:rPr>
          <w:rFonts w:ascii="宋体"/>
          <w:spacing w:val="97"/>
          <w:position w:val="0"/>
          <w:sz w:val="2"/>
        </w:rPr>
      </w:r>
      <w:r>
        <w:rPr>
          <w:rFonts w:ascii="Times New Roman"/>
          <w:spacing w:val="155"/>
          <w:position w:val="0"/>
          <w:sz w:val="2"/>
        </w:rPr>
        <w:t> </w:t>
      </w:r>
      <w:r>
        <w:rPr>
          <w:rFonts w:ascii="宋体"/>
          <w:spacing w:val="155"/>
          <w:position w:val="0"/>
          <w:sz w:val="2"/>
        </w:rPr>
        <w:pict>
          <v:group style="width:63.15pt;height:1.45pt;mso-position-horizontal-relative:char;mso-position-vertical-relative:line" coordorigin="0,0" coordsize="1263,29">
            <v:group style="position:absolute;left:5;top:24;width:1253;height:2" coordorigin="5,24" coordsize="1253,2">
              <v:shape style="position:absolute;left:5;top:24;width:1253;height:2" coordorigin="5,24" coordsize="1253,0" path="m5,24l1258,24e" filled="false" stroked="true" strokeweight=".48pt" strokecolor="#000000">
                <v:path arrowok="t"/>
              </v:shape>
            </v:group>
            <v:group style="position:absolute;left:5;top:5;width:1253;height:2" coordorigin="5,5" coordsize="1253,2">
              <v:shape style="position:absolute;left:5;top:5;width:1253;height:2" coordorigin="5,5" coordsize="1253,0" path="m5,5l1258,5e" filled="false" stroked="true" strokeweight=".48pt" strokecolor="#000000">
                <v:path arrowok="t"/>
              </v:shape>
            </v:group>
          </v:group>
        </w:pict>
      </w:r>
      <w:r>
        <w:rPr>
          <w:rFonts w:ascii="宋体"/>
          <w:spacing w:val="155"/>
          <w:position w:val="0"/>
          <w:sz w:val="2"/>
        </w:rPr>
      </w:r>
    </w:p>
    <w:p>
      <w:pPr>
        <w:spacing w:line="240" w:lineRule="auto" w:before="7"/>
        <w:rPr>
          <w:rFonts w:ascii="宋体" w:hAnsi="宋体" w:cs="宋体" w:eastAsia="宋体" w:hint="default"/>
          <w:sz w:val="11"/>
          <w:szCs w:val="11"/>
        </w:rPr>
      </w:pPr>
    </w:p>
    <w:p>
      <w:pPr>
        <w:pStyle w:val="BodyText"/>
        <w:spacing w:line="240" w:lineRule="auto" w:before="26"/>
        <w:ind w:left="794" w:right="90"/>
        <w:jc w:val="left"/>
      </w:pPr>
      <w:r>
        <w:rPr/>
        <w:t>(2)其他应收款按类别分析如下：</w:t>
      </w:r>
    </w:p>
    <w:p>
      <w:pPr>
        <w:spacing w:line="240" w:lineRule="auto" w:before="2"/>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2518"/>
        <w:gridCol w:w="1243"/>
        <w:gridCol w:w="882"/>
        <w:gridCol w:w="858"/>
        <w:gridCol w:w="871"/>
        <w:gridCol w:w="1093"/>
        <w:gridCol w:w="878"/>
        <w:gridCol w:w="814"/>
        <w:gridCol w:w="673"/>
      </w:tblGrid>
      <w:tr>
        <w:trPr>
          <w:trHeight w:val="277" w:hRule="exact"/>
        </w:trPr>
        <w:tc>
          <w:tcPr>
            <w:tcW w:w="5502" w:type="dxa"/>
            <w:gridSpan w:val="4"/>
            <w:tcBorders>
              <w:top w:val="nil" w:sz="6" w:space="0" w:color="auto"/>
              <w:left w:val="nil" w:sz="6" w:space="0" w:color="auto"/>
              <w:bottom w:val="nil" w:sz="6" w:space="0" w:color="auto"/>
              <w:right w:val="nil" w:sz="6" w:space="0" w:color="auto"/>
            </w:tcBorders>
          </w:tcPr>
          <w:p>
            <w:pPr>
              <w:pStyle w:val="TableParagraph"/>
              <w:spacing w:line="150" w:lineRule="exact"/>
              <w:ind w:right="441"/>
              <w:jc w:val="righ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31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871" w:type="dxa"/>
            <w:tcBorders>
              <w:top w:val="nil" w:sz="6" w:space="0" w:color="auto"/>
              <w:left w:val="nil" w:sz="6" w:space="0" w:color="auto"/>
              <w:bottom w:val="single" w:sz="4" w:space="0" w:color="000000"/>
              <w:right w:val="nil" w:sz="6" w:space="0" w:color="auto"/>
            </w:tcBorders>
          </w:tcPr>
          <w:p>
            <w:pPr/>
          </w:p>
        </w:tc>
        <w:tc>
          <w:tcPr>
            <w:tcW w:w="1093" w:type="dxa"/>
            <w:tcBorders>
              <w:top w:val="nil" w:sz="6" w:space="0" w:color="auto"/>
              <w:left w:val="nil" w:sz="6" w:space="0" w:color="auto"/>
              <w:bottom w:val="single" w:sz="4" w:space="0" w:color="000000"/>
              <w:right w:val="nil" w:sz="6" w:space="0" w:color="auto"/>
            </w:tcBorders>
          </w:tcPr>
          <w:p>
            <w:pPr/>
          </w:p>
        </w:tc>
        <w:tc>
          <w:tcPr>
            <w:tcW w:w="1692" w:type="dxa"/>
            <w:gridSpan w:val="2"/>
            <w:tcBorders>
              <w:top w:val="nil" w:sz="6" w:space="0" w:color="auto"/>
              <w:left w:val="nil" w:sz="6" w:space="0" w:color="auto"/>
              <w:bottom w:val="single" w:sz="4" w:space="0" w:color="000000"/>
              <w:right w:val="nil" w:sz="6" w:space="0" w:color="auto"/>
            </w:tcBorders>
          </w:tcPr>
          <w:p>
            <w:pPr>
              <w:pStyle w:val="TableParagraph"/>
              <w:spacing w:line="150" w:lineRule="exact"/>
              <w:ind w:left="23" w:right="0"/>
              <w:jc w:val="left"/>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31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673" w:type="dxa"/>
            <w:tcBorders>
              <w:top w:val="nil" w:sz="6" w:space="0" w:color="auto"/>
              <w:left w:val="nil" w:sz="6" w:space="0" w:color="auto"/>
              <w:bottom w:val="single" w:sz="4" w:space="0" w:color="000000"/>
              <w:right w:val="nil" w:sz="6" w:space="0" w:color="auto"/>
            </w:tcBorders>
          </w:tcPr>
          <w:p>
            <w:pPr/>
          </w:p>
        </w:tc>
      </w:tr>
      <w:tr>
        <w:trPr>
          <w:trHeight w:val="402" w:hRule="exact"/>
        </w:trPr>
        <w:tc>
          <w:tcPr>
            <w:tcW w:w="2518" w:type="dxa"/>
            <w:tcBorders>
              <w:top w:val="nil" w:sz="6" w:space="0" w:color="auto"/>
              <w:left w:val="nil" w:sz="6" w:space="0" w:color="auto"/>
              <w:bottom w:val="nil" w:sz="6" w:space="0" w:color="auto"/>
              <w:right w:val="nil" w:sz="6" w:space="0" w:color="auto"/>
            </w:tcBorders>
          </w:tcPr>
          <w:p>
            <w:pPr/>
          </w:p>
        </w:tc>
        <w:tc>
          <w:tcPr>
            <w:tcW w:w="1243"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4"/>
              <w:jc w:val="center"/>
              <w:rPr>
                <w:rFonts w:ascii="宋体" w:hAnsi="宋体" w:cs="宋体" w:eastAsia="宋体" w:hint="default"/>
                <w:sz w:val="15"/>
                <w:szCs w:val="15"/>
              </w:rPr>
            </w:pPr>
            <w:r>
              <w:rPr>
                <w:rFonts w:ascii="宋体" w:hAnsi="宋体" w:cs="宋体" w:eastAsia="宋体" w:hint="default"/>
                <w:spacing w:val="-9"/>
                <w:sz w:val="15"/>
                <w:szCs w:val="15"/>
              </w:rPr>
              <w:t>金额</w:t>
            </w:r>
          </w:p>
        </w:tc>
        <w:tc>
          <w:tcPr>
            <w:tcW w:w="882"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58" w:right="0"/>
              <w:jc w:val="left"/>
              <w:rPr>
                <w:rFonts w:ascii="宋体" w:hAnsi="宋体" w:cs="宋体" w:eastAsia="宋体" w:hint="default"/>
                <w:sz w:val="15"/>
                <w:szCs w:val="15"/>
              </w:rPr>
            </w:pPr>
            <w:r>
              <w:rPr>
                <w:rFonts w:ascii="宋体" w:hAnsi="宋体" w:cs="宋体" w:eastAsia="宋体" w:hint="default"/>
                <w:spacing w:val="-14"/>
                <w:sz w:val="15"/>
                <w:szCs w:val="15"/>
              </w:rPr>
              <w:t>占总额比例</w:t>
            </w:r>
          </w:p>
        </w:tc>
        <w:tc>
          <w:tcPr>
            <w:tcW w:w="858"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138" w:right="0"/>
              <w:jc w:val="left"/>
              <w:rPr>
                <w:rFonts w:ascii="宋体" w:hAnsi="宋体" w:cs="宋体" w:eastAsia="宋体" w:hint="default"/>
                <w:sz w:val="15"/>
                <w:szCs w:val="15"/>
              </w:rPr>
            </w:pPr>
            <w:r>
              <w:rPr>
                <w:rFonts w:ascii="宋体" w:hAnsi="宋体" w:cs="宋体" w:eastAsia="宋体" w:hint="default"/>
                <w:spacing w:val="-17"/>
                <w:sz w:val="15"/>
                <w:szCs w:val="15"/>
              </w:rPr>
              <w:t>坏账准备</w:t>
            </w:r>
            <w:r>
              <w:rPr>
                <w:rFonts w:ascii="宋体" w:hAnsi="宋体" w:cs="宋体" w:eastAsia="宋体" w:hint="default"/>
                <w:sz w:val="15"/>
                <w:szCs w:val="15"/>
              </w:rPr>
            </w:r>
          </w:p>
        </w:tc>
        <w:tc>
          <w:tcPr>
            <w:tcW w:w="871"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175" w:right="0"/>
              <w:jc w:val="left"/>
              <w:rPr>
                <w:rFonts w:ascii="宋体" w:hAnsi="宋体" w:cs="宋体" w:eastAsia="宋体" w:hint="default"/>
                <w:sz w:val="15"/>
                <w:szCs w:val="15"/>
              </w:rPr>
            </w:pPr>
            <w:r>
              <w:rPr>
                <w:rFonts w:ascii="宋体" w:hAnsi="宋体" w:cs="宋体" w:eastAsia="宋体" w:hint="default"/>
                <w:spacing w:val="-17"/>
                <w:sz w:val="15"/>
                <w:szCs w:val="15"/>
              </w:rPr>
              <w:t>计提比例</w:t>
            </w:r>
            <w:r>
              <w:rPr>
                <w:rFonts w:ascii="宋体" w:hAnsi="宋体" w:cs="宋体" w:eastAsia="宋体" w:hint="default"/>
                <w:sz w:val="15"/>
                <w:szCs w:val="15"/>
              </w:rPr>
            </w:r>
          </w:p>
        </w:tc>
        <w:tc>
          <w:tcPr>
            <w:tcW w:w="1093"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6"/>
              <w:jc w:val="center"/>
              <w:rPr>
                <w:rFonts w:ascii="宋体" w:hAnsi="宋体" w:cs="宋体" w:eastAsia="宋体" w:hint="default"/>
                <w:sz w:val="15"/>
                <w:szCs w:val="15"/>
              </w:rPr>
            </w:pPr>
            <w:r>
              <w:rPr>
                <w:rFonts w:ascii="宋体" w:hAnsi="宋体" w:cs="宋体" w:eastAsia="宋体" w:hint="default"/>
                <w:spacing w:val="-9"/>
                <w:sz w:val="15"/>
                <w:szCs w:val="15"/>
              </w:rPr>
              <w:t>金额</w:t>
            </w:r>
          </w:p>
        </w:tc>
        <w:tc>
          <w:tcPr>
            <w:tcW w:w="878"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130"/>
              <w:jc w:val="right"/>
              <w:rPr>
                <w:rFonts w:ascii="宋体" w:hAnsi="宋体" w:cs="宋体" w:eastAsia="宋体" w:hint="default"/>
                <w:sz w:val="15"/>
                <w:szCs w:val="15"/>
              </w:rPr>
            </w:pPr>
            <w:r>
              <w:rPr>
                <w:rFonts w:ascii="宋体" w:hAnsi="宋体" w:cs="宋体" w:eastAsia="宋体" w:hint="default"/>
                <w:spacing w:val="-14"/>
                <w:sz w:val="15"/>
                <w:szCs w:val="15"/>
              </w:rPr>
              <w:t>占总额比例</w:t>
            </w:r>
          </w:p>
        </w:tc>
        <w:tc>
          <w:tcPr>
            <w:tcW w:w="814"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119" w:right="0"/>
              <w:jc w:val="left"/>
              <w:rPr>
                <w:rFonts w:ascii="宋体" w:hAnsi="宋体" w:cs="宋体" w:eastAsia="宋体" w:hint="default"/>
                <w:sz w:val="15"/>
                <w:szCs w:val="15"/>
              </w:rPr>
            </w:pPr>
            <w:r>
              <w:rPr>
                <w:rFonts w:ascii="宋体" w:hAnsi="宋体" w:cs="宋体" w:eastAsia="宋体" w:hint="default"/>
                <w:spacing w:val="-17"/>
                <w:sz w:val="15"/>
                <w:szCs w:val="15"/>
              </w:rPr>
              <w:t>坏账准备</w:t>
            </w:r>
            <w:r>
              <w:rPr>
                <w:rFonts w:ascii="宋体" w:hAnsi="宋体" w:cs="宋体" w:eastAsia="宋体" w:hint="default"/>
                <w:sz w:val="15"/>
                <w:szCs w:val="15"/>
              </w:rPr>
            </w:r>
          </w:p>
        </w:tc>
        <w:tc>
          <w:tcPr>
            <w:tcW w:w="673"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right="47"/>
              <w:jc w:val="right"/>
              <w:rPr>
                <w:rFonts w:ascii="宋体" w:hAnsi="宋体" w:cs="宋体" w:eastAsia="宋体" w:hint="default"/>
                <w:sz w:val="15"/>
                <w:szCs w:val="15"/>
              </w:rPr>
            </w:pPr>
            <w:r>
              <w:rPr>
                <w:rFonts w:ascii="宋体" w:hAnsi="宋体" w:cs="宋体" w:eastAsia="宋体" w:hint="default"/>
                <w:spacing w:val="-17"/>
                <w:sz w:val="15"/>
                <w:szCs w:val="15"/>
              </w:rPr>
              <w:t>计提比例</w:t>
            </w:r>
            <w:r>
              <w:rPr>
                <w:rFonts w:ascii="宋体" w:hAnsi="宋体" w:cs="宋体" w:eastAsia="宋体" w:hint="default"/>
                <w:sz w:val="15"/>
                <w:szCs w:val="15"/>
              </w:rPr>
            </w:r>
          </w:p>
        </w:tc>
      </w:tr>
      <w:tr>
        <w:trPr>
          <w:trHeight w:val="397"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宋体" w:hAnsi="宋体" w:cs="宋体" w:eastAsia="宋体" w:hint="default"/>
                <w:sz w:val="15"/>
                <w:szCs w:val="15"/>
              </w:rPr>
            </w:pPr>
            <w:r>
              <w:rPr>
                <w:rFonts w:ascii="宋体" w:hAnsi="宋体" w:cs="宋体" w:eastAsia="宋体" w:hint="default"/>
                <w:spacing w:val="-15"/>
                <w:sz w:val="15"/>
                <w:szCs w:val="15"/>
              </w:rPr>
              <w:t>单项金额重大的外部应收款</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56"/>
              <w:jc w:val="right"/>
              <w:rPr>
                <w:rFonts w:ascii="宋体" w:hAnsi="宋体" w:cs="宋体" w:eastAsia="宋体" w:hint="default"/>
                <w:sz w:val="15"/>
                <w:szCs w:val="15"/>
              </w:rPr>
            </w:pPr>
            <w:r>
              <w:rPr>
                <w:rFonts w:ascii="宋体"/>
                <w:spacing w:val="-1"/>
                <w:sz w:val="15"/>
              </w:rPr>
              <w:t>9,700,841.88</w:t>
            </w:r>
          </w:p>
        </w:tc>
        <w:tc>
          <w:tcPr>
            <w:tcW w:w="88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4"/>
              <w:jc w:val="right"/>
              <w:rPr>
                <w:rFonts w:ascii="宋体" w:hAnsi="宋体" w:cs="宋体" w:eastAsia="宋体" w:hint="default"/>
                <w:sz w:val="15"/>
                <w:szCs w:val="15"/>
              </w:rPr>
            </w:pPr>
            <w:r>
              <w:rPr>
                <w:rFonts w:ascii="宋体"/>
                <w:spacing w:val="-1"/>
                <w:sz w:val="15"/>
              </w:rPr>
              <w:t>71.45%</w:t>
            </w:r>
          </w:p>
        </w:tc>
        <w:tc>
          <w:tcPr>
            <w:tcW w:w="85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
              <w:jc w:val="right"/>
              <w:rPr>
                <w:rFonts w:ascii="宋体" w:hAnsi="宋体" w:cs="宋体" w:eastAsia="宋体" w:hint="default"/>
                <w:sz w:val="15"/>
                <w:szCs w:val="15"/>
              </w:rPr>
            </w:pPr>
            <w:r>
              <w:rPr>
                <w:rFonts w:ascii="宋体"/>
                <w:spacing w:val="-1"/>
                <w:sz w:val="15"/>
              </w:rPr>
              <w:t>560,042.09</w:t>
            </w:r>
          </w:p>
        </w:tc>
        <w:tc>
          <w:tcPr>
            <w:tcW w:w="87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34"/>
              <w:jc w:val="right"/>
              <w:rPr>
                <w:rFonts w:ascii="宋体" w:hAnsi="宋体" w:cs="宋体" w:eastAsia="宋体" w:hint="default"/>
                <w:sz w:val="15"/>
                <w:szCs w:val="15"/>
              </w:rPr>
            </w:pPr>
            <w:r>
              <w:rPr>
                <w:rFonts w:ascii="宋体"/>
                <w:spacing w:val="-1"/>
                <w:sz w:val="15"/>
              </w:rPr>
              <w:t>5.77%</w:t>
            </w:r>
          </w:p>
        </w:tc>
        <w:tc>
          <w:tcPr>
            <w:tcW w:w="109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59"/>
              <w:jc w:val="right"/>
              <w:rPr>
                <w:rFonts w:ascii="宋体" w:hAnsi="宋体" w:cs="宋体" w:eastAsia="宋体" w:hint="default"/>
                <w:sz w:val="15"/>
                <w:szCs w:val="15"/>
              </w:rPr>
            </w:pPr>
            <w:r>
              <w:rPr>
                <w:rFonts w:ascii="宋体"/>
                <w:spacing w:val="-5"/>
                <w:sz w:val="15"/>
              </w:rPr>
              <w:t>1,937,600.00</w:t>
            </w:r>
            <w:r>
              <w:rPr>
                <w:rFonts w:ascii="宋体"/>
                <w:sz w:val="15"/>
              </w:rPr>
            </w:r>
          </w:p>
        </w:tc>
        <w:tc>
          <w:tcPr>
            <w:tcW w:w="87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89"/>
              <w:jc w:val="right"/>
              <w:rPr>
                <w:rFonts w:ascii="宋体" w:hAnsi="宋体" w:cs="宋体" w:eastAsia="宋体" w:hint="default"/>
                <w:sz w:val="15"/>
                <w:szCs w:val="15"/>
              </w:rPr>
            </w:pPr>
            <w:r>
              <w:rPr>
                <w:rFonts w:ascii="宋体"/>
                <w:spacing w:val="-5"/>
                <w:sz w:val="15"/>
              </w:rPr>
              <w:t>34.72%</w:t>
            </w:r>
            <w:r>
              <w:rPr>
                <w:rFonts w:ascii="宋体"/>
                <w:sz w:val="15"/>
              </w:rPr>
            </w:r>
          </w:p>
        </w:tc>
        <w:tc>
          <w:tcPr>
            <w:tcW w:w="81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5"/>
              <w:jc w:val="right"/>
              <w:rPr>
                <w:rFonts w:ascii="宋体" w:hAnsi="宋体" w:cs="宋体" w:eastAsia="宋体" w:hint="default"/>
                <w:sz w:val="15"/>
                <w:szCs w:val="15"/>
              </w:rPr>
            </w:pPr>
            <w:r>
              <w:rPr>
                <w:rFonts w:ascii="宋体"/>
                <w:spacing w:val="-5"/>
                <w:sz w:val="15"/>
              </w:rPr>
              <w:t>171,880.00</w:t>
            </w:r>
          </w:p>
        </w:tc>
        <w:tc>
          <w:tcPr>
            <w:tcW w:w="67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1"/>
              <w:jc w:val="right"/>
              <w:rPr>
                <w:rFonts w:ascii="宋体" w:hAnsi="宋体" w:cs="宋体" w:eastAsia="宋体" w:hint="default"/>
                <w:sz w:val="15"/>
                <w:szCs w:val="15"/>
              </w:rPr>
            </w:pPr>
            <w:r>
              <w:rPr>
                <w:rFonts w:ascii="宋体"/>
                <w:spacing w:val="-5"/>
                <w:sz w:val="15"/>
              </w:rPr>
              <w:t>8.87%</w:t>
            </w:r>
            <w:r>
              <w:rPr>
                <w:rFonts w:ascii="宋体"/>
                <w:sz w:val="15"/>
              </w:rPr>
            </w:r>
          </w:p>
        </w:tc>
      </w:tr>
      <w:tr>
        <w:trPr>
          <w:trHeight w:val="392"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宋体" w:hAnsi="宋体" w:cs="宋体" w:eastAsia="宋体" w:hint="default"/>
                <w:sz w:val="15"/>
                <w:szCs w:val="15"/>
              </w:rPr>
            </w:pPr>
            <w:r>
              <w:rPr>
                <w:rFonts w:ascii="宋体" w:hAnsi="宋体" w:cs="宋体" w:eastAsia="宋体" w:hint="default"/>
                <w:spacing w:val="-16"/>
                <w:sz w:val="15"/>
                <w:szCs w:val="15"/>
              </w:rPr>
              <w:t>单项金额不重大但组合风险较大</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7"/>
              <w:jc w:val="right"/>
              <w:rPr>
                <w:rFonts w:ascii="宋体" w:hAnsi="宋体" w:cs="宋体" w:eastAsia="宋体" w:hint="default"/>
                <w:sz w:val="15"/>
                <w:szCs w:val="15"/>
              </w:rPr>
            </w:pPr>
            <w:r>
              <w:rPr>
                <w:rFonts w:ascii="宋体"/>
                <w:spacing w:val="-1"/>
                <w:sz w:val="15"/>
              </w:rPr>
              <w:t>31,102.00</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4"/>
              <w:jc w:val="right"/>
              <w:rPr>
                <w:rFonts w:ascii="宋体" w:hAnsi="宋体" w:cs="宋体" w:eastAsia="宋体" w:hint="default"/>
                <w:sz w:val="15"/>
                <w:szCs w:val="15"/>
              </w:rPr>
            </w:pPr>
            <w:r>
              <w:rPr>
                <w:rFonts w:ascii="宋体"/>
                <w:spacing w:val="-1"/>
                <w:sz w:val="15"/>
              </w:rPr>
              <w:t>0.23%</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
              <w:jc w:val="right"/>
              <w:rPr>
                <w:rFonts w:ascii="宋体" w:hAnsi="宋体" w:cs="宋体" w:eastAsia="宋体" w:hint="default"/>
                <w:sz w:val="15"/>
                <w:szCs w:val="15"/>
              </w:rPr>
            </w:pPr>
            <w:r>
              <w:rPr>
                <w:rFonts w:ascii="宋体"/>
                <w:spacing w:val="-1"/>
                <w:sz w:val="15"/>
              </w:rPr>
              <w:t>9,330.60</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
              <w:jc w:val="right"/>
              <w:rPr>
                <w:rFonts w:ascii="宋体" w:hAnsi="宋体" w:cs="宋体" w:eastAsia="宋体" w:hint="default"/>
                <w:sz w:val="15"/>
                <w:szCs w:val="15"/>
              </w:rPr>
            </w:pPr>
            <w:r>
              <w:rPr>
                <w:rFonts w:ascii="宋体"/>
                <w:spacing w:val="-1"/>
                <w:sz w:val="15"/>
              </w:rPr>
              <w:t>30.00%</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9"/>
              <w:jc w:val="right"/>
              <w:rPr>
                <w:rFonts w:ascii="宋体" w:hAnsi="宋体" w:cs="宋体" w:eastAsia="宋体" w:hint="default"/>
                <w:sz w:val="15"/>
                <w:szCs w:val="15"/>
              </w:rPr>
            </w:pPr>
            <w:r>
              <w:rPr>
                <w:rFonts w:ascii="宋体"/>
                <w:spacing w:val="-5"/>
                <w:sz w:val="15"/>
              </w:rPr>
              <w:t>7,320.00</w:t>
            </w:r>
            <w:r>
              <w:rPr>
                <w:rFonts w:ascii="宋体"/>
                <w:sz w:val="15"/>
              </w:rPr>
            </w: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9"/>
              <w:jc w:val="right"/>
              <w:rPr>
                <w:rFonts w:ascii="宋体" w:hAnsi="宋体" w:cs="宋体" w:eastAsia="宋体" w:hint="default"/>
                <w:sz w:val="15"/>
                <w:szCs w:val="15"/>
              </w:rPr>
            </w:pPr>
            <w:r>
              <w:rPr>
                <w:rFonts w:ascii="宋体"/>
                <w:spacing w:val="-5"/>
                <w:sz w:val="15"/>
              </w:rPr>
              <w:t>0.13%</w:t>
            </w:r>
            <w:r>
              <w:rPr>
                <w:rFonts w:ascii="宋体"/>
                <w:sz w:val="15"/>
              </w:rPr>
            </w:r>
          </w:p>
        </w:tc>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
              <w:jc w:val="right"/>
              <w:rPr>
                <w:rFonts w:ascii="宋体" w:hAnsi="宋体" w:cs="宋体" w:eastAsia="宋体" w:hint="default"/>
                <w:sz w:val="15"/>
                <w:szCs w:val="15"/>
              </w:rPr>
            </w:pPr>
            <w:r>
              <w:rPr>
                <w:rFonts w:ascii="宋体"/>
                <w:spacing w:val="-5"/>
                <w:sz w:val="15"/>
              </w:rPr>
              <w:t>2,196.00</w:t>
            </w:r>
            <w:r>
              <w:rPr>
                <w:rFonts w:ascii="宋体"/>
                <w:sz w:val="15"/>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
              <w:jc w:val="right"/>
              <w:rPr>
                <w:rFonts w:ascii="宋体" w:hAnsi="宋体" w:cs="宋体" w:eastAsia="宋体" w:hint="default"/>
                <w:sz w:val="15"/>
                <w:szCs w:val="15"/>
              </w:rPr>
            </w:pPr>
            <w:r>
              <w:rPr>
                <w:rFonts w:ascii="宋体"/>
                <w:spacing w:val="-5"/>
                <w:sz w:val="15"/>
              </w:rPr>
              <w:t>30.00%</w:t>
            </w:r>
            <w:r>
              <w:rPr>
                <w:rFonts w:ascii="宋体"/>
                <w:sz w:val="15"/>
              </w:rPr>
            </w:r>
          </w:p>
        </w:tc>
      </w:tr>
      <w:tr>
        <w:trPr>
          <w:trHeight w:val="397" w:hRule="exact"/>
        </w:trPr>
        <w:tc>
          <w:tcPr>
            <w:tcW w:w="251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43"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57"/>
              <w:jc w:val="right"/>
              <w:rPr>
                <w:rFonts w:ascii="宋体" w:hAnsi="宋体" w:cs="宋体" w:eastAsia="宋体" w:hint="default"/>
                <w:sz w:val="15"/>
                <w:szCs w:val="15"/>
              </w:rPr>
            </w:pPr>
            <w:r>
              <w:rPr>
                <w:rFonts w:ascii="宋体"/>
                <w:spacing w:val="-1"/>
                <w:sz w:val="15"/>
              </w:rPr>
              <w:t>3,845,156.05</w:t>
            </w:r>
          </w:p>
        </w:tc>
        <w:tc>
          <w:tcPr>
            <w:tcW w:w="882"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94"/>
              <w:jc w:val="right"/>
              <w:rPr>
                <w:rFonts w:ascii="宋体" w:hAnsi="宋体" w:cs="宋体" w:eastAsia="宋体" w:hint="default"/>
                <w:sz w:val="15"/>
                <w:szCs w:val="15"/>
              </w:rPr>
            </w:pPr>
            <w:r>
              <w:rPr>
                <w:rFonts w:ascii="宋体"/>
                <w:spacing w:val="-1"/>
                <w:sz w:val="15"/>
              </w:rPr>
              <w:t>28.32%</w:t>
            </w:r>
          </w:p>
        </w:tc>
        <w:tc>
          <w:tcPr>
            <w:tcW w:w="858"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9"/>
              <w:jc w:val="right"/>
              <w:rPr>
                <w:rFonts w:ascii="宋体" w:hAnsi="宋体" w:cs="宋体" w:eastAsia="宋体" w:hint="default"/>
                <w:sz w:val="15"/>
                <w:szCs w:val="15"/>
              </w:rPr>
            </w:pPr>
            <w:r>
              <w:rPr>
                <w:rFonts w:ascii="宋体"/>
                <w:spacing w:val="-1"/>
                <w:sz w:val="15"/>
              </w:rPr>
              <w:t>139,331.91</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4"/>
              <w:jc w:val="right"/>
              <w:rPr>
                <w:rFonts w:ascii="宋体" w:hAnsi="宋体" w:cs="宋体" w:eastAsia="宋体" w:hint="default"/>
                <w:sz w:val="15"/>
                <w:szCs w:val="15"/>
              </w:rPr>
            </w:pPr>
            <w:r>
              <w:rPr>
                <w:rFonts w:ascii="宋体"/>
                <w:spacing w:val="-1"/>
                <w:sz w:val="15"/>
              </w:rPr>
              <w:t>3.62%</w:t>
            </w:r>
          </w:p>
        </w:tc>
        <w:tc>
          <w:tcPr>
            <w:tcW w:w="1093"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59"/>
              <w:jc w:val="right"/>
              <w:rPr>
                <w:rFonts w:ascii="宋体" w:hAnsi="宋体" w:cs="宋体" w:eastAsia="宋体" w:hint="default"/>
                <w:sz w:val="15"/>
                <w:szCs w:val="15"/>
              </w:rPr>
            </w:pPr>
            <w:r>
              <w:rPr>
                <w:rFonts w:ascii="宋体"/>
                <w:spacing w:val="-5"/>
                <w:sz w:val="15"/>
              </w:rPr>
              <w:t>3,635,610.44</w:t>
            </w:r>
            <w:r>
              <w:rPr>
                <w:rFonts w:ascii="宋体"/>
                <w:sz w:val="15"/>
              </w:rPr>
            </w:r>
          </w:p>
        </w:tc>
        <w:tc>
          <w:tcPr>
            <w:tcW w:w="878"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89"/>
              <w:jc w:val="right"/>
              <w:rPr>
                <w:rFonts w:ascii="宋体" w:hAnsi="宋体" w:cs="宋体" w:eastAsia="宋体" w:hint="default"/>
                <w:sz w:val="15"/>
                <w:szCs w:val="15"/>
              </w:rPr>
            </w:pPr>
            <w:r>
              <w:rPr>
                <w:rFonts w:ascii="宋体"/>
                <w:spacing w:val="-5"/>
                <w:sz w:val="15"/>
              </w:rPr>
              <w:t>65.15%</w:t>
            </w:r>
            <w:r>
              <w:rPr>
                <w:rFonts w:ascii="宋体"/>
                <w:sz w:val="15"/>
              </w:rPr>
            </w:r>
          </w:p>
        </w:tc>
        <w:tc>
          <w:tcPr>
            <w:tcW w:w="814"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right="5"/>
              <w:jc w:val="right"/>
              <w:rPr>
                <w:rFonts w:ascii="宋体" w:hAnsi="宋体" w:cs="宋体" w:eastAsia="宋体" w:hint="default"/>
                <w:sz w:val="15"/>
                <w:szCs w:val="15"/>
              </w:rPr>
            </w:pPr>
            <w:r>
              <w:rPr>
                <w:rFonts w:ascii="宋体"/>
                <w:spacing w:val="-5"/>
                <w:sz w:val="15"/>
              </w:rPr>
              <w:t>209,515.97</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
              <w:jc w:val="right"/>
              <w:rPr>
                <w:rFonts w:ascii="宋体" w:hAnsi="宋体" w:cs="宋体" w:eastAsia="宋体" w:hint="default"/>
                <w:sz w:val="15"/>
                <w:szCs w:val="15"/>
              </w:rPr>
            </w:pPr>
            <w:r>
              <w:rPr>
                <w:rFonts w:ascii="宋体"/>
                <w:spacing w:val="-1"/>
                <w:sz w:val="15"/>
              </w:rPr>
              <w:t>5.76%</w:t>
            </w:r>
          </w:p>
        </w:tc>
      </w:tr>
      <w:tr>
        <w:trPr>
          <w:trHeight w:val="413" w:hRule="exact"/>
        </w:trPr>
        <w:tc>
          <w:tcPr>
            <w:tcW w:w="2518" w:type="dxa"/>
            <w:tcBorders>
              <w:top w:val="nil" w:sz="6" w:space="0" w:color="auto"/>
              <w:left w:val="nil" w:sz="6" w:space="0" w:color="auto"/>
              <w:bottom w:val="nil" w:sz="6" w:space="0" w:color="auto"/>
              <w:right w:val="nil" w:sz="6" w:space="0" w:color="auto"/>
            </w:tcBorders>
          </w:tcPr>
          <w:p>
            <w:pPr/>
          </w:p>
        </w:tc>
        <w:tc>
          <w:tcPr>
            <w:tcW w:w="1243"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57"/>
              <w:jc w:val="right"/>
              <w:rPr>
                <w:rFonts w:ascii="宋体" w:hAnsi="宋体" w:cs="宋体" w:eastAsia="宋体" w:hint="default"/>
                <w:sz w:val="15"/>
                <w:szCs w:val="15"/>
              </w:rPr>
            </w:pPr>
            <w:r>
              <w:rPr>
                <w:rFonts w:ascii="宋体"/>
                <w:spacing w:val="-1"/>
                <w:sz w:val="15"/>
              </w:rPr>
              <w:t>13,577,099.93</w:t>
            </w:r>
          </w:p>
        </w:tc>
        <w:tc>
          <w:tcPr>
            <w:tcW w:w="882"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94"/>
              <w:jc w:val="right"/>
              <w:rPr>
                <w:rFonts w:ascii="宋体" w:hAnsi="宋体" w:cs="宋体" w:eastAsia="宋体" w:hint="default"/>
                <w:sz w:val="15"/>
                <w:szCs w:val="15"/>
              </w:rPr>
            </w:pPr>
            <w:r>
              <w:rPr>
                <w:rFonts w:ascii="宋体"/>
                <w:spacing w:val="-1"/>
                <w:sz w:val="15"/>
              </w:rPr>
              <w:t>100.00%</w:t>
            </w:r>
          </w:p>
        </w:tc>
        <w:tc>
          <w:tcPr>
            <w:tcW w:w="858"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9"/>
              <w:jc w:val="right"/>
              <w:rPr>
                <w:rFonts w:ascii="宋体" w:hAnsi="宋体" w:cs="宋体" w:eastAsia="宋体" w:hint="default"/>
                <w:sz w:val="15"/>
                <w:szCs w:val="15"/>
              </w:rPr>
            </w:pPr>
            <w:r>
              <w:rPr>
                <w:rFonts w:ascii="宋体"/>
                <w:spacing w:val="-1"/>
                <w:sz w:val="15"/>
              </w:rPr>
              <w:t>708,704.60</w:t>
            </w:r>
          </w:p>
        </w:tc>
        <w:tc>
          <w:tcPr>
            <w:tcW w:w="871"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59"/>
              <w:jc w:val="right"/>
              <w:rPr>
                <w:rFonts w:ascii="宋体" w:hAnsi="宋体" w:cs="宋体" w:eastAsia="宋体" w:hint="default"/>
                <w:sz w:val="15"/>
                <w:szCs w:val="15"/>
              </w:rPr>
            </w:pPr>
            <w:r>
              <w:rPr>
                <w:rFonts w:ascii="宋体"/>
                <w:spacing w:val="-5"/>
                <w:sz w:val="15"/>
              </w:rPr>
              <w:t>5,580,530.44</w:t>
            </w:r>
            <w:r>
              <w:rPr>
                <w:rFonts w:ascii="宋体"/>
                <w:sz w:val="15"/>
              </w:rPr>
            </w:r>
          </w:p>
        </w:tc>
        <w:tc>
          <w:tcPr>
            <w:tcW w:w="878"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89"/>
              <w:jc w:val="right"/>
              <w:rPr>
                <w:rFonts w:ascii="宋体" w:hAnsi="宋体" w:cs="宋体" w:eastAsia="宋体" w:hint="default"/>
                <w:sz w:val="15"/>
                <w:szCs w:val="15"/>
              </w:rPr>
            </w:pPr>
            <w:r>
              <w:rPr>
                <w:rFonts w:ascii="宋体"/>
                <w:spacing w:val="-5"/>
                <w:sz w:val="15"/>
              </w:rPr>
              <w:t>100.00%</w:t>
            </w:r>
            <w:r>
              <w:rPr>
                <w:rFonts w:ascii="宋体"/>
                <w:sz w:val="15"/>
              </w:rPr>
            </w:r>
          </w:p>
        </w:tc>
        <w:tc>
          <w:tcPr>
            <w:tcW w:w="814"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5"/>
              <w:jc w:val="right"/>
              <w:rPr>
                <w:rFonts w:ascii="宋体" w:hAnsi="宋体" w:cs="宋体" w:eastAsia="宋体" w:hint="default"/>
                <w:sz w:val="15"/>
                <w:szCs w:val="15"/>
              </w:rPr>
            </w:pPr>
            <w:r>
              <w:rPr>
                <w:rFonts w:ascii="宋体"/>
                <w:spacing w:val="-5"/>
                <w:sz w:val="15"/>
              </w:rPr>
              <w:t>383,591.97</w:t>
            </w:r>
          </w:p>
        </w:tc>
        <w:tc>
          <w:tcPr>
            <w:tcW w:w="67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4"/>
          <w:szCs w:val="14"/>
        </w:rPr>
      </w:pPr>
    </w:p>
    <w:p>
      <w:pPr>
        <w:pStyle w:val="BodyText"/>
        <w:spacing w:line="240" w:lineRule="auto" w:before="26"/>
        <w:ind w:left="852" w:right="90"/>
        <w:jc w:val="left"/>
      </w:pPr>
      <w:r>
        <w:rPr/>
        <w:t>(1)</w:t>
      </w:r>
      <w:r>
        <w:rPr>
          <w:spacing w:val="1"/>
        </w:rPr>
        <w:t> </w:t>
      </w:r>
      <w:r>
        <w:rPr/>
        <w:t>单项金额重大的外部应收款项，是指金额</w:t>
      </w:r>
      <w:r>
        <w:rPr>
          <w:spacing w:val="-60"/>
        </w:rPr>
        <w:t> </w:t>
      </w:r>
      <w:r>
        <w:rPr/>
        <w:t>20</w:t>
      </w:r>
      <w:r>
        <w:rPr>
          <w:spacing w:val="-60"/>
        </w:rPr>
        <w:t> </w:t>
      </w:r>
      <w:r>
        <w:rPr/>
        <w:t>万元及以上的应收款项；</w:t>
      </w:r>
    </w:p>
    <w:p>
      <w:pPr>
        <w:spacing w:line="240" w:lineRule="auto" w:before="11"/>
        <w:rPr>
          <w:rFonts w:ascii="宋体" w:hAnsi="宋体" w:cs="宋体" w:eastAsia="宋体" w:hint="default"/>
          <w:sz w:val="18"/>
          <w:szCs w:val="18"/>
        </w:rPr>
      </w:pPr>
    </w:p>
    <w:p>
      <w:pPr>
        <w:pStyle w:val="BodyText"/>
        <w:spacing w:line="240" w:lineRule="auto"/>
        <w:ind w:left="852" w:right="90"/>
        <w:jc w:val="left"/>
      </w:pPr>
      <w:r>
        <w:rPr/>
        <w:t>(2)</w:t>
      </w:r>
      <w:r>
        <w:rPr>
          <w:spacing w:val="87"/>
        </w:rPr>
        <w:t> </w:t>
      </w:r>
      <w:r>
        <w:rPr>
          <w:spacing w:val="-3"/>
        </w:rPr>
        <w:t>单项金额不重大但按信用风险特征组合后该组合的风险较大的应收款项，是指单项</w:t>
      </w:r>
    </w:p>
    <w:p>
      <w:pPr>
        <w:pStyle w:val="BodyText"/>
        <w:spacing w:line="240" w:lineRule="auto" w:before="126"/>
        <w:ind w:left="314" w:right="90"/>
        <w:jc w:val="left"/>
      </w:pPr>
      <w:r>
        <w:rPr/>
        <w:t>金额不重大但账龄</w:t>
      </w:r>
      <w:r>
        <w:rPr>
          <w:spacing w:val="-60"/>
        </w:rPr>
        <w:t> </w:t>
      </w:r>
      <w:r>
        <w:rPr/>
        <w:t>3</w:t>
      </w:r>
      <w:r>
        <w:rPr>
          <w:spacing w:val="-60"/>
        </w:rPr>
        <w:t> </w:t>
      </w:r>
      <w:r>
        <w:rPr/>
        <w:t>年及以上的应收款项；</w:t>
      </w:r>
    </w:p>
    <w:p>
      <w:pPr>
        <w:spacing w:line="240" w:lineRule="auto" w:before="10"/>
        <w:rPr>
          <w:rFonts w:ascii="宋体" w:hAnsi="宋体" w:cs="宋体" w:eastAsia="宋体" w:hint="default"/>
          <w:sz w:val="18"/>
          <w:szCs w:val="18"/>
        </w:rPr>
      </w:pPr>
    </w:p>
    <w:p>
      <w:pPr>
        <w:pStyle w:val="BodyText"/>
        <w:spacing w:line="336" w:lineRule="auto"/>
        <w:ind w:left="314" w:right="211" w:firstLine="538"/>
        <w:jc w:val="left"/>
      </w:pPr>
      <w:r>
        <w:rPr/>
        <w:t>(3) 年末其他应收账款前五名债务人欠款金额合计为 4,432,000.00</w:t>
      </w:r>
      <w:r>
        <w:rPr>
          <w:spacing w:val="-59"/>
        </w:rPr>
        <w:t> </w:t>
      </w:r>
      <w:r>
        <w:rPr/>
        <w:t>元，主要内容系投</w:t>
      </w:r>
      <w:r>
        <w:rPr/>
        <w:t> 标保证金，占其他应收款总额的</w:t>
      </w:r>
      <w:r>
        <w:rPr>
          <w:spacing w:val="-60"/>
        </w:rPr>
        <w:t> </w:t>
      </w:r>
      <w:r>
        <w:rPr/>
        <w:t>32.64%。明细如下：</w:t>
      </w:r>
    </w:p>
    <w:p>
      <w:pPr>
        <w:spacing w:line="240" w:lineRule="auto" w:before="11"/>
        <w:rPr>
          <w:rFonts w:ascii="宋体" w:hAnsi="宋体" w:cs="宋体" w:eastAsia="宋体" w:hint="default"/>
          <w:sz w:val="12"/>
          <w:szCs w:val="12"/>
        </w:rPr>
      </w:pPr>
    </w:p>
    <w:tbl>
      <w:tblPr>
        <w:tblW w:w="0" w:type="auto"/>
        <w:jc w:val="left"/>
        <w:tblInd w:w="313" w:type="dxa"/>
        <w:tblLayout w:type="fixed"/>
        <w:tblCellMar>
          <w:top w:w="0" w:type="dxa"/>
          <w:left w:w="0" w:type="dxa"/>
          <w:bottom w:w="0" w:type="dxa"/>
          <w:right w:w="0" w:type="dxa"/>
        </w:tblCellMar>
        <w:tblLook w:val="01E0"/>
      </w:tblPr>
      <w:tblGrid>
        <w:gridCol w:w="3868"/>
        <w:gridCol w:w="127"/>
        <w:gridCol w:w="2474"/>
        <w:gridCol w:w="128"/>
        <w:gridCol w:w="1417"/>
        <w:gridCol w:w="130"/>
        <w:gridCol w:w="1495"/>
      </w:tblGrid>
      <w:tr>
        <w:trPr>
          <w:trHeight w:val="237" w:hRule="exact"/>
        </w:trPr>
        <w:tc>
          <w:tcPr>
            <w:tcW w:w="3868"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27"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180" w:lineRule="exact"/>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Style w:val="TableParagraph"/>
              <w:spacing w:line="180" w:lineRule="exact"/>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180" w:lineRule="exact"/>
              <w:ind w:left="438" w:right="0"/>
              <w:jc w:val="left"/>
              <w:rPr>
                <w:rFonts w:ascii="宋体" w:hAnsi="宋体" w:cs="宋体" w:eastAsia="宋体" w:hint="default"/>
                <w:sz w:val="18"/>
                <w:szCs w:val="18"/>
              </w:rPr>
            </w:pPr>
            <w:r>
              <w:rPr>
                <w:rFonts w:ascii="宋体" w:hAnsi="宋体" w:cs="宋体" w:eastAsia="宋体" w:hint="default"/>
                <w:sz w:val="18"/>
                <w:szCs w:val="18"/>
              </w:rPr>
              <w:t>占总额%</w:t>
            </w:r>
          </w:p>
        </w:tc>
      </w:tr>
      <w:tr>
        <w:trPr>
          <w:trHeight w:val="367" w:hRule="exact"/>
        </w:trPr>
        <w:tc>
          <w:tcPr>
            <w:tcW w:w="38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青海黄河水电再生铝业有限公司</w:t>
            </w:r>
          </w:p>
        </w:tc>
        <w:tc>
          <w:tcPr>
            <w:tcW w:w="127"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1,653,000.00</w:t>
            </w:r>
          </w:p>
        </w:tc>
        <w:tc>
          <w:tcPr>
            <w:tcW w:w="128"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0"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12.17%</w:t>
            </w:r>
          </w:p>
        </w:tc>
      </w:tr>
      <w:tr>
        <w:trPr>
          <w:trHeight w:val="335"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广铁集团焦柳铁路洛张电改工程建设指挥部</w:t>
            </w:r>
          </w:p>
        </w:tc>
        <w:tc>
          <w:tcPr>
            <w:tcW w:w="127"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宋体" w:hAnsi="宋体" w:cs="宋体" w:eastAsia="宋体" w:hint="default"/>
                <w:sz w:val="18"/>
                <w:szCs w:val="18"/>
              </w:rPr>
            </w:pPr>
            <w:r>
              <w:rPr>
                <w:rFonts w:ascii="宋体"/>
                <w:sz w:val="18"/>
              </w:rPr>
              <w:t>899,000.00</w:t>
            </w:r>
          </w:p>
        </w:tc>
        <w:tc>
          <w:tcPr>
            <w:tcW w:w="12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 w:right="0"/>
              <w:jc w:val="center"/>
              <w:rPr>
                <w:rFonts w:ascii="宋体" w:hAnsi="宋体" w:cs="宋体" w:eastAsia="宋体" w:hint="default"/>
                <w:sz w:val="18"/>
                <w:szCs w:val="18"/>
              </w:rPr>
            </w:pPr>
            <w:r>
              <w:rPr>
                <w:rFonts w:ascii="宋体"/>
                <w:sz w:val="18"/>
              </w:rPr>
              <w:t>6.62%</w:t>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广东南电物资有限公司</w:t>
            </w:r>
          </w:p>
        </w:tc>
        <w:tc>
          <w:tcPr>
            <w:tcW w:w="127"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z w:val="18"/>
              </w:rPr>
              <w:t>800,000.00</w:t>
            </w:r>
          </w:p>
        </w:tc>
        <w:tc>
          <w:tcPr>
            <w:tcW w:w="12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 w:right="0"/>
              <w:jc w:val="center"/>
              <w:rPr>
                <w:rFonts w:ascii="宋体" w:hAnsi="宋体" w:cs="宋体" w:eastAsia="宋体" w:hint="default"/>
                <w:sz w:val="18"/>
                <w:szCs w:val="18"/>
              </w:rPr>
            </w:pPr>
            <w:r>
              <w:rPr>
                <w:rFonts w:ascii="宋体"/>
                <w:sz w:val="18"/>
              </w:rPr>
              <w:t>5.89%</w:t>
            </w:r>
          </w:p>
        </w:tc>
      </w:tr>
      <w:tr>
        <w:trPr>
          <w:trHeight w:val="34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18"/>
                <w:szCs w:val="18"/>
              </w:rPr>
            </w:pPr>
            <w:r>
              <w:rPr>
                <w:rFonts w:ascii="宋体" w:hAnsi="宋体" w:cs="宋体" w:eastAsia="宋体" w:hint="default"/>
                <w:sz w:val="18"/>
                <w:szCs w:val="18"/>
              </w:rPr>
              <w:t>山西嘉盛招标代理有限公司</w:t>
            </w:r>
          </w:p>
        </w:tc>
        <w:tc>
          <w:tcPr>
            <w:tcW w:w="127"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8"/>
                <w:szCs w:val="18"/>
              </w:rPr>
            </w:pPr>
            <w:r>
              <w:rPr>
                <w:rFonts w:ascii="宋体"/>
                <w:sz w:val="18"/>
              </w:rPr>
              <w:t>600,000.00</w:t>
            </w:r>
          </w:p>
        </w:tc>
        <w:tc>
          <w:tcPr>
            <w:tcW w:w="12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 w:right="0"/>
              <w:jc w:val="center"/>
              <w:rPr>
                <w:rFonts w:ascii="宋体" w:hAnsi="宋体" w:cs="宋体" w:eastAsia="宋体" w:hint="default"/>
                <w:sz w:val="18"/>
                <w:szCs w:val="18"/>
              </w:rPr>
            </w:pPr>
            <w:r>
              <w:rPr>
                <w:rFonts w:ascii="宋体"/>
                <w:sz w:val="18"/>
              </w:rPr>
              <w:t>4.42%</w:t>
            </w:r>
          </w:p>
        </w:tc>
      </w:tr>
      <w:tr>
        <w:trPr>
          <w:trHeight w:val="318"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left"/>
              <w:rPr>
                <w:rFonts w:ascii="宋体" w:hAnsi="宋体" w:cs="宋体" w:eastAsia="宋体" w:hint="default"/>
                <w:sz w:val="18"/>
                <w:szCs w:val="18"/>
              </w:rPr>
            </w:pPr>
            <w:r>
              <w:rPr>
                <w:rFonts w:ascii="宋体" w:hAnsi="宋体" w:cs="宋体" w:eastAsia="宋体" w:hint="default"/>
                <w:sz w:val="18"/>
                <w:szCs w:val="18"/>
              </w:rPr>
              <w:t>黄陵矿业集团有限责任公司</w:t>
            </w:r>
          </w:p>
        </w:tc>
        <w:tc>
          <w:tcPr>
            <w:tcW w:w="127" w:type="dxa"/>
            <w:tcBorders>
              <w:top w:val="nil" w:sz="6" w:space="0" w:color="auto"/>
              <w:left w:val="nil" w:sz="6" w:space="0" w:color="auto"/>
              <w:bottom w:val="nil" w:sz="6" w:space="0" w:color="auto"/>
              <w:right w:val="nil" w:sz="6" w:space="0" w:color="auto"/>
            </w:tcBorders>
          </w:tcPr>
          <w:p>
            <w:pPr/>
          </w:p>
        </w:tc>
        <w:tc>
          <w:tcPr>
            <w:tcW w:w="247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right="0"/>
              <w:jc w:val="right"/>
              <w:rPr>
                <w:rFonts w:ascii="宋体" w:hAnsi="宋体" w:cs="宋体" w:eastAsia="宋体" w:hint="default"/>
                <w:sz w:val="18"/>
                <w:szCs w:val="18"/>
              </w:rPr>
            </w:pPr>
            <w:r>
              <w:rPr>
                <w:rFonts w:ascii="宋体"/>
                <w:sz w:val="18"/>
              </w:rPr>
              <w:t>480,000.00</w:t>
            </w:r>
          </w:p>
        </w:tc>
        <w:tc>
          <w:tcPr>
            <w:tcW w:w="12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30"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 w:right="0"/>
              <w:jc w:val="center"/>
              <w:rPr>
                <w:rFonts w:ascii="宋体" w:hAnsi="宋体" w:cs="宋体" w:eastAsia="宋体" w:hint="default"/>
                <w:sz w:val="18"/>
                <w:szCs w:val="18"/>
              </w:rPr>
            </w:pPr>
            <w:r>
              <w:rPr>
                <w:rFonts w:ascii="宋体"/>
                <w:sz w:val="18"/>
              </w:rPr>
              <w:t>3.54%</w:t>
            </w:r>
          </w:p>
        </w:tc>
      </w:tr>
      <w:tr>
        <w:trPr>
          <w:trHeight w:val="350" w:hRule="exact"/>
        </w:trPr>
        <w:tc>
          <w:tcPr>
            <w:tcW w:w="386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7" w:type="dxa"/>
            <w:tcBorders>
              <w:top w:val="nil" w:sz="6" w:space="0" w:color="auto"/>
              <w:left w:val="nil" w:sz="6" w:space="0" w:color="auto"/>
              <w:bottom w:val="nil" w:sz="6" w:space="0" w:color="auto"/>
              <w:right w:val="nil" w:sz="6" w:space="0" w:color="auto"/>
            </w:tcBorders>
          </w:tcPr>
          <w:p>
            <w:pPr/>
          </w:p>
        </w:tc>
        <w:tc>
          <w:tcPr>
            <w:tcW w:w="247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4,432,000.00</w:t>
            </w:r>
          </w:p>
        </w:tc>
        <w:tc>
          <w:tcPr>
            <w:tcW w:w="12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482" w:right="0"/>
              <w:jc w:val="left"/>
              <w:rPr>
                <w:rFonts w:ascii="宋体" w:hAnsi="宋体" w:cs="宋体" w:eastAsia="宋体" w:hint="default"/>
                <w:sz w:val="18"/>
                <w:szCs w:val="18"/>
              </w:rPr>
            </w:pPr>
            <w:r>
              <w:rPr>
                <w:rFonts w:ascii="宋体"/>
                <w:sz w:val="18"/>
              </w:rPr>
              <w:t>32.64%</w:t>
            </w:r>
          </w:p>
        </w:tc>
      </w:tr>
    </w:tbl>
    <w:p>
      <w:pPr>
        <w:spacing w:line="240" w:lineRule="auto" w:before="0"/>
        <w:rPr>
          <w:rFonts w:ascii="宋体" w:hAnsi="宋体" w:cs="宋体" w:eastAsia="宋体" w:hint="default"/>
          <w:sz w:val="14"/>
          <w:szCs w:val="14"/>
        </w:rPr>
      </w:pPr>
    </w:p>
    <w:p>
      <w:pPr>
        <w:pStyle w:val="Heading4"/>
        <w:spacing w:line="240" w:lineRule="auto"/>
        <w:ind w:right="90"/>
        <w:jc w:val="left"/>
        <w:rPr>
          <w:b w:val="0"/>
          <w:bCs w:val="0"/>
        </w:rPr>
      </w:pPr>
      <w:r>
        <w:rPr/>
        <w:pict>
          <v:group style="position:absolute;margin-left:412.200012pt;margin-top:42.075928pt;width:126.45pt;height:.1pt;mso-position-horizontal-relative:page;mso-position-vertical-relative:paragraph;z-index:-526384" coordorigin="8244,842" coordsize="2529,2">
            <v:shape style="position:absolute;left:8244;top:842;width:2529;height:2" coordorigin="8244,842" coordsize="2529,0" path="m8244,842l10772,842e" filled="false" stroked="true" strokeweight=".48pt" strokecolor="#000000">
              <v:path arrowok="t"/>
            </v:shape>
            <w10:wrap type="none"/>
          </v:group>
        </w:pict>
      </w:r>
      <w:r>
        <w:rPr/>
        <w:t>6、存货</w:t>
      </w:r>
      <w:r>
        <w:rPr>
          <w:b w:val="0"/>
          <w:bCs w:val="0"/>
        </w:rPr>
      </w:r>
    </w:p>
    <w:p>
      <w:pPr>
        <w:spacing w:line="240" w:lineRule="auto" w:before="3"/>
        <w:rPr>
          <w:rFonts w:ascii="宋体" w:hAnsi="宋体" w:cs="宋体" w:eastAsia="宋体" w:hint="default"/>
          <w:b/>
          <w:bCs/>
          <w:sz w:val="18"/>
          <w:szCs w:val="18"/>
        </w:rPr>
      </w:pPr>
    </w:p>
    <w:tbl>
      <w:tblPr>
        <w:tblW w:w="0" w:type="auto"/>
        <w:jc w:val="left"/>
        <w:tblInd w:w="3653" w:type="dxa"/>
        <w:tblLayout w:type="fixed"/>
        <w:tblCellMar>
          <w:top w:w="0" w:type="dxa"/>
          <w:left w:w="0" w:type="dxa"/>
          <w:bottom w:w="0" w:type="dxa"/>
          <w:right w:w="0" w:type="dxa"/>
        </w:tblCellMar>
        <w:tblLook w:val="01E0"/>
      </w:tblPr>
      <w:tblGrid>
        <w:gridCol w:w="2112"/>
        <w:gridCol w:w="1658"/>
        <w:gridCol w:w="2214"/>
      </w:tblGrid>
      <w:tr>
        <w:trPr>
          <w:trHeight w:val="263" w:hRule="exact"/>
        </w:trPr>
        <w:tc>
          <w:tcPr>
            <w:tcW w:w="2112" w:type="dxa"/>
            <w:tcBorders>
              <w:top w:val="nil" w:sz="6" w:space="0" w:color="auto"/>
              <w:left w:val="nil" w:sz="6" w:space="0" w:color="auto"/>
              <w:bottom w:val="single" w:sz="4" w:space="0" w:color="000000"/>
              <w:right w:val="nil" w:sz="6" w:space="0" w:color="auto"/>
            </w:tcBorders>
          </w:tcPr>
          <w:p>
            <w:pPr>
              <w:pStyle w:val="TableParagraph"/>
              <w:spacing w:line="180" w:lineRule="exact"/>
              <w:ind w:left="32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58"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180" w:lineRule="exact"/>
              <w:ind w:left="529"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180" w:lineRule="exact"/>
        <w:jc w:val="left"/>
        <w:rPr>
          <w:rFonts w:ascii="宋体" w:hAnsi="宋体" w:cs="宋体" w:eastAsia="宋体" w:hint="default"/>
          <w:sz w:val="18"/>
          <w:szCs w:val="18"/>
        </w:rPr>
        <w:sectPr>
          <w:pgSz w:w="11910" w:h="16840"/>
          <w:pgMar w:header="877" w:footer="1022" w:top="1100" w:bottom="1220" w:left="820" w:right="940"/>
        </w:sectPr>
      </w:pPr>
    </w:p>
    <w:p>
      <w:pPr>
        <w:spacing w:line="240" w:lineRule="auto" w:before="6"/>
        <w:rPr>
          <w:rFonts w:ascii="宋体" w:hAnsi="宋体" w:cs="宋体" w:eastAsia="宋体" w:hint="default"/>
          <w:b/>
          <w:bCs/>
          <w:sz w:val="24"/>
          <w:szCs w:val="24"/>
        </w:rPr>
      </w:pPr>
      <w:r>
        <w:rPr/>
        <w:pict>
          <v:group style="position:absolute;margin-left:151.919998pt;margin-top:263.700012pt;width:386.35pt;height:.1pt;mso-position-horizontal-relative:page;mso-position-vertical-relative:page;z-index:-526216" coordorigin="3038,5274" coordsize="7727,2">
            <v:shape style="position:absolute;left:3038;top:5274;width:7727;height:2" coordorigin="3038,5274" coordsize="7727,0" path="m3038,5274l10765,5274e" filled="false" stroked="true" strokeweight=".72pt" strokecolor="#000000">
              <v:path arrowok="t"/>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3547"/>
        <w:gridCol w:w="2105"/>
        <w:gridCol w:w="1666"/>
        <w:gridCol w:w="2521"/>
      </w:tblGrid>
      <w:tr>
        <w:trPr>
          <w:trHeight w:val="398"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48,563,240.71</w:t>
            </w:r>
          </w:p>
        </w:tc>
        <w:tc>
          <w:tcPr>
            <w:tcW w:w="166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宋体" w:hAnsi="宋体" w:cs="宋体" w:eastAsia="宋体" w:hint="default"/>
                <w:sz w:val="18"/>
                <w:szCs w:val="18"/>
              </w:rPr>
            </w:pPr>
            <w:r>
              <w:rPr>
                <w:rFonts w:ascii="宋体"/>
                <w:sz w:val="18"/>
              </w:rPr>
              <w:t>19,706,257.68</w:t>
            </w:r>
          </w:p>
        </w:tc>
      </w:tr>
      <w:tr>
        <w:trPr>
          <w:trHeight w:val="392"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98,996,323.56</w:t>
            </w:r>
          </w:p>
        </w:tc>
        <w:tc>
          <w:tcPr>
            <w:tcW w:w="166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54,755,498.22</w:t>
            </w:r>
          </w:p>
        </w:tc>
      </w:tr>
      <w:tr>
        <w:trPr>
          <w:trHeight w:val="389"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3,280,298.25</w:t>
            </w:r>
          </w:p>
        </w:tc>
        <w:tc>
          <w:tcPr>
            <w:tcW w:w="166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4,789,932.02</w:t>
            </w:r>
          </w:p>
        </w:tc>
      </w:tr>
      <w:tr>
        <w:trPr>
          <w:trHeight w:val="382"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506,757.61</w:t>
            </w:r>
          </w:p>
        </w:tc>
        <w:tc>
          <w:tcPr>
            <w:tcW w:w="166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宋体" w:hAnsi="宋体" w:cs="宋体" w:eastAsia="宋体" w:hint="default"/>
                <w:sz w:val="18"/>
                <w:szCs w:val="18"/>
              </w:rPr>
            </w:pPr>
            <w:r>
              <w:rPr>
                <w:rFonts w:ascii="宋体"/>
                <w:sz w:val="18"/>
              </w:rPr>
              <w:t>368,274.25</w:t>
            </w:r>
          </w:p>
        </w:tc>
      </w:tr>
      <w:tr>
        <w:trPr>
          <w:trHeight w:val="356"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90" w:right="0"/>
              <w:jc w:val="left"/>
              <w:rPr>
                <w:rFonts w:ascii="宋体" w:hAnsi="宋体" w:cs="宋体" w:eastAsia="宋体" w:hint="default"/>
                <w:sz w:val="18"/>
                <w:szCs w:val="18"/>
              </w:rPr>
            </w:pPr>
            <w:r>
              <w:rPr>
                <w:rFonts w:ascii="宋体" w:hAnsi="宋体" w:cs="宋体" w:eastAsia="宋体" w:hint="default"/>
                <w:sz w:val="18"/>
                <w:szCs w:val="18"/>
              </w:rPr>
              <w:t>减：存货跌价准备</w:t>
            </w: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0"/>
              <w:jc w:val="right"/>
              <w:rPr>
                <w:rFonts w:ascii="宋体" w:hAnsi="宋体" w:cs="宋体" w:eastAsia="宋体" w:hint="default"/>
                <w:sz w:val="18"/>
                <w:szCs w:val="18"/>
              </w:rPr>
            </w:pPr>
            <w:r>
              <w:rPr>
                <w:rFonts w:ascii="宋体"/>
                <w:sz w:val="18"/>
              </w:rPr>
              <w:t>-</w:t>
            </w:r>
          </w:p>
        </w:tc>
        <w:tc>
          <w:tcPr>
            <w:tcW w:w="1666" w:type="dxa"/>
            <w:tcBorders>
              <w:top w:val="nil" w:sz="6" w:space="0" w:color="auto"/>
              <w:left w:val="nil" w:sz="6" w:space="0" w:color="auto"/>
              <w:bottom w:val="nil" w:sz="6" w:space="0" w:color="auto"/>
              <w:right w:val="nil" w:sz="6" w:space="0" w:color="auto"/>
            </w:tcBorders>
          </w:tcPr>
          <w:p>
            <w:pPr/>
          </w:p>
        </w:tc>
        <w:tc>
          <w:tcPr>
            <w:tcW w:w="252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0"/>
              <w:jc w:val="right"/>
              <w:rPr>
                <w:rFonts w:ascii="宋体" w:hAnsi="宋体" w:cs="宋体" w:eastAsia="宋体" w:hint="default"/>
                <w:sz w:val="18"/>
                <w:szCs w:val="18"/>
              </w:rPr>
            </w:pPr>
            <w:r>
              <w:rPr>
                <w:rFonts w:ascii="宋体"/>
                <w:sz w:val="18"/>
              </w:rPr>
              <w:t>-</w:t>
            </w:r>
          </w:p>
        </w:tc>
      </w:tr>
      <w:tr>
        <w:trPr>
          <w:trHeight w:val="361" w:hRule="exact"/>
        </w:trPr>
        <w:tc>
          <w:tcPr>
            <w:tcW w:w="354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宋体" w:hAnsi="宋体" w:cs="宋体" w:eastAsia="宋体" w:hint="default"/>
                <w:sz w:val="18"/>
                <w:szCs w:val="18"/>
              </w:rPr>
            </w:pPr>
            <w:r>
              <w:rPr>
                <w:rFonts w:ascii="宋体" w:hAnsi="宋体" w:cs="宋体" w:eastAsia="宋体" w:hint="default"/>
                <w:sz w:val="18"/>
                <w:szCs w:val="18"/>
              </w:rPr>
              <w:t>存货净额</w:t>
            </w:r>
          </w:p>
        </w:tc>
        <w:tc>
          <w:tcPr>
            <w:tcW w:w="2105"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151,346,620.13</w:t>
            </w:r>
          </w:p>
        </w:tc>
        <w:tc>
          <w:tcPr>
            <w:tcW w:w="1666" w:type="dxa"/>
            <w:tcBorders>
              <w:top w:val="nil" w:sz="6" w:space="0" w:color="auto"/>
              <w:left w:val="nil" w:sz="6" w:space="0" w:color="auto"/>
              <w:bottom w:val="nil" w:sz="6" w:space="0" w:color="auto"/>
              <w:right w:val="nil" w:sz="6" w:space="0" w:color="auto"/>
            </w:tcBorders>
          </w:tcPr>
          <w:p>
            <w:pPr/>
          </w:p>
        </w:tc>
        <w:tc>
          <w:tcPr>
            <w:tcW w:w="2521" w:type="dxa"/>
            <w:tcBorders>
              <w:top w:val="single" w:sz="4" w:space="0" w:color="000000"/>
              <w:left w:val="nil" w:sz="6" w:space="0" w:color="auto"/>
              <w:bottom w:val="single" w:sz="12" w:space="0" w:color="000000"/>
              <w:right w:val="nil" w:sz="6" w:space="0" w:color="auto"/>
            </w:tcBorders>
          </w:tcPr>
          <w:p>
            <w:pPr>
              <w:pStyle w:val="TableParagraph"/>
              <w:spacing w:line="240" w:lineRule="auto" w:before="26"/>
              <w:ind w:right="0"/>
              <w:jc w:val="right"/>
              <w:rPr>
                <w:rFonts w:ascii="宋体" w:hAnsi="宋体" w:cs="宋体" w:eastAsia="宋体" w:hint="default"/>
                <w:sz w:val="18"/>
                <w:szCs w:val="18"/>
              </w:rPr>
            </w:pPr>
            <w:r>
              <w:rPr>
                <w:rFonts w:ascii="宋体"/>
                <w:sz w:val="18"/>
              </w:rPr>
              <w:t>79,619,962.17</w:t>
            </w:r>
          </w:p>
        </w:tc>
      </w:tr>
    </w:tbl>
    <w:p>
      <w:pPr>
        <w:spacing w:line="240" w:lineRule="auto" w:before="13"/>
        <w:rPr>
          <w:rFonts w:ascii="宋体" w:hAnsi="宋体" w:cs="宋体" w:eastAsia="宋体" w:hint="default"/>
          <w:b/>
          <w:bCs/>
          <w:sz w:val="10"/>
          <w:szCs w:val="10"/>
        </w:rPr>
      </w:pPr>
    </w:p>
    <w:tbl>
      <w:tblPr>
        <w:tblW w:w="0" w:type="auto"/>
        <w:jc w:val="left"/>
        <w:tblInd w:w="278" w:type="dxa"/>
        <w:tblLayout w:type="fixed"/>
        <w:tblCellMar>
          <w:top w:w="0" w:type="dxa"/>
          <w:left w:w="0" w:type="dxa"/>
          <w:bottom w:w="0" w:type="dxa"/>
          <w:right w:w="0" w:type="dxa"/>
        </w:tblCellMar>
        <w:tblLook w:val="01E0"/>
      </w:tblPr>
      <w:tblGrid>
        <w:gridCol w:w="3700"/>
        <w:gridCol w:w="3893"/>
        <w:gridCol w:w="304"/>
        <w:gridCol w:w="1812"/>
      </w:tblGrid>
      <w:tr>
        <w:trPr>
          <w:trHeight w:val="982"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17" w:right="0"/>
              <w:jc w:val="left"/>
              <w:rPr>
                <w:rFonts w:ascii="宋体" w:hAnsi="宋体" w:cs="宋体" w:eastAsia="宋体" w:hint="default"/>
                <w:sz w:val="24"/>
                <w:szCs w:val="24"/>
              </w:rPr>
            </w:pPr>
            <w:r>
              <w:rPr>
                <w:rFonts w:ascii="宋体" w:hAnsi="宋体" w:cs="宋体" w:eastAsia="宋体" w:hint="default"/>
                <w:b/>
                <w:bCs/>
                <w:sz w:val="24"/>
                <w:szCs w:val="24"/>
              </w:rPr>
              <w:t>7、长期应收款</w:t>
            </w:r>
            <w:r>
              <w:rPr>
                <w:rFonts w:ascii="宋体" w:hAnsi="宋体" w:cs="宋体" w:eastAsia="宋体" w:hint="default"/>
                <w:sz w:val="24"/>
                <w:szCs w:val="24"/>
              </w:rPr>
            </w:r>
          </w:p>
          <w:p>
            <w:pPr>
              <w:pStyle w:val="TableParagraph"/>
              <w:spacing w:line="240" w:lineRule="auto" w:before="205"/>
              <w:ind w:left="514" w:right="0"/>
              <w:jc w:val="left"/>
              <w:rPr>
                <w:rFonts w:ascii="宋体" w:hAnsi="宋体" w:cs="宋体" w:eastAsia="宋体" w:hint="default"/>
                <w:sz w:val="24"/>
                <w:szCs w:val="24"/>
              </w:rPr>
            </w:pPr>
            <w:r>
              <w:rPr>
                <w:rFonts w:ascii="宋体" w:hAnsi="宋体" w:cs="宋体" w:eastAsia="宋体" w:hint="default"/>
                <w:sz w:val="24"/>
                <w:szCs w:val="24"/>
              </w:rPr>
              <w:t>(1) 按账龄分析如下：</w:t>
            </w:r>
          </w:p>
        </w:tc>
        <w:tc>
          <w:tcPr>
            <w:tcW w:w="3893" w:type="dxa"/>
            <w:tcBorders>
              <w:top w:val="nil" w:sz="6" w:space="0" w:color="auto"/>
              <w:left w:val="nil" w:sz="6" w:space="0" w:color="auto"/>
              <w:bottom w:val="nil" w:sz="6" w:space="0" w:color="auto"/>
              <w:right w:val="nil" w:sz="6" w:space="0" w:color="auto"/>
            </w:tcBorders>
          </w:tcPr>
          <w:p>
            <w:pPr/>
          </w:p>
        </w:tc>
        <w:tc>
          <w:tcPr>
            <w:tcW w:w="2116" w:type="dxa"/>
            <w:gridSpan w:val="2"/>
            <w:vMerge w:val="restart"/>
            <w:tcBorders>
              <w:top w:val="nil" w:sz="6" w:space="0" w:color="auto"/>
              <w:left w:val="nil" w:sz="6" w:space="0" w:color="auto"/>
              <w:right w:val="nil" w:sz="6" w:space="0" w:color="auto"/>
            </w:tcBorders>
          </w:tcPr>
          <w:p>
            <w:pPr/>
          </w:p>
        </w:tc>
      </w:tr>
      <w:tr>
        <w:trPr>
          <w:trHeight w:val="311" w:hRule="exact"/>
        </w:trPr>
        <w:tc>
          <w:tcPr>
            <w:tcW w:w="3700" w:type="dxa"/>
            <w:tcBorders>
              <w:top w:val="nil" w:sz="6" w:space="0" w:color="auto"/>
              <w:left w:val="nil" w:sz="6" w:space="0" w:color="auto"/>
              <w:bottom w:val="nil" w:sz="6" w:space="0" w:color="auto"/>
              <w:right w:val="nil" w:sz="6" w:space="0" w:color="auto"/>
            </w:tcBorders>
          </w:tcPr>
          <w:p>
            <w:pPr/>
          </w:p>
        </w:tc>
        <w:tc>
          <w:tcPr>
            <w:tcW w:w="389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36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116" w:type="dxa"/>
            <w:gridSpan w:val="2"/>
            <w:vMerge/>
            <w:tcBorders>
              <w:left w:val="nil" w:sz="6" w:space="0" w:color="auto"/>
              <w:bottom w:val="nil" w:sz="6" w:space="0" w:color="auto"/>
              <w:right w:val="nil" w:sz="6" w:space="0" w:color="auto"/>
            </w:tcBorders>
          </w:tcPr>
          <w:p>
            <w:pPr/>
          </w:p>
        </w:tc>
      </w:tr>
      <w:tr>
        <w:trPr>
          <w:trHeight w:val="480" w:hRule="exact"/>
        </w:trPr>
        <w:tc>
          <w:tcPr>
            <w:tcW w:w="3700" w:type="dxa"/>
            <w:tcBorders>
              <w:top w:val="nil" w:sz="6" w:space="0" w:color="auto"/>
              <w:left w:val="nil" w:sz="6" w:space="0" w:color="auto"/>
              <w:bottom w:val="single" w:sz="6" w:space="0" w:color="000000"/>
              <w:right w:val="nil" w:sz="6" w:space="0" w:color="auto"/>
            </w:tcBorders>
          </w:tcPr>
          <w:p>
            <w:pPr>
              <w:pStyle w:val="TableParagraph"/>
              <w:spacing w:line="164" w:lineRule="exact"/>
              <w:ind w:left="706" w:right="0"/>
              <w:jc w:val="left"/>
              <w:rPr>
                <w:rFonts w:ascii="宋体" w:hAnsi="宋体" w:cs="宋体" w:eastAsia="宋体" w:hint="default"/>
                <w:sz w:val="18"/>
                <w:szCs w:val="18"/>
              </w:rPr>
            </w:pPr>
            <w:r>
              <w:rPr>
                <w:rFonts w:ascii="宋体" w:hAnsi="宋体" w:cs="宋体" w:eastAsia="宋体" w:hint="default"/>
                <w:sz w:val="18"/>
                <w:szCs w:val="18"/>
              </w:rPr>
              <w:t>账龄</w:t>
            </w:r>
          </w:p>
          <w:p>
            <w:pPr>
              <w:pStyle w:val="TableParagraph"/>
              <w:spacing w:line="211" w:lineRule="exact"/>
              <w:ind w:right="691"/>
              <w:jc w:val="right"/>
              <w:rPr>
                <w:rFonts w:ascii="宋体" w:hAnsi="宋体" w:cs="宋体" w:eastAsia="宋体" w:hint="default"/>
                <w:sz w:val="18"/>
                <w:szCs w:val="18"/>
              </w:rPr>
            </w:pPr>
            <w:r>
              <w:rPr>
                <w:rFonts w:ascii="宋体" w:hAnsi="宋体" w:cs="宋体" w:eastAsia="宋体" w:hint="default"/>
                <w:sz w:val="18"/>
                <w:szCs w:val="18"/>
              </w:rPr>
              <w:t>原值</w:t>
            </w:r>
          </w:p>
        </w:tc>
        <w:tc>
          <w:tcPr>
            <w:tcW w:w="3893" w:type="dxa"/>
            <w:tcBorders>
              <w:top w:val="nil" w:sz="6" w:space="0" w:color="auto"/>
              <w:left w:val="nil" w:sz="6" w:space="0" w:color="auto"/>
              <w:bottom w:val="single" w:sz="4" w:space="0" w:color="000000"/>
              <w:right w:val="nil" w:sz="6" w:space="0" w:color="auto"/>
            </w:tcBorders>
          </w:tcPr>
          <w:p>
            <w:pPr>
              <w:pStyle w:val="TableParagraph"/>
              <w:tabs>
                <w:tab w:pos="2629" w:val="left" w:leader="none"/>
              </w:tabs>
              <w:spacing w:line="240" w:lineRule="auto" w:before="139"/>
              <w:ind w:left="373" w:right="0"/>
              <w:jc w:val="left"/>
              <w:rPr>
                <w:rFonts w:ascii="宋体" w:hAnsi="宋体" w:cs="宋体" w:eastAsia="宋体" w:hint="default"/>
                <w:sz w:val="18"/>
                <w:szCs w:val="18"/>
              </w:rPr>
            </w:pPr>
            <w:r>
              <w:rPr>
                <w:rFonts w:ascii="宋体" w:hAnsi="宋体" w:cs="宋体" w:eastAsia="宋体" w:hint="default"/>
                <w:sz w:val="18"/>
                <w:szCs w:val="18"/>
              </w:rPr>
              <w:t>未实现融资收益</w:t>
              <w:tab/>
              <w:t>减值准备</w:t>
            </w:r>
          </w:p>
        </w:tc>
        <w:tc>
          <w:tcPr>
            <w:tcW w:w="304"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139"/>
              <w:ind w:right="26"/>
              <w:jc w:val="center"/>
              <w:rPr>
                <w:rFonts w:ascii="宋体" w:hAnsi="宋体" w:cs="宋体" w:eastAsia="宋体" w:hint="default"/>
                <w:sz w:val="18"/>
                <w:szCs w:val="18"/>
              </w:rPr>
            </w:pPr>
            <w:r>
              <w:rPr>
                <w:rFonts w:ascii="宋体" w:hAnsi="宋体" w:cs="宋体" w:eastAsia="宋体" w:hint="default"/>
                <w:sz w:val="18"/>
                <w:szCs w:val="18"/>
              </w:rPr>
              <w:t>净值</w:t>
            </w:r>
          </w:p>
        </w:tc>
      </w:tr>
      <w:tr>
        <w:trPr>
          <w:trHeight w:val="400" w:hRule="exact"/>
        </w:trPr>
        <w:tc>
          <w:tcPr>
            <w:tcW w:w="3700" w:type="dxa"/>
            <w:tcBorders>
              <w:top w:val="single" w:sz="6" w:space="0" w:color="000000"/>
              <w:left w:val="nil" w:sz="6" w:space="0" w:color="auto"/>
              <w:bottom w:val="nil" w:sz="6" w:space="0" w:color="auto"/>
              <w:right w:val="nil" w:sz="6" w:space="0" w:color="auto"/>
            </w:tcBorders>
          </w:tcPr>
          <w:p>
            <w:pPr>
              <w:pStyle w:val="TableParagraph"/>
              <w:spacing w:line="20" w:lineRule="exact"/>
              <w:ind w:left="30" w:right="0"/>
              <w:jc w:val="left"/>
              <w:rPr>
                <w:rFonts w:ascii="宋体" w:hAnsi="宋体" w:cs="宋体" w:eastAsia="宋体" w:hint="default"/>
                <w:sz w:val="2"/>
                <w:szCs w:val="2"/>
              </w:rPr>
            </w:pPr>
            <w:r>
              <w:rPr>
                <w:rFonts w:ascii="宋体" w:hAnsi="宋体" w:cs="宋体" w:eastAsia="宋体" w:hint="default"/>
                <w:sz w:val="2"/>
                <w:szCs w:val="2"/>
              </w:rPr>
              <w:pict>
                <v:group style="width:85.4pt;height:.5pt;mso-position-horizontal-relative:char;mso-position-vertical-relative:line" coordorigin="0,0" coordsize="1708,10">
                  <v:group style="position:absolute;left:5;top:5;width:1698;height:2" coordorigin="5,5" coordsize="1698,2">
                    <v:shape style="position:absolute;left:5;top:5;width:1698;height:2" coordorigin="5,5" coordsize="1698,0" path="m5,5l1703,5e" filled="false" stroked="true" strokeweight=".48pt" strokecolor="#000000">
                      <v:path arrowok="t"/>
                    </v:shape>
                  </v:group>
                </v:group>
              </w:pict>
            </w:r>
            <w:r>
              <w:rPr>
                <w:rFonts w:ascii="宋体" w:hAnsi="宋体" w:cs="宋体" w:eastAsia="宋体" w:hint="default"/>
                <w:sz w:val="2"/>
                <w:szCs w:val="2"/>
              </w:rPr>
            </w:r>
          </w:p>
          <w:p>
            <w:pPr>
              <w:pStyle w:val="TableParagraph"/>
              <w:tabs>
                <w:tab w:pos="2485" w:val="left" w:leader="none"/>
              </w:tabs>
              <w:spacing w:line="240" w:lineRule="auto" w:before="47"/>
              <w:ind w:right="7"/>
              <w:jc w:val="right"/>
              <w:rPr>
                <w:rFonts w:ascii="宋体" w:hAnsi="宋体" w:cs="宋体" w:eastAsia="宋体" w:hint="default"/>
                <w:sz w:val="18"/>
                <w:szCs w:val="18"/>
              </w:rPr>
            </w:pPr>
            <w:r>
              <w:rPr>
                <w:rFonts w:ascii="宋体" w:hAnsi="宋体" w:cs="宋体" w:eastAsia="宋体" w:hint="default"/>
                <w:sz w:val="18"/>
                <w:szCs w:val="18"/>
              </w:rPr>
              <w:t>未到收款期</w:t>
              <w:tab/>
              <w:t>31,231,232.20</w:t>
            </w:r>
          </w:p>
        </w:tc>
        <w:tc>
          <w:tcPr>
            <w:tcW w:w="3893" w:type="dxa"/>
            <w:tcBorders>
              <w:top w:val="single" w:sz="4" w:space="0" w:color="000000"/>
              <w:left w:val="nil" w:sz="6" w:space="0" w:color="auto"/>
              <w:bottom w:val="nil" w:sz="6" w:space="0" w:color="auto"/>
              <w:right w:val="nil" w:sz="6" w:space="0" w:color="auto"/>
            </w:tcBorders>
          </w:tcPr>
          <w:p>
            <w:pPr>
              <w:pStyle w:val="TableParagraph"/>
              <w:spacing w:line="20" w:lineRule="exact"/>
              <w:ind w:left="75" w:right="0"/>
              <w:jc w:val="left"/>
              <w:rPr>
                <w:rFonts w:ascii="宋体" w:hAnsi="宋体" w:cs="宋体" w:eastAsia="宋体" w:hint="default"/>
                <w:sz w:val="2"/>
                <w:szCs w:val="2"/>
              </w:rPr>
            </w:pPr>
            <w:r>
              <w:rPr>
                <w:rFonts w:ascii="宋体" w:hAnsi="宋体" w:cs="宋体" w:eastAsia="宋体" w:hint="default"/>
                <w:sz w:val="2"/>
                <w:szCs w:val="2"/>
              </w:rPr>
              <w:pict>
                <v:group style="width:92.1pt;height:.75pt;mso-position-horizontal-relative:char;mso-position-vertical-relative:line" coordorigin="0,0" coordsize="1842,15">
                  <v:group style="position:absolute;left:7;top:7;width:1828;height:2" coordorigin="7,7" coordsize="1828,2">
                    <v:shape style="position:absolute;left:7;top:7;width:1828;height:2" coordorigin="7,7" coordsize="1828,0" path="m7,7l1835,7e" filled="false" stroked="true" strokeweight=".72pt" strokecolor="#000000">
                      <v:path arrowok="t"/>
                    </v:shape>
                  </v:group>
                </v:group>
              </w:pict>
            </w:r>
            <w:r>
              <w:rPr>
                <w:rFonts w:ascii="宋体" w:hAnsi="宋体" w:cs="宋体" w:eastAsia="宋体" w:hint="default"/>
                <w:sz w:val="2"/>
                <w:szCs w:val="2"/>
              </w:rPr>
            </w:r>
          </w:p>
          <w:p>
            <w:pPr>
              <w:pStyle w:val="TableParagraph"/>
              <w:tabs>
                <w:tab w:pos="2965" w:val="left" w:leader="none"/>
              </w:tabs>
              <w:spacing w:line="240" w:lineRule="auto" w:before="38"/>
              <w:ind w:right="0"/>
              <w:jc w:val="right"/>
              <w:rPr>
                <w:rFonts w:ascii="宋体" w:hAnsi="宋体" w:cs="宋体" w:eastAsia="宋体" w:hint="default"/>
                <w:sz w:val="18"/>
                <w:szCs w:val="18"/>
              </w:rPr>
            </w:pPr>
            <w:r>
              <w:rPr>
                <w:rFonts w:ascii="宋体"/>
                <w:sz w:val="18"/>
              </w:rPr>
              <w:t>2,866,158.35</w:t>
              <w:tab/>
              <w:t>-</w:t>
            </w:r>
          </w:p>
        </w:tc>
        <w:tc>
          <w:tcPr>
            <w:tcW w:w="304"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sz w:val="18"/>
              </w:rPr>
              <w:t>28,365,073.85</w:t>
            </w:r>
          </w:p>
        </w:tc>
      </w:tr>
      <w:tr>
        <w:trPr>
          <w:trHeight w:val="399" w:hRule="exact"/>
        </w:trPr>
        <w:tc>
          <w:tcPr>
            <w:tcW w:w="3700" w:type="dxa"/>
            <w:tcBorders>
              <w:top w:val="nil" w:sz="6" w:space="0" w:color="auto"/>
              <w:left w:val="nil" w:sz="6" w:space="0" w:color="auto"/>
              <w:bottom w:val="single" w:sz="4" w:space="0" w:color="000000"/>
              <w:right w:val="nil" w:sz="6" w:space="0" w:color="auto"/>
            </w:tcBorders>
          </w:tcPr>
          <w:p>
            <w:pPr>
              <w:pStyle w:val="TableParagraph"/>
              <w:tabs>
                <w:tab w:pos="2575" w:val="left" w:leader="none"/>
              </w:tabs>
              <w:spacing w:line="240" w:lineRule="auto" w:before="53"/>
              <w:ind w:right="7"/>
              <w:jc w:val="right"/>
              <w:rPr>
                <w:rFonts w:ascii="宋体" w:hAnsi="宋体" w:cs="宋体" w:eastAsia="宋体" w:hint="default"/>
                <w:sz w:val="18"/>
                <w:szCs w:val="18"/>
              </w:rPr>
            </w:pPr>
            <w:r>
              <w:rPr>
                <w:rFonts w:ascii="宋体" w:hAnsi="宋体" w:cs="宋体" w:eastAsia="宋体" w:hint="default"/>
                <w:sz w:val="18"/>
                <w:szCs w:val="18"/>
              </w:rPr>
              <w:t>一年以内</w:t>
              <w:tab/>
              <w:t>2,800,277.80</w:t>
            </w:r>
          </w:p>
        </w:tc>
        <w:tc>
          <w:tcPr>
            <w:tcW w:w="3893" w:type="dxa"/>
            <w:tcBorders>
              <w:top w:val="nil" w:sz="6" w:space="0" w:color="auto"/>
              <w:left w:val="nil" w:sz="6" w:space="0" w:color="auto"/>
              <w:bottom w:val="single" w:sz="4" w:space="0" w:color="000000"/>
              <w:right w:val="nil" w:sz="6" w:space="0" w:color="auto"/>
            </w:tcBorders>
          </w:tcPr>
          <w:p>
            <w:pPr>
              <w:pStyle w:val="TableParagraph"/>
              <w:tabs>
                <w:tab w:pos="1165" w:val="left" w:leader="none"/>
              </w:tabs>
              <w:spacing w:line="240" w:lineRule="auto" w:before="43"/>
              <w:ind w:right="0"/>
              <w:jc w:val="right"/>
              <w:rPr>
                <w:rFonts w:ascii="宋体" w:hAnsi="宋体" w:cs="宋体" w:eastAsia="宋体" w:hint="default"/>
                <w:sz w:val="18"/>
                <w:szCs w:val="18"/>
              </w:rPr>
            </w:pPr>
            <w:r>
              <w:rPr>
                <w:rFonts w:ascii="宋体"/>
                <w:position w:val="1"/>
                <w:sz w:val="18"/>
              </w:rPr>
              <w:t>-</w:t>
              <w:tab/>
            </w:r>
            <w:r>
              <w:rPr>
                <w:rFonts w:ascii="宋体"/>
                <w:sz w:val="18"/>
              </w:rPr>
              <w:t>140,013.89</w:t>
            </w:r>
          </w:p>
        </w:tc>
        <w:tc>
          <w:tcPr>
            <w:tcW w:w="304"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33"/>
              <w:jc w:val="right"/>
              <w:rPr>
                <w:rFonts w:ascii="宋体" w:hAnsi="宋体" w:cs="宋体" w:eastAsia="宋体" w:hint="default"/>
                <w:sz w:val="18"/>
                <w:szCs w:val="18"/>
              </w:rPr>
            </w:pPr>
            <w:r>
              <w:rPr>
                <w:rFonts w:ascii="宋体"/>
                <w:sz w:val="18"/>
              </w:rPr>
              <w:t>2,660,263.91</w:t>
            </w:r>
          </w:p>
        </w:tc>
      </w:tr>
      <w:tr>
        <w:trPr>
          <w:trHeight w:val="392" w:hRule="exact"/>
        </w:trPr>
        <w:tc>
          <w:tcPr>
            <w:tcW w:w="3700" w:type="dxa"/>
            <w:tcBorders>
              <w:top w:val="single" w:sz="4" w:space="0" w:color="000000"/>
              <w:left w:val="nil" w:sz="6" w:space="0" w:color="auto"/>
              <w:bottom w:val="nil" w:sz="6" w:space="0" w:color="auto"/>
              <w:right w:val="nil" w:sz="6" w:space="0" w:color="auto"/>
            </w:tcBorders>
          </w:tcPr>
          <w:p>
            <w:pPr>
              <w:pStyle w:val="TableParagraph"/>
              <w:tabs>
                <w:tab w:pos="1813" w:val="left" w:leader="none"/>
              </w:tabs>
              <w:spacing w:line="240" w:lineRule="auto" w:before="41"/>
              <w:ind w:right="7"/>
              <w:jc w:val="right"/>
              <w:rPr>
                <w:rFonts w:ascii="宋体" w:hAnsi="宋体" w:cs="宋体" w:eastAsia="宋体" w:hint="default"/>
                <w:sz w:val="18"/>
                <w:szCs w:val="18"/>
              </w:rPr>
            </w:pPr>
            <w:r>
              <w:rPr>
                <w:rFonts w:ascii="宋体" w:hAnsi="宋体" w:cs="宋体" w:eastAsia="宋体" w:hint="default"/>
                <w:position w:val="1"/>
                <w:sz w:val="18"/>
                <w:szCs w:val="18"/>
              </w:rPr>
              <w:t>合计</w:t>
              <w:tab/>
            </w:r>
            <w:r>
              <w:rPr>
                <w:rFonts w:ascii="宋体" w:hAnsi="宋体" w:cs="宋体" w:eastAsia="宋体" w:hint="default"/>
                <w:sz w:val="18"/>
                <w:szCs w:val="18"/>
              </w:rPr>
              <w:t>34,031,510.00</w:t>
            </w:r>
          </w:p>
        </w:tc>
        <w:tc>
          <w:tcPr>
            <w:tcW w:w="3893" w:type="dxa"/>
            <w:tcBorders>
              <w:top w:val="single" w:sz="4" w:space="0" w:color="000000"/>
              <w:left w:val="nil" w:sz="6" w:space="0" w:color="auto"/>
              <w:bottom w:val="nil" w:sz="6" w:space="0" w:color="auto"/>
              <w:right w:val="nil" w:sz="6" w:space="0" w:color="auto"/>
            </w:tcBorders>
          </w:tcPr>
          <w:p>
            <w:pPr>
              <w:pStyle w:val="TableParagraph"/>
              <w:spacing w:line="20" w:lineRule="exact"/>
              <w:ind w:left="93" w:right="0"/>
              <w:jc w:val="left"/>
              <w:rPr>
                <w:rFonts w:ascii="宋体" w:hAnsi="宋体" w:cs="宋体" w:eastAsia="宋体" w:hint="default"/>
                <w:sz w:val="2"/>
                <w:szCs w:val="2"/>
              </w:rPr>
            </w:pPr>
            <w:r>
              <w:rPr>
                <w:rFonts w:ascii="宋体" w:hAnsi="宋体" w:cs="宋体" w:eastAsia="宋体" w:hint="default"/>
                <w:sz w:val="2"/>
                <w:szCs w:val="2"/>
              </w:rPr>
              <w:pict>
                <v:group style="width:91.1pt;height:.5pt;mso-position-horizontal-relative:char;mso-position-vertical-relative:line" coordorigin="0,0" coordsize="1822,10">
                  <v:group style="position:absolute;left:5;top:5;width:1812;height:2" coordorigin="5,5" coordsize="1812,2">
                    <v:shape style="position:absolute;left:5;top:5;width:1812;height:2" coordorigin="5,5" coordsize="1812,0" path="m5,5l1817,5e" filled="false" stroked="true" strokeweight=".48pt" strokecolor="#000000">
                      <v:path arrowok="t"/>
                    </v:shape>
                  </v:group>
                </v:group>
              </w:pict>
            </w:r>
            <w:r>
              <w:rPr>
                <w:rFonts w:ascii="宋体" w:hAnsi="宋体" w:cs="宋体" w:eastAsia="宋体" w:hint="default"/>
                <w:sz w:val="2"/>
                <w:szCs w:val="2"/>
              </w:rPr>
            </w:r>
          </w:p>
          <w:p>
            <w:pPr>
              <w:pStyle w:val="TableParagraph"/>
              <w:tabs>
                <w:tab w:pos="2155" w:val="left" w:leader="none"/>
              </w:tabs>
              <w:spacing w:line="240" w:lineRule="auto" w:before="33"/>
              <w:ind w:right="0"/>
              <w:jc w:val="right"/>
              <w:rPr>
                <w:rFonts w:ascii="宋体" w:hAnsi="宋体" w:cs="宋体" w:eastAsia="宋体" w:hint="default"/>
                <w:sz w:val="18"/>
                <w:szCs w:val="18"/>
              </w:rPr>
            </w:pPr>
            <w:r>
              <w:rPr>
                <w:rFonts w:ascii="宋体"/>
                <w:sz w:val="18"/>
              </w:rPr>
              <w:t>2,866,158.35</w:t>
              <w:tab/>
              <w:t>140,013.89</w:t>
            </w:r>
          </w:p>
        </w:tc>
        <w:tc>
          <w:tcPr>
            <w:tcW w:w="304"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31,025,337.76</w:t>
            </w:r>
          </w:p>
        </w:tc>
      </w:tr>
    </w:tbl>
    <w:p>
      <w:pPr>
        <w:spacing w:line="28" w:lineRule="exact"/>
        <w:ind w:left="4065" w:right="0" w:firstLine="0"/>
        <w:rPr>
          <w:rFonts w:ascii="宋体" w:hAnsi="宋体" w:cs="宋体" w:eastAsia="宋体" w:hint="default"/>
          <w:sz w:val="2"/>
          <w:szCs w:val="2"/>
        </w:rPr>
      </w:pPr>
      <w:r>
        <w:rPr>
          <w:rFonts w:ascii="宋体" w:hAnsi="宋体" w:cs="宋体" w:eastAsia="宋体" w:hint="default"/>
          <w:position w:val="0"/>
          <w:sz w:val="2"/>
          <w:szCs w:val="2"/>
        </w:rPr>
        <w:pict>
          <v:group style="width:91.8pt;height:1.45pt;mso-position-horizontal-relative:char;mso-position-vertical-relative:line" coordorigin="0,0" coordsize="1836,29">
            <v:group style="position:absolute;left:5;top:24;width:1827;height:2" coordorigin="5,24" coordsize="1827,2">
              <v:shape style="position:absolute;left:5;top:24;width:1827;height:2" coordorigin="5,24" coordsize="1827,0" path="m5,24l1831,24e" filled="false" stroked="true" strokeweight=".48pt" strokecolor="#000000">
                <v:path arrowok="t"/>
              </v:shape>
            </v:group>
            <v:group style="position:absolute;left:5;top:5;width:1827;height:2" coordorigin="5,5" coordsize="1827,2">
              <v:shape style="position:absolute;left:5;top:5;width:1827;height:2" coordorigin="5,5" coordsize="1827,0" path="m5,5l1831,5e" filled="false" stroked="true" strokeweight=".48pt" strokecolor="#000000">
                <v:path arrowok="t"/>
              </v:shape>
            </v:group>
          </v:group>
        </w:pict>
      </w:r>
      <w:r>
        <w:rPr>
          <w:rFonts w:ascii="宋体" w:hAnsi="宋体" w:cs="宋体" w:eastAsia="宋体" w:hint="default"/>
          <w:position w:val="0"/>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1"/>
          <w:szCs w:val="11"/>
        </w:rPr>
      </w:pPr>
    </w:p>
    <w:p>
      <w:pPr>
        <w:spacing w:line="20" w:lineRule="exact"/>
        <w:ind w:left="2211" w:right="0" w:firstLine="0"/>
        <w:rPr>
          <w:rFonts w:ascii="宋体" w:hAnsi="宋体" w:cs="宋体" w:eastAsia="宋体" w:hint="default"/>
          <w:sz w:val="2"/>
          <w:szCs w:val="2"/>
        </w:rPr>
      </w:pPr>
      <w:r>
        <w:rPr>
          <w:rFonts w:ascii="宋体" w:hAnsi="宋体" w:cs="宋体" w:eastAsia="宋体" w:hint="default"/>
          <w:sz w:val="2"/>
          <w:szCs w:val="2"/>
        </w:rPr>
        <w:pict>
          <v:group style="width:387.1pt;height:.75pt;mso-position-horizontal-relative:char;mso-position-vertical-relative:line" coordorigin="0,0" coordsize="7742,15">
            <v:group style="position:absolute;left:7;top:7;width:7727;height:2" coordorigin="7,7" coordsize="7727,2">
              <v:shape style="position:absolute;left:7;top:7;width:7727;height:2" coordorigin="7,7" coordsize="7727,0" path="m7,7l7734,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5"/>
          <w:szCs w:val="25"/>
        </w:rPr>
      </w:pPr>
    </w:p>
    <w:p>
      <w:pPr>
        <w:spacing w:line="20" w:lineRule="exact"/>
        <w:ind w:left="309" w:right="0" w:firstLine="0"/>
        <w:rPr>
          <w:rFonts w:ascii="宋体" w:hAnsi="宋体" w:cs="宋体" w:eastAsia="宋体" w:hint="default"/>
          <w:sz w:val="2"/>
          <w:szCs w:val="2"/>
        </w:rPr>
      </w:pPr>
      <w:r>
        <w:rPr>
          <w:rFonts w:ascii="宋体" w:hAnsi="宋体" w:cs="宋体" w:eastAsia="宋体" w:hint="default"/>
          <w:sz w:val="2"/>
          <w:szCs w:val="2"/>
        </w:rPr>
        <w:pict>
          <v:group style="width:85.4pt;height:.5pt;mso-position-horizontal-relative:char;mso-position-vertical-relative:line" coordorigin="0,0" coordsize="1708,10">
            <v:group style="position:absolute;left:5;top:5;width:1698;height:2" coordorigin="5,5" coordsize="1698,2">
              <v:shape style="position:absolute;left:5;top:5;width:1698;height:2" coordorigin="5,5" coordsize="1698,0" path="m5,5l1703,5e" filled="false" stroked="true" strokeweight=".48pt" strokecolor="#000000">
                <v:path arrowok="t"/>
              </v:shape>
            </v:group>
          </v:group>
        </w:pict>
      </w:r>
      <w:r>
        <w:rPr>
          <w:rFonts w:ascii="宋体" w:hAnsi="宋体" w:cs="宋体" w:eastAsia="宋体" w:hint="default"/>
          <w:sz w:val="2"/>
          <w:szCs w:val="2"/>
        </w:rPr>
      </w:r>
    </w:p>
    <w:p>
      <w:pPr>
        <w:tabs>
          <w:tab w:pos="2080" w:val="left" w:leader="none"/>
        </w:tabs>
        <w:spacing w:before="13"/>
        <w:ind w:left="0" w:right="149" w:firstLine="0"/>
        <w:jc w:val="right"/>
        <w:rPr>
          <w:rFonts w:ascii="宋体" w:hAnsi="宋体" w:cs="宋体" w:eastAsia="宋体" w:hint="default"/>
          <w:sz w:val="18"/>
          <w:szCs w:val="18"/>
        </w:rPr>
      </w:pPr>
      <w:r>
        <w:rPr/>
        <w:pict>
          <v:shape style="position:absolute;margin-left:56.700001pt;margin-top:-53.217983pt;width:481.95pt;height:65.650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65"/>
                    <w:gridCol w:w="1929"/>
                    <w:gridCol w:w="1974"/>
                    <w:gridCol w:w="90"/>
                    <w:gridCol w:w="296"/>
                    <w:gridCol w:w="1694"/>
                    <w:gridCol w:w="90"/>
                  </w:tblGrid>
                  <w:tr>
                    <w:trPr>
                      <w:trHeight w:val="590" w:hRule="exact"/>
                    </w:trPr>
                    <w:tc>
                      <w:tcPr>
                        <w:tcW w:w="3565" w:type="dxa"/>
                        <w:tcBorders>
                          <w:top w:val="single" w:sz="12" w:space="0" w:color="000000"/>
                          <w:left w:val="nil" w:sz="6" w:space="0" w:color="auto"/>
                          <w:bottom w:val="nil" w:sz="6" w:space="0" w:color="auto"/>
                          <w:right w:val="nil" w:sz="6" w:space="0" w:color="auto"/>
                        </w:tcBorders>
                      </w:tcPr>
                      <w:p>
                        <w:pPr/>
                      </w:p>
                    </w:tc>
                    <w:tc>
                      <w:tcPr>
                        <w:tcW w:w="39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26"/>
                            <w:szCs w:val="26"/>
                          </w:rPr>
                        </w:pPr>
                      </w:p>
                      <w:p>
                        <w:pPr>
                          <w:pStyle w:val="TableParagraph"/>
                          <w:spacing w:line="240" w:lineRule="auto"/>
                          <w:ind w:left="146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0" w:type="dxa"/>
                        <w:tcBorders>
                          <w:top w:val="single" w:sz="12" w:space="0" w:color="000000"/>
                          <w:left w:val="nil" w:sz="6" w:space="0" w:color="auto"/>
                          <w:bottom w:val="nil" w:sz="6" w:space="0" w:color="auto"/>
                          <w:right w:val="nil" w:sz="6" w:space="0" w:color="auto"/>
                        </w:tcBorders>
                      </w:tcPr>
                      <w:p>
                        <w:pPr/>
                      </w:p>
                    </w:tc>
                    <w:tc>
                      <w:tcPr>
                        <w:tcW w:w="296" w:type="dxa"/>
                        <w:tcBorders>
                          <w:top w:val="nil" w:sz="6" w:space="0" w:color="auto"/>
                          <w:left w:val="nil" w:sz="6" w:space="0" w:color="auto"/>
                          <w:bottom w:val="nil" w:sz="6" w:space="0" w:color="auto"/>
                          <w:right w:val="nil" w:sz="6" w:space="0" w:color="auto"/>
                        </w:tcBorders>
                      </w:tcPr>
                      <w:p>
                        <w:pPr/>
                      </w:p>
                    </w:tc>
                    <w:tc>
                      <w:tcPr>
                        <w:tcW w:w="1694" w:type="dxa"/>
                        <w:tcBorders>
                          <w:top w:val="single" w:sz="12" w:space="0" w:color="000000"/>
                          <w:left w:val="nil" w:sz="6" w:space="0" w:color="auto"/>
                          <w:bottom w:val="nil" w:sz="6" w:space="0" w:color="auto"/>
                          <w:right w:val="nil" w:sz="6" w:space="0" w:color="auto"/>
                        </w:tcBorders>
                      </w:tcPr>
                      <w:p>
                        <w:pPr/>
                      </w:p>
                    </w:tc>
                    <w:tc>
                      <w:tcPr>
                        <w:tcW w:w="90" w:type="dxa"/>
                        <w:tcBorders>
                          <w:top w:val="single" w:sz="12" w:space="0" w:color="000000"/>
                          <w:left w:val="nil" w:sz="6" w:space="0" w:color="auto"/>
                          <w:bottom w:val="nil" w:sz="6" w:space="0" w:color="auto"/>
                          <w:right w:val="nil" w:sz="6" w:space="0" w:color="auto"/>
                        </w:tcBorders>
                      </w:tcPr>
                      <w:p>
                        <w:pPr/>
                      </w:p>
                    </w:tc>
                  </w:tr>
                  <w:tr>
                    <w:trPr>
                      <w:trHeight w:val="178" w:hRule="exact"/>
                    </w:trPr>
                    <w:tc>
                      <w:tcPr>
                        <w:tcW w:w="3565" w:type="dxa"/>
                        <w:tcBorders>
                          <w:top w:val="nil" w:sz="6" w:space="0" w:color="auto"/>
                          <w:left w:val="nil" w:sz="6" w:space="0" w:color="auto"/>
                          <w:bottom w:val="nil" w:sz="6" w:space="0" w:color="auto"/>
                          <w:right w:val="nil" w:sz="6" w:space="0" w:color="auto"/>
                        </w:tcBorders>
                      </w:tcPr>
                      <w:p>
                        <w:pPr>
                          <w:pStyle w:val="TableParagraph"/>
                          <w:spacing w:line="182" w:lineRule="exact"/>
                          <w:ind w:left="672"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929"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c>
                      <w:tcPr>
                        <w:tcW w:w="296"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nil" w:sz="6" w:space="0" w:color="auto"/>
                          <w:right w:val="nil" w:sz="6" w:space="0" w:color="auto"/>
                        </w:tcBorders>
                      </w:tcPr>
                      <w:p>
                        <w:pPr/>
                      </w:p>
                    </w:tc>
                    <w:tc>
                      <w:tcPr>
                        <w:tcW w:w="90" w:type="dxa"/>
                        <w:tcBorders>
                          <w:top w:val="nil" w:sz="6" w:space="0" w:color="auto"/>
                          <w:left w:val="nil" w:sz="6" w:space="0" w:color="auto"/>
                          <w:bottom w:val="nil" w:sz="6" w:space="0" w:color="auto"/>
                          <w:right w:val="nil" w:sz="6" w:space="0" w:color="auto"/>
                        </w:tcBorders>
                      </w:tcPr>
                      <w:p>
                        <w:pPr/>
                      </w:p>
                    </w:tc>
                  </w:tr>
                  <w:tr>
                    <w:trPr>
                      <w:trHeight w:val="267" w:hRule="exact"/>
                    </w:trPr>
                    <w:tc>
                      <w:tcPr>
                        <w:tcW w:w="3565" w:type="dxa"/>
                        <w:tcBorders>
                          <w:top w:val="nil" w:sz="6" w:space="0" w:color="auto"/>
                          <w:left w:val="nil" w:sz="6" w:space="0" w:color="auto"/>
                          <w:bottom w:val="single" w:sz="6" w:space="0" w:color="000000"/>
                          <w:right w:val="nil" w:sz="6" w:space="0" w:color="auto"/>
                        </w:tcBorders>
                      </w:tcPr>
                      <w:p>
                        <w:pPr>
                          <w:pStyle w:val="TableParagraph"/>
                          <w:spacing w:line="176" w:lineRule="exact"/>
                          <w:ind w:right="591"/>
                          <w:jc w:val="right"/>
                          <w:rPr>
                            <w:rFonts w:ascii="宋体" w:hAnsi="宋体" w:cs="宋体" w:eastAsia="宋体" w:hint="default"/>
                            <w:sz w:val="18"/>
                            <w:szCs w:val="18"/>
                          </w:rPr>
                        </w:pPr>
                        <w:r>
                          <w:rPr>
                            <w:rFonts w:ascii="宋体" w:hAnsi="宋体" w:cs="宋体" w:eastAsia="宋体" w:hint="default"/>
                            <w:sz w:val="18"/>
                            <w:szCs w:val="18"/>
                          </w:rPr>
                          <w:t>原值</w:t>
                        </w:r>
                      </w:p>
                    </w:tc>
                    <w:tc>
                      <w:tcPr>
                        <w:tcW w:w="1929" w:type="dxa"/>
                        <w:tcBorders>
                          <w:top w:val="nil" w:sz="6" w:space="0" w:color="auto"/>
                          <w:left w:val="nil" w:sz="6" w:space="0" w:color="auto"/>
                          <w:bottom w:val="single" w:sz="6" w:space="0" w:color="000000"/>
                          <w:right w:val="nil" w:sz="6" w:space="0" w:color="auto"/>
                        </w:tcBorders>
                      </w:tcPr>
                      <w:p>
                        <w:pPr>
                          <w:pStyle w:val="TableParagraph"/>
                          <w:spacing w:line="176" w:lineRule="exact"/>
                          <w:ind w:left="473"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1974" w:type="dxa"/>
                        <w:tcBorders>
                          <w:top w:val="nil" w:sz="6" w:space="0" w:color="auto"/>
                          <w:left w:val="nil" w:sz="6" w:space="0" w:color="auto"/>
                          <w:bottom w:val="single" w:sz="4" w:space="0" w:color="000000"/>
                          <w:right w:val="nil" w:sz="6" w:space="0" w:color="auto"/>
                        </w:tcBorders>
                      </w:tcPr>
                      <w:p>
                        <w:pPr>
                          <w:pStyle w:val="TableParagraph"/>
                          <w:spacing w:line="176" w:lineRule="exact"/>
                          <w:ind w:left="8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90" w:type="dxa"/>
                        <w:tcBorders>
                          <w:top w:val="nil" w:sz="6" w:space="0" w:color="auto"/>
                          <w:left w:val="nil" w:sz="6" w:space="0" w:color="auto"/>
                          <w:bottom w:val="single" w:sz="4" w:space="0" w:color="000000"/>
                          <w:right w:val="nil" w:sz="6" w:space="0" w:color="auto"/>
                        </w:tcBorders>
                      </w:tcPr>
                      <w:p>
                        <w:pPr/>
                      </w:p>
                    </w:tc>
                    <w:tc>
                      <w:tcPr>
                        <w:tcW w:w="296" w:type="dxa"/>
                        <w:tcBorders>
                          <w:top w:val="nil" w:sz="6" w:space="0" w:color="auto"/>
                          <w:left w:val="nil" w:sz="6" w:space="0" w:color="auto"/>
                          <w:bottom w:val="nil" w:sz="6" w:space="0" w:color="auto"/>
                          <w:right w:val="nil" w:sz="6" w:space="0" w:color="auto"/>
                        </w:tcBorders>
                      </w:tcPr>
                      <w:p>
                        <w:pPr/>
                      </w:p>
                    </w:tc>
                    <w:tc>
                      <w:tcPr>
                        <w:tcW w:w="1694" w:type="dxa"/>
                        <w:tcBorders>
                          <w:top w:val="nil" w:sz="6" w:space="0" w:color="auto"/>
                          <w:left w:val="nil" w:sz="6" w:space="0" w:color="auto"/>
                          <w:bottom w:val="single" w:sz="4" w:space="0" w:color="000000"/>
                          <w:right w:val="nil" w:sz="6" w:space="0" w:color="auto"/>
                        </w:tcBorders>
                      </w:tcPr>
                      <w:p>
                        <w:pPr>
                          <w:pStyle w:val="TableParagraph"/>
                          <w:spacing w:line="176" w:lineRule="exact"/>
                          <w:ind w:left="103" w:right="0"/>
                          <w:jc w:val="center"/>
                          <w:rPr>
                            <w:rFonts w:ascii="宋体" w:hAnsi="宋体" w:cs="宋体" w:eastAsia="宋体" w:hint="default"/>
                            <w:sz w:val="18"/>
                            <w:szCs w:val="18"/>
                          </w:rPr>
                        </w:pPr>
                        <w:r>
                          <w:rPr>
                            <w:rFonts w:ascii="宋体" w:hAnsi="宋体" w:cs="宋体" w:eastAsia="宋体" w:hint="default"/>
                            <w:sz w:val="18"/>
                            <w:szCs w:val="18"/>
                          </w:rPr>
                          <w:t>净值</w:t>
                        </w:r>
                      </w:p>
                    </w:tc>
                    <w:tc>
                      <w:tcPr>
                        <w:tcW w:w="90" w:type="dxa"/>
                        <w:tcBorders>
                          <w:top w:val="nil" w:sz="6" w:space="0" w:color="auto"/>
                          <w:left w:val="nil" w:sz="6" w:space="0" w:color="auto"/>
                          <w:bottom w:val="single" w:sz="4" w:space="0" w:color="000000"/>
                          <w:right w:val="nil" w:sz="6" w:space="0" w:color="auto"/>
                        </w:tcBorders>
                      </w:tcPr>
                      <w:p>
                        <w:pPr/>
                      </w:p>
                    </w:tc>
                  </w:tr>
                  <w:tr>
                    <w:trPr>
                      <w:trHeight w:val="264" w:hRule="exact"/>
                    </w:trPr>
                    <w:tc>
                      <w:tcPr>
                        <w:tcW w:w="3565" w:type="dxa"/>
                        <w:tcBorders>
                          <w:top w:val="single" w:sz="6" w:space="0" w:color="000000"/>
                          <w:left w:val="nil" w:sz="6" w:space="0" w:color="auto"/>
                          <w:bottom w:val="nil" w:sz="6" w:space="0" w:color="auto"/>
                          <w:right w:val="nil" w:sz="6" w:space="0" w:color="auto"/>
                        </w:tcBorders>
                      </w:tcPr>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29" w:type="dxa"/>
                        <w:tcBorders>
                          <w:top w:val="single" w:sz="6" w:space="0" w:color="000000"/>
                          <w:left w:val="nil" w:sz="6" w:space="0" w:color="auto"/>
                          <w:bottom w:val="nil" w:sz="6" w:space="0" w:color="auto"/>
                          <w:right w:val="nil" w:sz="6" w:space="0" w:color="auto"/>
                        </w:tcBorders>
                      </w:tcPr>
                      <w:p>
                        <w:pPr>
                          <w:pStyle w:val="TableParagraph"/>
                          <w:spacing w:line="240" w:lineRule="auto" w:before="19"/>
                          <w:ind w:right="0"/>
                          <w:jc w:val="left"/>
                          <w:rPr>
                            <w:rFonts w:ascii="宋体" w:hAnsi="宋体" w:cs="宋体" w:eastAsia="宋体" w:hint="default"/>
                            <w:sz w:val="18"/>
                            <w:szCs w:val="18"/>
                          </w:rPr>
                        </w:pPr>
                        <w:r>
                          <w:rPr>
                            <w:rFonts w:ascii="宋体"/>
                            <w:sz w:val="18"/>
                          </w:rPr>
                          <w:t>-</w:t>
                        </w:r>
                      </w:p>
                    </w:tc>
                    <w:tc>
                      <w:tcPr>
                        <w:tcW w:w="197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18"/>
                            <w:szCs w:val="18"/>
                          </w:rPr>
                        </w:pPr>
                        <w:r>
                          <w:rPr>
                            <w:rFonts w:ascii="宋体"/>
                            <w:sz w:val="18"/>
                          </w:rPr>
                          <w:t>-</w:t>
                        </w:r>
                      </w:p>
                    </w:tc>
                    <w:tc>
                      <w:tcPr>
                        <w:tcW w:w="90" w:type="dxa"/>
                        <w:tcBorders>
                          <w:top w:val="single" w:sz="4" w:space="0" w:color="000000"/>
                          <w:left w:val="nil" w:sz="6" w:space="0" w:color="auto"/>
                          <w:bottom w:val="nil" w:sz="6" w:space="0" w:color="auto"/>
                          <w:right w:val="nil" w:sz="6" w:space="0" w:color="auto"/>
                        </w:tcBorders>
                      </w:tcPr>
                      <w:p>
                        <w:pPr/>
                      </w:p>
                    </w:tc>
                    <w:tc>
                      <w:tcPr>
                        <w:tcW w:w="296" w:type="dxa"/>
                        <w:tcBorders>
                          <w:top w:val="nil" w:sz="6" w:space="0" w:color="auto"/>
                          <w:left w:val="nil" w:sz="6" w:space="0" w:color="auto"/>
                          <w:bottom w:val="nil" w:sz="6" w:space="0" w:color="auto"/>
                          <w:right w:val="nil" w:sz="6" w:space="0" w:color="auto"/>
                        </w:tcBorders>
                      </w:tcPr>
                      <w:p>
                        <w:pPr/>
                      </w:p>
                    </w:tc>
                    <w:tc>
                      <w:tcPr>
                        <w:tcW w:w="1694" w:type="dxa"/>
                        <w:tcBorders>
                          <w:top w:val="single" w:sz="4" w:space="0" w:color="000000"/>
                          <w:left w:val="nil" w:sz="6" w:space="0" w:color="auto"/>
                          <w:bottom w:val="nil" w:sz="6" w:space="0" w:color="auto"/>
                          <w:right w:val="nil" w:sz="6" w:space="0" w:color="auto"/>
                        </w:tcBorders>
                      </w:tcPr>
                      <w:p>
                        <w:pPr/>
                      </w:p>
                    </w:tc>
                    <w:tc>
                      <w:tcPr>
                        <w:tcW w:w="90"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sz w:val="18"/>
        </w:rPr>
        <w:t>-</w:t>
        <w:tab/>
        <w:t>-</w:t>
      </w:r>
    </w:p>
    <w:p>
      <w:pPr>
        <w:spacing w:line="240" w:lineRule="auto" w:before="8"/>
        <w:rPr>
          <w:rFonts w:ascii="宋体" w:hAnsi="宋体" w:cs="宋体" w:eastAsia="宋体" w:hint="default"/>
          <w:sz w:val="17"/>
          <w:szCs w:val="17"/>
        </w:rPr>
      </w:pPr>
    </w:p>
    <w:p>
      <w:pPr>
        <w:pStyle w:val="BodyText"/>
        <w:tabs>
          <w:tab w:pos="1393" w:val="left" w:leader="none"/>
        </w:tabs>
        <w:spacing w:line="240" w:lineRule="auto" w:before="26"/>
        <w:ind w:left="794" w:right="1890"/>
        <w:jc w:val="left"/>
      </w:pPr>
      <w:r>
        <w:rPr/>
        <w:t>(2)</w:t>
        <w:tab/>
        <w:t>按款项性质分析如下：</w:t>
      </w:r>
    </w:p>
    <w:p>
      <w:pPr>
        <w:spacing w:line="240" w:lineRule="auto" w:before="1"/>
        <w:rPr>
          <w:rFonts w:ascii="宋体" w:hAnsi="宋体" w:cs="宋体" w:eastAsia="宋体" w:hint="default"/>
          <w:sz w:val="20"/>
          <w:szCs w:val="20"/>
        </w:rPr>
      </w:pPr>
    </w:p>
    <w:tbl>
      <w:tblPr>
        <w:tblW w:w="0" w:type="auto"/>
        <w:jc w:val="left"/>
        <w:tblInd w:w="313" w:type="dxa"/>
        <w:tblLayout w:type="fixed"/>
        <w:tblCellMar>
          <w:top w:w="0" w:type="dxa"/>
          <w:left w:w="0" w:type="dxa"/>
          <w:bottom w:w="0" w:type="dxa"/>
          <w:right w:w="0" w:type="dxa"/>
        </w:tblCellMar>
        <w:tblLook w:val="01E0"/>
      </w:tblPr>
      <w:tblGrid>
        <w:gridCol w:w="2830"/>
        <w:gridCol w:w="1261"/>
        <w:gridCol w:w="2339"/>
        <w:gridCol w:w="1145"/>
        <w:gridCol w:w="2064"/>
      </w:tblGrid>
      <w:tr>
        <w:trPr>
          <w:trHeight w:val="290" w:hRule="exact"/>
        </w:trPr>
        <w:tc>
          <w:tcPr>
            <w:tcW w:w="2830" w:type="dxa"/>
            <w:tcBorders>
              <w:top w:val="nil" w:sz="6" w:space="0" w:color="auto"/>
              <w:left w:val="nil" w:sz="6" w:space="0" w:color="auto"/>
              <w:bottom w:val="single" w:sz="4" w:space="0" w:color="000000"/>
              <w:right w:val="nil" w:sz="6" w:space="0" w:color="auto"/>
            </w:tcBorders>
          </w:tcPr>
          <w:p>
            <w:pPr>
              <w:pStyle w:val="TableParagraph"/>
              <w:tabs>
                <w:tab w:pos="547" w:val="left" w:leader="none"/>
              </w:tabs>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261" w:type="dxa"/>
            <w:tcBorders>
              <w:top w:val="nil" w:sz="6" w:space="0" w:color="auto"/>
              <w:left w:val="nil" w:sz="6" w:space="0" w:color="auto"/>
              <w:bottom w:val="nil" w:sz="6" w:space="0" w:color="auto"/>
              <w:right w:val="nil" w:sz="6" w:space="0" w:color="auto"/>
            </w:tcBorders>
          </w:tcPr>
          <w:p>
            <w:pPr/>
          </w:p>
        </w:tc>
        <w:tc>
          <w:tcPr>
            <w:tcW w:w="2339" w:type="dxa"/>
            <w:tcBorders>
              <w:top w:val="nil" w:sz="6" w:space="0" w:color="auto"/>
              <w:left w:val="nil" w:sz="6" w:space="0" w:color="auto"/>
              <w:bottom w:val="single" w:sz="4" w:space="0" w:color="000000"/>
              <w:right w:val="nil" w:sz="6" w:space="0" w:color="auto"/>
            </w:tcBorders>
          </w:tcPr>
          <w:p>
            <w:pPr>
              <w:pStyle w:val="TableParagraph"/>
              <w:spacing w:line="180" w:lineRule="exact"/>
              <w:ind w:left="43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45" w:type="dxa"/>
            <w:tcBorders>
              <w:top w:val="nil" w:sz="6" w:space="0" w:color="auto"/>
              <w:left w:val="nil" w:sz="6" w:space="0" w:color="auto"/>
              <w:bottom w:val="nil" w:sz="6" w:space="0" w:color="auto"/>
              <w:right w:val="nil" w:sz="6" w:space="0" w:color="auto"/>
            </w:tcBorders>
          </w:tcPr>
          <w:p>
            <w:pPr/>
          </w:p>
        </w:tc>
        <w:tc>
          <w:tcPr>
            <w:tcW w:w="2064" w:type="dxa"/>
            <w:tcBorders>
              <w:top w:val="nil" w:sz="6" w:space="0" w:color="auto"/>
              <w:left w:val="nil" w:sz="6" w:space="0" w:color="auto"/>
              <w:bottom w:val="single" w:sz="4" w:space="0" w:color="000000"/>
              <w:right w:val="nil" w:sz="6" w:space="0" w:color="auto"/>
            </w:tcBorders>
          </w:tcPr>
          <w:p>
            <w:pPr>
              <w:pStyle w:val="TableParagraph"/>
              <w:spacing w:line="180" w:lineRule="exact"/>
              <w:ind w:left="29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92" w:hRule="exact"/>
        </w:trPr>
        <w:tc>
          <w:tcPr>
            <w:tcW w:w="28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1261" w:type="dxa"/>
            <w:tcBorders>
              <w:top w:val="nil" w:sz="6" w:space="0" w:color="auto"/>
              <w:left w:val="nil" w:sz="6" w:space="0" w:color="auto"/>
              <w:bottom w:val="nil" w:sz="6" w:space="0" w:color="auto"/>
              <w:right w:val="nil" w:sz="6" w:space="0" w:color="auto"/>
            </w:tcBorders>
          </w:tcPr>
          <w:p>
            <w:pPr/>
          </w:p>
        </w:tc>
        <w:tc>
          <w:tcPr>
            <w:tcW w:w="233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68" w:right="0"/>
              <w:jc w:val="left"/>
              <w:rPr>
                <w:rFonts w:ascii="宋体" w:hAnsi="宋体" w:cs="宋体" w:eastAsia="宋体" w:hint="default"/>
                <w:sz w:val="18"/>
                <w:szCs w:val="18"/>
              </w:rPr>
            </w:pPr>
            <w:r>
              <w:rPr>
                <w:rFonts w:ascii="宋体"/>
                <w:sz w:val="18"/>
              </w:rPr>
              <w:t>31,025,337.76</w:t>
            </w:r>
          </w:p>
        </w:tc>
        <w:tc>
          <w:tcPr>
            <w:tcW w:w="1145" w:type="dxa"/>
            <w:tcBorders>
              <w:top w:val="nil" w:sz="6" w:space="0" w:color="auto"/>
              <w:left w:val="nil" w:sz="6" w:space="0" w:color="auto"/>
              <w:bottom w:val="nil" w:sz="6" w:space="0" w:color="auto"/>
              <w:right w:val="nil" w:sz="6" w:space="0" w:color="auto"/>
            </w:tcBorders>
          </w:tcPr>
          <w:p>
            <w:pPr/>
          </w:p>
        </w:tc>
        <w:tc>
          <w:tcPr>
            <w:tcW w:w="20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16"/>
          <w:szCs w:val="16"/>
        </w:rPr>
      </w:pPr>
    </w:p>
    <w:p>
      <w:pPr>
        <w:pStyle w:val="Heading4"/>
        <w:spacing w:line="240" w:lineRule="auto"/>
        <w:ind w:right="1890"/>
        <w:jc w:val="left"/>
        <w:rPr>
          <w:b w:val="0"/>
          <w:bCs w:val="0"/>
        </w:rPr>
      </w:pPr>
      <w:r>
        <w:rPr/>
        <w:t>8、长期股权投资</w:t>
      </w:r>
      <w:r>
        <w:rPr>
          <w:b w:val="0"/>
          <w:bCs w:val="0"/>
        </w:rPr>
      </w:r>
    </w:p>
    <w:p>
      <w:pPr>
        <w:spacing w:line="240" w:lineRule="auto" w:before="1"/>
        <w:rPr>
          <w:rFonts w:ascii="宋体" w:hAnsi="宋体" w:cs="宋体" w:eastAsia="宋体" w:hint="default"/>
          <w:b/>
          <w:bCs/>
          <w:sz w:val="20"/>
          <w:szCs w:val="20"/>
        </w:rPr>
      </w:pPr>
    </w:p>
    <w:tbl>
      <w:tblPr>
        <w:tblW w:w="0" w:type="auto"/>
        <w:jc w:val="left"/>
        <w:tblInd w:w="113" w:type="dxa"/>
        <w:tblLayout w:type="fixed"/>
        <w:tblCellMar>
          <w:top w:w="0" w:type="dxa"/>
          <w:left w:w="0" w:type="dxa"/>
          <w:bottom w:w="0" w:type="dxa"/>
          <w:right w:w="0" w:type="dxa"/>
        </w:tblCellMar>
        <w:tblLook w:val="01E0"/>
      </w:tblPr>
      <w:tblGrid>
        <w:gridCol w:w="4306"/>
        <w:gridCol w:w="2322"/>
        <w:gridCol w:w="1162"/>
        <w:gridCol w:w="2048"/>
      </w:tblGrid>
      <w:tr>
        <w:trPr>
          <w:trHeight w:val="289" w:hRule="exact"/>
        </w:trPr>
        <w:tc>
          <w:tcPr>
            <w:tcW w:w="4306" w:type="dxa"/>
            <w:tcBorders>
              <w:top w:val="nil" w:sz="6" w:space="0" w:color="auto"/>
              <w:left w:val="nil" w:sz="6" w:space="0" w:color="auto"/>
              <w:bottom w:val="nil" w:sz="6" w:space="0" w:color="auto"/>
              <w:right w:val="nil" w:sz="6" w:space="0" w:color="auto"/>
            </w:tcBorders>
          </w:tcPr>
          <w:p>
            <w:pPr/>
          </w:p>
        </w:tc>
        <w:tc>
          <w:tcPr>
            <w:tcW w:w="2322" w:type="dxa"/>
            <w:tcBorders>
              <w:top w:val="nil" w:sz="6" w:space="0" w:color="auto"/>
              <w:left w:val="nil" w:sz="6" w:space="0" w:color="auto"/>
              <w:bottom w:val="single" w:sz="4" w:space="0" w:color="000000"/>
              <w:right w:val="nil" w:sz="6" w:space="0" w:color="auto"/>
            </w:tcBorders>
          </w:tcPr>
          <w:p>
            <w:pPr>
              <w:pStyle w:val="TableParagraph"/>
              <w:spacing w:line="180" w:lineRule="exact"/>
              <w:ind w:left="4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62"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single" w:sz="4" w:space="0" w:color="000000"/>
              <w:right w:val="nil" w:sz="6" w:space="0" w:color="auto"/>
            </w:tcBorders>
          </w:tcPr>
          <w:p>
            <w:pPr>
              <w:pStyle w:val="TableParagraph"/>
              <w:spacing w:line="180" w:lineRule="exact"/>
              <w:ind w:left="28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92" w:hRule="exact"/>
        </w:trPr>
        <w:tc>
          <w:tcPr>
            <w:tcW w:w="430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其他长期股权投资</w:t>
            </w:r>
          </w:p>
        </w:tc>
        <w:tc>
          <w:tcPr>
            <w:tcW w:w="23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241" w:right="0"/>
              <w:jc w:val="left"/>
              <w:rPr>
                <w:rFonts w:ascii="宋体" w:hAnsi="宋体" w:cs="宋体" w:eastAsia="宋体" w:hint="default"/>
                <w:sz w:val="18"/>
                <w:szCs w:val="18"/>
              </w:rPr>
            </w:pPr>
            <w:r>
              <w:rPr>
                <w:rFonts w:ascii="宋体"/>
                <w:sz w:val="18"/>
              </w:rPr>
              <w:t>1,000,000.00</w:t>
            </w:r>
          </w:p>
        </w:tc>
        <w:tc>
          <w:tcPr>
            <w:tcW w:w="1162" w:type="dxa"/>
            <w:tcBorders>
              <w:top w:val="nil" w:sz="6" w:space="0" w:color="auto"/>
              <w:left w:val="nil" w:sz="6" w:space="0" w:color="auto"/>
              <w:bottom w:val="nil" w:sz="6" w:space="0" w:color="auto"/>
              <w:right w:val="nil" w:sz="6" w:space="0" w:color="auto"/>
            </w:tcBorders>
          </w:tcPr>
          <w:p>
            <w:pPr/>
          </w:p>
        </w:tc>
        <w:tc>
          <w:tcPr>
            <w:tcW w:w="204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968" w:right="0"/>
              <w:jc w:val="left"/>
              <w:rPr>
                <w:rFonts w:ascii="宋体" w:hAnsi="宋体" w:cs="宋体" w:eastAsia="宋体" w:hint="default"/>
                <w:sz w:val="18"/>
                <w:szCs w:val="18"/>
              </w:rPr>
            </w:pPr>
            <w:r>
              <w:rPr>
                <w:rFonts w:ascii="宋体"/>
                <w:sz w:val="18"/>
              </w:rPr>
              <w:t>1,000,000.00</w:t>
            </w:r>
          </w:p>
        </w:tc>
      </w:tr>
    </w:tbl>
    <w:p>
      <w:pPr>
        <w:spacing w:line="240" w:lineRule="auto" w:before="0"/>
        <w:rPr>
          <w:rFonts w:ascii="宋体" w:hAnsi="宋体" w:cs="宋体" w:eastAsia="宋体" w:hint="default"/>
          <w:b/>
          <w:bCs/>
          <w:sz w:val="16"/>
          <w:szCs w:val="16"/>
        </w:rPr>
      </w:pPr>
    </w:p>
    <w:p>
      <w:pPr>
        <w:pStyle w:val="BodyText"/>
        <w:spacing w:line="240" w:lineRule="auto" w:before="26"/>
        <w:ind w:left="794" w:right="1890"/>
        <w:jc w:val="left"/>
      </w:pPr>
      <w:r>
        <w:rPr/>
        <w:t>其他长期股权投资</w:t>
      </w:r>
    </w:p>
    <w:p>
      <w:pPr>
        <w:spacing w:line="240" w:lineRule="auto" w:before="7"/>
        <w:rPr>
          <w:rFonts w:ascii="宋体" w:hAnsi="宋体" w:cs="宋体" w:eastAsia="宋体" w:hint="default"/>
          <w:sz w:val="17"/>
          <w:szCs w:val="17"/>
        </w:rPr>
      </w:pPr>
    </w:p>
    <w:tbl>
      <w:tblPr>
        <w:tblW w:w="0" w:type="auto"/>
        <w:jc w:val="left"/>
        <w:tblInd w:w="299" w:type="dxa"/>
        <w:tblLayout w:type="fixed"/>
        <w:tblCellMar>
          <w:top w:w="0" w:type="dxa"/>
          <w:left w:w="0" w:type="dxa"/>
          <w:bottom w:w="0" w:type="dxa"/>
          <w:right w:w="0" w:type="dxa"/>
        </w:tblCellMar>
        <w:tblLook w:val="01E0"/>
      </w:tblPr>
      <w:tblGrid>
        <w:gridCol w:w="3048"/>
        <w:gridCol w:w="2257"/>
        <w:gridCol w:w="1072"/>
        <w:gridCol w:w="299"/>
        <w:gridCol w:w="935"/>
        <w:gridCol w:w="300"/>
        <w:gridCol w:w="1742"/>
      </w:tblGrid>
      <w:tr>
        <w:trPr>
          <w:trHeight w:val="287" w:hRule="exact"/>
        </w:trPr>
        <w:tc>
          <w:tcPr>
            <w:tcW w:w="3048" w:type="dxa"/>
            <w:tcBorders>
              <w:top w:val="nil" w:sz="6" w:space="0" w:color="auto"/>
              <w:left w:val="nil" w:sz="6" w:space="0" w:color="auto"/>
              <w:bottom w:val="single" w:sz="25" w:space="0" w:color="000000"/>
              <w:right w:val="nil" w:sz="6" w:space="0" w:color="auto"/>
            </w:tcBorders>
          </w:tcPr>
          <w:p>
            <w:pPr>
              <w:pStyle w:val="TableParagraph"/>
              <w:spacing w:line="180" w:lineRule="exact"/>
              <w:ind w:right="146"/>
              <w:jc w:val="center"/>
              <w:rPr>
                <w:rFonts w:ascii="宋体" w:hAnsi="宋体" w:cs="宋体" w:eastAsia="宋体" w:hint="default"/>
                <w:sz w:val="18"/>
                <w:szCs w:val="18"/>
              </w:rPr>
            </w:pPr>
            <w:r>
              <w:rPr>
                <w:rFonts w:ascii="宋体" w:hAnsi="宋体" w:cs="宋体" w:eastAsia="宋体" w:hint="default"/>
                <w:sz w:val="18"/>
                <w:szCs w:val="18"/>
              </w:rPr>
              <w:t>被投资公司名称</w:t>
            </w:r>
          </w:p>
        </w:tc>
        <w:tc>
          <w:tcPr>
            <w:tcW w:w="2257" w:type="dxa"/>
            <w:tcBorders>
              <w:top w:val="nil" w:sz="6" w:space="0" w:color="auto"/>
              <w:left w:val="nil" w:sz="6" w:space="0" w:color="auto"/>
              <w:bottom w:val="single" w:sz="25" w:space="0" w:color="000000"/>
              <w:right w:val="nil" w:sz="6" w:space="0" w:color="auto"/>
            </w:tcBorders>
          </w:tcPr>
          <w:p>
            <w:pPr>
              <w:pStyle w:val="TableParagraph"/>
              <w:spacing w:line="180" w:lineRule="exact"/>
              <w:ind w:left="45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72" w:type="dxa"/>
            <w:tcBorders>
              <w:top w:val="nil" w:sz="6" w:space="0" w:color="auto"/>
              <w:left w:val="nil" w:sz="6" w:space="0" w:color="auto"/>
              <w:bottom w:val="single" w:sz="25" w:space="0" w:color="000000"/>
              <w:right w:val="nil" w:sz="6" w:space="0" w:color="auto"/>
            </w:tcBorders>
          </w:tcPr>
          <w:p>
            <w:pPr>
              <w:pStyle w:val="TableParagraph"/>
              <w:spacing w:line="180" w:lineRule="exact"/>
              <w:ind w:left="22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99" w:type="dxa"/>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single" w:sz="4" w:space="0" w:color="000000"/>
              <w:right w:val="nil" w:sz="6" w:space="0" w:color="auto"/>
            </w:tcBorders>
          </w:tcPr>
          <w:p>
            <w:pPr>
              <w:pStyle w:val="TableParagraph"/>
              <w:spacing w:line="196" w:lineRule="exact"/>
              <w:ind w:left="110"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300" w:type="dxa"/>
            <w:tcBorders>
              <w:top w:val="nil" w:sz="6" w:space="0" w:color="auto"/>
              <w:left w:val="nil" w:sz="6" w:space="0" w:color="auto"/>
              <w:bottom w:val="nil" w:sz="6" w:space="0" w:color="auto"/>
              <w:right w:val="nil" w:sz="6" w:space="0" w:color="auto"/>
            </w:tcBorders>
          </w:tcPr>
          <w:p>
            <w:pPr/>
          </w:p>
        </w:tc>
        <w:tc>
          <w:tcPr>
            <w:tcW w:w="1742" w:type="dxa"/>
            <w:tcBorders>
              <w:top w:val="nil" w:sz="6" w:space="0" w:color="auto"/>
              <w:left w:val="nil" w:sz="6" w:space="0" w:color="auto"/>
              <w:bottom w:val="single" w:sz="4" w:space="0" w:color="000000"/>
              <w:right w:val="nil" w:sz="6" w:space="0" w:color="auto"/>
            </w:tcBorders>
          </w:tcPr>
          <w:p>
            <w:pPr>
              <w:pStyle w:val="TableParagraph"/>
              <w:spacing w:line="196" w:lineRule="exact"/>
              <w:ind w:left="13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13" w:hRule="exact"/>
        </w:trPr>
        <w:tc>
          <w:tcPr>
            <w:tcW w:w="3048" w:type="dxa"/>
            <w:tcBorders>
              <w:top w:val="single" w:sz="25" w:space="0" w:color="000000"/>
              <w:left w:val="nil" w:sz="6" w:space="0" w:color="auto"/>
              <w:bottom w:val="single" w:sz="6" w:space="0" w:color="000000"/>
              <w:right w:val="nil" w:sz="6" w:space="0" w:color="auto"/>
            </w:tcBorders>
          </w:tcPr>
          <w:p>
            <w:pPr>
              <w:pStyle w:val="TableParagraph"/>
              <w:spacing w:line="240" w:lineRule="auto" w:before="42"/>
              <w:ind w:right="147"/>
              <w:jc w:val="center"/>
              <w:rPr>
                <w:rFonts w:ascii="宋体" w:hAnsi="宋体" w:cs="宋体" w:eastAsia="宋体" w:hint="default"/>
                <w:sz w:val="18"/>
                <w:szCs w:val="18"/>
              </w:rPr>
            </w:pPr>
            <w:r>
              <w:rPr>
                <w:rFonts w:ascii="宋体" w:hAnsi="宋体" w:cs="宋体" w:eastAsia="宋体" w:hint="default"/>
                <w:spacing w:val="-17"/>
                <w:sz w:val="18"/>
                <w:szCs w:val="18"/>
              </w:rPr>
              <w:t>北京荣信电通科技发展有限公司</w:t>
            </w:r>
            <w:r>
              <w:rPr>
                <w:rFonts w:ascii="宋体" w:hAnsi="宋体" w:cs="宋体" w:eastAsia="宋体" w:hint="default"/>
                <w:sz w:val="18"/>
                <w:szCs w:val="18"/>
              </w:rPr>
            </w:r>
          </w:p>
        </w:tc>
        <w:tc>
          <w:tcPr>
            <w:tcW w:w="2257" w:type="dxa"/>
            <w:tcBorders>
              <w:top w:val="single" w:sz="25" w:space="0" w:color="000000"/>
              <w:left w:val="nil" w:sz="6" w:space="0" w:color="auto"/>
              <w:bottom w:val="single" w:sz="6" w:space="0" w:color="000000"/>
              <w:right w:val="nil" w:sz="6" w:space="0" w:color="auto"/>
            </w:tcBorders>
          </w:tcPr>
          <w:p>
            <w:pPr>
              <w:pStyle w:val="TableParagraph"/>
              <w:spacing w:line="240" w:lineRule="auto" w:before="42"/>
              <w:ind w:left="951" w:right="0"/>
              <w:jc w:val="left"/>
              <w:rPr>
                <w:rFonts w:ascii="宋体" w:hAnsi="宋体" w:cs="宋体" w:eastAsia="宋体" w:hint="default"/>
                <w:sz w:val="18"/>
                <w:szCs w:val="18"/>
              </w:rPr>
            </w:pPr>
            <w:r>
              <w:rPr>
                <w:rFonts w:ascii="宋体"/>
                <w:sz w:val="18"/>
              </w:rPr>
              <w:t>1,000,000.00</w:t>
            </w:r>
          </w:p>
        </w:tc>
        <w:tc>
          <w:tcPr>
            <w:tcW w:w="1072" w:type="dxa"/>
            <w:tcBorders>
              <w:top w:val="single" w:sz="25" w:space="0" w:color="000000"/>
              <w:left w:val="nil" w:sz="6" w:space="0" w:color="auto"/>
              <w:bottom w:val="single" w:sz="6" w:space="0" w:color="000000"/>
              <w:right w:val="nil" w:sz="6" w:space="0" w:color="auto"/>
            </w:tcBorders>
          </w:tcPr>
          <w:p>
            <w:pPr>
              <w:pStyle w:val="TableParagraph"/>
              <w:spacing w:line="240" w:lineRule="auto" w:before="42"/>
              <w:ind w:right="0"/>
              <w:jc w:val="right"/>
              <w:rPr>
                <w:rFonts w:ascii="宋体" w:hAnsi="宋体" w:cs="宋体" w:eastAsia="宋体" w:hint="default"/>
                <w:sz w:val="18"/>
                <w:szCs w:val="18"/>
              </w:rPr>
            </w:pPr>
            <w:r>
              <w:rPr>
                <w:rFonts w:ascii="宋体"/>
                <w:sz w:val="18"/>
              </w:rPr>
              <w:t>-</w:t>
            </w:r>
          </w:p>
        </w:tc>
        <w:tc>
          <w:tcPr>
            <w:tcW w:w="299" w:type="dxa"/>
            <w:tcBorders>
              <w:top w:val="nil" w:sz="6" w:space="0" w:color="auto"/>
              <w:left w:val="nil" w:sz="6" w:space="0" w:color="auto"/>
              <w:bottom w:val="nil" w:sz="6" w:space="0" w:color="auto"/>
              <w:right w:val="nil" w:sz="6" w:space="0" w:color="auto"/>
            </w:tcBorders>
          </w:tcPr>
          <w:p>
            <w:pPr/>
          </w:p>
        </w:tc>
        <w:tc>
          <w:tcPr>
            <w:tcW w:w="93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w:t>
            </w:r>
          </w:p>
        </w:tc>
        <w:tc>
          <w:tcPr>
            <w:tcW w:w="300" w:type="dxa"/>
            <w:tcBorders>
              <w:top w:val="nil" w:sz="6" w:space="0" w:color="auto"/>
              <w:left w:val="nil" w:sz="6" w:space="0" w:color="auto"/>
              <w:bottom w:val="nil" w:sz="6" w:space="0" w:color="auto"/>
              <w:right w:val="nil" w:sz="6" w:space="0" w:color="auto"/>
            </w:tcBorders>
          </w:tcPr>
          <w:p>
            <w:pP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662" w:right="0"/>
              <w:jc w:val="left"/>
              <w:rPr>
                <w:rFonts w:ascii="宋体" w:hAnsi="宋体" w:cs="宋体" w:eastAsia="宋体" w:hint="default"/>
                <w:sz w:val="18"/>
                <w:szCs w:val="18"/>
              </w:rPr>
            </w:pPr>
            <w:r>
              <w:rPr>
                <w:rFonts w:ascii="宋体"/>
                <w:sz w:val="18"/>
              </w:rPr>
              <w:t>1,000,000.00</w:t>
            </w:r>
          </w:p>
        </w:tc>
      </w:tr>
    </w:tbl>
    <w:p>
      <w:pPr>
        <w:spacing w:line="240" w:lineRule="auto" w:before="13"/>
        <w:rPr>
          <w:rFonts w:ascii="宋体" w:hAnsi="宋体" w:cs="宋体" w:eastAsia="宋体" w:hint="default"/>
          <w:sz w:val="10"/>
          <w:szCs w:val="10"/>
        </w:rPr>
      </w:pPr>
    </w:p>
    <w:p>
      <w:pPr>
        <w:pStyle w:val="BodyText"/>
        <w:spacing w:line="364" w:lineRule="auto" w:before="26"/>
        <w:ind w:left="796" w:right="1851" w:hanging="3"/>
        <w:jc w:val="left"/>
        <w:rPr>
          <w:rFonts w:ascii="宋体" w:hAnsi="宋体" w:cs="宋体" w:eastAsia="宋体" w:hint="default"/>
        </w:rPr>
      </w:pPr>
      <w:r>
        <w:rPr/>
        <w:t>本公司无境外投资，不存在长期股权投资变现及收益汇回的重大限制。 </w:t>
      </w:r>
      <w:r>
        <w:rPr>
          <w:rFonts w:ascii="宋体" w:hAnsi="宋体" w:cs="宋体" w:eastAsia="宋体" w:hint="default"/>
          <w:b/>
          <w:bCs/>
        </w:rPr>
        <w:t>9、固定资产</w:t>
      </w:r>
      <w:r>
        <w:rPr>
          <w:rFonts w:ascii="宋体" w:hAnsi="宋体" w:cs="宋体" w:eastAsia="宋体" w:hint="default"/>
        </w:rPr>
      </w:r>
    </w:p>
    <w:p>
      <w:pPr>
        <w:spacing w:line="240" w:lineRule="auto" w:before="8"/>
        <w:rPr>
          <w:rFonts w:ascii="宋体" w:hAnsi="宋体" w:cs="宋体" w:eastAsia="宋体" w:hint="default"/>
          <w:b/>
          <w:bCs/>
          <w:sz w:val="7"/>
          <w:szCs w:val="7"/>
        </w:rPr>
      </w:pPr>
    </w:p>
    <w:tbl>
      <w:tblPr>
        <w:tblW w:w="0" w:type="auto"/>
        <w:jc w:val="left"/>
        <w:tblInd w:w="313" w:type="dxa"/>
        <w:tblLayout w:type="fixed"/>
        <w:tblCellMar>
          <w:top w:w="0" w:type="dxa"/>
          <w:left w:w="0" w:type="dxa"/>
          <w:bottom w:w="0" w:type="dxa"/>
          <w:right w:w="0" w:type="dxa"/>
        </w:tblCellMar>
        <w:tblLook w:val="01E0"/>
      </w:tblPr>
      <w:tblGrid>
        <w:gridCol w:w="2722"/>
        <w:gridCol w:w="162"/>
        <w:gridCol w:w="1846"/>
        <w:gridCol w:w="148"/>
        <w:gridCol w:w="1381"/>
        <w:gridCol w:w="194"/>
        <w:gridCol w:w="1199"/>
        <w:gridCol w:w="127"/>
        <w:gridCol w:w="1859"/>
      </w:tblGrid>
      <w:tr>
        <w:trPr>
          <w:trHeight w:val="290" w:hRule="exact"/>
        </w:trPr>
        <w:tc>
          <w:tcPr>
            <w:tcW w:w="2722"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6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single" w:sz="4" w:space="0" w:color="000000"/>
              <w:right w:val="nil" w:sz="6" w:space="0" w:color="auto"/>
            </w:tcBorders>
          </w:tcPr>
          <w:p>
            <w:pPr>
              <w:pStyle w:val="TableParagraph"/>
              <w:spacing w:line="180" w:lineRule="exact"/>
              <w:ind w:left="18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8"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single" w:sz="4" w:space="0" w:color="000000"/>
              <w:right w:val="nil" w:sz="6" w:space="0" w:color="auto"/>
            </w:tcBorders>
          </w:tcPr>
          <w:p>
            <w:pPr>
              <w:pStyle w:val="TableParagraph"/>
              <w:spacing w:line="180" w:lineRule="exact"/>
              <w:ind w:left="33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single" w:sz="4" w:space="0" w:color="000000"/>
              <w:right w:val="nil" w:sz="6" w:space="0" w:color="auto"/>
            </w:tcBorders>
          </w:tcPr>
          <w:p>
            <w:pPr>
              <w:pStyle w:val="TableParagraph"/>
              <w:spacing w:line="180" w:lineRule="exact"/>
              <w:ind w:left="24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27"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single" w:sz="4" w:space="0" w:color="000000"/>
              <w:right w:val="nil" w:sz="6" w:space="0" w:color="auto"/>
            </w:tcBorders>
          </w:tcPr>
          <w:p>
            <w:pPr>
              <w:pStyle w:val="TableParagraph"/>
              <w:spacing w:line="180" w:lineRule="exact"/>
              <w:ind w:left="19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27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62" w:type="dxa"/>
            <w:tcBorders>
              <w:top w:val="nil" w:sz="6" w:space="0" w:color="auto"/>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65,887,527.79</w:t>
            </w:r>
          </w:p>
        </w:tc>
        <w:tc>
          <w:tcPr>
            <w:tcW w:w="148" w:type="dxa"/>
            <w:tcBorders>
              <w:top w:val="nil" w:sz="6" w:space="0" w:color="auto"/>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14,291,642.28</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271,900.00</w:t>
            </w:r>
          </w:p>
        </w:tc>
        <w:tc>
          <w:tcPr>
            <w:tcW w:w="127" w:type="dxa"/>
            <w:tcBorders>
              <w:top w:val="nil" w:sz="6" w:space="0" w:color="auto"/>
              <w:left w:val="nil" w:sz="6" w:space="0" w:color="auto"/>
              <w:bottom w:val="nil" w:sz="6" w:space="0" w:color="auto"/>
              <w:right w:val="nil" w:sz="6" w:space="0" w:color="auto"/>
            </w:tcBorders>
          </w:tcPr>
          <w:p>
            <w:pPr/>
          </w:p>
        </w:tc>
        <w:tc>
          <w:tcPr>
            <w:tcW w:w="185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79,907,270.07</w:t>
            </w:r>
          </w:p>
        </w:tc>
      </w:tr>
      <w:tr>
        <w:trPr>
          <w:trHeight w:val="394"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62" w:type="dxa"/>
            <w:tcBorders>
              <w:top w:val="nil" w:sz="6" w:space="0" w:color="auto"/>
              <w:left w:val="nil" w:sz="6" w:space="0" w:color="auto"/>
              <w:bottom w:val="nil" w:sz="6" w:space="0" w:color="auto"/>
              <w:right w:val="nil" w:sz="6" w:space="0" w:color="auto"/>
            </w:tcBorders>
          </w:tcPr>
          <w:p>
            <w:pPr/>
          </w:p>
        </w:tc>
        <w:tc>
          <w:tcPr>
            <w:tcW w:w="184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31,344,688.10</w:t>
            </w:r>
          </w:p>
        </w:tc>
        <w:tc>
          <w:tcPr>
            <w:tcW w:w="148" w:type="dxa"/>
            <w:tcBorders>
              <w:top w:val="nil" w:sz="6" w:space="0" w:color="auto"/>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w:t>
            </w:r>
          </w:p>
        </w:tc>
        <w:tc>
          <w:tcPr>
            <w:tcW w:w="127" w:type="dxa"/>
            <w:tcBorders>
              <w:top w:val="nil" w:sz="6" w:space="0" w:color="auto"/>
              <w:left w:val="nil" w:sz="6" w:space="0" w:color="auto"/>
              <w:bottom w:val="nil" w:sz="6" w:space="0" w:color="auto"/>
              <w:right w:val="nil" w:sz="6" w:space="0" w:color="auto"/>
            </w:tcBorders>
          </w:tcPr>
          <w:p>
            <w:pPr/>
          </w:p>
        </w:tc>
        <w:tc>
          <w:tcPr>
            <w:tcW w:w="18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31,344,688.10</w:t>
            </w:r>
          </w:p>
        </w:tc>
      </w:tr>
      <w:tr>
        <w:trPr>
          <w:trHeight w:val="290" w:hRule="exact"/>
        </w:trPr>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3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2"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5,935,156.44</w:t>
            </w:r>
          </w:p>
        </w:tc>
        <w:tc>
          <w:tcPr>
            <w:tcW w:w="148"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4,080,464.08</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w:t>
            </w:r>
          </w:p>
        </w:tc>
        <w:tc>
          <w:tcPr>
            <w:tcW w:w="127" w:type="dxa"/>
            <w:tcBorders>
              <w:top w:val="nil" w:sz="6" w:space="0" w:color="auto"/>
              <w:left w:val="nil" w:sz="6" w:space="0" w:color="auto"/>
              <w:bottom w:val="nil" w:sz="6" w:space="0" w:color="auto"/>
              <w:right w:val="nil" w:sz="6" w:space="0" w:color="auto"/>
            </w:tcBorders>
          </w:tcPr>
          <w:p>
            <w:pPr/>
          </w:p>
        </w:tc>
        <w:tc>
          <w:tcPr>
            <w:tcW w:w="18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10,015,620.52</w:t>
            </w:r>
          </w:p>
        </w:tc>
      </w:tr>
    </w:tbl>
    <w:p>
      <w:pPr>
        <w:spacing w:after="0" w:line="240" w:lineRule="auto"/>
        <w:jc w:val="right"/>
        <w:rPr>
          <w:rFonts w:ascii="宋体" w:hAnsi="宋体" w:cs="宋体" w:eastAsia="宋体" w:hint="default"/>
          <w:sz w:val="18"/>
          <w:szCs w:val="18"/>
        </w:rPr>
        <w:sectPr>
          <w:pgSz w:w="11910" w:h="16840"/>
          <w:pgMar w:header="877" w:footer="1022" w:top="1100" w:bottom="1220" w:left="820" w:right="980"/>
        </w:sectPr>
      </w:pPr>
    </w:p>
    <w:p>
      <w:pPr>
        <w:spacing w:line="240" w:lineRule="auto" w:before="12"/>
        <w:rPr>
          <w:rFonts w:ascii="宋体" w:hAnsi="宋体" w:cs="宋体" w:eastAsia="宋体" w:hint="default"/>
          <w:b/>
          <w:bCs/>
          <w:sz w:val="2"/>
          <w:szCs w:val="2"/>
        </w:rPr>
      </w:pPr>
    </w:p>
    <w:tbl>
      <w:tblPr>
        <w:tblW w:w="0" w:type="auto"/>
        <w:jc w:val="left"/>
        <w:tblInd w:w="283" w:type="dxa"/>
        <w:tblLayout w:type="fixed"/>
        <w:tblCellMar>
          <w:top w:w="0" w:type="dxa"/>
          <w:left w:w="0" w:type="dxa"/>
          <w:bottom w:w="0" w:type="dxa"/>
          <w:right w:w="0" w:type="dxa"/>
        </w:tblCellMar>
        <w:tblLook w:val="01E0"/>
      </w:tblPr>
      <w:tblGrid>
        <w:gridCol w:w="2914"/>
        <w:gridCol w:w="1846"/>
        <w:gridCol w:w="147"/>
        <w:gridCol w:w="1381"/>
        <w:gridCol w:w="194"/>
        <w:gridCol w:w="1199"/>
        <w:gridCol w:w="127"/>
        <w:gridCol w:w="1890"/>
      </w:tblGrid>
      <w:tr>
        <w:trPr>
          <w:trHeight w:val="717" w:hRule="exact"/>
        </w:trPr>
        <w:tc>
          <w:tcPr>
            <w:tcW w:w="291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6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4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0"/>
              <w:jc w:val="right"/>
              <w:rPr>
                <w:rFonts w:ascii="宋体" w:hAnsi="宋体" w:cs="宋体" w:eastAsia="宋体" w:hint="default"/>
                <w:sz w:val="18"/>
                <w:szCs w:val="18"/>
              </w:rPr>
            </w:pPr>
            <w:r>
              <w:rPr>
                <w:rFonts w:ascii="宋体"/>
                <w:sz w:val="18"/>
              </w:rPr>
              <w:t>2,821,904.95</w:t>
            </w:r>
          </w:p>
        </w:tc>
        <w:tc>
          <w:tcPr>
            <w:tcW w:w="147" w:type="dxa"/>
            <w:tcBorders>
              <w:top w:val="single" w:sz="6" w:space="0" w:color="000000"/>
              <w:left w:val="nil" w:sz="6" w:space="0" w:color="auto"/>
              <w:bottom w:val="nil" w:sz="6" w:space="0" w:color="auto"/>
              <w:right w:val="nil" w:sz="6" w:space="0" w:color="auto"/>
            </w:tcBorders>
          </w:tcPr>
          <w:p>
            <w:pPr/>
          </w:p>
        </w:tc>
        <w:tc>
          <w:tcPr>
            <w:tcW w:w="1381"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0"/>
              <w:jc w:val="right"/>
              <w:rPr>
                <w:rFonts w:ascii="宋体" w:hAnsi="宋体" w:cs="宋体" w:eastAsia="宋体" w:hint="default"/>
                <w:sz w:val="18"/>
                <w:szCs w:val="18"/>
              </w:rPr>
            </w:pPr>
            <w:r>
              <w:rPr>
                <w:rFonts w:ascii="宋体"/>
                <w:sz w:val="18"/>
              </w:rPr>
              <w:t>1,775,634.04</w:t>
            </w:r>
          </w:p>
        </w:tc>
        <w:tc>
          <w:tcPr>
            <w:tcW w:w="194" w:type="dxa"/>
            <w:tcBorders>
              <w:top w:val="single" w:sz="6" w:space="0" w:color="000000"/>
              <w:left w:val="nil" w:sz="6" w:space="0" w:color="auto"/>
              <w:bottom w:val="nil" w:sz="6" w:space="0" w:color="auto"/>
              <w:right w:val="nil" w:sz="6" w:space="0" w:color="auto"/>
            </w:tcBorders>
          </w:tcPr>
          <w:p>
            <w:pPr/>
          </w:p>
        </w:tc>
        <w:tc>
          <w:tcPr>
            <w:tcW w:w="119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0"/>
              <w:jc w:val="right"/>
              <w:rPr>
                <w:rFonts w:ascii="宋体" w:hAnsi="宋体" w:cs="宋体" w:eastAsia="宋体" w:hint="default"/>
                <w:sz w:val="18"/>
                <w:szCs w:val="18"/>
              </w:rPr>
            </w:pPr>
            <w:r>
              <w:rPr>
                <w:rFonts w:ascii="宋体"/>
                <w:sz w:val="18"/>
              </w:rPr>
              <w:t>-</w:t>
            </w:r>
          </w:p>
        </w:tc>
        <w:tc>
          <w:tcPr>
            <w:tcW w:w="127" w:type="dxa"/>
            <w:tcBorders>
              <w:top w:val="single" w:sz="6" w:space="0" w:color="000000"/>
              <w:left w:val="nil" w:sz="6" w:space="0" w:color="auto"/>
              <w:bottom w:val="nil" w:sz="6" w:space="0" w:color="auto"/>
              <w:right w:val="nil" w:sz="6" w:space="0" w:color="auto"/>
            </w:tcBorders>
          </w:tcPr>
          <w:p>
            <w:pPr/>
          </w:p>
        </w:tc>
        <w:tc>
          <w:tcPr>
            <w:tcW w:w="189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9"/>
              <w:jc w:val="right"/>
              <w:rPr>
                <w:rFonts w:ascii="宋体" w:hAnsi="宋体" w:cs="宋体" w:eastAsia="宋体" w:hint="default"/>
                <w:sz w:val="18"/>
                <w:szCs w:val="18"/>
              </w:rPr>
            </w:pPr>
            <w:r>
              <w:rPr>
                <w:rFonts w:ascii="宋体"/>
                <w:sz w:val="18"/>
              </w:rPr>
              <w:t>4,597,538.99</w:t>
            </w:r>
          </w:p>
        </w:tc>
      </w:tr>
      <w:tr>
        <w:trPr>
          <w:trHeight w:val="39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8"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13,544,060.53</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4,665,412.00</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271,900.00</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z w:val="18"/>
              </w:rPr>
              <w:t>17,937,572.53</w:t>
            </w:r>
          </w:p>
        </w:tc>
      </w:tr>
      <w:tr>
        <w:trPr>
          <w:trHeight w:val="39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68"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1,880,627.86</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1,284,519.24</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3,165,147.10</w:t>
            </w:r>
          </w:p>
        </w:tc>
      </w:tr>
      <w:tr>
        <w:trPr>
          <w:trHeight w:val="39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8"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998,701.14</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z w:val="18"/>
              </w:rPr>
              <w:t>998,701.14</w:t>
            </w:r>
          </w:p>
        </w:tc>
      </w:tr>
      <w:tr>
        <w:trPr>
          <w:trHeight w:val="39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9,362,388.77</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2,485,612.92</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z w:val="18"/>
              </w:rPr>
              <w:t>11,848,001.69</w:t>
            </w:r>
          </w:p>
        </w:tc>
      </w:tr>
      <w:tr>
        <w:trPr>
          <w:trHeight w:val="40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84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13,312,595.66</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7,824,285.30</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67,446.35</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21,069,434.61</w:t>
            </w:r>
          </w:p>
        </w:tc>
      </w:tr>
      <w:tr>
        <w:trPr>
          <w:trHeight w:val="394"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84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1,964,992.52</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752,349.24</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2,717,341.76</w:t>
            </w:r>
          </w:p>
        </w:tc>
      </w:tr>
      <w:tr>
        <w:trPr>
          <w:trHeight w:val="39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8"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2,021,107.10</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400,649.63</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z w:val="18"/>
              </w:rPr>
              <w:t>2,421,756.73</w:t>
            </w:r>
          </w:p>
        </w:tc>
      </w:tr>
      <w:tr>
        <w:trPr>
          <w:trHeight w:val="39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8"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1,141,956.01</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588,631.29</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z w:val="18"/>
              </w:rPr>
              <w:t>1,730,587.30</w:t>
            </w:r>
          </w:p>
        </w:tc>
      </w:tr>
      <w:tr>
        <w:trPr>
          <w:trHeight w:val="39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8"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3,672,802.94</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3,926,467.89</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
              <w:jc w:val="right"/>
              <w:rPr>
                <w:rFonts w:ascii="宋体" w:hAnsi="宋体" w:cs="宋体" w:eastAsia="宋体" w:hint="default"/>
                <w:sz w:val="18"/>
                <w:szCs w:val="18"/>
              </w:rPr>
            </w:pPr>
            <w:r>
              <w:rPr>
                <w:rFonts w:ascii="宋体"/>
                <w:sz w:val="18"/>
              </w:rPr>
              <w:t>67,446.35</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z w:val="18"/>
              </w:rPr>
              <w:t>7,531,824.48</w:t>
            </w:r>
          </w:p>
        </w:tc>
      </w:tr>
      <w:tr>
        <w:trPr>
          <w:trHeight w:val="39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68"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637,969.08</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390,837.61</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9"/>
              <w:jc w:val="right"/>
              <w:rPr>
                <w:rFonts w:ascii="宋体" w:hAnsi="宋体" w:cs="宋体" w:eastAsia="宋体" w:hint="default"/>
                <w:sz w:val="18"/>
                <w:szCs w:val="18"/>
              </w:rPr>
            </w:pPr>
            <w:r>
              <w:rPr>
                <w:rFonts w:ascii="宋体"/>
                <w:sz w:val="18"/>
              </w:rPr>
              <w:t>1,028,806.69</w:t>
            </w:r>
          </w:p>
        </w:tc>
      </w:tr>
      <w:tr>
        <w:trPr>
          <w:trHeight w:val="39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8"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397,922.05</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185,042.89</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z w:val="18"/>
              </w:rPr>
              <w:t>582,964.94</w:t>
            </w:r>
          </w:p>
        </w:tc>
      </w:tr>
      <w:tr>
        <w:trPr>
          <w:trHeight w:val="399"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26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84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3,475,845.96</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1,580,306.75</w:t>
            </w: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w:t>
            </w: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9"/>
              <w:jc w:val="right"/>
              <w:rPr>
                <w:rFonts w:ascii="宋体" w:hAnsi="宋体" w:cs="宋体" w:eastAsia="宋体" w:hint="default"/>
                <w:sz w:val="18"/>
                <w:szCs w:val="18"/>
              </w:rPr>
            </w:pPr>
            <w:r>
              <w:rPr>
                <w:rFonts w:ascii="宋体"/>
                <w:sz w:val="18"/>
              </w:rPr>
              <w:t>5,056,152.71</w:t>
            </w:r>
          </w:p>
        </w:tc>
      </w:tr>
      <w:tr>
        <w:trPr>
          <w:trHeight w:val="413"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三、固定资产账面价值合计</w:t>
            </w:r>
          </w:p>
        </w:tc>
        <w:tc>
          <w:tcPr>
            <w:tcW w:w="184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52,574,932.13</w:t>
            </w:r>
          </w:p>
        </w:tc>
        <w:tc>
          <w:tcPr>
            <w:tcW w:w="147"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94" w:type="dxa"/>
            <w:tcBorders>
              <w:top w:val="nil" w:sz="6" w:space="0" w:color="auto"/>
              <w:left w:val="nil" w:sz="6" w:space="0" w:color="auto"/>
              <w:bottom w:val="nil" w:sz="6" w:space="0" w:color="auto"/>
              <w:right w:val="nil" w:sz="6" w:space="0" w:color="auto"/>
            </w:tcBorders>
          </w:tcPr>
          <w:p>
            <w:pPr/>
          </w:p>
        </w:tc>
        <w:tc>
          <w:tcPr>
            <w:tcW w:w="1199"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9"/>
              <w:jc w:val="right"/>
              <w:rPr>
                <w:rFonts w:ascii="宋体" w:hAnsi="宋体" w:cs="宋体" w:eastAsia="宋体" w:hint="default"/>
                <w:sz w:val="18"/>
                <w:szCs w:val="18"/>
              </w:rPr>
            </w:pPr>
            <w:r>
              <w:rPr>
                <w:rFonts w:ascii="宋体"/>
                <w:sz w:val="18"/>
              </w:rPr>
              <w:t>58,837,835.46</w:t>
            </w:r>
          </w:p>
        </w:tc>
      </w:tr>
    </w:tbl>
    <w:p>
      <w:pPr>
        <w:spacing w:line="240" w:lineRule="auto" w:before="0"/>
        <w:rPr>
          <w:rFonts w:ascii="宋体" w:hAnsi="宋体" w:cs="宋体" w:eastAsia="宋体" w:hint="default"/>
          <w:b/>
          <w:bCs/>
          <w:sz w:val="14"/>
          <w:szCs w:val="14"/>
        </w:rPr>
      </w:pPr>
    </w:p>
    <w:p>
      <w:pPr>
        <w:pStyle w:val="BodyText"/>
        <w:spacing w:line="240" w:lineRule="auto" w:before="26"/>
        <w:ind w:left="794" w:right="0"/>
        <w:jc w:val="left"/>
      </w:pPr>
      <w:r>
        <w:rPr/>
        <w:t>于</w:t>
      </w:r>
      <w:r>
        <w:rPr>
          <w:spacing w:val="-59"/>
        </w:rPr>
        <w:t> </w:t>
      </w:r>
      <w:r>
        <w:rPr/>
        <w:t>2008</w:t>
      </w:r>
      <w:r>
        <w:rPr>
          <w:spacing w:val="-59"/>
        </w:rPr>
        <w:t> </w:t>
      </w:r>
      <w:r>
        <w:rPr/>
        <w:t>年</w:t>
      </w:r>
      <w:r>
        <w:rPr>
          <w:spacing w:val="-59"/>
        </w:rPr>
        <w:t> </w:t>
      </w:r>
      <w:r>
        <w:rPr/>
        <w:t>12</w:t>
      </w:r>
      <w:r>
        <w:rPr>
          <w:spacing w:val="-59"/>
        </w:rPr>
        <w:t> </w:t>
      </w:r>
      <w:r>
        <w:rPr/>
        <w:t>月</w:t>
      </w:r>
      <w:r>
        <w:rPr>
          <w:spacing w:val="-59"/>
        </w:rPr>
        <w:t> </w:t>
      </w:r>
      <w:r>
        <w:rPr/>
        <w:t>31</w:t>
      </w:r>
      <w:r>
        <w:rPr>
          <w:spacing w:val="-59"/>
        </w:rPr>
        <w:t> </w:t>
      </w:r>
      <w:r>
        <w:rPr>
          <w:spacing w:val="-11"/>
        </w:rPr>
        <w:t>日，净值</w:t>
      </w:r>
      <w:r>
        <w:rPr>
          <w:spacing w:val="-59"/>
        </w:rPr>
        <w:t> </w:t>
      </w:r>
      <w:r>
        <w:rPr/>
        <w:t>14,482,891.36</w:t>
      </w:r>
      <w:r>
        <w:rPr>
          <w:spacing w:val="-59"/>
        </w:rPr>
        <w:t> </w:t>
      </w:r>
      <w:r>
        <w:rPr/>
        <w:t>元(原价为</w:t>
      </w:r>
      <w:r>
        <w:rPr>
          <w:spacing w:val="-59"/>
        </w:rPr>
        <w:t> </w:t>
      </w:r>
      <w:r>
        <w:rPr/>
        <w:t>19,769,434.42</w:t>
      </w:r>
      <w:r>
        <w:rPr>
          <w:spacing w:val="-59"/>
        </w:rPr>
        <w:t> </w:t>
      </w:r>
      <w:r>
        <w:rPr>
          <w:spacing w:val="-6"/>
        </w:rPr>
        <w:t>元)的房屋、建筑</w:t>
      </w:r>
    </w:p>
    <w:p>
      <w:pPr>
        <w:pStyle w:val="BodyText"/>
        <w:spacing w:line="240" w:lineRule="auto" w:before="126"/>
        <w:ind w:left="314" w:right="0"/>
        <w:jc w:val="left"/>
      </w:pPr>
      <w:r>
        <w:rPr/>
        <w:t>物及设备作为</w:t>
      </w:r>
      <w:r>
        <w:rPr>
          <w:spacing w:val="-60"/>
        </w:rPr>
        <w:t> </w:t>
      </w:r>
      <w:r>
        <w:rPr/>
        <w:t>40,000,000.00</w:t>
      </w:r>
      <w:r>
        <w:rPr>
          <w:spacing w:val="-60"/>
        </w:rPr>
        <w:t> </w:t>
      </w:r>
      <w:r>
        <w:rPr/>
        <w:t>元的短期借款的抵押物。</w:t>
      </w:r>
    </w:p>
    <w:p>
      <w:pPr>
        <w:spacing w:line="240" w:lineRule="auto" w:before="11"/>
        <w:rPr>
          <w:rFonts w:ascii="宋体" w:hAnsi="宋体" w:cs="宋体" w:eastAsia="宋体" w:hint="default"/>
          <w:sz w:val="18"/>
          <w:szCs w:val="18"/>
        </w:rPr>
      </w:pPr>
    </w:p>
    <w:p>
      <w:pPr>
        <w:pStyle w:val="BodyText"/>
        <w:spacing w:line="336" w:lineRule="auto"/>
        <w:ind w:left="314" w:right="280" w:firstLine="480"/>
        <w:jc w:val="left"/>
      </w:pPr>
      <w:r>
        <w:rPr/>
        <w:t>于</w:t>
      </w:r>
      <w:r>
        <w:rPr>
          <w:spacing w:val="-57"/>
        </w:rPr>
        <w:t> </w:t>
      </w:r>
      <w:r>
        <w:rPr/>
        <w:t>2008</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日，净值为</w:t>
      </w:r>
      <w:r>
        <w:rPr>
          <w:spacing w:val="-57"/>
        </w:rPr>
        <w:t> </w:t>
      </w:r>
      <w:r>
        <w:rPr/>
        <w:t>87,432.67</w:t>
      </w:r>
      <w:r>
        <w:rPr>
          <w:spacing w:val="-57"/>
        </w:rPr>
        <w:t> </w:t>
      </w:r>
      <w:r>
        <w:rPr/>
        <w:t>元(原价</w:t>
      </w:r>
      <w:r>
        <w:rPr>
          <w:spacing w:val="-57"/>
        </w:rPr>
        <w:t> </w:t>
      </w:r>
      <w:r>
        <w:rPr/>
        <w:t>1,748,653.17</w:t>
      </w:r>
      <w:r>
        <w:rPr>
          <w:spacing w:val="-57"/>
        </w:rPr>
        <w:t> </w:t>
      </w:r>
      <w:r>
        <w:rPr/>
        <w:t>元)的设备已提足折旧</w:t>
      </w:r>
      <w:r>
        <w:rPr/>
        <w:t> 但仍在继续使用。</w:t>
      </w:r>
    </w:p>
    <w:p>
      <w:pPr>
        <w:pStyle w:val="Heading4"/>
        <w:spacing w:line="240" w:lineRule="auto" w:before="110"/>
        <w:ind w:right="0"/>
        <w:jc w:val="left"/>
        <w:rPr>
          <w:b w:val="0"/>
          <w:bCs w:val="0"/>
        </w:rPr>
      </w:pPr>
      <w:r>
        <w:rPr/>
        <w:t>10、在建工程</w:t>
      </w:r>
      <w:r>
        <w:rPr>
          <w:b w:val="0"/>
          <w:bCs w:val="0"/>
        </w:rPr>
      </w:r>
    </w:p>
    <w:p>
      <w:pPr>
        <w:spacing w:line="240" w:lineRule="auto" w:before="1"/>
        <w:rPr>
          <w:rFonts w:ascii="宋体" w:hAnsi="宋体" w:cs="宋体" w:eastAsia="宋体" w:hint="default"/>
          <w:b/>
          <w:bCs/>
          <w:sz w:val="20"/>
          <w:szCs w:val="20"/>
        </w:rPr>
      </w:pPr>
    </w:p>
    <w:tbl>
      <w:tblPr>
        <w:tblW w:w="0" w:type="auto"/>
        <w:jc w:val="left"/>
        <w:tblInd w:w="113" w:type="dxa"/>
        <w:tblLayout w:type="fixed"/>
        <w:tblCellMar>
          <w:top w:w="0" w:type="dxa"/>
          <w:left w:w="0" w:type="dxa"/>
          <w:bottom w:w="0" w:type="dxa"/>
          <w:right w:w="0" w:type="dxa"/>
        </w:tblCellMar>
        <w:tblLook w:val="01E0"/>
      </w:tblPr>
      <w:tblGrid>
        <w:gridCol w:w="2082"/>
        <w:gridCol w:w="2002"/>
        <w:gridCol w:w="1732"/>
        <w:gridCol w:w="1240"/>
        <w:gridCol w:w="632"/>
        <w:gridCol w:w="1724"/>
        <w:gridCol w:w="618"/>
      </w:tblGrid>
      <w:tr>
        <w:trPr>
          <w:trHeight w:val="1517"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180" w:lineRule="exact"/>
              <w:ind w:left="824"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2002" w:type="dxa"/>
            <w:tcBorders>
              <w:top w:val="nil" w:sz="6" w:space="0" w:color="auto"/>
              <w:left w:val="nil" w:sz="6" w:space="0" w:color="auto"/>
              <w:bottom w:val="nil" w:sz="6" w:space="0" w:color="auto"/>
              <w:right w:val="nil" w:sz="6" w:space="0" w:color="auto"/>
            </w:tcBorders>
          </w:tcPr>
          <w:p>
            <w:pPr>
              <w:pStyle w:val="TableParagraph"/>
              <w:spacing w:line="180" w:lineRule="exact"/>
              <w:ind w:left="310"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2"/>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31</w:t>
            </w:r>
          </w:p>
          <w:p>
            <w:pPr>
              <w:pStyle w:val="TableParagraph"/>
              <w:spacing w:line="240" w:lineRule="auto" w:before="77"/>
              <w:ind w:left="310"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732" w:type="dxa"/>
            <w:tcBorders>
              <w:top w:val="nil" w:sz="6" w:space="0" w:color="auto"/>
              <w:left w:val="nil" w:sz="6" w:space="0" w:color="auto"/>
              <w:bottom w:val="nil" w:sz="6" w:space="0" w:color="auto"/>
              <w:right w:val="nil" w:sz="6" w:space="0" w:color="auto"/>
            </w:tcBorders>
          </w:tcPr>
          <w:p>
            <w:pPr>
              <w:pStyle w:val="TableParagraph"/>
              <w:spacing w:line="180" w:lineRule="exact"/>
              <w:ind w:right="22"/>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240" w:type="dxa"/>
            <w:tcBorders>
              <w:top w:val="nil" w:sz="6" w:space="0" w:color="auto"/>
              <w:left w:val="nil" w:sz="6" w:space="0" w:color="auto"/>
              <w:bottom w:val="nil" w:sz="6" w:space="0" w:color="auto"/>
              <w:right w:val="nil" w:sz="6" w:space="0" w:color="auto"/>
            </w:tcBorders>
          </w:tcPr>
          <w:p>
            <w:pPr>
              <w:pStyle w:val="TableParagraph"/>
              <w:spacing w:line="180" w:lineRule="exact"/>
              <w:ind w:left="248" w:right="0"/>
              <w:jc w:val="left"/>
              <w:rPr>
                <w:rFonts w:ascii="宋体" w:hAnsi="宋体" w:cs="宋体" w:eastAsia="宋体" w:hint="default"/>
                <w:sz w:val="18"/>
                <w:szCs w:val="18"/>
              </w:rPr>
            </w:pPr>
            <w:r>
              <w:rPr>
                <w:rFonts w:ascii="宋体" w:hAnsi="宋体" w:cs="宋体" w:eastAsia="宋体" w:hint="default"/>
                <w:sz w:val="18"/>
                <w:szCs w:val="18"/>
              </w:rPr>
              <w:t>本年转入</w:t>
            </w:r>
          </w:p>
          <w:p>
            <w:pPr>
              <w:pStyle w:val="TableParagraph"/>
              <w:spacing w:line="240" w:lineRule="auto" w:before="77"/>
              <w:ind w:left="24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32"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319" w:lineRule="auto" w:before="76"/>
              <w:ind w:left="226" w:right="223"/>
              <w:jc w:val="both"/>
              <w:rPr>
                <w:rFonts w:ascii="宋体" w:hAnsi="宋体" w:cs="宋体" w:eastAsia="宋体" w:hint="default"/>
                <w:sz w:val="18"/>
                <w:szCs w:val="18"/>
              </w:rPr>
            </w:pPr>
            <w:r>
              <w:rPr>
                <w:rFonts w:ascii="宋体" w:hAnsi="宋体" w:cs="宋体" w:eastAsia="宋体" w:hint="default"/>
                <w:sz w:val="18"/>
                <w:szCs w:val="18"/>
              </w:rPr>
              <w:t>他 减 少 数</w:t>
            </w:r>
          </w:p>
        </w:tc>
        <w:tc>
          <w:tcPr>
            <w:tcW w:w="1724" w:type="dxa"/>
            <w:tcBorders>
              <w:top w:val="nil" w:sz="6" w:space="0" w:color="auto"/>
              <w:left w:val="nil" w:sz="6" w:space="0" w:color="auto"/>
              <w:bottom w:val="nil" w:sz="6" w:space="0" w:color="auto"/>
              <w:right w:val="nil" w:sz="6" w:space="0" w:color="auto"/>
            </w:tcBorders>
          </w:tcPr>
          <w:p>
            <w:pPr>
              <w:pStyle w:val="TableParagraph"/>
              <w:spacing w:line="180" w:lineRule="exact"/>
              <w:ind w:right="1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right="10"/>
              <w:jc w:val="center"/>
              <w:rPr>
                <w:rFonts w:ascii="宋体" w:hAnsi="宋体" w:cs="宋体" w:eastAsia="宋体" w:hint="default"/>
                <w:sz w:val="18"/>
                <w:szCs w:val="18"/>
              </w:rPr>
            </w:pPr>
            <w:r>
              <w:rPr>
                <w:rFonts w:ascii="宋体" w:hAnsi="宋体" w:cs="宋体" w:eastAsia="宋体" w:hint="default"/>
                <w:sz w:val="18"/>
                <w:szCs w:val="18"/>
              </w:rPr>
              <w:t>日</w:t>
            </w:r>
          </w:p>
        </w:tc>
        <w:tc>
          <w:tcPr>
            <w:tcW w:w="618" w:type="dxa"/>
            <w:tcBorders>
              <w:top w:val="nil" w:sz="6" w:space="0" w:color="auto"/>
              <w:left w:val="nil" w:sz="6" w:space="0" w:color="auto"/>
              <w:bottom w:val="nil" w:sz="6" w:space="0" w:color="auto"/>
              <w:right w:val="nil" w:sz="6" w:space="0" w:color="auto"/>
            </w:tcBorders>
          </w:tcPr>
          <w:p>
            <w:pPr>
              <w:pStyle w:val="TableParagraph"/>
              <w:spacing w:line="180" w:lineRule="exact"/>
              <w:ind w:left="238" w:right="0"/>
              <w:jc w:val="both"/>
              <w:rPr>
                <w:rFonts w:ascii="宋体" w:hAnsi="宋体" w:cs="宋体" w:eastAsia="宋体" w:hint="default"/>
                <w:sz w:val="18"/>
                <w:szCs w:val="18"/>
              </w:rPr>
            </w:pPr>
            <w:r>
              <w:rPr>
                <w:rFonts w:ascii="宋体" w:hAnsi="宋体" w:cs="宋体" w:eastAsia="宋体" w:hint="default"/>
                <w:sz w:val="18"/>
                <w:szCs w:val="18"/>
              </w:rPr>
              <w:t>资</w:t>
            </w:r>
          </w:p>
          <w:p>
            <w:pPr>
              <w:pStyle w:val="TableParagraph"/>
              <w:spacing w:line="319" w:lineRule="auto" w:before="76"/>
              <w:ind w:left="238" w:right="198"/>
              <w:jc w:val="both"/>
              <w:rPr>
                <w:rFonts w:ascii="宋体" w:hAnsi="宋体" w:cs="宋体" w:eastAsia="宋体" w:hint="default"/>
                <w:sz w:val="18"/>
                <w:szCs w:val="18"/>
              </w:rPr>
            </w:pPr>
            <w:r>
              <w:rPr>
                <w:rFonts w:ascii="宋体" w:hAnsi="宋体" w:cs="宋体" w:eastAsia="宋体" w:hint="default"/>
                <w:sz w:val="18"/>
                <w:szCs w:val="18"/>
              </w:rPr>
              <w:t>金 来 源</w:t>
            </w:r>
          </w:p>
        </w:tc>
      </w:tr>
      <w:tr>
        <w:trPr>
          <w:trHeight w:val="1328"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0" w:right="0"/>
              <w:jc w:val="left"/>
              <w:rPr>
                <w:rFonts w:ascii="宋体" w:hAnsi="宋体" w:cs="宋体" w:eastAsia="宋体" w:hint="default"/>
                <w:sz w:val="18"/>
                <w:szCs w:val="18"/>
              </w:rPr>
            </w:pPr>
            <w:r>
              <w:rPr>
                <w:rFonts w:ascii="宋体" w:hAnsi="宋体" w:cs="宋体" w:eastAsia="宋体" w:hint="default"/>
                <w:spacing w:val="-6"/>
                <w:sz w:val="18"/>
                <w:szCs w:val="18"/>
              </w:rPr>
              <w:t>RGM</w:t>
            </w:r>
            <w:r>
              <w:rPr>
                <w:rFonts w:ascii="宋体" w:hAnsi="宋体" w:cs="宋体" w:eastAsia="宋体" w:hint="default"/>
                <w:spacing w:val="-57"/>
                <w:sz w:val="18"/>
                <w:szCs w:val="18"/>
              </w:rPr>
              <w:t> </w:t>
            </w:r>
            <w:r>
              <w:rPr>
                <w:rFonts w:ascii="宋体" w:hAnsi="宋体" w:cs="宋体" w:eastAsia="宋体" w:hint="default"/>
                <w:spacing w:val="-11"/>
                <w:sz w:val="18"/>
                <w:szCs w:val="18"/>
              </w:rPr>
              <w:t>产业化</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5"/>
              <w:jc w:val="right"/>
              <w:rPr>
                <w:rFonts w:ascii="宋体" w:hAnsi="宋体" w:cs="宋体" w:eastAsia="宋体" w:hint="default"/>
                <w:sz w:val="18"/>
                <w:szCs w:val="18"/>
              </w:rPr>
            </w:pPr>
            <w:r>
              <w:rPr>
                <w:rFonts w:ascii="宋体"/>
                <w:sz w:val="18"/>
              </w:rPr>
              <w:t>2,953,801.48</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5" w:right="0"/>
              <w:jc w:val="center"/>
              <w:rPr>
                <w:rFonts w:ascii="宋体" w:hAnsi="宋体" w:cs="宋体" w:eastAsia="宋体" w:hint="default"/>
                <w:sz w:val="18"/>
                <w:szCs w:val="18"/>
              </w:rPr>
            </w:pPr>
            <w:r>
              <w:rPr>
                <w:rFonts w:ascii="宋体"/>
                <w:sz w:val="18"/>
              </w:rPr>
              <w:t>31,033,382.68</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4"/>
              <w:jc w:val="right"/>
              <w:rPr>
                <w:rFonts w:ascii="宋体" w:hAnsi="宋体" w:cs="宋体" w:eastAsia="宋体" w:hint="default"/>
                <w:sz w:val="18"/>
                <w:szCs w:val="18"/>
              </w:rPr>
            </w:pPr>
            <w:r>
              <w:rPr>
                <w:rFonts w:ascii="宋体"/>
                <w:sz w:val="18"/>
              </w:rPr>
              <w:t>-</w:t>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3"/>
              <w:jc w:val="right"/>
              <w:rPr>
                <w:rFonts w:ascii="宋体" w:hAnsi="宋体" w:cs="宋体" w:eastAsia="宋体" w:hint="default"/>
                <w:sz w:val="18"/>
                <w:szCs w:val="18"/>
              </w:rPr>
            </w:pPr>
            <w:r>
              <w:rPr>
                <w:rFonts w:ascii="宋体"/>
                <w:sz w:val="18"/>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6"/>
              <w:jc w:val="right"/>
              <w:rPr>
                <w:rFonts w:ascii="宋体" w:hAnsi="宋体" w:cs="宋体" w:eastAsia="宋体" w:hint="default"/>
                <w:sz w:val="18"/>
                <w:szCs w:val="18"/>
              </w:rPr>
            </w:pPr>
            <w:r>
              <w:rPr>
                <w:rFonts w:ascii="宋体"/>
                <w:sz w:val="18"/>
              </w:rPr>
              <w:t>33,987,184.16</w:t>
            </w:r>
          </w:p>
        </w:tc>
        <w:tc>
          <w:tcPr>
            <w:tcW w:w="618" w:type="dxa"/>
            <w:tcBorders>
              <w:top w:val="nil" w:sz="6" w:space="0" w:color="auto"/>
              <w:left w:val="nil" w:sz="6" w:space="0" w:color="auto"/>
              <w:bottom w:val="nil" w:sz="6" w:space="0" w:color="auto"/>
              <w:right w:val="nil" w:sz="6" w:space="0" w:color="auto"/>
            </w:tcBorders>
          </w:tcPr>
          <w:p>
            <w:pPr>
              <w:pStyle w:val="TableParagraph"/>
              <w:spacing w:line="316" w:lineRule="auto" w:before="67"/>
              <w:ind w:left="238" w:right="198"/>
              <w:jc w:val="both"/>
              <w:rPr>
                <w:rFonts w:ascii="宋体" w:hAnsi="宋体" w:cs="宋体" w:eastAsia="宋体" w:hint="default"/>
                <w:sz w:val="18"/>
                <w:szCs w:val="18"/>
              </w:rPr>
            </w:pPr>
            <w:r>
              <w:rPr>
                <w:rFonts w:ascii="宋体" w:hAnsi="宋体" w:cs="宋体" w:eastAsia="宋体" w:hint="default"/>
                <w:sz w:val="18"/>
                <w:szCs w:val="18"/>
              </w:rPr>
              <w:t>募 集 资 金</w:t>
            </w:r>
          </w:p>
        </w:tc>
      </w:tr>
      <w:tr>
        <w:trPr>
          <w:trHeight w:val="1328"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00" w:right="0"/>
              <w:jc w:val="left"/>
              <w:rPr>
                <w:rFonts w:ascii="宋体" w:hAnsi="宋体" w:cs="宋体" w:eastAsia="宋体" w:hint="default"/>
                <w:sz w:val="18"/>
                <w:szCs w:val="18"/>
              </w:rPr>
            </w:pPr>
            <w:r>
              <w:rPr>
                <w:rFonts w:ascii="宋体" w:hAnsi="宋体" w:cs="宋体" w:eastAsia="宋体" w:hint="default"/>
                <w:spacing w:val="-6"/>
                <w:sz w:val="18"/>
                <w:szCs w:val="18"/>
              </w:rPr>
              <w:t>SVC</w:t>
            </w:r>
            <w:r>
              <w:rPr>
                <w:rFonts w:ascii="宋体" w:hAnsi="宋体" w:cs="宋体" w:eastAsia="宋体" w:hint="default"/>
                <w:spacing w:val="-54"/>
                <w:sz w:val="18"/>
                <w:szCs w:val="18"/>
              </w:rPr>
              <w:t> </w:t>
            </w:r>
            <w:r>
              <w:rPr>
                <w:rFonts w:ascii="宋体" w:hAnsi="宋体" w:cs="宋体" w:eastAsia="宋体" w:hint="default"/>
                <w:spacing w:val="-13"/>
                <w:sz w:val="18"/>
                <w:szCs w:val="18"/>
              </w:rPr>
              <w:t>产业升级</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5"/>
              <w:jc w:val="right"/>
              <w:rPr>
                <w:rFonts w:ascii="宋体" w:hAnsi="宋体" w:cs="宋体" w:eastAsia="宋体" w:hint="default"/>
                <w:sz w:val="18"/>
                <w:szCs w:val="18"/>
              </w:rPr>
            </w:pPr>
            <w:r>
              <w:rPr>
                <w:rFonts w:ascii="宋体"/>
                <w:sz w:val="18"/>
              </w:rPr>
              <w:t>8,893,116.30</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
              <w:jc w:val="center"/>
              <w:rPr>
                <w:rFonts w:ascii="宋体" w:hAnsi="宋体" w:cs="宋体" w:eastAsia="宋体" w:hint="default"/>
                <w:sz w:val="18"/>
                <w:szCs w:val="18"/>
              </w:rPr>
            </w:pPr>
            <w:r>
              <w:rPr>
                <w:rFonts w:ascii="宋体"/>
                <w:sz w:val="18"/>
              </w:rPr>
              <w:t>107,960,748.09</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4"/>
              <w:jc w:val="right"/>
              <w:rPr>
                <w:rFonts w:ascii="宋体" w:hAnsi="宋体" w:cs="宋体" w:eastAsia="宋体" w:hint="default"/>
                <w:sz w:val="18"/>
                <w:szCs w:val="18"/>
              </w:rPr>
            </w:pPr>
            <w:r>
              <w:rPr>
                <w:rFonts w:ascii="宋体"/>
                <w:sz w:val="18"/>
              </w:rPr>
              <w:t>-</w:t>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23"/>
              <w:jc w:val="right"/>
              <w:rPr>
                <w:rFonts w:ascii="宋体" w:hAnsi="宋体" w:cs="宋体" w:eastAsia="宋体" w:hint="default"/>
                <w:sz w:val="18"/>
                <w:szCs w:val="18"/>
              </w:rPr>
            </w:pPr>
            <w:r>
              <w:rPr>
                <w:rFonts w:ascii="宋体"/>
                <w:sz w:val="18"/>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6"/>
              <w:jc w:val="right"/>
              <w:rPr>
                <w:rFonts w:ascii="宋体" w:hAnsi="宋体" w:cs="宋体" w:eastAsia="宋体" w:hint="default"/>
                <w:sz w:val="18"/>
                <w:szCs w:val="18"/>
              </w:rPr>
            </w:pPr>
            <w:r>
              <w:rPr>
                <w:rFonts w:ascii="宋体"/>
                <w:sz w:val="18"/>
              </w:rPr>
              <w:t>116,853,864.39</w:t>
            </w:r>
          </w:p>
        </w:tc>
        <w:tc>
          <w:tcPr>
            <w:tcW w:w="618" w:type="dxa"/>
            <w:tcBorders>
              <w:top w:val="nil" w:sz="6" w:space="0" w:color="auto"/>
              <w:left w:val="nil" w:sz="6" w:space="0" w:color="auto"/>
              <w:bottom w:val="nil" w:sz="6" w:space="0" w:color="auto"/>
              <w:right w:val="nil" w:sz="6" w:space="0" w:color="auto"/>
            </w:tcBorders>
          </w:tcPr>
          <w:p>
            <w:pPr>
              <w:pStyle w:val="TableParagraph"/>
              <w:spacing w:line="316" w:lineRule="auto" w:before="68"/>
              <w:ind w:left="238" w:right="198"/>
              <w:jc w:val="both"/>
              <w:rPr>
                <w:rFonts w:ascii="宋体" w:hAnsi="宋体" w:cs="宋体" w:eastAsia="宋体" w:hint="default"/>
                <w:sz w:val="18"/>
                <w:szCs w:val="18"/>
              </w:rPr>
            </w:pPr>
            <w:r>
              <w:rPr>
                <w:rFonts w:ascii="宋体" w:hAnsi="宋体" w:cs="宋体" w:eastAsia="宋体" w:hint="default"/>
                <w:sz w:val="18"/>
                <w:szCs w:val="18"/>
              </w:rPr>
              <w:t>募 集 资 金</w:t>
            </w:r>
          </w:p>
        </w:tc>
      </w:tr>
      <w:tr>
        <w:trPr>
          <w:trHeight w:val="1240" w:hRule="exact"/>
        </w:trPr>
        <w:tc>
          <w:tcPr>
            <w:tcW w:w="208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0" w:right="0"/>
              <w:jc w:val="left"/>
              <w:rPr>
                <w:rFonts w:ascii="宋体" w:hAnsi="宋体" w:cs="宋体" w:eastAsia="宋体" w:hint="default"/>
                <w:sz w:val="18"/>
                <w:szCs w:val="18"/>
              </w:rPr>
            </w:pPr>
            <w:r>
              <w:rPr>
                <w:rFonts w:ascii="宋体" w:hAnsi="宋体" w:cs="宋体" w:eastAsia="宋体" w:hint="default"/>
                <w:spacing w:val="-17"/>
                <w:sz w:val="18"/>
                <w:szCs w:val="18"/>
              </w:rPr>
              <w:t>电抗器厂</w:t>
            </w:r>
            <w:r>
              <w:rPr>
                <w:rFonts w:ascii="宋体" w:hAnsi="宋体" w:cs="宋体" w:eastAsia="宋体" w:hint="default"/>
                <w:sz w:val="18"/>
                <w:szCs w:val="18"/>
              </w:rPr>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21"/>
              <w:jc w:val="right"/>
              <w:rPr>
                <w:rFonts w:ascii="宋体" w:hAnsi="宋体" w:cs="宋体" w:eastAsia="宋体" w:hint="default"/>
                <w:sz w:val="18"/>
                <w:szCs w:val="18"/>
              </w:rPr>
            </w:pPr>
            <w:r>
              <w:rPr>
                <w:rFonts w:ascii="宋体"/>
                <w:sz w:val="18"/>
              </w:rPr>
              <w:t>-</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67"/>
              <w:ind w:left="65" w:right="0"/>
              <w:jc w:val="center"/>
              <w:rPr>
                <w:rFonts w:ascii="宋体" w:hAnsi="宋体" w:cs="宋体" w:eastAsia="宋体" w:hint="default"/>
                <w:sz w:val="18"/>
                <w:szCs w:val="18"/>
              </w:rPr>
            </w:pPr>
            <w:r>
              <w:rPr>
                <w:rFonts w:ascii="宋体"/>
                <w:sz w:val="18"/>
              </w:rPr>
              <w:t>28,068,428.50</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4"/>
              <w:jc w:val="right"/>
              <w:rPr>
                <w:rFonts w:ascii="宋体" w:hAnsi="宋体" w:cs="宋体" w:eastAsia="宋体" w:hint="default"/>
                <w:sz w:val="18"/>
                <w:szCs w:val="18"/>
              </w:rPr>
            </w:pPr>
            <w:r>
              <w:rPr>
                <w:rFonts w:ascii="宋体"/>
                <w:sz w:val="18"/>
              </w:rPr>
              <w:t>-</w:t>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23"/>
              <w:jc w:val="right"/>
              <w:rPr>
                <w:rFonts w:ascii="宋体" w:hAnsi="宋体" w:cs="宋体" w:eastAsia="宋体" w:hint="default"/>
                <w:sz w:val="18"/>
                <w:szCs w:val="18"/>
              </w:rPr>
            </w:pPr>
            <w:r>
              <w:rPr>
                <w:rFonts w:ascii="宋体"/>
                <w:sz w:val="18"/>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236"/>
              <w:jc w:val="right"/>
              <w:rPr>
                <w:rFonts w:ascii="宋体" w:hAnsi="宋体" w:cs="宋体" w:eastAsia="宋体" w:hint="default"/>
                <w:sz w:val="18"/>
                <w:szCs w:val="18"/>
              </w:rPr>
            </w:pPr>
            <w:r>
              <w:rPr>
                <w:rFonts w:ascii="宋体"/>
                <w:sz w:val="18"/>
              </w:rPr>
              <w:t>28,068,428.50</w:t>
            </w:r>
          </w:p>
        </w:tc>
        <w:tc>
          <w:tcPr>
            <w:tcW w:w="618" w:type="dxa"/>
            <w:tcBorders>
              <w:top w:val="nil" w:sz="6" w:space="0" w:color="auto"/>
              <w:left w:val="nil" w:sz="6" w:space="0" w:color="auto"/>
              <w:bottom w:val="nil" w:sz="6" w:space="0" w:color="auto"/>
              <w:right w:val="nil" w:sz="6" w:space="0" w:color="auto"/>
            </w:tcBorders>
          </w:tcPr>
          <w:p>
            <w:pPr>
              <w:pStyle w:val="TableParagraph"/>
              <w:spacing w:line="316" w:lineRule="auto" w:before="67"/>
              <w:ind w:left="238" w:right="198"/>
              <w:jc w:val="both"/>
              <w:rPr>
                <w:rFonts w:ascii="宋体" w:hAnsi="宋体" w:cs="宋体" w:eastAsia="宋体" w:hint="default"/>
                <w:sz w:val="18"/>
                <w:szCs w:val="18"/>
              </w:rPr>
            </w:pPr>
            <w:r>
              <w:rPr>
                <w:rFonts w:ascii="宋体" w:hAnsi="宋体" w:cs="宋体" w:eastAsia="宋体" w:hint="default"/>
                <w:sz w:val="18"/>
                <w:szCs w:val="18"/>
              </w:rPr>
              <w:t>自 筹 资</w:t>
            </w:r>
          </w:p>
          <w:p>
            <w:pPr>
              <w:pStyle w:val="TableParagraph"/>
              <w:spacing w:line="240" w:lineRule="auto" w:before="20"/>
              <w:ind w:left="238" w:right="0"/>
              <w:jc w:val="both"/>
              <w:rPr>
                <w:rFonts w:ascii="宋体" w:hAnsi="宋体" w:cs="宋体" w:eastAsia="宋体" w:hint="default"/>
                <w:sz w:val="18"/>
                <w:szCs w:val="18"/>
              </w:rPr>
            </w:pPr>
            <w:r>
              <w:rPr>
                <w:rFonts w:ascii="宋体" w:hAnsi="宋体" w:cs="宋体" w:eastAsia="宋体" w:hint="default"/>
                <w:sz w:val="18"/>
                <w:szCs w:val="18"/>
              </w:rPr>
              <w:t>金</w:t>
            </w:r>
          </w:p>
        </w:tc>
      </w:tr>
    </w:tbl>
    <w:p>
      <w:pPr>
        <w:spacing w:after="0" w:line="240" w:lineRule="auto"/>
        <w:jc w:val="both"/>
        <w:rPr>
          <w:rFonts w:ascii="宋体" w:hAnsi="宋体" w:cs="宋体" w:eastAsia="宋体" w:hint="default"/>
          <w:sz w:val="18"/>
          <w:szCs w:val="18"/>
        </w:rPr>
        <w:sectPr>
          <w:pgSz w:w="11910" w:h="16840"/>
          <w:pgMar w:header="877" w:footer="1022" w:top="1060" w:bottom="1220" w:left="820" w:right="840"/>
        </w:sectPr>
      </w:pPr>
    </w:p>
    <w:p>
      <w:pPr>
        <w:spacing w:line="240" w:lineRule="auto" w:before="12"/>
        <w:rPr>
          <w:rFonts w:ascii="宋体" w:hAnsi="宋体" w:cs="宋体" w:eastAsia="宋体" w:hint="default"/>
          <w:b/>
          <w:bCs/>
          <w:sz w:val="2"/>
          <w:szCs w:val="2"/>
        </w:rPr>
      </w:pPr>
    </w:p>
    <w:tbl>
      <w:tblPr>
        <w:tblW w:w="0" w:type="auto"/>
        <w:jc w:val="left"/>
        <w:tblInd w:w="283" w:type="dxa"/>
        <w:tblLayout w:type="fixed"/>
        <w:tblCellMar>
          <w:top w:w="0" w:type="dxa"/>
          <w:left w:w="0" w:type="dxa"/>
          <w:bottom w:w="0" w:type="dxa"/>
          <w:right w:w="0" w:type="dxa"/>
        </w:tblCellMar>
        <w:tblLook w:val="01E0"/>
      </w:tblPr>
      <w:tblGrid>
        <w:gridCol w:w="2400"/>
        <w:gridCol w:w="1512"/>
        <w:gridCol w:w="1712"/>
        <w:gridCol w:w="1307"/>
        <w:gridCol w:w="587"/>
        <w:gridCol w:w="1724"/>
        <w:gridCol w:w="457"/>
      </w:tblGrid>
      <w:tr>
        <w:trPr>
          <w:trHeight w:val="1657" w:hRule="exact"/>
        </w:trPr>
        <w:tc>
          <w:tcPr>
            <w:tcW w:w="240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30" w:right="0"/>
              <w:jc w:val="left"/>
              <w:rPr>
                <w:rFonts w:ascii="宋体" w:hAnsi="宋体" w:cs="宋体" w:eastAsia="宋体" w:hint="default"/>
                <w:sz w:val="18"/>
                <w:szCs w:val="18"/>
              </w:rPr>
            </w:pPr>
            <w:r>
              <w:rPr>
                <w:rFonts w:ascii="宋体" w:hAnsi="宋体" w:cs="宋体" w:eastAsia="宋体" w:hint="default"/>
                <w:spacing w:val="-17"/>
                <w:sz w:val="18"/>
                <w:szCs w:val="18"/>
              </w:rPr>
              <w:t>其他</w:t>
            </w:r>
            <w:r>
              <w:rPr>
                <w:rFonts w:ascii="宋体" w:hAnsi="宋体" w:cs="宋体" w:eastAsia="宋体" w:hint="default"/>
                <w:sz w:val="18"/>
                <w:szCs w:val="18"/>
              </w:rPr>
            </w:r>
          </w:p>
        </w:tc>
        <w:tc>
          <w:tcPr>
            <w:tcW w:w="1512"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223"/>
              <w:jc w:val="right"/>
              <w:rPr>
                <w:rFonts w:ascii="宋体" w:hAnsi="宋体" w:cs="宋体" w:eastAsia="宋体" w:hint="default"/>
                <w:sz w:val="18"/>
                <w:szCs w:val="18"/>
              </w:rPr>
            </w:pPr>
            <w:r>
              <w:rPr>
                <w:rFonts w:ascii="宋体"/>
                <w:sz w:val="18"/>
              </w:rPr>
              <w:t>113,469.73</w:t>
            </w:r>
          </w:p>
        </w:tc>
        <w:tc>
          <w:tcPr>
            <w:tcW w:w="1712"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23"/>
              <w:jc w:val="right"/>
              <w:rPr>
                <w:rFonts w:ascii="宋体" w:hAnsi="宋体" w:cs="宋体" w:eastAsia="宋体" w:hint="default"/>
                <w:sz w:val="18"/>
                <w:szCs w:val="18"/>
              </w:rPr>
            </w:pPr>
            <w:r>
              <w:rPr>
                <w:rFonts w:ascii="宋体"/>
                <w:sz w:val="18"/>
              </w:rPr>
              <w:t>4,436,938.44</w:t>
            </w:r>
          </w:p>
        </w:tc>
        <w:tc>
          <w:tcPr>
            <w:tcW w:w="130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70"/>
              <w:jc w:val="right"/>
              <w:rPr>
                <w:rFonts w:ascii="宋体" w:hAnsi="宋体" w:cs="宋体" w:eastAsia="宋体" w:hint="default"/>
                <w:sz w:val="18"/>
                <w:szCs w:val="18"/>
              </w:rPr>
            </w:pPr>
            <w:r>
              <w:rPr>
                <w:rFonts w:ascii="宋体"/>
                <w:sz w:val="18"/>
              </w:rPr>
              <w:t>43,250.00</w:t>
            </w:r>
          </w:p>
        </w:tc>
        <w:tc>
          <w:tcPr>
            <w:tcW w:w="58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23"/>
              <w:jc w:val="right"/>
              <w:rPr>
                <w:rFonts w:ascii="宋体" w:hAnsi="宋体" w:cs="宋体" w:eastAsia="宋体" w:hint="default"/>
                <w:sz w:val="18"/>
                <w:szCs w:val="18"/>
              </w:rPr>
            </w:pPr>
            <w:r>
              <w:rPr>
                <w:rFonts w:ascii="宋体"/>
                <w:sz w:val="18"/>
              </w:rPr>
              <w:t>-</w:t>
            </w:r>
          </w:p>
        </w:tc>
        <w:tc>
          <w:tcPr>
            <w:tcW w:w="172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236"/>
              <w:jc w:val="right"/>
              <w:rPr>
                <w:rFonts w:ascii="宋体" w:hAnsi="宋体" w:cs="宋体" w:eastAsia="宋体" w:hint="default"/>
                <w:sz w:val="18"/>
                <w:szCs w:val="18"/>
              </w:rPr>
            </w:pPr>
            <w:r>
              <w:rPr>
                <w:rFonts w:ascii="宋体"/>
                <w:sz w:val="18"/>
              </w:rPr>
              <w:t>4,507,158.17</w:t>
            </w:r>
          </w:p>
        </w:tc>
        <w:tc>
          <w:tcPr>
            <w:tcW w:w="45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6"/>
              <w:ind w:left="238" w:right="36"/>
              <w:jc w:val="both"/>
              <w:rPr>
                <w:rFonts w:ascii="宋体" w:hAnsi="宋体" w:cs="宋体" w:eastAsia="宋体" w:hint="default"/>
                <w:sz w:val="18"/>
                <w:szCs w:val="18"/>
              </w:rPr>
            </w:pPr>
            <w:r>
              <w:rPr>
                <w:rFonts w:ascii="宋体" w:hAnsi="宋体" w:cs="宋体" w:eastAsia="宋体" w:hint="default"/>
                <w:sz w:val="18"/>
                <w:szCs w:val="18"/>
              </w:rPr>
              <w:t>自 筹 资 金</w:t>
            </w:r>
          </w:p>
        </w:tc>
      </w:tr>
      <w:tr>
        <w:trPr>
          <w:trHeight w:val="392"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pacing w:val="-15"/>
                <w:sz w:val="18"/>
                <w:szCs w:val="18"/>
              </w:rPr>
              <w:t>其中：借款费用资本化金额</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3"/>
              <w:jc w:val="right"/>
              <w:rPr>
                <w:rFonts w:ascii="宋体" w:hAnsi="宋体" w:cs="宋体" w:eastAsia="宋体" w:hint="default"/>
                <w:sz w:val="18"/>
                <w:szCs w:val="18"/>
              </w:rPr>
            </w:pPr>
            <w:r>
              <w:rPr>
                <w:rFonts w:ascii="宋体"/>
                <w:sz w:val="18"/>
              </w:rPr>
              <w:t>-</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4"/>
              <w:jc w:val="right"/>
              <w:rPr>
                <w:rFonts w:ascii="宋体" w:hAnsi="宋体" w:cs="宋体" w:eastAsia="宋体" w:hint="default"/>
                <w:sz w:val="18"/>
                <w:szCs w:val="18"/>
              </w:rPr>
            </w:pPr>
            <w:r>
              <w:rPr>
                <w:rFonts w:ascii="宋体"/>
                <w:sz w:val="18"/>
              </w:rPr>
              <w:t>807,252.95</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9"/>
              <w:jc w:val="right"/>
              <w:rPr>
                <w:rFonts w:ascii="宋体" w:hAnsi="宋体" w:cs="宋体" w:eastAsia="宋体" w:hint="default"/>
                <w:sz w:val="18"/>
                <w:szCs w:val="18"/>
              </w:rPr>
            </w:pPr>
            <w:r>
              <w:rPr>
                <w:rFonts w:ascii="宋体"/>
                <w:sz w:val="18"/>
              </w:rPr>
              <w:t>-</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3"/>
              <w:jc w:val="right"/>
              <w:rPr>
                <w:rFonts w:ascii="宋体" w:hAnsi="宋体" w:cs="宋体" w:eastAsia="宋体" w:hint="default"/>
                <w:sz w:val="18"/>
                <w:szCs w:val="18"/>
              </w:rPr>
            </w:pPr>
            <w:r>
              <w:rPr>
                <w:rFonts w:ascii="宋体"/>
                <w:sz w:val="18"/>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6"/>
              <w:jc w:val="right"/>
              <w:rPr>
                <w:rFonts w:ascii="宋体" w:hAnsi="宋体" w:cs="宋体" w:eastAsia="宋体" w:hint="default"/>
                <w:sz w:val="18"/>
                <w:szCs w:val="18"/>
              </w:rPr>
            </w:pPr>
            <w:r>
              <w:rPr>
                <w:rFonts w:ascii="宋体"/>
                <w:sz w:val="18"/>
              </w:rPr>
              <w:t>807,252.95</w:t>
            </w:r>
          </w:p>
        </w:tc>
        <w:tc>
          <w:tcPr>
            <w:tcW w:w="457" w:type="dxa"/>
            <w:tcBorders>
              <w:top w:val="nil" w:sz="6" w:space="0" w:color="auto"/>
              <w:left w:val="nil" w:sz="6" w:space="0" w:color="auto"/>
              <w:bottom w:val="nil" w:sz="6" w:space="0" w:color="auto"/>
              <w:right w:val="nil" w:sz="6" w:space="0" w:color="auto"/>
            </w:tcBorders>
          </w:tcPr>
          <w:p>
            <w:pPr/>
          </w:p>
        </w:tc>
      </w:tr>
      <w:tr>
        <w:trPr>
          <w:trHeight w:val="392" w:hRule="exact"/>
        </w:trPr>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left"/>
              <w:rPr>
                <w:rFonts w:ascii="宋体" w:hAnsi="宋体" w:cs="宋体" w:eastAsia="宋体" w:hint="default"/>
                <w:sz w:val="18"/>
                <w:szCs w:val="18"/>
              </w:rPr>
            </w:pPr>
            <w:r>
              <w:rPr>
                <w:rFonts w:ascii="宋体" w:hAnsi="宋体" w:cs="宋体" w:eastAsia="宋体" w:hint="default"/>
                <w:spacing w:val="-17"/>
                <w:sz w:val="18"/>
                <w:szCs w:val="18"/>
              </w:rPr>
              <w:t>减：在建工程减值准备</w:t>
            </w:r>
            <w:r>
              <w:rPr>
                <w:rFonts w:ascii="宋体" w:hAnsi="宋体" w:cs="宋体" w:eastAsia="宋体" w:hint="default"/>
                <w:sz w:val="18"/>
                <w:szCs w:val="18"/>
              </w:rPr>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3"/>
              <w:jc w:val="right"/>
              <w:rPr>
                <w:rFonts w:ascii="宋体" w:hAnsi="宋体" w:cs="宋体" w:eastAsia="宋体" w:hint="default"/>
                <w:sz w:val="18"/>
                <w:szCs w:val="18"/>
              </w:rPr>
            </w:pPr>
            <w:r>
              <w:rPr>
                <w:rFonts w:ascii="宋体"/>
                <w:sz w:val="18"/>
              </w:rPr>
              <w:t>-</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4"/>
              <w:jc w:val="right"/>
              <w:rPr>
                <w:rFonts w:ascii="宋体" w:hAnsi="宋体" w:cs="宋体" w:eastAsia="宋体" w:hint="default"/>
                <w:sz w:val="18"/>
                <w:szCs w:val="18"/>
              </w:rPr>
            </w:pPr>
            <w:r>
              <w:rPr>
                <w:rFonts w:ascii="宋体"/>
                <w:sz w:val="18"/>
              </w:rPr>
              <w:t>-</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9"/>
              <w:jc w:val="right"/>
              <w:rPr>
                <w:rFonts w:ascii="宋体" w:hAnsi="宋体" w:cs="宋体" w:eastAsia="宋体" w:hint="default"/>
                <w:sz w:val="18"/>
                <w:szCs w:val="18"/>
              </w:rPr>
            </w:pPr>
            <w:r>
              <w:rPr>
                <w:rFonts w:ascii="宋体"/>
                <w:sz w:val="18"/>
              </w:rPr>
              <w:t>-</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3"/>
              <w:jc w:val="right"/>
              <w:rPr>
                <w:rFonts w:ascii="宋体" w:hAnsi="宋体" w:cs="宋体" w:eastAsia="宋体" w:hint="default"/>
                <w:sz w:val="18"/>
                <w:szCs w:val="18"/>
              </w:rPr>
            </w:pPr>
            <w:r>
              <w:rPr>
                <w:rFonts w:ascii="宋体"/>
                <w:sz w:val="18"/>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6"/>
              <w:jc w:val="right"/>
              <w:rPr>
                <w:rFonts w:ascii="宋体" w:hAnsi="宋体" w:cs="宋体" w:eastAsia="宋体" w:hint="default"/>
                <w:sz w:val="18"/>
                <w:szCs w:val="18"/>
              </w:rPr>
            </w:pPr>
            <w:r>
              <w:rPr>
                <w:rFonts w:ascii="宋体"/>
                <w:sz w:val="18"/>
              </w:rPr>
              <w:t>-</w:t>
            </w:r>
          </w:p>
        </w:tc>
        <w:tc>
          <w:tcPr>
            <w:tcW w:w="457" w:type="dxa"/>
            <w:tcBorders>
              <w:top w:val="nil" w:sz="6" w:space="0" w:color="auto"/>
              <w:left w:val="nil" w:sz="6" w:space="0" w:color="auto"/>
              <w:bottom w:val="nil" w:sz="6" w:space="0" w:color="auto"/>
              <w:right w:val="nil" w:sz="6" w:space="0" w:color="auto"/>
            </w:tcBorders>
          </w:tcPr>
          <w:p>
            <w:pPr/>
          </w:p>
        </w:tc>
      </w:tr>
      <w:tr>
        <w:trPr>
          <w:trHeight w:val="286" w:hRule="exact"/>
        </w:trPr>
        <w:tc>
          <w:tcPr>
            <w:tcW w:w="2400"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3"/>
              <w:jc w:val="right"/>
              <w:rPr>
                <w:rFonts w:ascii="宋体" w:hAnsi="宋体" w:cs="宋体" w:eastAsia="宋体" w:hint="default"/>
                <w:sz w:val="18"/>
                <w:szCs w:val="18"/>
              </w:rPr>
            </w:pPr>
            <w:r>
              <w:rPr>
                <w:rFonts w:ascii="宋体"/>
                <w:sz w:val="18"/>
              </w:rPr>
              <w:t>11,960,387.51</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4"/>
              <w:jc w:val="right"/>
              <w:rPr>
                <w:rFonts w:ascii="宋体" w:hAnsi="宋体" w:cs="宋体" w:eastAsia="宋体" w:hint="default"/>
                <w:sz w:val="18"/>
                <w:szCs w:val="18"/>
              </w:rPr>
            </w:pPr>
            <w:r>
              <w:rPr>
                <w:rFonts w:ascii="宋体"/>
                <w:sz w:val="18"/>
              </w:rPr>
              <w:t>171,499,497.71</w:t>
            </w:r>
          </w:p>
        </w:tc>
        <w:tc>
          <w:tcPr>
            <w:tcW w:w="13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69"/>
              <w:jc w:val="right"/>
              <w:rPr>
                <w:rFonts w:ascii="宋体" w:hAnsi="宋体" w:cs="宋体" w:eastAsia="宋体" w:hint="default"/>
                <w:sz w:val="18"/>
                <w:szCs w:val="18"/>
              </w:rPr>
            </w:pPr>
            <w:r>
              <w:rPr>
                <w:rFonts w:ascii="宋体"/>
                <w:sz w:val="18"/>
              </w:rPr>
              <w:t>43,250.00</w:t>
            </w:r>
          </w:p>
        </w:tc>
        <w:tc>
          <w:tcPr>
            <w:tcW w:w="58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23"/>
              <w:jc w:val="right"/>
              <w:rPr>
                <w:rFonts w:ascii="宋体" w:hAnsi="宋体" w:cs="宋体" w:eastAsia="宋体" w:hint="default"/>
                <w:sz w:val="18"/>
                <w:szCs w:val="18"/>
              </w:rPr>
            </w:pPr>
            <w:r>
              <w:rPr>
                <w:rFonts w:ascii="宋体"/>
                <w:sz w:val="18"/>
              </w:rPr>
              <w:t>-</w:t>
            </w: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6"/>
              <w:jc w:val="right"/>
              <w:rPr>
                <w:rFonts w:ascii="宋体" w:hAnsi="宋体" w:cs="宋体" w:eastAsia="宋体" w:hint="default"/>
                <w:sz w:val="18"/>
                <w:szCs w:val="18"/>
              </w:rPr>
            </w:pPr>
            <w:r>
              <w:rPr>
                <w:rFonts w:ascii="宋体"/>
                <w:sz w:val="18"/>
              </w:rPr>
              <w:t>183,416,635.22</w:t>
            </w:r>
          </w:p>
        </w:tc>
        <w:tc>
          <w:tcPr>
            <w:tcW w:w="457"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b/>
          <w:bCs/>
          <w:sz w:val="19"/>
          <w:szCs w:val="19"/>
        </w:rPr>
      </w:pPr>
    </w:p>
    <w:p>
      <w:pPr>
        <w:pStyle w:val="BodyText"/>
        <w:spacing w:line="240" w:lineRule="auto" w:before="26"/>
        <w:ind w:left="794" w:right="0"/>
        <w:jc w:val="left"/>
      </w:pPr>
      <w:r>
        <w:rPr/>
        <w:t>2008</w:t>
      </w:r>
      <w:r>
        <w:rPr>
          <w:spacing w:val="-60"/>
        </w:rPr>
        <w:t> </w:t>
      </w:r>
      <w:r>
        <w:rPr/>
        <w:t>年度用于确定资本化金额的资本化率为年利率</w:t>
      </w:r>
      <w:r>
        <w:rPr>
          <w:spacing w:val="-60"/>
        </w:rPr>
        <w:t> </w:t>
      </w:r>
      <w:r>
        <w:rPr/>
        <w:t>7.603%。</w:t>
      </w:r>
    </w:p>
    <w:p>
      <w:pPr>
        <w:pStyle w:val="Heading4"/>
        <w:spacing w:line="240" w:lineRule="auto" w:before="205"/>
        <w:ind w:right="0"/>
        <w:jc w:val="left"/>
        <w:rPr>
          <w:b w:val="0"/>
          <w:bCs w:val="0"/>
        </w:rPr>
      </w:pPr>
      <w:r>
        <w:rPr/>
        <w:t>11、无形资产</w:t>
      </w:r>
      <w:r>
        <w:rPr>
          <w:b w:val="0"/>
          <w:bCs w:val="0"/>
        </w:rPr>
      </w:r>
    </w:p>
    <w:p>
      <w:pPr>
        <w:spacing w:line="240" w:lineRule="auto" w:before="1"/>
        <w:rPr>
          <w:rFonts w:ascii="宋体" w:hAnsi="宋体" w:cs="宋体" w:eastAsia="宋体" w:hint="default"/>
          <w:b/>
          <w:bCs/>
          <w:sz w:val="20"/>
          <w:szCs w:val="20"/>
        </w:rPr>
      </w:pPr>
    </w:p>
    <w:tbl>
      <w:tblPr>
        <w:tblW w:w="0" w:type="auto"/>
        <w:jc w:val="left"/>
        <w:tblInd w:w="313" w:type="dxa"/>
        <w:tblLayout w:type="fixed"/>
        <w:tblCellMar>
          <w:top w:w="0" w:type="dxa"/>
          <w:left w:w="0" w:type="dxa"/>
          <w:bottom w:w="0" w:type="dxa"/>
          <w:right w:w="0" w:type="dxa"/>
        </w:tblCellMar>
        <w:tblLook w:val="01E0"/>
      </w:tblPr>
      <w:tblGrid>
        <w:gridCol w:w="2386"/>
        <w:gridCol w:w="199"/>
        <w:gridCol w:w="1781"/>
        <w:gridCol w:w="221"/>
        <w:gridCol w:w="1574"/>
        <w:gridCol w:w="199"/>
        <w:gridCol w:w="1390"/>
        <w:gridCol w:w="133"/>
        <w:gridCol w:w="1756"/>
      </w:tblGrid>
      <w:tr>
        <w:trPr>
          <w:trHeight w:val="210" w:hRule="exact"/>
        </w:trPr>
        <w:tc>
          <w:tcPr>
            <w:tcW w:w="2386" w:type="dxa"/>
            <w:tcBorders>
              <w:top w:val="nil" w:sz="6" w:space="0" w:color="auto"/>
              <w:left w:val="nil" w:sz="6" w:space="0" w:color="auto"/>
              <w:bottom w:val="single" w:sz="4" w:space="0" w:color="000000"/>
              <w:right w:val="nil" w:sz="6" w:space="0" w:color="auto"/>
            </w:tcBorders>
          </w:tcPr>
          <w:p>
            <w:pPr>
              <w:pStyle w:val="TableParagraph"/>
              <w:tabs>
                <w:tab w:pos="547" w:val="left" w:leader="none"/>
              </w:tabs>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180" w:lineRule="exact"/>
              <w:ind w:left="15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180" w:lineRule="exact"/>
              <w:ind w:left="43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180" w:lineRule="exact"/>
              <w:ind w:left="34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Style w:val="TableParagraph"/>
              <w:spacing w:line="180" w:lineRule="exact"/>
              <w:ind w:left="12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12" w:hRule="exact"/>
        </w:trPr>
        <w:tc>
          <w:tcPr>
            <w:tcW w:w="238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16,314,190.87</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7"/>
              <w:jc w:val="right"/>
              <w:rPr>
                <w:rFonts w:ascii="宋体" w:hAnsi="宋体" w:cs="宋体" w:eastAsia="宋体" w:hint="default"/>
                <w:sz w:val="18"/>
                <w:szCs w:val="18"/>
              </w:rPr>
            </w:pPr>
            <w:r>
              <w:rPr>
                <w:rFonts w:ascii="宋体"/>
                <w:sz w:val="18"/>
              </w:rPr>
              <w:t>8,430,900.00</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24,745,090.87</w:t>
            </w:r>
          </w:p>
        </w:tc>
      </w:tr>
      <w:tr>
        <w:trPr>
          <w:trHeight w:val="351"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pacing w:val="-14"/>
                <w:sz w:val="18"/>
                <w:szCs w:val="18"/>
              </w:rPr>
              <w:t>土地使用权</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8"/>
              <w:jc w:val="right"/>
              <w:rPr>
                <w:rFonts w:ascii="宋体" w:hAnsi="宋体" w:cs="宋体" w:eastAsia="宋体" w:hint="default"/>
                <w:sz w:val="18"/>
                <w:szCs w:val="18"/>
              </w:rPr>
            </w:pPr>
            <w:r>
              <w:rPr>
                <w:rFonts w:ascii="宋体"/>
                <w:spacing w:val="-9"/>
                <w:sz w:val="18"/>
              </w:rPr>
              <w:t>2,558,193.75</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2,558,193.75</w:t>
            </w:r>
          </w:p>
        </w:tc>
      </w:tr>
      <w:tr>
        <w:trPr>
          <w:trHeight w:val="307"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pacing w:val="-14"/>
                <w:sz w:val="18"/>
                <w:szCs w:val="18"/>
              </w:rPr>
              <w:t>土地使用权</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
              <w:jc w:val="right"/>
              <w:rPr>
                <w:rFonts w:ascii="宋体" w:hAnsi="宋体" w:cs="宋体" w:eastAsia="宋体" w:hint="default"/>
                <w:sz w:val="18"/>
                <w:szCs w:val="18"/>
              </w:rPr>
            </w:pPr>
            <w:r>
              <w:rPr>
                <w:rFonts w:ascii="宋体"/>
                <w:spacing w:val="-9"/>
                <w:sz w:val="18"/>
              </w:rPr>
              <w:t>6,641,573.12</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7"/>
              <w:jc w:val="right"/>
              <w:rPr>
                <w:rFonts w:ascii="宋体" w:hAnsi="宋体" w:cs="宋体" w:eastAsia="宋体" w:hint="default"/>
                <w:sz w:val="18"/>
                <w:szCs w:val="18"/>
              </w:rPr>
            </w:pPr>
            <w:r>
              <w:rPr>
                <w:rFonts w:ascii="宋体"/>
                <w:spacing w:val="-9"/>
                <w:sz w:val="18"/>
              </w:rPr>
              <w:t>6,641,573.12</w:t>
            </w:r>
            <w:r>
              <w:rPr>
                <w:rFonts w:ascii="宋体"/>
                <w:sz w:val="18"/>
              </w:rPr>
            </w:r>
          </w:p>
        </w:tc>
      </w:tr>
      <w:tr>
        <w:trPr>
          <w:trHeight w:val="312"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14"/>
                <w:sz w:val="18"/>
                <w:szCs w:val="18"/>
              </w:rPr>
              <w:t>土地使用权</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pacing w:val="-9"/>
                <w:sz w:val="18"/>
              </w:rPr>
              <w:t>839,904.00</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
              <w:jc w:val="right"/>
              <w:rPr>
                <w:rFonts w:ascii="宋体" w:hAnsi="宋体" w:cs="宋体" w:eastAsia="宋体" w:hint="default"/>
                <w:sz w:val="18"/>
                <w:szCs w:val="18"/>
              </w:rPr>
            </w:pPr>
            <w:r>
              <w:rPr>
                <w:rFonts w:ascii="宋体"/>
                <w:spacing w:val="-9"/>
                <w:sz w:val="18"/>
              </w:rPr>
              <w:t>839,904.00</w:t>
            </w:r>
            <w:r>
              <w:rPr>
                <w:rFonts w:ascii="宋体"/>
                <w:sz w:val="18"/>
              </w:rPr>
            </w:r>
          </w:p>
        </w:tc>
      </w:tr>
      <w:tr>
        <w:trPr>
          <w:trHeight w:val="312"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7"/>
                <w:sz w:val="18"/>
                <w:szCs w:val="18"/>
              </w:rPr>
              <w:t>ITBA</w:t>
            </w:r>
            <w:r>
              <w:rPr>
                <w:rFonts w:ascii="宋体" w:hAnsi="宋体" w:cs="宋体" w:eastAsia="宋体" w:hint="default"/>
                <w:spacing w:val="-53"/>
                <w:sz w:val="18"/>
                <w:szCs w:val="18"/>
              </w:rPr>
              <w:t> </w:t>
            </w:r>
            <w:r>
              <w:rPr>
                <w:rFonts w:ascii="宋体" w:hAnsi="宋体" w:cs="宋体" w:eastAsia="宋体" w:hint="default"/>
                <w:spacing w:val="-13"/>
                <w:sz w:val="18"/>
                <w:szCs w:val="18"/>
              </w:rPr>
              <w:t>专有技术</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pacing w:val="-9"/>
                <w:sz w:val="18"/>
              </w:rPr>
              <w:t>2,300,000.00</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
              <w:jc w:val="right"/>
              <w:rPr>
                <w:rFonts w:ascii="宋体" w:hAnsi="宋体" w:cs="宋体" w:eastAsia="宋体" w:hint="default"/>
                <w:sz w:val="18"/>
                <w:szCs w:val="18"/>
              </w:rPr>
            </w:pPr>
            <w:r>
              <w:rPr>
                <w:rFonts w:ascii="宋体"/>
                <w:sz w:val="18"/>
              </w:rPr>
              <w:t>2,300,000.00</w:t>
            </w:r>
          </w:p>
        </w:tc>
      </w:tr>
      <w:tr>
        <w:trPr>
          <w:trHeight w:val="312"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6"/>
                <w:sz w:val="18"/>
                <w:szCs w:val="18"/>
              </w:rPr>
              <w:t>SVC</w:t>
            </w:r>
            <w:r>
              <w:rPr>
                <w:rFonts w:ascii="宋体" w:hAnsi="宋体" w:cs="宋体" w:eastAsia="宋体" w:hint="default"/>
                <w:spacing w:val="-54"/>
                <w:sz w:val="18"/>
                <w:szCs w:val="18"/>
              </w:rPr>
              <w:t> </w:t>
            </w:r>
            <w:r>
              <w:rPr>
                <w:rFonts w:ascii="宋体" w:hAnsi="宋体" w:cs="宋体" w:eastAsia="宋体" w:hint="default"/>
                <w:spacing w:val="-13"/>
                <w:sz w:val="18"/>
                <w:szCs w:val="18"/>
              </w:rPr>
              <w:t>专有技术</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pacing w:val="-9"/>
                <w:sz w:val="18"/>
              </w:rPr>
              <w:t>2,690,000.00</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
              <w:jc w:val="right"/>
              <w:rPr>
                <w:rFonts w:ascii="宋体" w:hAnsi="宋体" w:cs="宋体" w:eastAsia="宋体" w:hint="default"/>
                <w:sz w:val="18"/>
                <w:szCs w:val="18"/>
              </w:rPr>
            </w:pPr>
            <w:r>
              <w:rPr>
                <w:rFonts w:ascii="宋体"/>
                <w:sz w:val="18"/>
              </w:rPr>
              <w:t>2,690,000.00</w:t>
            </w:r>
          </w:p>
        </w:tc>
      </w:tr>
      <w:tr>
        <w:trPr>
          <w:trHeight w:val="312"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8"/>
                <w:sz w:val="18"/>
                <w:szCs w:val="18"/>
              </w:rPr>
              <w:t>BY-SCADA</w:t>
            </w:r>
            <w:r>
              <w:rPr>
                <w:rFonts w:ascii="宋体" w:hAnsi="宋体" w:cs="宋体" w:eastAsia="宋体" w:hint="default"/>
                <w:spacing w:val="-55"/>
                <w:sz w:val="18"/>
                <w:szCs w:val="18"/>
              </w:rPr>
              <w:t> </w:t>
            </w:r>
            <w:r>
              <w:rPr>
                <w:rFonts w:ascii="宋体" w:hAnsi="宋体" w:cs="宋体" w:eastAsia="宋体" w:hint="default"/>
                <w:spacing w:val="-16"/>
                <w:sz w:val="18"/>
                <w:szCs w:val="18"/>
              </w:rPr>
              <w:t>系统技术</w:t>
            </w:r>
            <w:r>
              <w:rPr>
                <w:rFonts w:ascii="宋体" w:hAnsi="宋体" w:cs="宋体" w:eastAsia="宋体" w:hint="default"/>
                <w:sz w:val="18"/>
                <w:szCs w:val="18"/>
              </w:rPr>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pacing w:val="-9"/>
                <w:sz w:val="18"/>
              </w:rPr>
              <w:t>480,000.00</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
              <w:jc w:val="right"/>
              <w:rPr>
                <w:rFonts w:ascii="宋体" w:hAnsi="宋体" w:cs="宋体" w:eastAsia="宋体" w:hint="default"/>
                <w:sz w:val="18"/>
                <w:szCs w:val="18"/>
              </w:rPr>
            </w:pPr>
            <w:r>
              <w:rPr>
                <w:rFonts w:ascii="宋体"/>
                <w:sz w:val="18"/>
              </w:rPr>
              <w:t>480,000.00</w:t>
            </w:r>
          </w:p>
        </w:tc>
      </w:tr>
      <w:tr>
        <w:trPr>
          <w:trHeight w:val="312"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17"/>
                <w:sz w:val="18"/>
                <w:szCs w:val="18"/>
              </w:rPr>
              <w:t>能量回收发电集成技术</w:t>
            </w:r>
            <w:r>
              <w:rPr>
                <w:rFonts w:ascii="宋体" w:hAnsi="宋体" w:cs="宋体" w:eastAsia="宋体" w:hint="default"/>
                <w:sz w:val="18"/>
                <w:szCs w:val="18"/>
              </w:rPr>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7,757,700.00</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
              <w:jc w:val="right"/>
              <w:rPr>
                <w:rFonts w:ascii="宋体" w:hAnsi="宋体" w:cs="宋体" w:eastAsia="宋体" w:hint="default"/>
                <w:sz w:val="18"/>
                <w:szCs w:val="18"/>
              </w:rPr>
            </w:pPr>
            <w:r>
              <w:rPr>
                <w:rFonts w:ascii="宋体"/>
                <w:sz w:val="18"/>
              </w:rPr>
              <w:t>7,757,700.00</w:t>
            </w:r>
          </w:p>
        </w:tc>
      </w:tr>
      <w:tr>
        <w:trPr>
          <w:trHeight w:val="278"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9"/>
                <w:sz w:val="18"/>
                <w:szCs w:val="18"/>
              </w:rPr>
              <w:t>软件</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8"/>
              <w:jc w:val="right"/>
              <w:rPr>
                <w:rFonts w:ascii="宋体" w:hAnsi="宋体" w:cs="宋体" w:eastAsia="宋体" w:hint="default"/>
                <w:sz w:val="18"/>
                <w:szCs w:val="18"/>
              </w:rPr>
            </w:pPr>
            <w:r>
              <w:rPr>
                <w:rFonts w:ascii="宋体"/>
                <w:spacing w:val="-9"/>
                <w:sz w:val="18"/>
              </w:rPr>
              <w:t>804,520.00</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673,200.00</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6"/>
              <w:jc w:val="right"/>
              <w:rPr>
                <w:rFonts w:ascii="宋体" w:hAnsi="宋体" w:cs="宋体" w:eastAsia="宋体" w:hint="default"/>
                <w:sz w:val="18"/>
                <w:szCs w:val="18"/>
              </w:rPr>
            </w:pPr>
            <w:r>
              <w:rPr>
                <w:rFonts w:ascii="宋体"/>
                <w:sz w:val="18"/>
              </w:rPr>
              <w:t>1,477,720.00</w:t>
            </w:r>
          </w:p>
        </w:tc>
      </w:tr>
      <w:tr>
        <w:trPr>
          <w:trHeight w:val="312"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5,668,117.31</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7"/>
              <w:jc w:val="right"/>
              <w:rPr>
                <w:rFonts w:ascii="宋体" w:hAnsi="宋体" w:cs="宋体" w:eastAsia="宋体" w:hint="default"/>
                <w:sz w:val="18"/>
                <w:szCs w:val="18"/>
              </w:rPr>
            </w:pPr>
            <w:r>
              <w:rPr>
                <w:rFonts w:ascii="宋体"/>
                <w:sz w:val="18"/>
              </w:rPr>
              <w:t>1,647,454.48</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7,315,571.79</w:t>
            </w:r>
          </w:p>
        </w:tc>
      </w:tr>
      <w:tr>
        <w:trPr>
          <w:trHeight w:val="351"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宋体" w:hAnsi="宋体" w:cs="宋体" w:eastAsia="宋体" w:hint="default"/>
                <w:sz w:val="18"/>
                <w:szCs w:val="18"/>
              </w:rPr>
            </w:pPr>
            <w:r>
              <w:rPr>
                <w:rFonts w:ascii="宋体" w:hAnsi="宋体" w:cs="宋体" w:eastAsia="宋体" w:hint="default"/>
                <w:spacing w:val="-17"/>
                <w:sz w:val="18"/>
                <w:szCs w:val="18"/>
              </w:rPr>
              <w:t>土地使用权</w:t>
            </w:r>
            <w:r>
              <w:rPr>
                <w:rFonts w:ascii="宋体" w:hAnsi="宋体" w:cs="宋体" w:eastAsia="宋体" w:hint="default"/>
                <w:sz w:val="18"/>
                <w:szCs w:val="18"/>
              </w:rPr>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994,919.11</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
              <w:jc w:val="right"/>
              <w:rPr>
                <w:rFonts w:ascii="宋体" w:hAnsi="宋体" w:cs="宋体" w:eastAsia="宋体" w:hint="default"/>
                <w:sz w:val="18"/>
                <w:szCs w:val="18"/>
              </w:rPr>
            </w:pPr>
            <w:r>
              <w:rPr>
                <w:rFonts w:ascii="宋体"/>
                <w:sz w:val="18"/>
              </w:rPr>
              <w:t>111,225.84</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1,106,144.95</w:t>
            </w:r>
          </w:p>
        </w:tc>
      </w:tr>
      <w:tr>
        <w:trPr>
          <w:trHeight w:val="307"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r>
              <w:rPr>
                <w:rFonts w:ascii="宋体" w:hAnsi="宋体" w:cs="宋体" w:eastAsia="宋体" w:hint="default"/>
                <w:spacing w:val="-17"/>
                <w:sz w:val="18"/>
                <w:szCs w:val="18"/>
              </w:rPr>
              <w:t>土地使用权</w:t>
            </w:r>
            <w:r>
              <w:rPr>
                <w:rFonts w:ascii="宋体" w:hAnsi="宋体" w:cs="宋体" w:eastAsia="宋体" w:hint="default"/>
                <w:sz w:val="18"/>
                <w:szCs w:val="18"/>
              </w:rPr>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right"/>
              <w:rPr>
                <w:rFonts w:ascii="宋体" w:hAnsi="宋体" w:cs="宋体" w:eastAsia="宋体" w:hint="default"/>
                <w:sz w:val="18"/>
                <w:szCs w:val="18"/>
              </w:rPr>
            </w:pPr>
            <w:r>
              <w:rPr>
                <w:rFonts w:ascii="宋体"/>
                <w:sz w:val="18"/>
              </w:rPr>
              <w:t>19,597.76</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
              <w:jc w:val="right"/>
              <w:rPr>
                <w:rFonts w:ascii="宋体" w:hAnsi="宋体" w:cs="宋体" w:eastAsia="宋体" w:hint="default"/>
                <w:sz w:val="18"/>
                <w:szCs w:val="18"/>
              </w:rPr>
            </w:pPr>
            <w:r>
              <w:rPr>
                <w:rFonts w:ascii="宋体"/>
                <w:sz w:val="18"/>
              </w:rPr>
              <w:t>16,798.08</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
              <w:jc w:val="right"/>
              <w:rPr>
                <w:rFonts w:ascii="宋体" w:hAnsi="宋体" w:cs="宋体" w:eastAsia="宋体" w:hint="default"/>
                <w:sz w:val="18"/>
                <w:szCs w:val="18"/>
              </w:rPr>
            </w:pPr>
            <w:r>
              <w:rPr>
                <w:rFonts w:ascii="宋体"/>
                <w:sz w:val="18"/>
              </w:rPr>
              <w:t>36,395.84</w:t>
            </w:r>
          </w:p>
        </w:tc>
      </w:tr>
      <w:tr>
        <w:trPr>
          <w:trHeight w:val="312"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17"/>
                <w:sz w:val="18"/>
                <w:szCs w:val="18"/>
              </w:rPr>
              <w:t>土地使用权</w:t>
            </w:r>
            <w:r>
              <w:rPr>
                <w:rFonts w:ascii="宋体" w:hAnsi="宋体" w:cs="宋体" w:eastAsia="宋体" w:hint="default"/>
                <w:sz w:val="18"/>
                <w:szCs w:val="18"/>
              </w:rPr>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143,900.77</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132,831.48</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
              <w:jc w:val="right"/>
              <w:rPr>
                <w:rFonts w:ascii="宋体" w:hAnsi="宋体" w:cs="宋体" w:eastAsia="宋体" w:hint="default"/>
                <w:sz w:val="18"/>
                <w:szCs w:val="18"/>
              </w:rPr>
            </w:pPr>
            <w:r>
              <w:rPr>
                <w:rFonts w:ascii="宋体"/>
                <w:sz w:val="18"/>
              </w:rPr>
              <w:t>276,732.25</w:t>
            </w:r>
          </w:p>
        </w:tc>
      </w:tr>
      <w:tr>
        <w:trPr>
          <w:trHeight w:val="312"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7"/>
                <w:sz w:val="18"/>
                <w:szCs w:val="18"/>
              </w:rPr>
              <w:t>ITBA</w:t>
            </w:r>
            <w:r>
              <w:rPr>
                <w:rFonts w:ascii="宋体" w:hAnsi="宋体" w:cs="宋体" w:eastAsia="宋体" w:hint="default"/>
                <w:spacing w:val="-53"/>
                <w:sz w:val="18"/>
                <w:szCs w:val="18"/>
              </w:rPr>
              <w:t> </w:t>
            </w:r>
            <w:r>
              <w:rPr>
                <w:rFonts w:ascii="宋体" w:hAnsi="宋体" w:cs="宋体" w:eastAsia="宋体" w:hint="default"/>
                <w:spacing w:val="-13"/>
                <w:sz w:val="18"/>
                <w:szCs w:val="18"/>
              </w:rPr>
              <w:t>专有技术</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1,686,696.00</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230,004.00</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
              <w:jc w:val="right"/>
              <w:rPr>
                <w:rFonts w:ascii="宋体" w:hAnsi="宋体" w:cs="宋体" w:eastAsia="宋体" w:hint="default"/>
                <w:sz w:val="18"/>
                <w:szCs w:val="18"/>
              </w:rPr>
            </w:pPr>
            <w:r>
              <w:rPr>
                <w:rFonts w:ascii="宋体"/>
                <w:sz w:val="18"/>
              </w:rPr>
              <w:t>1,916,700.00</w:t>
            </w:r>
          </w:p>
        </w:tc>
      </w:tr>
      <w:tr>
        <w:trPr>
          <w:trHeight w:val="312"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6"/>
                <w:sz w:val="18"/>
                <w:szCs w:val="18"/>
              </w:rPr>
              <w:t>SVC</w:t>
            </w:r>
            <w:r>
              <w:rPr>
                <w:rFonts w:ascii="宋体" w:hAnsi="宋体" w:cs="宋体" w:eastAsia="宋体" w:hint="default"/>
                <w:spacing w:val="-54"/>
                <w:sz w:val="18"/>
                <w:szCs w:val="18"/>
              </w:rPr>
              <w:t> </w:t>
            </w:r>
            <w:r>
              <w:rPr>
                <w:rFonts w:ascii="宋体" w:hAnsi="宋体" w:cs="宋体" w:eastAsia="宋体" w:hint="default"/>
                <w:spacing w:val="-13"/>
                <w:sz w:val="18"/>
                <w:szCs w:val="18"/>
              </w:rPr>
              <w:t>专有技术</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2,421,000.32</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269,000.04</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
              <w:jc w:val="right"/>
              <w:rPr>
                <w:rFonts w:ascii="宋体" w:hAnsi="宋体" w:cs="宋体" w:eastAsia="宋体" w:hint="default"/>
                <w:sz w:val="18"/>
                <w:szCs w:val="18"/>
              </w:rPr>
            </w:pPr>
            <w:r>
              <w:rPr>
                <w:rFonts w:ascii="宋体"/>
                <w:sz w:val="18"/>
              </w:rPr>
              <w:t>2,690,000.36</w:t>
            </w:r>
          </w:p>
        </w:tc>
      </w:tr>
      <w:tr>
        <w:trPr>
          <w:trHeight w:val="312"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8"/>
                <w:sz w:val="18"/>
                <w:szCs w:val="18"/>
              </w:rPr>
              <w:t>BY-SCADA</w:t>
            </w:r>
            <w:r>
              <w:rPr>
                <w:rFonts w:ascii="宋体" w:hAnsi="宋体" w:cs="宋体" w:eastAsia="宋体" w:hint="default"/>
                <w:spacing w:val="-55"/>
                <w:sz w:val="18"/>
                <w:szCs w:val="18"/>
              </w:rPr>
              <w:t> </w:t>
            </w:r>
            <w:r>
              <w:rPr>
                <w:rFonts w:ascii="宋体" w:hAnsi="宋体" w:cs="宋体" w:eastAsia="宋体" w:hint="default"/>
                <w:spacing w:val="-16"/>
                <w:sz w:val="18"/>
                <w:szCs w:val="18"/>
              </w:rPr>
              <w:t>系统技术</w:t>
            </w:r>
            <w:r>
              <w:rPr>
                <w:rFonts w:ascii="宋体" w:hAnsi="宋体" w:cs="宋体" w:eastAsia="宋体" w:hint="default"/>
                <w:sz w:val="18"/>
                <w:szCs w:val="18"/>
              </w:rPr>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204,000.00</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48,000.00</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
              <w:jc w:val="right"/>
              <w:rPr>
                <w:rFonts w:ascii="宋体" w:hAnsi="宋体" w:cs="宋体" w:eastAsia="宋体" w:hint="default"/>
                <w:sz w:val="18"/>
                <w:szCs w:val="18"/>
              </w:rPr>
            </w:pPr>
            <w:r>
              <w:rPr>
                <w:rFonts w:ascii="宋体"/>
                <w:sz w:val="18"/>
              </w:rPr>
              <w:t>252,000.00</w:t>
            </w:r>
          </w:p>
        </w:tc>
      </w:tr>
      <w:tr>
        <w:trPr>
          <w:trHeight w:val="312"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17"/>
                <w:sz w:val="18"/>
                <w:szCs w:val="18"/>
              </w:rPr>
              <w:t>能量回收发电集成技术</w:t>
            </w:r>
            <w:r>
              <w:rPr>
                <w:rFonts w:ascii="宋体" w:hAnsi="宋体" w:cs="宋体" w:eastAsia="宋体" w:hint="default"/>
                <w:sz w:val="18"/>
                <w:szCs w:val="18"/>
              </w:rPr>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right"/>
              <w:rPr>
                <w:rFonts w:ascii="宋体" w:hAnsi="宋体" w:cs="宋体" w:eastAsia="宋体" w:hint="default"/>
                <w:sz w:val="18"/>
                <w:szCs w:val="18"/>
              </w:rPr>
            </w:pPr>
            <w:r>
              <w:rPr>
                <w:rFonts w:ascii="宋体"/>
                <w:sz w:val="18"/>
              </w:rPr>
              <w:t>-</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646,475.00</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
              <w:jc w:val="right"/>
              <w:rPr>
                <w:rFonts w:ascii="宋体" w:hAnsi="宋体" w:cs="宋体" w:eastAsia="宋体" w:hint="default"/>
                <w:sz w:val="18"/>
                <w:szCs w:val="18"/>
              </w:rPr>
            </w:pPr>
            <w:r>
              <w:rPr>
                <w:rFonts w:ascii="宋体"/>
                <w:sz w:val="18"/>
              </w:rPr>
              <w:t>646,475.00</w:t>
            </w:r>
          </w:p>
        </w:tc>
      </w:tr>
      <w:tr>
        <w:trPr>
          <w:trHeight w:val="278"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pacing w:val="-17"/>
                <w:sz w:val="18"/>
                <w:szCs w:val="18"/>
              </w:rPr>
              <w:t>软件</w:t>
            </w:r>
            <w:r>
              <w:rPr>
                <w:rFonts w:ascii="宋体" w:hAnsi="宋体" w:cs="宋体" w:eastAsia="宋体" w:hint="default"/>
                <w:sz w:val="18"/>
                <w:szCs w:val="18"/>
              </w:rPr>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pacing w:val="-11"/>
                <w:sz w:val="18"/>
              </w:rPr>
              <w:t>198,003.35</w:t>
            </w:r>
            <w:r>
              <w:rPr>
                <w:rFonts w:ascii="宋体"/>
                <w:sz w:val="18"/>
              </w:rPr>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
              <w:jc w:val="right"/>
              <w:rPr>
                <w:rFonts w:ascii="宋体" w:hAnsi="宋体" w:cs="宋体" w:eastAsia="宋体" w:hint="default"/>
                <w:sz w:val="18"/>
                <w:szCs w:val="18"/>
              </w:rPr>
            </w:pPr>
            <w:r>
              <w:rPr>
                <w:rFonts w:ascii="宋体"/>
                <w:sz w:val="18"/>
              </w:rPr>
              <w:t>193,120.04</w:t>
            </w: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8"/>
              <w:jc w:val="right"/>
              <w:rPr>
                <w:rFonts w:ascii="宋体" w:hAnsi="宋体" w:cs="宋体" w:eastAsia="宋体" w:hint="default"/>
                <w:sz w:val="18"/>
                <w:szCs w:val="18"/>
              </w:rPr>
            </w:pPr>
            <w:r>
              <w:rPr>
                <w:rFonts w:ascii="宋体"/>
                <w:sz w:val="18"/>
              </w:rPr>
              <w:t>-</w:t>
            </w: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16"/>
              <w:jc w:val="right"/>
              <w:rPr>
                <w:rFonts w:ascii="宋体" w:hAnsi="宋体" w:cs="宋体" w:eastAsia="宋体" w:hint="default"/>
                <w:sz w:val="18"/>
                <w:szCs w:val="18"/>
              </w:rPr>
            </w:pPr>
            <w:r>
              <w:rPr>
                <w:rFonts w:ascii="宋体"/>
                <w:sz w:val="18"/>
              </w:rPr>
              <w:t>391,123.39</w:t>
            </w:r>
          </w:p>
        </w:tc>
      </w:tr>
      <w:tr>
        <w:trPr>
          <w:trHeight w:val="323" w:hRule="exact"/>
        </w:trPr>
        <w:tc>
          <w:tcPr>
            <w:tcW w:w="238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left"/>
              <w:rPr>
                <w:rFonts w:ascii="宋体" w:hAnsi="宋体" w:cs="宋体" w:eastAsia="宋体" w:hint="default"/>
                <w:sz w:val="18"/>
                <w:szCs w:val="18"/>
              </w:rPr>
            </w:pPr>
            <w:r>
              <w:rPr>
                <w:rFonts w:ascii="宋体" w:hAnsi="宋体" w:cs="宋体" w:eastAsia="宋体" w:hint="default"/>
                <w:sz w:val="18"/>
                <w:szCs w:val="18"/>
              </w:rPr>
              <w:t>三、无形资产账面价值合计</w:t>
            </w:r>
          </w:p>
        </w:tc>
        <w:tc>
          <w:tcPr>
            <w:tcW w:w="199"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10,646,073.56</w:t>
            </w:r>
          </w:p>
        </w:tc>
        <w:tc>
          <w:tcPr>
            <w:tcW w:w="221"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390"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75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6"/>
              <w:jc w:val="right"/>
              <w:rPr>
                <w:rFonts w:ascii="宋体" w:hAnsi="宋体" w:cs="宋体" w:eastAsia="宋体" w:hint="default"/>
                <w:sz w:val="18"/>
                <w:szCs w:val="18"/>
              </w:rPr>
            </w:pPr>
            <w:r>
              <w:rPr>
                <w:rFonts w:ascii="宋体"/>
                <w:sz w:val="18"/>
              </w:rPr>
              <w:t>17,429,519.08</w:t>
            </w:r>
          </w:p>
        </w:tc>
      </w:tr>
    </w:tbl>
    <w:p>
      <w:pPr>
        <w:spacing w:line="240" w:lineRule="auto" w:before="13"/>
        <w:rPr>
          <w:rFonts w:ascii="宋体" w:hAnsi="宋体" w:cs="宋体" w:eastAsia="宋体" w:hint="default"/>
          <w:b/>
          <w:bCs/>
          <w:sz w:val="10"/>
          <w:szCs w:val="10"/>
        </w:rPr>
      </w:pPr>
    </w:p>
    <w:p>
      <w:pPr>
        <w:pStyle w:val="BodyText"/>
        <w:spacing w:line="307" w:lineRule="auto" w:before="26"/>
        <w:ind w:left="314" w:right="213" w:firstLine="480"/>
        <w:jc w:val="left"/>
      </w:pPr>
      <w:r>
        <w:rPr/>
        <w:t>于</w:t>
      </w:r>
      <w:r>
        <w:rPr>
          <w:spacing w:val="-58"/>
        </w:rPr>
        <w:t> </w:t>
      </w:r>
      <w:r>
        <w:rPr>
          <w:spacing w:val="12"/>
        </w:rPr>
        <w:t>2008年</w:t>
      </w:r>
      <w:r>
        <w:rPr>
          <w:spacing w:val="-58"/>
        </w:rPr>
        <w:t> </w:t>
      </w:r>
      <w:r>
        <w:rPr>
          <w:spacing w:val="20"/>
        </w:rPr>
        <w:t>12月</w:t>
      </w:r>
      <w:r>
        <w:rPr>
          <w:spacing w:val="-58"/>
        </w:rPr>
        <w:t> </w:t>
      </w:r>
      <w:r>
        <w:rPr/>
        <w:t>31</w:t>
      </w:r>
      <w:r>
        <w:rPr>
          <w:spacing w:val="-58"/>
        </w:rPr>
        <w:t> </w:t>
      </w:r>
      <w:r>
        <w:rPr>
          <w:spacing w:val="-11"/>
        </w:rPr>
        <w:t>日，摊余价值为</w:t>
      </w:r>
      <w:r>
        <w:rPr>
          <w:spacing w:val="-58"/>
        </w:rPr>
        <w:t> </w:t>
      </w:r>
      <w:r>
        <w:rPr/>
        <w:t>8,057,226.08</w:t>
      </w:r>
      <w:r>
        <w:rPr>
          <w:spacing w:val="-58"/>
        </w:rPr>
        <w:t> </w:t>
      </w:r>
      <w:r>
        <w:rPr>
          <w:spacing w:val="-8"/>
        </w:rPr>
        <w:t>元的土地使用权，作为</w:t>
      </w:r>
      <w:r>
        <w:rPr>
          <w:spacing w:val="-58"/>
        </w:rPr>
        <w:t> </w:t>
      </w:r>
      <w:r>
        <w:rPr/>
        <w:t>40,000,000.00</w:t>
      </w:r>
      <w:r>
        <w:rPr/>
        <w:t> 元短期借款的抵押物。</w:t>
      </w:r>
    </w:p>
    <w:p>
      <w:pPr>
        <w:pStyle w:val="Heading4"/>
        <w:spacing w:line="240" w:lineRule="auto" w:before="138"/>
        <w:ind w:right="0"/>
        <w:jc w:val="left"/>
        <w:rPr>
          <w:b w:val="0"/>
          <w:bCs w:val="0"/>
        </w:rPr>
      </w:pPr>
      <w:r>
        <w:rPr/>
        <w:t>12、商誉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spacing w:before="44"/>
        <w:ind w:left="3916" w:right="6137" w:firstLine="0"/>
        <w:jc w:val="center"/>
        <w:rPr>
          <w:rFonts w:ascii="宋体" w:hAnsi="宋体" w:cs="宋体" w:eastAsia="宋体" w:hint="default"/>
          <w:sz w:val="18"/>
          <w:szCs w:val="18"/>
        </w:rPr>
      </w:pPr>
      <w:r>
        <w:rPr/>
        <w:pict>
          <v:shape style="position:absolute;margin-left:46.700001pt;margin-top:-16.865662pt;width:491.95pt;height:81.2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22"/>
                    <w:gridCol w:w="90"/>
                    <w:gridCol w:w="274"/>
                    <w:gridCol w:w="1538"/>
                    <w:gridCol w:w="272"/>
                    <w:gridCol w:w="1538"/>
                    <w:gridCol w:w="270"/>
                    <w:gridCol w:w="2034"/>
                  </w:tblGrid>
                  <w:tr>
                    <w:trPr>
                      <w:trHeight w:val="308" w:hRule="exact"/>
                    </w:trPr>
                    <w:tc>
                      <w:tcPr>
                        <w:tcW w:w="3822" w:type="dxa"/>
                        <w:tcBorders>
                          <w:top w:val="nil" w:sz="6" w:space="0" w:color="auto"/>
                          <w:left w:val="nil" w:sz="6" w:space="0" w:color="auto"/>
                          <w:bottom w:val="single" w:sz="4" w:space="0" w:color="000000"/>
                          <w:right w:val="nil" w:sz="6" w:space="0" w:color="auto"/>
                        </w:tcBorders>
                      </w:tcPr>
                      <w:p>
                        <w:pPr>
                          <w:pStyle w:val="TableParagraph"/>
                          <w:spacing w:line="180" w:lineRule="exact"/>
                          <w:ind w:left="217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0" w:type="dxa"/>
                        <w:tcBorders>
                          <w:top w:val="nil" w:sz="6" w:space="0" w:color="auto"/>
                          <w:left w:val="nil" w:sz="6" w:space="0" w:color="auto"/>
                          <w:bottom w:val="single" w:sz="4" w:space="0" w:color="000000"/>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180" w:lineRule="exact"/>
                          <w:ind w:left="41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7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4" w:space="0" w:color="000000"/>
                          <w:right w:val="nil" w:sz="6" w:space="0" w:color="auto"/>
                        </w:tcBorders>
                      </w:tcPr>
                      <w:p>
                        <w:pPr>
                          <w:pStyle w:val="TableParagraph"/>
                          <w:spacing w:line="180" w:lineRule="exact"/>
                          <w:ind w:left="41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70"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4" w:space="0" w:color="000000"/>
                          <w:right w:val="nil" w:sz="6" w:space="0" w:color="auto"/>
                        </w:tcBorders>
                      </w:tcPr>
                      <w:p>
                        <w:pPr>
                          <w:pStyle w:val="TableParagraph"/>
                          <w:spacing w:line="180" w:lineRule="exact"/>
                          <w:ind w:left="26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30" w:hRule="exact"/>
                    </w:trPr>
                    <w:tc>
                      <w:tcPr>
                        <w:tcW w:w="3822"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0" w:type="dxa"/>
                        <w:tcBorders>
                          <w:top w:val="single" w:sz="4" w:space="0" w:color="000000"/>
                          <w:left w:val="nil" w:sz="6" w:space="0" w:color="auto"/>
                          <w:bottom w:val="nil" w:sz="6" w:space="0" w:color="auto"/>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4,733,906.33</w:t>
                        </w:r>
                      </w:p>
                    </w:tc>
                    <w:tc>
                      <w:tcPr>
                        <w:tcW w:w="272" w:type="dxa"/>
                        <w:tcBorders>
                          <w:top w:val="nil" w:sz="6" w:space="0" w:color="auto"/>
                          <w:left w:val="nil" w:sz="6" w:space="0" w:color="auto"/>
                          <w:bottom w:val="nil" w:sz="6" w:space="0" w:color="auto"/>
                          <w:right w:val="nil" w:sz="6" w:space="0" w:color="auto"/>
                        </w:tcBorders>
                      </w:tcPr>
                      <w:p>
                        <w:pP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w:t>
                        </w:r>
                      </w:p>
                    </w:tc>
                    <w:tc>
                      <w:tcPr>
                        <w:tcW w:w="270" w:type="dxa"/>
                        <w:tcBorders>
                          <w:top w:val="nil" w:sz="6" w:space="0" w:color="auto"/>
                          <w:left w:val="nil" w:sz="6" w:space="0" w:color="auto"/>
                          <w:bottom w:val="nil" w:sz="6" w:space="0" w:color="auto"/>
                          <w:right w:val="nil" w:sz="6" w:space="0" w:color="auto"/>
                        </w:tcBorders>
                      </w:tcPr>
                      <w:p>
                        <w:pPr/>
                      </w:p>
                    </w:tc>
                    <w:tc>
                      <w:tcPr>
                        <w:tcW w:w="203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1"/>
                          <w:jc w:val="right"/>
                          <w:rPr>
                            <w:rFonts w:ascii="宋体" w:hAnsi="宋体" w:cs="宋体" w:eastAsia="宋体" w:hint="default"/>
                            <w:sz w:val="18"/>
                            <w:szCs w:val="18"/>
                          </w:rPr>
                        </w:pPr>
                        <w:r>
                          <w:rPr>
                            <w:rFonts w:ascii="宋体"/>
                            <w:sz w:val="18"/>
                          </w:rPr>
                          <w:t>4,733,906.33</w:t>
                        </w:r>
                      </w:p>
                    </w:tc>
                  </w:tr>
                  <w:tr>
                    <w:trPr>
                      <w:trHeight w:val="426" w:hRule="exact"/>
                    </w:trPr>
                    <w:tc>
                      <w:tcPr>
                        <w:tcW w:w="3822" w:type="dxa"/>
                        <w:tcBorders>
                          <w:top w:val="nil" w:sz="6" w:space="0" w:color="auto"/>
                          <w:left w:val="nil" w:sz="6" w:space="0" w:color="auto"/>
                          <w:bottom w:val="single" w:sz="2" w:space="0" w:color="000000"/>
                          <w:right w:val="nil" w:sz="6" w:space="0" w:color="auto"/>
                        </w:tcBorders>
                      </w:tcPr>
                      <w:p>
                        <w:pPr>
                          <w:pStyle w:val="TableParagraph"/>
                          <w:spacing w:line="240" w:lineRule="auto" w:before="66"/>
                          <w:ind w:left="200"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90" w:type="dxa"/>
                        <w:tcBorders>
                          <w:top w:val="nil" w:sz="6" w:space="0" w:color="auto"/>
                          <w:left w:val="nil" w:sz="6" w:space="0" w:color="auto"/>
                          <w:bottom w:val="single" w:sz="2" w:space="0" w:color="000000"/>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2" w:space="0" w:color="000000"/>
                          <w:right w:val="nil" w:sz="6" w:space="0" w:color="auto"/>
                        </w:tcBorders>
                      </w:tcPr>
                      <w:p>
                        <w:pPr>
                          <w:pStyle w:val="TableParagraph"/>
                          <w:spacing w:line="240" w:lineRule="auto" w:before="66"/>
                          <w:ind w:right="0"/>
                          <w:jc w:val="right"/>
                          <w:rPr>
                            <w:rFonts w:ascii="宋体" w:hAnsi="宋体" w:cs="宋体" w:eastAsia="宋体" w:hint="default"/>
                            <w:sz w:val="18"/>
                            <w:szCs w:val="18"/>
                          </w:rPr>
                        </w:pPr>
                        <w:r>
                          <w:rPr>
                            <w:rFonts w:ascii="宋体"/>
                            <w:sz w:val="18"/>
                          </w:rPr>
                          <w:t>-</w:t>
                        </w:r>
                      </w:p>
                    </w:tc>
                    <w:tc>
                      <w:tcPr>
                        <w:tcW w:w="272" w:type="dxa"/>
                        <w:tcBorders>
                          <w:top w:val="nil" w:sz="6" w:space="0" w:color="auto"/>
                          <w:left w:val="nil" w:sz="6" w:space="0" w:color="auto"/>
                          <w:bottom w:val="nil" w:sz="6" w:space="0" w:color="auto"/>
                          <w:right w:val="nil" w:sz="6" w:space="0" w:color="auto"/>
                        </w:tcBorders>
                      </w:tcPr>
                      <w:p>
                        <w:pPr/>
                      </w:p>
                    </w:tc>
                    <w:tc>
                      <w:tcPr>
                        <w:tcW w:w="1538" w:type="dxa"/>
                        <w:tcBorders>
                          <w:top w:val="nil" w:sz="6" w:space="0" w:color="auto"/>
                          <w:left w:val="nil" w:sz="6" w:space="0" w:color="auto"/>
                          <w:bottom w:val="single" w:sz="2" w:space="0" w:color="000000"/>
                          <w:right w:val="nil" w:sz="6" w:space="0" w:color="auto"/>
                        </w:tcBorders>
                      </w:tcPr>
                      <w:p>
                        <w:pPr>
                          <w:pStyle w:val="TableParagraph"/>
                          <w:spacing w:line="240" w:lineRule="auto" w:before="66"/>
                          <w:ind w:right="0"/>
                          <w:jc w:val="right"/>
                          <w:rPr>
                            <w:rFonts w:ascii="宋体" w:hAnsi="宋体" w:cs="宋体" w:eastAsia="宋体" w:hint="default"/>
                            <w:sz w:val="18"/>
                            <w:szCs w:val="18"/>
                          </w:rPr>
                        </w:pPr>
                        <w:r>
                          <w:rPr>
                            <w:rFonts w:ascii="宋体"/>
                            <w:sz w:val="18"/>
                          </w:rPr>
                          <w:t>-</w:t>
                        </w:r>
                      </w:p>
                    </w:tc>
                    <w:tc>
                      <w:tcPr>
                        <w:tcW w:w="270"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single" w:sz="2" w:space="0" w:color="000000"/>
                          <w:right w:val="nil" w:sz="6" w:space="0" w:color="auto"/>
                        </w:tcBorders>
                      </w:tcPr>
                      <w:p>
                        <w:pPr>
                          <w:pStyle w:val="TableParagraph"/>
                          <w:spacing w:line="240" w:lineRule="auto" w:before="66"/>
                          <w:ind w:right="1"/>
                          <w:jc w:val="right"/>
                          <w:rPr>
                            <w:rFonts w:ascii="宋体" w:hAnsi="宋体" w:cs="宋体" w:eastAsia="宋体" w:hint="default"/>
                            <w:sz w:val="18"/>
                            <w:szCs w:val="18"/>
                          </w:rPr>
                        </w:pPr>
                        <w:r>
                          <w:rPr>
                            <w:rFonts w:ascii="宋体"/>
                            <w:sz w:val="18"/>
                          </w:rPr>
                          <w:t>-</w:t>
                        </w:r>
                      </w:p>
                    </w:tc>
                  </w:tr>
                  <w:tr>
                    <w:trPr>
                      <w:trHeight w:val="444" w:hRule="exact"/>
                    </w:trPr>
                    <w:tc>
                      <w:tcPr>
                        <w:tcW w:w="3822" w:type="dxa"/>
                        <w:tcBorders>
                          <w:top w:val="single" w:sz="2" w:space="0" w:color="000000"/>
                          <w:left w:val="nil" w:sz="6" w:space="0" w:color="auto"/>
                          <w:bottom w:val="single" w:sz="12" w:space="0" w:color="000000"/>
                          <w:right w:val="nil" w:sz="6" w:space="0" w:color="auto"/>
                        </w:tcBorders>
                      </w:tcPr>
                      <w:p>
                        <w:pPr/>
                      </w:p>
                    </w:tc>
                    <w:tc>
                      <w:tcPr>
                        <w:tcW w:w="90" w:type="dxa"/>
                        <w:tcBorders>
                          <w:top w:val="single" w:sz="2" w:space="0" w:color="000000"/>
                          <w:left w:val="nil" w:sz="6" w:space="0" w:color="auto"/>
                          <w:bottom w:val="single" w:sz="12" w:space="0" w:color="000000"/>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538" w:type="dxa"/>
                        <w:tcBorders>
                          <w:top w:val="single" w:sz="2" w:space="0" w:color="000000"/>
                          <w:left w:val="nil" w:sz="6" w:space="0" w:color="auto"/>
                          <w:bottom w:val="single" w:sz="12" w:space="0" w:color="000000"/>
                          <w:right w:val="nil" w:sz="6" w:space="0" w:color="auto"/>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4,733,906.33</w:t>
                        </w:r>
                      </w:p>
                    </w:tc>
                    <w:tc>
                      <w:tcPr>
                        <w:tcW w:w="272" w:type="dxa"/>
                        <w:tcBorders>
                          <w:top w:val="nil" w:sz="6" w:space="0" w:color="auto"/>
                          <w:left w:val="nil" w:sz="6" w:space="0" w:color="auto"/>
                          <w:bottom w:val="nil" w:sz="6" w:space="0" w:color="auto"/>
                          <w:right w:val="nil" w:sz="6" w:space="0" w:color="auto"/>
                        </w:tcBorders>
                      </w:tcPr>
                      <w:p>
                        <w:pPr/>
                      </w:p>
                    </w:tc>
                    <w:tc>
                      <w:tcPr>
                        <w:tcW w:w="1538" w:type="dxa"/>
                        <w:tcBorders>
                          <w:top w:val="single" w:sz="2" w:space="0" w:color="000000"/>
                          <w:left w:val="nil" w:sz="6" w:space="0" w:color="auto"/>
                          <w:bottom w:val="single" w:sz="12" w:space="0" w:color="000000"/>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w:t>
                        </w:r>
                      </w:p>
                    </w:tc>
                    <w:tc>
                      <w:tcPr>
                        <w:tcW w:w="270" w:type="dxa"/>
                        <w:tcBorders>
                          <w:top w:val="nil" w:sz="6" w:space="0" w:color="auto"/>
                          <w:left w:val="nil" w:sz="6" w:space="0" w:color="auto"/>
                          <w:bottom w:val="nil" w:sz="6" w:space="0" w:color="auto"/>
                          <w:right w:val="nil" w:sz="6" w:space="0" w:color="auto"/>
                        </w:tcBorders>
                      </w:tcPr>
                      <w:p>
                        <w:pPr/>
                      </w:p>
                    </w:tc>
                    <w:tc>
                      <w:tcPr>
                        <w:tcW w:w="2034" w:type="dxa"/>
                        <w:tcBorders>
                          <w:top w:val="single" w:sz="2" w:space="0" w:color="000000"/>
                          <w:left w:val="nil" w:sz="6" w:space="0" w:color="auto"/>
                          <w:bottom w:val="single" w:sz="12" w:space="0" w:color="000000"/>
                          <w:right w:val="nil" w:sz="6" w:space="0" w:color="auto"/>
                        </w:tcBorders>
                      </w:tcPr>
                      <w:p>
                        <w:pPr>
                          <w:pStyle w:val="TableParagraph"/>
                          <w:spacing w:line="240" w:lineRule="auto" w:before="67"/>
                          <w:ind w:right="1"/>
                          <w:jc w:val="right"/>
                          <w:rPr>
                            <w:rFonts w:ascii="宋体" w:hAnsi="宋体" w:cs="宋体" w:eastAsia="宋体" w:hint="default"/>
                            <w:sz w:val="18"/>
                            <w:szCs w:val="18"/>
                          </w:rPr>
                        </w:pPr>
                        <w:r>
                          <w:rPr>
                            <w:rFonts w:ascii="宋体"/>
                            <w:sz w:val="18"/>
                          </w:rPr>
                          <w:t>4,733,906.33</w:t>
                        </w:r>
                      </w:p>
                    </w:tc>
                  </w:tr>
                </w:tbl>
                <w:p>
                  <w:pPr/>
                </w:p>
              </w:txbxContent>
            </v:textbox>
            <w10:wrap type="none"/>
          </v:shape>
        </w:pict>
      </w:r>
      <w:r>
        <w:rPr>
          <w:rFonts w:ascii="宋体"/>
          <w:sz w:val="18"/>
        </w:rPr>
        <w:t>-</w:t>
      </w:r>
    </w:p>
    <w:p>
      <w:pPr>
        <w:spacing w:line="240" w:lineRule="auto" w:before="13"/>
        <w:rPr>
          <w:rFonts w:ascii="宋体" w:hAnsi="宋体" w:cs="宋体" w:eastAsia="宋体" w:hint="default"/>
          <w:sz w:val="10"/>
          <w:szCs w:val="10"/>
        </w:rPr>
      </w:pPr>
    </w:p>
    <w:p>
      <w:pPr>
        <w:spacing w:before="44"/>
        <w:ind w:left="3916" w:right="6137" w:firstLine="0"/>
        <w:jc w:val="center"/>
        <w:rPr>
          <w:rFonts w:ascii="宋体" w:hAnsi="宋体" w:cs="宋体" w:eastAsia="宋体" w:hint="default"/>
          <w:sz w:val="18"/>
          <w:szCs w:val="18"/>
        </w:rPr>
      </w:pPr>
      <w:r>
        <w:rPr>
          <w:rFonts w:ascii="宋体"/>
          <w:sz w:val="18"/>
        </w:rPr>
        <w:t>-</w:t>
      </w:r>
    </w:p>
    <w:p>
      <w:pPr>
        <w:spacing w:line="240" w:lineRule="auto" w:before="6"/>
        <w:rPr>
          <w:rFonts w:ascii="宋体" w:hAnsi="宋体" w:cs="宋体" w:eastAsia="宋体" w:hint="default"/>
          <w:sz w:val="11"/>
          <w:szCs w:val="11"/>
        </w:rPr>
      </w:pPr>
    </w:p>
    <w:p>
      <w:pPr>
        <w:spacing w:before="44"/>
        <w:ind w:left="3916" w:right="6137" w:firstLine="0"/>
        <w:jc w:val="center"/>
        <w:rPr>
          <w:rFonts w:ascii="宋体" w:hAnsi="宋体" w:cs="宋体" w:eastAsia="宋体" w:hint="default"/>
          <w:sz w:val="18"/>
          <w:szCs w:val="18"/>
        </w:rPr>
      </w:pPr>
      <w:r>
        <w:rPr>
          <w:rFonts w:ascii="宋体"/>
          <w:sz w:val="18"/>
        </w:rPr>
        <w:t>-</w:t>
      </w:r>
    </w:p>
    <w:p>
      <w:pPr>
        <w:spacing w:line="240" w:lineRule="auto" w:before="9"/>
        <w:rPr>
          <w:rFonts w:ascii="宋体" w:hAnsi="宋体" w:cs="宋体" w:eastAsia="宋体" w:hint="default"/>
          <w:sz w:val="22"/>
          <w:szCs w:val="22"/>
        </w:rPr>
      </w:pPr>
    </w:p>
    <w:p>
      <w:pPr>
        <w:pStyle w:val="BodyText"/>
        <w:spacing w:line="240" w:lineRule="auto" w:before="26"/>
        <w:ind w:left="794" w:right="0"/>
        <w:jc w:val="left"/>
      </w:pPr>
      <w:r>
        <w:rPr/>
        <w:t>本年度增加的商誉系以非同一控制下企业合并方式购买北京信力公司</w:t>
      </w:r>
      <w:r>
        <w:rPr>
          <w:spacing w:val="-82"/>
        </w:rPr>
        <w:t> </w:t>
      </w:r>
      <w:r>
        <w:rPr/>
        <w:t>60%股权溢价所致。</w:t>
      </w:r>
    </w:p>
    <w:p>
      <w:pPr>
        <w:spacing w:after="0" w:line="240" w:lineRule="auto"/>
        <w:jc w:val="left"/>
        <w:sectPr>
          <w:pgSz w:w="11910" w:h="16840"/>
          <w:pgMar w:header="877" w:footer="1022" w:top="1060" w:bottom="1220" w:left="820" w:right="900"/>
        </w:sectPr>
      </w:pPr>
    </w:p>
    <w:p>
      <w:pPr>
        <w:spacing w:line="240" w:lineRule="auto" w:before="12"/>
        <w:rPr>
          <w:rFonts w:ascii="宋体" w:hAnsi="宋体" w:cs="宋体" w:eastAsia="宋体" w:hint="default"/>
          <w:sz w:val="2"/>
          <w:szCs w:val="2"/>
        </w:rPr>
      </w:pPr>
    </w:p>
    <w:p>
      <w:pPr>
        <w:spacing w:line="20" w:lineRule="exact"/>
        <w:ind w:left="2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5"/>
          <w:szCs w:val="25"/>
        </w:rPr>
      </w:pPr>
    </w:p>
    <w:p>
      <w:pPr>
        <w:pStyle w:val="Heading4"/>
        <w:spacing w:line="240" w:lineRule="auto"/>
        <w:ind w:right="90"/>
        <w:jc w:val="left"/>
        <w:rPr>
          <w:b w:val="0"/>
          <w:bCs w:val="0"/>
        </w:rPr>
      </w:pPr>
      <w:r>
        <w:rPr/>
        <w:t>13、长期待摊费用</w:t>
      </w:r>
      <w:r>
        <w:rPr>
          <w:b w:val="0"/>
          <w:bCs w:val="0"/>
        </w:rPr>
      </w:r>
    </w:p>
    <w:p>
      <w:pPr>
        <w:spacing w:line="240" w:lineRule="auto" w:before="2"/>
        <w:rPr>
          <w:rFonts w:ascii="宋体" w:hAnsi="宋体" w:cs="宋体" w:eastAsia="宋体" w:hint="default"/>
          <w:b/>
          <w:bCs/>
          <w:sz w:val="18"/>
          <w:szCs w:val="18"/>
        </w:rPr>
      </w:pPr>
    </w:p>
    <w:tbl>
      <w:tblPr>
        <w:tblW w:w="0" w:type="auto"/>
        <w:jc w:val="left"/>
        <w:tblInd w:w="114" w:type="dxa"/>
        <w:tblLayout w:type="fixed"/>
        <w:tblCellMar>
          <w:top w:w="0" w:type="dxa"/>
          <w:left w:w="0" w:type="dxa"/>
          <w:bottom w:w="0" w:type="dxa"/>
          <w:right w:w="0" w:type="dxa"/>
        </w:tblCellMar>
        <w:tblLook w:val="01E0"/>
      </w:tblPr>
      <w:tblGrid>
        <w:gridCol w:w="2222"/>
        <w:gridCol w:w="1108"/>
        <w:gridCol w:w="1788"/>
        <w:gridCol w:w="1055"/>
        <w:gridCol w:w="991"/>
        <w:gridCol w:w="965"/>
        <w:gridCol w:w="1710"/>
      </w:tblGrid>
      <w:tr>
        <w:trPr>
          <w:trHeight w:val="264" w:hRule="exact"/>
        </w:trPr>
        <w:tc>
          <w:tcPr>
            <w:tcW w:w="222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single" w:sz="4" w:space="0" w:color="000000"/>
              <w:right w:val="nil" w:sz="6" w:space="0" w:color="auto"/>
            </w:tcBorders>
          </w:tcPr>
          <w:p>
            <w:pPr>
              <w:pStyle w:val="TableParagraph"/>
              <w:spacing w:line="180" w:lineRule="exact"/>
              <w:ind w:left="336" w:right="0"/>
              <w:jc w:val="left"/>
              <w:rPr>
                <w:rFonts w:ascii="宋体" w:hAnsi="宋体" w:cs="宋体" w:eastAsia="宋体" w:hint="default"/>
                <w:sz w:val="18"/>
                <w:szCs w:val="18"/>
              </w:rPr>
            </w:pPr>
            <w:r>
              <w:rPr>
                <w:rFonts w:ascii="宋体" w:hAnsi="宋体" w:cs="宋体" w:eastAsia="宋体" w:hint="default"/>
                <w:sz w:val="18"/>
                <w:szCs w:val="18"/>
              </w:rPr>
              <w:t>原价</w:t>
            </w:r>
          </w:p>
        </w:tc>
        <w:tc>
          <w:tcPr>
            <w:tcW w:w="1788" w:type="dxa"/>
            <w:tcBorders>
              <w:top w:val="nil" w:sz="6" w:space="0" w:color="auto"/>
              <w:left w:val="nil" w:sz="6" w:space="0" w:color="auto"/>
              <w:bottom w:val="single" w:sz="4" w:space="0" w:color="000000"/>
              <w:right w:val="nil" w:sz="6" w:space="0" w:color="auto"/>
            </w:tcBorders>
          </w:tcPr>
          <w:p>
            <w:pPr>
              <w:pStyle w:val="TableParagraph"/>
              <w:spacing w:line="180" w:lineRule="exact"/>
              <w:ind w:left="8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55" w:type="dxa"/>
            <w:tcBorders>
              <w:top w:val="nil" w:sz="6" w:space="0" w:color="auto"/>
              <w:left w:val="nil" w:sz="6" w:space="0" w:color="auto"/>
              <w:bottom w:val="single" w:sz="4" w:space="0" w:color="000000"/>
              <w:right w:val="nil" w:sz="6" w:space="0" w:color="auto"/>
            </w:tcBorders>
          </w:tcPr>
          <w:p>
            <w:pPr>
              <w:pStyle w:val="TableParagraph"/>
              <w:spacing w:line="180" w:lineRule="exact"/>
              <w:ind w:left="10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991" w:type="dxa"/>
            <w:tcBorders>
              <w:top w:val="nil" w:sz="6" w:space="0" w:color="auto"/>
              <w:left w:val="nil" w:sz="6" w:space="0" w:color="auto"/>
              <w:bottom w:val="single" w:sz="4" w:space="0" w:color="000000"/>
              <w:right w:val="nil" w:sz="6" w:space="0" w:color="auto"/>
            </w:tcBorders>
          </w:tcPr>
          <w:p>
            <w:pPr>
              <w:pStyle w:val="TableParagraph"/>
              <w:spacing w:line="180" w:lineRule="exact"/>
              <w:ind w:left="76" w:right="0"/>
              <w:jc w:val="left"/>
              <w:rPr>
                <w:rFonts w:ascii="宋体" w:hAnsi="宋体" w:cs="宋体" w:eastAsia="宋体" w:hint="default"/>
                <w:sz w:val="18"/>
                <w:szCs w:val="18"/>
              </w:rPr>
            </w:pPr>
            <w:r>
              <w:rPr>
                <w:rFonts w:ascii="宋体" w:hAnsi="宋体" w:cs="宋体" w:eastAsia="宋体" w:hint="default"/>
                <w:sz w:val="18"/>
                <w:szCs w:val="18"/>
              </w:rPr>
              <w:t>本年转出</w:t>
            </w:r>
          </w:p>
        </w:tc>
        <w:tc>
          <w:tcPr>
            <w:tcW w:w="965" w:type="dxa"/>
            <w:tcBorders>
              <w:top w:val="nil" w:sz="6" w:space="0" w:color="auto"/>
              <w:left w:val="nil" w:sz="6" w:space="0" w:color="auto"/>
              <w:bottom w:val="single" w:sz="4" w:space="0" w:color="000000"/>
              <w:right w:val="nil" w:sz="6" w:space="0" w:color="auto"/>
            </w:tcBorders>
          </w:tcPr>
          <w:p>
            <w:pPr>
              <w:pStyle w:val="TableParagraph"/>
              <w:spacing w:line="180" w:lineRule="exact"/>
              <w:ind w:left="61" w:right="0"/>
              <w:jc w:val="left"/>
              <w:rPr>
                <w:rFonts w:ascii="宋体" w:hAnsi="宋体" w:cs="宋体" w:eastAsia="宋体" w:hint="default"/>
                <w:sz w:val="18"/>
                <w:szCs w:val="18"/>
              </w:rPr>
            </w:pPr>
            <w:r>
              <w:rPr>
                <w:rFonts w:ascii="宋体" w:hAnsi="宋体" w:cs="宋体" w:eastAsia="宋体" w:hint="default"/>
                <w:sz w:val="18"/>
                <w:szCs w:val="18"/>
              </w:rPr>
              <w:t>本年摊销</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180" w:lineRule="exact"/>
              <w:ind w:left="8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67" w:hRule="exact"/>
        </w:trPr>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宋体" w:hAnsi="宋体" w:cs="宋体" w:eastAsia="宋体" w:hint="default"/>
                <w:sz w:val="18"/>
                <w:szCs w:val="18"/>
              </w:rPr>
            </w:pPr>
            <w:r>
              <w:rPr>
                <w:rFonts w:ascii="宋体" w:hAnsi="宋体" w:cs="宋体" w:eastAsia="宋体" w:hint="default"/>
                <w:spacing w:val="-17"/>
                <w:sz w:val="18"/>
                <w:szCs w:val="18"/>
              </w:rPr>
              <w:t>经营租入固定资产改良</w:t>
            </w:r>
            <w:r>
              <w:rPr>
                <w:rFonts w:ascii="宋体" w:hAnsi="宋体" w:cs="宋体" w:eastAsia="宋体" w:hint="default"/>
                <w:sz w:val="18"/>
                <w:szCs w:val="18"/>
              </w:rPr>
            </w:r>
          </w:p>
        </w:tc>
        <w:tc>
          <w:tcPr>
            <w:tcW w:w="110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125" w:right="0"/>
              <w:jc w:val="left"/>
              <w:rPr>
                <w:rFonts w:ascii="宋体" w:hAnsi="宋体" w:cs="宋体" w:eastAsia="宋体" w:hint="default"/>
                <w:sz w:val="18"/>
                <w:szCs w:val="18"/>
              </w:rPr>
            </w:pPr>
            <w:r>
              <w:rPr>
                <w:rFonts w:ascii="宋体"/>
                <w:sz w:val="18"/>
              </w:rPr>
              <w:t>195,471.00</w:t>
            </w:r>
          </w:p>
        </w:tc>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76"/>
              <w:jc w:val="right"/>
              <w:rPr>
                <w:rFonts w:ascii="宋体" w:hAnsi="宋体" w:cs="宋体" w:eastAsia="宋体" w:hint="default"/>
                <w:sz w:val="18"/>
                <w:szCs w:val="18"/>
              </w:rPr>
            </w:pPr>
            <w:r>
              <w:rPr>
                <w:rFonts w:ascii="宋体"/>
                <w:sz w:val="18"/>
              </w:rPr>
              <w:t>-</w:t>
            </w:r>
          </w:p>
        </w:tc>
        <w:tc>
          <w:tcPr>
            <w:tcW w:w="105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78" w:right="0"/>
              <w:jc w:val="left"/>
              <w:rPr>
                <w:rFonts w:ascii="宋体" w:hAnsi="宋体" w:cs="宋体" w:eastAsia="宋体" w:hint="default"/>
                <w:sz w:val="18"/>
                <w:szCs w:val="18"/>
              </w:rPr>
            </w:pPr>
            <w:r>
              <w:rPr>
                <w:rFonts w:ascii="宋体"/>
                <w:sz w:val="18"/>
              </w:rPr>
              <w:t>195,471.00</w:t>
            </w: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right="59"/>
              <w:jc w:val="right"/>
              <w:rPr>
                <w:rFonts w:ascii="宋体" w:hAnsi="宋体" w:cs="宋体" w:eastAsia="宋体" w:hint="default"/>
                <w:sz w:val="18"/>
                <w:szCs w:val="18"/>
              </w:rPr>
            </w:pPr>
            <w:r>
              <w:rPr>
                <w:rFonts w:ascii="宋体"/>
                <w:sz w:val="18"/>
              </w:rPr>
              <w:t>-</w:t>
            </w: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72" w:right="0"/>
              <w:jc w:val="left"/>
              <w:rPr>
                <w:rFonts w:ascii="宋体" w:hAnsi="宋体" w:cs="宋体" w:eastAsia="宋体" w:hint="default"/>
                <w:sz w:val="18"/>
                <w:szCs w:val="18"/>
              </w:rPr>
            </w:pPr>
            <w:r>
              <w:rPr>
                <w:rFonts w:ascii="宋体"/>
                <w:sz w:val="18"/>
              </w:rPr>
              <w:t>65,157.00</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26"/>
              <w:ind w:left="810" w:right="0"/>
              <w:jc w:val="left"/>
              <w:rPr>
                <w:rFonts w:ascii="宋体" w:hAnsi="宋体" w:cs="宋体" w:eastAsia="宋体" w:hint="default"/>
                <w:sz w:val="18"/>
                <w:szCs w:val="18"/>
              </w:rPr>
            </w:pPr>
            <w:r>
              <w:rPr>
                <w:rFonts w:ascii="宋体"/>
                <w:sz w:val="18"/>
              </w:rPr>
              <w:t>130,314.00</w:t>
            </w:r>
          </w:p>
        </w:tc>
      </w:tr>
    </w:tbl>
    <w:p>
      <w:pPr>
        <w:spacing w:line="240" w:lineRule="auto" w:before="12"/>
        <w:rPr>
          <w:rFonts w:ascii="宋体" w:hAnsi="宋体" w:cs="宋体" w:eastAsia="宋体" w:hint="default"/>
          <w:b/>
          <w:bCs/>
          <w:sz w:val="16"/>
          <w:szCs w:val="16"/>
        </w:rPr>
      </w:pPr>
    </w:p>
    <w:p>
      <w:pPr>
        <w:pStyle w:val="Heading4"/>
        <w:spacing w:line="240" w:lineRule="auto"/>
        <w:ind w:right="90"/>
        <w:jc w:val="left"/>
        <w:rPr>
          <w:b w:val="0"/>
          <w:bCs w:val="0"/>
        </w:rPr>
      </w:pPr>
      <w:r>
        <w:rPr/>
        <w:t>14、所有权受到限制的资产</w:t>
      </w:r>
      <w:r>
        <w:rPr>
          <w:b w:val="0"/>
          <w:bCs w:val="0"/>
        </w:rPr>
      </w:r>
    </w:p>
    <w:p>
      <w:pPr>
        <w:spacing w:line="240" w:lineRule="auto" w:before="2"/>
        <w:rPr>
          <w:rFonts w:ascii="宋体" w:hAnsi="宋体" w:cs="宋体" w:eastAsia="宋体" w:hint="default"/>
          <w:b/>
          <w:bCs/>
          <w:sz w:val="20"/>
          <w:szCs w:val="20"/>
        </w:rPr>
      </w:pPr>
    </w:p>
    <w:tbl>
      <w:tblPr>
        <w:tblW w:w="0" w:type="auto"/>
        <w:jc w:val="left"/>
        <w:tblInd w:w="313" w:type="dxa"/>
        <w:tblLayout w:type="fixed"/>
        <w:tblCellMar>
          <w:top w:w="0" w:type="dxa"/>
          <w:left w:w="0" w:type="dxa"/>
          <w:bottom w:w="0" w:type="dxa"/>
          <w:right w:w="0" w:type="dxa"/>
        </w:tblCellMar>
        <w:tblLook w:val="01E0"/>
      </w:tblPr>
      <w:tblGrid>
        <w:gridCol w:w="1928"/>
        <w:gridCol w:w="1739"/>
        <w:gridCol w:w="2334"/>
        <w:gridCol w:w="1813"/>
        <w:gridCol w:w="1825"/>
      </w:tblGrid>
      <w:tr>
        <w:trPr>
          <w:trHeight w:val="289" w:hRule="exact"/>
        </w:trPr>
        <w:tc>
          <w:tcPr>
            <w:tcW w:w="1928" w:type="dxa"/>
            <w:tcBorders>
              <w:top w:val="nil" w:sz="6" w:space="0" w:color="auto"/>
              <w:left w:val="nil" w:sz="6" w:space="0" w:color="auto"/>
              <w:bottom w:val="single" w:sz="4" w:space="0" w:color="000000"/>
              <w:right w:val="nil" w:sz="6" w:space="0" w:color="auto"/>
            </w:tcBorders>
          </w:tcPr>
          <w:p>
            <w:pPr>
              <w:pStyle w:val="TableParagraph"/>
              <w:spacing w:line="180" w:lineRule="exact"/>
              <w:ind w:left="67" w:right="0"/>
              <w:jc w:val="left"/>
              <w:rPr>
                <w:rFonts w:ascii="宋体" w:hAnsi="宋体" w:cs="宋体" w:eastAsia="宋体" w:hint="default"/>
                <w:sz w:val="18"/>
                <w:szCs w:val="18"/>
              </w:rPr>
            </w:pPr>
            <w:r>
              <w:rPr>
                <w:rFonts w:ascii="宋体" w:hAnsi="宋体" w:cs="宋体" w:eastAsia="宋体" w:hint="default"/>
                <w:sz w:val="18"/>
                <w:szCs w:val="18"/>
              </w:rPr>
              <w:t>所有权受到限制的资产</w:t>
            </w:r>
          </w:p>
        </w:tc>
        <w:tc>
          <w:tcPr>
            <w:tcW w:w="1739"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single" w:sz="4" w:space="0" w:color="000000"/>
              <w:right w:val="nil" w:sz="6" w:space="0" w:color="auto"/>
            </w:tcBorders>
          </w:tcPr>
          <w:p>
            <w:pPr>
              <w:pStyle w:val="TableParagraph"/>
              <w:spacing w:line="180" w:lineRule="exact"/>
              <w:ind w:left="42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13"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single" w:sz="4" w:space="0" w:color="000000"/>
              <w:right w:val="nil" w:sz="6" w:space="0" w:color="auto"/>
            </w:tcBorders>
          </w:tcPr>
          <w:p>
            <w:pPr>
              <w:pStyle w:val="TableParagraph"/>
              <w:spacing w:line="180" w:lineRule="exact"/>
              <w:ind w:left="17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8" w:hRule="exact"/>
        </w:trPr>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用于担保的资产</w:t>
            </w:r>
          </w:p>
        </w:tc>
        <w:tc>
          <w:tcPr>
            <w:tcW w:w="1739" w:type="dxa"/>
            <w:tcBorders>
              <w:top w:val="nil" w:sz="6" w:space="0" w:color="auto"/>
              <w:left w:val="nil" w:sz="6" w:space="0" w:color="auto"/>
              <w:bottom w:val="nil" w:sz="6" w:space="0" w:color="auto"/>
              <w:right w:val="nil" w:sz="6" w:space="0" w:color="auto"/>
            </w:tcBorders>
          </w:tcPr>
          <w:p>
            <w:pPr/>
          </w:p>
        </w:tc>
        <w:tc>
          <w:tcPr>
            <w:tcW w:w="2334" w:type="dxa"/>
            <w:tcBorders>
              <w:top w:val="single" w:sz="4" w:space="0" w:color="000000"/>
              <w:left w:val="nil" w:sz="6" w:space="0" w:color="auto"/>
              <w:bottom w:val="nil" w:sz="6" w:space="0" w:color="auto"/>
              <w:right w:val="nil" w:sz="6" w:space="0" w:color="auto"/>
            </w:tcBorders>
          </w:tcPr>
          <w:p>
            <w:pPr/>
          </w:p>
        </w:tc>
        <w:tc>
          <w:tcPr>
            <w:tcW w:w="1813" w:type="dxa"/>
            <w:tcBorders>
              <w:top w:val="nil" w:sz="6" w:space="0" w:color="auto"/>
              <w:left w:val="nil" w:sz="6" w:space="0" w:color="auto"/>
              <w:bottom w:val="nil" w:sz="6" w:space="0" w:color="auto"/>
              <w:right w:val="nil" w:sz="6" w:space="0" w:color="auto"/>
            </w:tcBorders>
          </w:tcPr>
          <w:p>
            <w:pPr/>
          </w:p>
        </w:tc>
        <w:tc>
          <w:tcPr>
            <w:tcW w:w="1825" w:type="dxa"/>
            <w:tcBorders>
              <w:top w:val="single" w:sz="4" w:space="0" w:color="000000"/>
              <w:left w:val="nil" w:sz="6" w:space="0" w:color="auto"/>
              <w:bottom w:val="nil" w:sz="6" w:space="0" w:color="auto"/>
              <w:right w:val="nil" w:sz="6" w:space="0" w:color="auto"/>
            </w:tcBorders>
          </w:tcPr>
          <w:p>
            <w:pPr/>
          </w:p>
        </w:tc>
      </w:tr>
      <w:tr>
        <w:trPr>
          <w:trHeight w:val="39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39"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c>
          <w:tcPr>
            <w:tcW w:w="1813"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12,600,000.00</w:t>
            </w:r>
          </w:p>
        </w:tc>
      </w:tr>
      <w:tr>
        <w:trPr>
          <w:trHeight w:val="392"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39"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14,482,891.36</w:t>
            </w:r>
          </w:p>
        </w:tc>
        <w:tc>
          <w:tcPr>
            <w:tcW w:w="1813"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395" w:hRule="exact"/>
        </w:trPr>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39" w:type="dxa"/>
            <w:tcBorders>
              <w:top w:val="nil" w:sz="6" w:space="0" w:color="auto"/>
              <w:left w:val="nil" w:sz="6" w:space="0" w:color="auto"/>
              <w:bottom w:val="nil" w:sz="6" w:space="0" w:color="auto"/>
              <w:right w:val="nil" w:sz="6" w:space="0" w:color="auto"/>
            </w:tcBorders>
          </w:tcPr>
          <w:p>
            <w:pPr/>
          </w:p>
        </w:tc>
        <w:tc>
          <w:tcPr>
            <w:tcW w:w="233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8,057,226.08</w:t>
            </w:r>
          </w:p>
        </w:tc>
        <w:tc>
          <w:tcPr>
            <w:tcW w:w="1813"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413" w:hRule="exact"/>
        </w:trPr>
        <w:tc>
          <w:tcPr>
            <w:tcW w:w="1928" w:type="dxa"/>
            <w:tcBorders>
              <w:top w:val="nil" w:sz="6" w:space="0" w:color="auto"/>
              <w:left w:val="nil" w:sz="6" w:space="0" w:color="auto"/>
              <w:bottom w:val="nil" w:sz="6" w:space="0" w:color="auto"/>
              <w:right w:val="nil" w:sz="6" w:space="0" w:color="auto"/>
            </w:tcBorders>
          </w:tcPr>
          <w:p>
            <w:pPr>
              <w:pStyle w:val="TableParagraph"/>
              <w:tabs>
                <w:tab w:pos="455" w:val="left" w:leader="none"/>
              </w:tabs>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39" w:type="dxa"/>
            <w:tcBorders>
              <w:top w:val="nil" w:sz="6" w:space="0" w:color="auto"/>
              <w:left w:val="nil" w:sz="6" w:space="0" w:color="auto"/>
              <w:bottom w:val="nil" w:sz="6" w:space="0" w:color="auto"/>
              <w:right w:val="nil" w:sz="6" w:space="0" w:color="auto"/>
            </w:tcBorders>
          </w:tcPr>
          <w:p>
            <w:pPr/>
          </w:p>
        </w:tc>
        <w:tc>
          <w:tcPr>
            <w:tcW w:w="233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22,540,117.44</w:t>
            </w:r>
          </w:p>
        </w:tc>
        <w:tc>
          <w:tcPr>
            <w:tcW w:w="1813" w:type="dxa"/>
            <w:tcBorders>
              <w:top w:val="nil" w:sz="6" w:space="0" w:color="auto"/>
              <w:left w:val="nil" w:sz="6" w:space="0" w:color="auto"/>
              <w:bottom w:val="nil" w:sz="6" w:space="0" w:color="auto"/>
              <w:right w:val="nil" w:sz="6" w:space="0" w:color="auto"/>
            </w:tcBorders>
          </w:tcPr>
          <w:p>
            <w:pPr/>
          </w:p>
        </w:tc>
        <w:tc>
          <w:tcPr>
            <w:tcW w:w="182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12,600,000.00</w:t>
            </w:r>
          </w:p>
        </w:tc>
      </w:tr>
    </w:tbl>
    <w:p>
      <w:pPr>
        <w:spacing w:line="240" w:lineRule="auto" w:before="13"/>
        <w:rPr>
          <w:rFonts w:ascii="宋体" w:hAnsi="宋体" w:cs="宋体" w:eastAsia="宋体" w:hint="default"/>
          <w:b/>
          <w:bCs/>
          <w:sz w:val="10"/>
          <w:szCs w:val="10"/>
        </w:rPr>
      </w:pPr>
    </w:p>
    <w:p>
      <w:pPr>
        <w:pStyle w:val="Heading4"/>
        <w:spacing w:line="240" w:lineRule="auto"/>
        <w:ind w:right="90"/>
        <w:jc w:val="left"/>
        <w:rPr>
          <w:b w:val="0"/>
          <w:bCs w:val="0"/>
        </w:rPr>
      </w:pPr>
      <w:r>
        <w:rPr/>
        <w:t>15、短期借款</w:t>
      </w:r>
      <w:r>
        <w:rPr>
          <w:b w:val="0"/>
          <w:bCs w:val="0"/>
        </w:rPr>
      </w:r>
    </w:p>
    <w:p>
      <w:pPr>
        <w:spacing w:line="240" w:lineRule="auto" w:before="5"/>
        <w:rPr>
          <w:rFonts w:ascii="宋体" w:hAnsi="宋体" w:cs="宋体" w:eastAsia="宋体" w:hint="default"/>
          <w:b/>
          <w:bCs/>
          <w:sz w:val="21"/>
          <w:szCs w:val="21"/>
        </w:rPr>
      </w:pPr>
    </w:p>
    <w:tbl>
      <w:tblPr>
        <w:tblW w:w="0" w:type="auto"/>
        <w:jc w:val="left"/>
        <w:tblInd w:w="113" w:type="dxa"/>
        <w:tblLayout w:type="fixed"/>
        <w:tblCellMar>
          <w:top w:w="0" w:type="dxa"/>
          <w:left w:w="0" w:type="dxa"/>
          <w:bottom w:w="0" w:type="dxa"/>
          <w:right w:w="0" w:type="dxa"/>
        </w:tblCellMar>
        <w:tblLook w:val="01E0"/>
      </w:tblPr>
      <w:tblGrid>
        <w:gridCol w:w="4009"/>
        <w:gridCol w:w="2214"/>
        <w:gridCol w:w="1657"/>
        <w:gridCol w:w="1959"/>
      </w:tblGrid>
      <w:tr>
        <w:trPr>
          <w:trHeight w:val="307" w:hRule="exact"/>
        </w:trPr>
        <w:tc>
          <w:tcPr>
            <w:tcW w:w="4009"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180" w:lineRule="exact"/>
              <w:ind w:left="36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57"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single" w:sz="4" w:space="0" w:color="000000"/>
              <w:right w:val="nil" w:sz="6" w:space="0" w:color="auto"/>
            </w:tcBorders>
          </w:tcPr>
          <w:p>
            <w:pPr>
              <w:pStyle w:val="TableParagraph"/>
              <w:spacing w:line="180" w:lineRule="exact"/>
              <w:ind w:left="22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30" w:hRule="exact"/>
        </w:trPr>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40,000,000.00</w:t>
            </w:r>
          </w:p>
        </w:tc>
        <w:tc>
          <w:tcPr>
            <w:tcW w:w="1657" w:type="dxa"/>
            <w:tcBorders>
              <w:top w:val="nil" w:sz="6" w:space="0" w:color="auto"/>
              <w:left w:val="nil" w:sz="6" w:space="0" w:color="auto"/>
              <w:bottom w:val="nil" w:sz="6" w:space="0" w:color="auto"/>
              <w:right w:val="nil" w:sz="6" w:space="0" w:color="auto"/>
            </w:tcBorders>
          </w:tcPr>
          <w:p>
            <w:pPr/>
          </w:p>
        </w:tc>
        <w:tc>
          <w:tcPr>
            <w:tcW w:w="1959"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w:t>
            </w:r>
          </w:p>
        </w:tc>
      </w:tr>
      <w:tr>
        <w:trPr>
          <w:trHeight w:val="429" w:hRule="exact"/>
        </w:trPr>
        <w:tc>
          <w:tcPr>
            <w:tcW w:w="4009"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0"/>
              <w:jc w:val="right"/>
              <w:rPr>
                <w:rFonts w:ascii="宋体" w:hAnsi="宋体" w:cs="宋体" w:eastAsia="宋体" w:hint="default"/>
                <w:sz w:val="18"/>
                <w:szCs w:val="18"/>
              </w:rPr>
            </w:pPr>
            <w:r>
              <w:rPr>
                <w:rFonts w:ascii="宋体"/>
                <w:sz w:val="18"/>
              </w:rPr>
              <w:t>30,000,000.00</w:t>
            </w:r>
          </w:p>
        </w:tc>
        <w:tc>
          <w:tcPr>
            <w:tcW w:w="1657"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0"/>
              <w:jc w:val="right"/>
              <w:rPr>
                <w:rFonts w:ascii="宋体" w:hAnsi="宋体" w:cs="宋体" w:eastAsia="宋体" w:hint="default"/>
                <w:sz w:val="18"/>
                <w:szCs w:val="18"/>
              </w:rPr>
            </w:pPr>
            <w:r>
              <w:rPr>
                <w:rFonts w:ascii="宋体"/>
                <w:sz w:val="18"/>
              </w:rPr>
              <w:t>-</w:t>
            </w:r>
          </w:p>
        </w:tc>
      </w:tr>
      <w:tr>
        <w:trPr>
          <w:trHeight w:val="446" w:hRule="exact"/>
        </w:trPr>
        <w:tc>
          <w:tcPr>
            <w:tcW w:w="4009"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1"/>
              <w:jc w:val="right"/>
              <w:rPr>
                <w:rFonts w:ascii="宋体" w:hAnsi="宋体" w:cs="宋体" w:eastAsia="宋体" w:hint="default"/>
                <w:sz w:val="18"/>
                <w:szCs w:val="18"/>
              </w:rPr>
            </w:pPr>
            <w:r>
              <w:rPr>
                <w:rFonts w:ascii="宋体"/>
                <w:sz w:val="18"/>
              </w:rPr>
              <w:t>70,000,000.00</w:t>
            </w:r>
          </w:p>
        </w:tc>
        <w:tc>
          <w:tcPr>
            <w:tcW w:w="1657" w:type="dxa"/>
            <w:tcBorders>
              <w:top w:val="nil" w:sz="6" w:space="0" w:color="auto"/>
              <w:left w:val="nil" w:sz="6" w:space="0" w:color="auto"/>
              <w:bottom w:val="nil" w:sz="6" w:space="0" w:color="auto"/>
              <w:right w:val="nil" w:sz="6" w:space="0" w:color="auto"/>
            </w:tcBorders>
          </w:tcPr>
          <w:p>
            <w:pPr/>
          </w:p>
        </w:tc>
        <w:tc>
          <w:tcPr>
            <w:tcW w:w="1959"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b/>
          <w:bCs/>
          <w:sz w:val="14"/>
          <w:szCs w:val="14"/>
        </w:rPr>
      </w:pPr>
    </w:p>
    <w:p>
      <w:pPr>
        <w:pStyle w:val="BodyText"/>
        <w:spacing w:line="336" w:lineRule="auto" w:before="26"/>
        <w:ind w:left="314" w:right="90" w:firstLine="480"/>
        <w:jc w:val="left"/>
      </w:pPr>
      <w:r>
        <w:rPr/>
        <w:t>于2008年12月31日，短期抵押借款系以房屋、建筑物和机器设备以及土地使用权作为抵</w:t>
      </w:r>
      <w:r>
        <w:rPr>
          <w:spacing w:val="1"/>
        </w:rPr>
        <w:t> </w:t>
      </w:r>
      <w:r>
        <w:rPr/>
        <w:t>押物；</w:t>
      </w:r>
    </w:p>
    <w:p>
      <w:pPr>
        <w:pStyle w:val="BodyText"/>
        <w:spacing w:line="240" w:lineRule="auto" w:before="149"/>
        <w:ind w:left="794" w:right="90"/>
        <w:jc w:val="left"/>
      </w:pPr>
      <w:r>
        <w:rPr/>
        <w:t>2008</w:t>
      </w:r>
      <w:r>
        <w:rPr>
          <w:spacing w:val="-60"/>
        </w:rPr>
        <w:t> </w:t>
      </w:r>
      <w:r>
        <w:rPr/>
        <w:t>年度短期借款的加权平均年利率为</w:t>
      </w:r>
      <w:r>
        <w:rPr>
          <w:spacing w:val="-60"/>
        </w:rPr>
        <w:t> </w:t>
      </w:r>
      <w:r>
        <w:rPr/>
        <w:t>7.603%。</w:t>
      </w:r>
    </w:p>
    <w:p>
      <w:pPr>
        <w:pStyle w:val="Heading4"/>
        <w:spacing w:line="240" w:lineRule="auto" w:before="206"/>
        <w:ind w:right="90"/>
        <w:jc w:val="left"/>
        <w:rPr>
          <w:b w:val="0"/>
          <w:bCs w:val="0"/>
        </w:rPr>
      </w:pPr>
      <w:r>
        <w:rPr/>
        <w:t>16、应付票据</w:t>
      </w:r>
      <w:r>
        <w:rPr>
          <w:b w:val="0"/>
          <w:bCs w:val="0"/>
        </w:rPr>
      </w:r>
    </w:p>
    <w:p>
      <w:pPr>
        <w:spacing w:line="240" w:lineRule="auto" w:before="1"/>
        <w:rPr>
          <w:rFonts w:ascii="宋体" w:hAnsi="宋体" w:cs="宋体" w:eastAsia="宋体" w:hint="default"/>
          <w:b/>
          <w:bCs/>
          <w:sz w:val="20"/>
          <w:szCs w:val="20"/>
        </w:rPr>
      </w:pPr>
    </w:p>
    <w:tbl>
      <w:tblPr>
        <w:tblW w:w="0" w:type="auto"/>
        <w:jc w:val="left"/>
        <w:tblInd w:w="114" w:type="dxa"/>
        <w:tblLayout w:type="fixed"/>
        <w:tblCellMar>
          <w:top w:w="0" w:type="dxa"/>
          <w:left w:w="0" w:type="dxa"/>
          <w:bottom w:w="0" w:type="dxa"/>
          <w:right w:w="0" w:type="dxa"/>
        </w:tblCellMar>
        <w:tblLook w:val="01E0"/>
      </w:tblPr>
      <w:tblGrid>
        <w:gridCol w:w="4041"/>
        <w:gridCol w:w="2233"/>
        <w:gridCol w:w="1620"/>
        <w:gridCol w:w="2030"/>
      </w:tblGrid>
      <w:tr>
        <w:trPr>
          <w:trHeight w:val="290" w:hRule="exact"/>
        </w:trPr>
        <w:tc>
          <w:tcPr>
            <w:tcW w:w="4041" w:type="dxa"/>
            <w:tcBorders>
              <w:top w:val="nil" w:sz="6" w:space="0" w:color="auto"/>
              <w:left w:val="nil" w:sz="6" w:space="0" w:color="auto"/>
              <w:bottom w:val="nil" w:sz="6" w:space="0" w:color="auto"/>
              <w:right w:val="nil" w:sz="6" w:space="0" w:color="auto"/>
            </w:tcBorders>
          </w:tcPr>
          <w:p>
            <w:pPr/>
          </w:p>
        </w:tc>
        <w:tc>
          <w:tcPr>
            <w:tcW w:w="2233" w:type="dxa"/>
            <w:tcBorders>
              <w:top w:val="nil" w:sz="6" w:space="0" w:color="auto"/>
              <w:left w:val="nil" w:sz="6" w:space="0" w:color="auto"/>
              <w:bottom w:val="single" w:sz="4" w:space="0" w:color="000000"/>
              <w:right w:val="nil" w:sz="6" w:space="0" w:color="auto"/>
            </w:tcBorders>
          </w:tcPr>
          <w:p>
            <w:pPr>
              <w:pStyle w:val="TableParagraph"/>
              <w:spacing w:line="180" w:lineRule="exact"/>
              <w:ind w:left="38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20" w:type="dxa"/>
            <w:tcBorders>
              <w:top w:val="nil" w:sz="6" w:space="0" w:color="auto"/>
              <w:left w:val="nil" w:sz="6" w:space="0" w:color="auto"/>
              <w:bottom w:val="nil" w:sz="6" w:space="0" w:color="auto"/>
              <w:right w:val="nil" w:sz="6" w:space="0" w:color="auto"/>
            </w:tcBorders>
          </w:tcPr>
          <w:p>
            <w:pPr/>
          </w:p>
        </w:tc>
        <w:tc>
          <w:tcPr>
            <w:tcW w:w="2030" w:type="dxa"/>
            <w:tcBorders>
              <w:top w:val="nil" w:sz="6" w:space="0" w:color="auto"/>
              <w:left w:val="nil" w:sz="6" w:space="0" w:color="auto"/>
              <w:bottom w:val="single" w:sz="4" w:space="0" w:color="000000"/>
              <w:right w:val="nil" w:sz="6" w:space="0" w:color="auto"/>
            </w:tcBorders>
          </w:tcPr>
          <w:p>
            <w:pPr>
              <w:pStyle w:val="TableParagraph"/>
              <w:spacing w:line="180" w:lineRule="exact"/>
              <w:ind w:left="277"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92" w:hRule="exact"/>
        </w:trPr>
        <w:tc>
          <w:tcPr>
            <w:tcW w:w="4041"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23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962" w:right="0"/>
              <w:jc w:val="left"/>
              <w:rPr>
                <w:rFonts w:ascii="宋体" w:hAnsi="宋体" w:cs="宋体" w:eastAsia="宋体" w:hint="default"/>
                <w:sz w:val="18"/>
                <w:szCs w:val="18"/>
              </w:rPr>
            </w:pPr>
            <w:r>
              <w:rPr>
                <w:rFonts w:ascii="宋体"/>
                <w:sz w:val="18"/>
              </w:rPr>
              <w:t>130,950,450.00</w:t>
            </w:r>
          </w:p>
        </w:tc>
        <w:tc>
          <w:tcPr>
            <w:tcW w:w="1620" w:type="dxa"/>
            <w:tcBorders>
              <w:top w:val="nil" w:sz="6" w:space="0" w:color="auto"/>
              <w:left w:val="nil" w:sz="6" w:space="0" w:color="auto"/>
              <w:bottom w:val="nil" w:sz="6" w:space="0" w:color="auto"/>
              <w:right w:val="nil" w:sz="6" w:space="0" w:color="auto"/>
            </w:tcBorders>
          </w:tcPr>
          <w:p>
            <w:pPr/>
          </w:p>
        </w:tc>
        <w:tc>
          <w:tcPr>
            <w:tcW w:w="20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811" w:right="0"/>
              <w:jc w:val="left"/>
              <w:rPr>
                <w:rFonts w:ascii="宋体" w:hAnsi="宋体" w:cs="宋体" w:eastAsia="宋体" w:hint="default"/>
                <w:sz w:val="18"/>
                <w:szCs w:val="18"/>
              </w:rPr>
            </w:pPr>
            <w:r>
              <w:rPr>
                <w:rFonts w:ascii="宋体"/>
                <w:spacing w:val="3"/>
                <w:sz w:val="18"/>
              </w:rPr>
              <w:t>89,372,317.90</w:t>
            </w:r>
          </w:p>
        </w:tc>
      </w:tr>
    </w:tbl>
    <w:p>
      <w:pPr>
        <w:spacing w:line="240" w:lineRule="auto" w:before="1"/>
        <w:rPr>
          <w:rFonts w:ascii="宋体" w:hAnsi="宋体" w:cs="宋体" w:eastAsia="宋体" w:hint="default"/>
          <w:b/>
          <w:bCs/>
          <w:sz w:val="19"/>
          <w:szCs w:val="19"/>
        </w:rPr>
      </w:pPr>
    </w:p>
    <w:p>
      <w:pPr>
        <w:pStyle w:val="Heading4"/>
        <w:spacing w:line="240" w:lineRule="auto"/>
        <w:ind w:right="90"/>
        <w:jc w:val="left"/>
        <w:rPr>
          <w:b w:val="0"/>
          <w:bCs w:val="0"/>
        </w:rPr>
      </w:pPr>
      <w:r>
        <w:rPr/>
        <w:t>17、应付账款</w:t>
      </w:r>
      <w:r>
        <w:rPr>
          <w:b w:val="0"/>
          <w:bCs w:val="0"/>
        </w:rPr>
      </w:r>
    </w:p>
    <w:p>
      <w:pPr>
        <w:spacing w:line="240" w:lineRule="auto" w:before="3"/>
        <w:rPr>
          <w:rFonts w:ascii="宋体" w:hAnsi="宋体" w:cs="宋体" w:eastAsia="宋体" w:hint="default"/>
          <w:b/>
          <w:bCs/>
          <w:sz w:val="20"/>
          <w:szCs w:val="20"/>
        </w:rPr>
      </w:pPr>
    </w:p>
    <w:tbl>
      <w:tblPr>
        <w:tblW w:w="0" w:type="auto"/>
        <w:jc w:val="left"/>
        <w:tblInd w:w="313" w:type="dxa"/>
        <w:tblLayout w:type="fixed"/>
        <w:tblCellMar>
          <w:top w:w="0" w:type="dxa"/>
          <w:left w:w="0" w:type="dxa"/>
          <w:bottom w:w="0" w:type="dxa"/>
          <w:right w:w="0" w:type="dxa"/>
        </w:tblCellMar>
        <w:tblLook w:val="01E0"/>
      </w:tblPr>
      <w:tblGrid>
        <w:gridCol w:w="2000"/>
        <w:gridCol w:w="1802"/>
        <w:gridCol w:w="2216"/>
        <w:gridCol w:w="1602"/>
        <w:gridCol w:w="2018"/>
      </w:tblGrid>
      <w:tr>
        <w:trPr>
          <w:trHeight w:val="293" w:hRule="exact"/>
        </w:trPr>
        <w:tc>
          <w:tcPr>
            <w:tcW w:w="2000"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2"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4" w:space="0" w:color="000000"/>
              <w:right w:val="nil" w:sz="6" w:space="0" w:color="auto"/>
            </w:tcBorders>
          </w:tcPr>
          <w:p>
            <w:pPr>
              <w:pStyle w:val="TableParagraph"/>
              <w:spacing w:line="180" w:lineRule="exact"/>
              <w:ind w:left="37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2"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single" w:sz="4" w:space="0" w:color="000000"/>
              <w:right w:val="nil" w:sz="6" w:space="0" w:color="auto"/>
            </w:tcBorders>
          </w:tcPr>
          <w:p>
            <w:pPr>
              <w:pStyle w:val="TableParagraph"/>
              <w:spacing w:line="180" w:lineRule="exact"/>
              <w:ind w:left="27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3" w:hRule="exact"/>
        </w:trPr>
        <w:tc>
          <w:tcPr>
            <w:tcW w:w="200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1802" w:type="dxa"/>
            <w:tcBorders>
              <w:top w:val="nil" w:sz="6" w:space="0" w:color="auto"/>
              <w:left w:val="nil" w:sz="6" w:space="0" w:color="auto"/>
              <w:bottom w:val="nil" w:sz="6" w:space="0" w:color="auto"/>
              <w:right w:val="nil" w:sz="6" w:space="0" w:color="auto"/>
            </w:tcBorders>
          </w:tcPr>
          <w:p>
            <w:pPr/>
          </w:p>
        </w:tc>
        <w:tc>
          <w:tcPr>
            <w:tcW w:w="221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76,486,680.30</w:t>
            </w:r>
          </w:p>
        </w:tc>
        <w:tc>
          <w:tcPr>
            <w:tcW w:w="1602" w:type="dxa"/>
            <w:tcBorders>
              <w:top w:val="nil" w:sz="6" w:space="0" w:color="auto"/>
              <w:left w:val="nil" w:sz="6" w:space="0" w:color="auto"/>
              <w:bottom w:val="nil" w:sz="6" w:space="0" w:color="auto"/>
              <w:right w:val="nil" w:sz="6" w:space="0" w:color="auto"/>
            </w:tcBorders>
          </w:tcPr>
          <w:p>
            <w:pPr/>
          </w:p>
        </w:tc>
        <w:tc>
          <w:tcPr>
            <w:tcW w:w="201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45,095,730.79</w:t>
            </w:r>
          </w:p>
        </w:tc>
      </w:tr>
      <w:tr>
        <w:trPr>
          <w:trHeight w:val="397"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1802"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16,533,430.01</w:t>
            </w:r>
          </w:p>
        </w:tc>
        <w:tc>
          <w:tcPr>
            <w:tcW w:w="1602"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3,634,421.62</w:t>
            </w:r>
          </w:p>
        </w:tc>
      </w:tr>
      <w:tr>
        <w:trPr>
          <w:trHeight w:val="401" w:hRule="exact"/>
        </w:trPr>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应付购置厂房款</w:t>
            </w:r>
          </w:p>
        </w:tc>
        <w:tc>
          <w:tcPr>
            <w:tcW w:w="1802" w:type="dxa"/>
            <w:tcBorders>
              <w:top w:val="nil" w:sz="6" w:space="0" w:color="auto"/>
              <w:left w:val="nil" w:sz="6" w:space="0" w:color="auto"/>
              <w:bottom w:val="nil" w:sz="6" w:space="0" w:color="auto"/>
              <w:right w:val="nil" w:sz="6" w:space="0" w:color="auto"/>
            </w:tcBorders>
          </w:tcPr>
          <w:p>
            <w:pPr/>
          </w:p>
        </w:tc>
        <w:tc>
          <w:tcPr>
            <w:tcW w:w="221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8"/>
              <w:jc w:val="right"/>
              <w:rPr>
                <w:rFonts w:ascii="宋体" w:hAnsi="宋体" w:cs="宋体" w:eastAsia="宋体" w:hint="default"/>
                <w:sz w:val="18"/>
                <w:szCs w:val="18"/>
              </w:rPr>
            </w:pPr>
            <w:r>
              <w:rPr>
                <w:rFonts w:ascii="宋体"/>
                <w:sz w:val="18"/>
              </w:rPr>
              <w:t>3,380,000.00</w:t>
            </w:r>
          </w:p>
        </w:tc>
        <w:tc>
          <w:tcPr>
            <w:tcW w:w="1602"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3,380,000.00</w:t>
            </w:r>
          </w:p>
        </w:tc>
      </w:tr>
      <w:tr>
        <w:trPr>
          <w:trHeight w:val="418" w:hRule="exact"/>
        </w:trPr>
        <w:tc>
          <w:tcPr>
            <w:tcW w:w="2000" w:type="dxa"/>
            <w:tcBorders>
              <w:top w:val="nil" w:sz="6" w:space="0" w:color="auto"/>
              <w:left w:val="nil" w:sz="6" w:space="0" w:color="auto"/>
              <w:bottom w:val="nil" w:sz="6" w:space="0" w:color="auto"/>
              <w:right w:val="nil" w:sz="6" w:space="0" w:color="auto"/>
            </w:tcBorders>
          </w:tcPr>
          <w:p>
            <w:pPr/>
          </w:p>
        </w:tc>
        <w:tc>
          <w:tcPr>
            <w:tcW w:w="1802" w:type="dxa"/>
            <w:tcBorders>
              <w:top w:val="nil" w:sz="6" w:space="0" w:color="auto"/>
              <w:left w:val="nil" w:sz="6" w:space="0" w:color="auto"/>
              <w:bottom w:val="nil" w:sz="6" w:space="0" w:color="auto"/>
              <w:right w:val="nil" w:sz="6" w:space="0" w:color="auto"/>
            </w:tcBorders>
          </w:tcPr>
          <w:p>
            <w:pPr/>
          </w:p>
        </w:tc>
        <w:tc>
          <w:tcPr>
            <w:tcW w:w="22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4"/>
              <w:ind w:right="8"/>
              <w:jc w:val="right"/>
              <w:rPr>
                <w:rFonts w:ascii="宋体" w:hAnsi="宋体" w:cs="宋体" w:eastAsia="宋体" w:hint="default"/>
                <w:sz w:val="18"/>
                <w:szCs w:val="18"/>
              </w:rPr>
            </w:pPr>
            <w:r>
              <w:rPr>
                <w:rFonts w:ascii="宋体"/>
                <w:sz w:val="18"/>
              </w:rPr>
              <w:t>96,400,110.31</w:t>
            </w:r>
          </w:p>
        </w:tc>
        <w:tc>
          <w:tcPr>
            <w:tcW w:w="1602" w:type="dxa"/>
            <w:tcBorders>
              <w:top w:val="nil" w:sz="6" w:space="0" w:color="auto"/>
              <w:left w:val="nil" w:sz="6" w:space="0" w:color="auto"/>
              <w:bottom w:val="nil" w:sz="6" w:space="0" w:color="auto"/>
              <w:right w:val="nil" w:sz="6" w:space="0" w:color="auto"/>
            </w:tcBorders>
          </w:tcPr>
          <w:p>
            <w:pPr/>
          </w:p>
        </w:tc>
        <w:tc>
          <w:tcPr>
            <w:tcW w:w="2018" w:type="dxa"/>
            <w:tcBorders>
              <w:top w:val="single" w:sz="4" w:space="0" w:color="000000"/>
              <w:left w:val="nil" w:sz="6" w:space="0" w:color="auto"/>
              <w:bottom w:val="single" w:sz="12" w:space="0" w:color="000000"/>
              <w:right w:val="nil" w:sz="6" w:space="0" w:color="auto"/>
            </w:tcBorders>
          </w:tcPr>
          <w:p>
            <w:pPr>
              <w:pStyle w:val="TableParagraph"/>
              <w:spacing w:line="240" w:lineRule="auto" w:before="54"/>
              <w:ind w:right="0"/>
              <w:jc w:val="right"/>
              <w:rPr>
                <w:rFonts w:ascii="宋体" w:hAnsi="宋体" w:cs="宋体" w:eastAsia="宋体" w:hint="default"/>
                <w:sz w:val="18"/>
                <w:szCs w:val="18"/>
              </w:rPr>
            </w:pPr>
            <w:r>
              <w:rPr>
                <w:rFonts w:ascii="宋体"/>
                <w:sz w:val="18"/>
              </w:rPr>
              <w:t>52,110,152.41</w:t>
            </w:r>
          </w:p>
        </w:tc>
      </w:tr>
    </w:tbl>
    <w:p>
      <w:pPr>
        <w:spacing w:line="240" w:lineRule="auto" w:before="2"/>
        <w:rPr>
          <w:rFonts w:ascii="宋体" w:hAnsi="宋体" w:cs="宋体" w:eastAsia="宋体" w:hint="default"/>
          <w:b/>
          <w:bCs/>
          <w:sz w:val="17"/>
          <w:szCs w:val="17"/>
        </w:rPr>
      </w:pPr>
    </w:p>
    <w:p>
      <w:pPr>
        <w:pStyle w:val="BodyText"/>
        <w:spacing w:line="367" w:lineRule="auto" w:before="26"/>
        <w:ind w:left="313" w:right="177" w:firstLine="480"/>
        <w:jc w:val="left"/>
      </w:pPr>
      <w:r>
        <w:rPr/>
        <w:t>于</w:t>
      </w:r>
      <w:r>
        <w:rPr>
          <w:spacing w:val="-59"/>
        </w:rPr>
        <w:t> </w:t>
      </w:r>
      <w:r>
        <w:rPr>
          <w:spacing w:val="12"/>
        </w:rPr>
        <w:t>2008年</w:t>
      </w:r>
      <w:r>
        <w:rPr>
          <w:spacing w:val="-59"/>
        </w:rPr>
        <w:t> </w:t>
      </w:r>
      <w:r>
        <w:rPr>
          <w:spacing w:val="20"/>
        </w:rPr>
        <w:t>12月</w:t>
      </w:r>
      <w:r>
        <w:rPr>
          <w:spacing w:val="-59"/>
        </w:rPr>
        <w:t> </w:t>
      </w:r>
      <w:r>
        <w:rPr/>
        <w:t>31</w:t>
      </w:r>
      <w:r>
        <w:rPr>
          <w:spacing w:val="-59"/>
        </w:rPr>
        <w:t> </w:t>
      </w:r>
      <w:r>
        <w:rPr>
          <w:spacing w:val="-3"/>
        </w:rPr>
        <w:t>日，账龄超过一年的应付账款主要为应付鞍山高新经济发展有限公司</w:t>
      </w:r>
      <w:r>
        <w:rPr/>
        <w:t> 购厂房余款及部分设备款项。</w:t>
      </w:r>
    </w:p>
    <w:p>
      <w:pPr>
        <w:pStyle w:val="Heading4"/>
        <w:spacing w:line="240" w:lineRule="auto" w:before="78"/>
        <w:ind w:right="90"/>
        <w:jc w:val="left"/>
        <w:rPr>
          <w:b w:val="0"/>
          <w:bCs w:val="0"/>
        </w:rPr>
      </w:pPr>
      <w:r>
        <w:rPr/>
        <w:t>18、预收款项</w:t>
      </w:r>
      <w:r>
        <w:rPr>
          <w:b w:val="0"/>
          <w:bCs w:val="0"/>
        </w:rPr>
      </w:r>
    </w:p>
    <w:p>
      <w:pPr>
        <w:spacing w:after="0" w:line="240" w:lineRule="auto"/>
        <w:jc w:val="left"/>
        <w:sectPr>
          <w:footerReference w:type="default" r:id="rId18"/>
          <w:pgSz w:w="11910" w:h="16840"/>
          <w:pgMar w:footer="1022" w:header="877" w:top="1060" w:bottom="1220" w:left="820" w:right="940"/>
          <w:pgNumType w:start="86"/>
        </w:sectPr>
      </w:pPr>
    </w:p>
    <w:p>
      <w:pPr>
        <w:spacing w:line="240" w:lineRule="auto" w:before="3"/>
        <w:rPr>
          <w:rFonts w:ascii="宋体" w:hAnsi="宋体" w:cs="宋体" w:eastAsia="宋体" w:hint="default"/>
          <w:b/>
          <w:bCs/>
          <w:sz w:val="28"/>
          <w:szCs w:val="28"/>
        </w:rPr>
      </w:pPr>
      <w:r>
        <w:rPr/>
        <w:pict>
          <v:group style="position:absolute;margin-left:160.979996pt;margin-top:90.660004pt;width:182.25pt;height:.1pt;mso-position-horizontal-relative:page;mso-position-vertical-relative:page;z-index:-525928" coordorigin="3220,1813" coordsize="3645,2">
            <v:shape style="position:absolute;left:3220;top:1813;width:3645;height:2" coordorigin="3220,1813" coordsize="3645,0" path="m3220,1813l6864,1813e" filled="false" stroked="true" strokeweight=".48pt" strokecolor="#000000">
              <v:path arrowok="t"/>
            </v:shape>
            <w10:wrap type="none"/>
          </v:group>
        </w:pict>
      </w:r>
      <w:r>
        <w:rPr/>
        <w:pict>
          <v:group style="position:absolute;margin-left:356.220001pt;margin-top:90.779999pt;width:182.05pt;height:.1pt;mso-position-horizontal-relative:page;mso-position-vertical-relative:page;z-index:-525904" coordorigin="7124,1816" coordsize="3641,2">
            <v:shape style="position:absolute;left:7124;top:1816;width:3641;height:2" coordorigin="7124,1816" coordsize="3641,0" path="m7124,1816l10765,1816e" filled="false" stroked="true" strokeweight=".72pt" strokecolor="#000000">
              <v:path arrowok="t"/>
            </v:shape>
            <w10:wrap type="none"/>
          </v:group>
        </w:pict>
      </w:r>
    </w:p>
    <w:tbl>
      <w:tblPr>
        <w:tblW w:w="0" w:type="auto"/>
        <w:jc w:val="left"/>
        <w:tblInd w:w="278" w:type="dxa"/>
        <w:tblLayout w:type="fixed"/>
        <w:tblCellMar>
          <w:top w:w="0" w:type="dxa"/>
          <w:left w:w="0" w:type="dxa"/>
          <w:bottom w:w="0" w:type="dxa"/>
          <w:right w:w="0" w:type="dxa"/>
        </w:tblCellMar>
        <w:tblLook w:val="01E0"/>
      </w:tblPr>
      <w:tblGrid>
        <w:gridCol w:w="816"/>
        <w:gridCol w:w="748"/>
        <w:gridCol w:w="557"/>
        <w:gridCol w:w="2629"/>
        <w:gridCol w:w="1015"/>
        <w:gridCol w:w="260"/>
        <w:gridCol w:w="2627"/>
        <w:gridCol w:w="1014"/>
      </w:tblGrid>
      <w:tr>
        <w:trPr>
          <w:trHeight w:val="761" w:hRule="exact"/>
        </w:trPr>
        <w:tc>
          <w:tcPr>
            <w:tcW w:w="81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2"/>
              <w:jc w:val="right"/>
              <w:rPr>
                <w:rFonts w:ascii="宋体" w:hAnsi="宋体" w:cs="宋体" w:eastAsia="宋体" w:hint="default"/>
                <w:sz w:val="18"/>
                <w:szCs w:val="18"/>
              </w:rPr>
            </w:pPr>
            <w:r>
              <w:rPr>
                <w:rFonts w:ascii="宋体" w:hAnsi="宋体" w:cs="宋体" w:eastAsia="宋体" w:hint="default"/>
                <w:sz w:val="18"/>
                <w:szCs w:val="18"/>
              </w:rPr>
              <w:t>账</w:t>
            </w:r>
          </w:p>
        </w:tc>
        <w:tc>
          <w:tcPr>
            <w:tcW w:w="74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龄</w:t>
            </w:r>
          </w:p>
        </w:tc>
        <w:tc>
          <w:tcPr>
            <w:tcW w:w="557" w:type="dxa"/>
            <w:tcBorders>
              <w:top w:val="nil" w:sz="6" w:space="0" w:color="auto"/>
              <w:left w:val="nil" w:sz="6" w:space="0" w:color="auto"/>
              <w:bottom w:val="nil" w:sz="6" w:space="0" w:color="auto"/>
              <w:right w:val="nil" w:sz="6" w:space="0" w:color="auto"/>
            </w:tcBorders>
          </w:tcPr>
          <w:p>
            <w:pPr/>
          </w:p>
        </w:tc>
        <w:tc>
          <w:tcPr>
            <w:tcW w:w="262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02" w:right="0"/>
              <w:jc w:val="left"/>
              <w:rPr>
                <w:rFonts w:ascii="宋体" w:hAnsi="宋体" w:cs="宋体" w:eastAsia="宋体" w:hint="default"/>
                <w:sz w:val="18"/>
                <w:szCs w:val="18"/>
              </w:rPr>
            </w:pPr>
            <w:r>
              <w:rPr>
                <w:rFonts w:ascii="宋体" w:hAnsi="宋体" w:cs="宋体" w:eastAsia="宋体" w:hint="default"/>
                <w:spacing w:val="-3"/>
                <w:sz w:val="18"/>
                <w:szCs w:val="18"/>
              </w:rPr>
              <w:t>2008</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p>
            <w:pPr>
              <w:pStyle w:val="TableParagraph"/>
              <w:spacing w:line="240" w:lineRule="auto" w:before="148"/>
              <w:ind w:left="651"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78"/>
                <w:sz w:val="18"/>
                <w:szCs w:val="18"/>
              </w:rPr>
              <w:t> </w:t>
            </w:r>
            <w:r>
              <w:rPr>
                <w:rFonts w:ascii="宋体" w:hAnsi="宋体" w:cs="宋体" w:eastAsia="宋体" w:hint="default"/>
                <w:sz w:val="18"/>
                <w:szCs w:val="18"/>
              </w:rPr>
              <w:t>额</w:t>
            </w:r>
          </w:p>
        </w:tc>
        <w:tc>
          <w:tcPr>
            <w:tcW w:w="101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tc>
        <w:tc>
          <w:tcPr>
            <w:tcW w:w="260"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101" w:right="0"/>
              <w:jc w:val="left"/>
              <w:rPr>
                <w:rFonts w:ascii="宋体" w:hAnsi="宋体" w:cs="宋体" w:eastAsia="宋体" w:hint="default"/>
                <w:sz w:val="18"/>
                <w:szCs w:val="18"/>
              </w:rPr>
            </w:pPr>
            <w:r>
              <w:rPr>
                <w:rFonts w:ascii="宋体" w:hAnsi="宋体" w:cs="宋体" w:eastAsia="宋体" w:hint="default"/>
                <w:spacing w:val="-3"/>
                <w:sz w:val="18"/>
                <w:szCs w:val="18"/>
              </w:rPr>
              <w:t>2007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p>
            <w:pPr>
              <w:pStyle w:val="TableParagraph"/>
              <w:spacing w:line="240" w:lineRule="auto" w:before="148"/>
              <w:ind w:left="660" w:right="0"/>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78"/>
                <w:sz w:val="18"/>
                <w:szCs w:val="18"/>
              </w:rPr>
              <w:t> </w:t>
            </w:r>
            <w:r>
              <w:rPr>
                <w:rFonts w:ascii="宋体" w:hAnsi="宋体" w:cs="宋体" w:eastAsia="宋体" w:hint="default"/>
                <w:sz w:val="18"/>
                <w:szCs w:val="18"/>
              </w:rPr>
              <w:t>额</w:t>
            </w:r>
          </w:p>
        </w:tc>
        <w:tc>
          <w:tcPr>
            <w:tcW w:w="101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pacing w:val="-5"/>
                <w:sz w:val="18"/>
                <w:szCs w:val="18"/>
              </w:rPr>
              <w:t>比例</w:t>
            </w:r>
            <w:r>
              <w:rPr>
                <w:rFonts w:ascii="宋体" w:hAnsi="宋体" w:cs="宋体" w:eastAsia="宋体" w:hint="default"/>
                <w:sz w:val="18"/>
                <w:szCs w:val="18"/>
              </w:rPr>
            </w:r>
          </w:p>
        </w:tc>
      </w:tr>
      <w:tr>
        <w:trPr>
          <w:trHeight w:val="404" w:hRule="exact"/>
        </w:trPr>
        <w:tc>
          <w:tcPr>
            <w:tcW w:w="816"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71"/>
              <w:jc w:val="right"/>
              <w:rPr>
                <w:rFonts w:ascii="宋体" w:hAnsi="宋体" w:cs="宋体" w:eastAsia="宋体" w:hint="default"/>
                <w:sz w:val="18"/>
                <w:szCs w:val="18"/>
              </w:rPr>
            </w:pPr>
            <w:r>
              <w:rPr>
                <w:rFonts w:ascii="宋体" w:hAnsi="宋体" w:cs="宋体" w:eastAsia="宋体" w:hint="default"/>
                <w:spacing w:val="-4"/>
                <w:sz w:val="18"/>
                <w:szCs w:val="18"/>
              </w:rPr>
              <w:t>一年以内</w:t>
            </w:r>
          </w:p>
        </w:tc>
        <w:tc>
          <w:tcPr>
            <w:tcW w:w="748" w:type="dxa"/>
            <w:tcBorders>
              <w:top w:val="single" w:sz="4" w:space="0" w:color="000000"/>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262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1.1pt;height:.5pt;mso-position-horizontal-relative:char;mso-position-vertical-relative:line" coordorigin="0,0" coordsize="1822,10">
                  <v:group style="position:absolute;left:5;top:5;width:1812;height:2" coordorigin="5,5" coordsize="1812,2">
                    <v:shape style="position:absolute;left:5;top:5;width:1812;height:2" coordorigin="5,5" coordsize="1812,0" path="m5,5l181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7"/>
              <w:ind w:right="808"/>
              <w:jc w:val="right"/>
              <w:rPr>
                <w:rFonts w:ascii="宋体" w:hAnsi="宋体" w:cs="宋体" w:eastAsia="宋体" w:hint="default"/>
                <w:sz w:val="18"/>
                <w:szCs w:val="18"/>
              </w:rPr>
            </w:pPr>
            <w:r>
              <w:rPr>
                <w:rFonts w:ascii="宋体"/>
                <w:sz w:val="18"/>
              </w:rPr>
              <w:t>79,324,835.44</w:t>
            </w: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8"/>
              <w:jc w:val="right"/>
              <w:rPr>
                <w:rFonts w:ascii="宋体" w:hAnsi="宋体" w:cs="宋体" w:eastAsia="宋体" w:hint="default"/>
                <w:sz w:val="18"/>
                <w:szCs w:val="18"/>
              </w:rPr>
            </w:pPr>
            <w:r>
              <w:rPr>
                <w:rFonts w:ascii="宋体"/>
                <w:sz w:val="18"/>
              </w:rPr>
              <w:t>82.23%</w:t>
            </w:r>
          </w:p>
        </w:tc>
        <w:tc>
          <w:tcPr>
            <w:tcW w:w="260" w:type="dxa"/>
            <w:tcBorders>
              <w:top w:val="nil" w:sz="6" w:space="0" w:color="auto"/>
              <w:left w:val="nil" w:sz="6" w:space="0" w:color="auto"/>
              <w:bottom w:val="nil" w:sz="6" w:space="0" w:color="auto"/>
              <w:right w:val="nil" w:sz="6" w:space="0" w:color="auto"/>
            </w:tcBorders>
          </w:tcPr>
          <w:p>
            <w:pPr/>
          </w:p>
        </w:tc>
        <w:tc>
          <w:tcPr>
            <w:tcW w:w="2627" w:type="dxa"/>
            <w:tcBorders>
              <w:top w:val="single" w:sz="4" w:space="0" w:color="000000"/>
              <w:left w:val="nil" w:sz="6" w:space="0" w:color="auto"/>
              <w:bottom w:val="nil" w:sz="6" w:space="0" w:color="auto"/>
              <w:right w:val="nil" w:sz="6" w:space="0" w:color="auto"/>
            </w:tcBorders>
          </w:tcPr>
          <w:p>
            <w:pPr>
              <w:pStyle w:val="TableParagraph"/>
              <w:spacing w:line="20" w:lineRule="exact"/>
              <w:ind w:left="-8" w:right="0"/>
              <w:jc w:val="left"/>
              <w:rPr>
                <w:rFonts w:ascii="宋体" w:hAnsi="宋体" w:cs="宋体" w:eastAsia="宋体" w:hint="default"/>
                <w:sz w:val="2"/>
                <w:szCs w:val="2"/>
              </w:rPr>
            </w:pPr>
            <w:r>
              <w:rPr>
                <w:rFonts w:ascii="宋体" w:hAnsi="宋体" w:cs="宋体" w:eastAsia="宋体" w:hint="default"/>
                <w:sz w:val="2"/>
                <w:szCs w:val="2"/>
              </w:rPr>
              <w:pict>
                <v:group style="width:92.2pt;height:.75pt;mso-position-horizontal-relative:char;mso-position-vertical-relative:line" coordorigin="0,0" coordsize="1844,15">
                  <v:group style="position:absolute;left:7;top:7;width:1829;height:2" coordorigin="7,7" coordsize="1829,2">
                    <v:shape style="position:absolute;left:7;top:7;width:1829;height:2" coordorigin="7,7" coordsize="1829,0" path="m7,7l1836,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7"/>
              <w:ind w:right="789"/>
              <w:jc w:val="right"/>
              <w:rPr>
                <w:rFonts w:ascii="宋体" w:hAnsi="宋体" w:cs="宋体" w:eastAsia="宋体" w:hint="default"/>
                <w:sz w:val="18"/>
                <w:szCs w:val="18"/>
              </w:rPr>
            </w:pPr>
            <w:r>
              <w:rPr>
                <w:rFonts w:ascii="宋体"/>
                <w:spacing w:val="-3"/>
                <w:sz w:val="18"/>
              </w:rPr>
              <w:t>49,988,312.72</w:t>
            </w:r>
            <w:r>
              <w:rPr>
                <w:rFonts w:ascii="宋体"/>
                <w:sz w:val="18"/>
              </w:rPr>
            </w: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8"/>
              <w:jc w:val="right"/>
              <w:rPr>
                <w:rFonts w:ascii="宋体" w:hAnsi="宋体" w:cs="宋体" w:eastAsia="宋体" w:hint="default"/>
                <w:sz w:val="18"/>
                <w:szCs w:val="18"/>
              </w:rPr>
            </w:pPr>
            <w:r>
              <w:rPr>
                <w:rFonts w:ascii="宋体"/>
                <w:spacing w:val="-3"/>
                <w:sz w:val="18"/>
              </w:rPr>
              <w:t>95.27%</w:t>
            </w:r>
            <w:r>
              <w:rPr>
                <w:rFonts w:ascii="宋体"/>
                <w:sz w:val="18"/>
              </w:rPr>
            </w:r>
          </w:p>
        </w:tc>
      </w:tr>
      <w:tr>
        <w:trPr>
          <w:trHeight w:val="392"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1"/>
              <w:jc w:val="right"/>
              <w:rPr>
                <w:rFonts w:ascii="宋体" w:hAnsi="宋体" w:cs="宋体" w:eastAsia="宋体" w:hint="default"/>
                <w:sz w:val="18"/>
                <w:szCs w:val="18"/>
              </w:rPr>
            </w:pPr>
            <w:r>
              <w:rPr>
                <w:rFonts w:ascii="宋体" w:hAnsi="宋体" w:cs="宋体" w:eastAsia="宋体" w:hint="default"/>
                <w:spacing w:val="-4"/>
                <w:sz w:val="18"/>
                <w:szCs w:val="18"/>
              </w:rPr>
              <w:t>一至二年</w:t>
            </w:r>
          </w:p>
        </w:tc>
        <w:tc>
          <w:tcPr>
            <w:tcW w:w="748"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08"/>
              <w:jc w:val="right"/>
              <w:rPr>
                <w:rFonts w:ascii="宋体" w:hAnsi="宋体" w:cs="宋体" w:eastAsia="宋体" w:hint="default"/>
                <w:sz w:val="18"/>
                <w:szCs w:val="18"/>
              </w:rPr>
            </w:pPr>
            <w:r>
              <w:rPr>
                <w:rFonts w:ascii="宋体"/>
                <w:sz w:val="18"/>
              </w:rPr>
              <w:t>16,602,319.57</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17.21%</w:t>
            </w:r>
          </w:p>
        </w:tc>
        <w:tc>
          <w:tcPr>
            <w:tcW w:w="260"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89"/>
              <w:jc w:val="right"/>
              <w:rPr>
                <w:rFonts w:ascii="宋体" w:hAnsi="宋体" w:cs="宋体" w:eastAsia="宋体" w:hint="default"/>
                <w:sz w:val="18"/>
                <w:szCs w:val="18"/>
              </w:rPr>
            </w:pPr>
            <w:r>
              <w:rPr>
                <w:rFonts w:ascii="宋体"/>
                <w:spacing w:val="-3"/>
                <w:sz w:val="18"/>
              </w:rPr>
              <w:t>2,413,000.00</w:t>
            </w:r>
            <w:r>
              <w:rPr>
                <w:rFonts w:ascii="宋体"/>
                <w:sz w:val="18"/>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
              <w:jc w:val="right"/>
              <w:rPr>
                <w:rFonts w:ascii="宋体" w:hAnsi="宋体" w:cs="宋体" w:eastAsia="宋体" w:hint="default"/>
                <w:sz w:val="18"/>
                <w:szCs w:val="18"/>
              </w:rPr>
            </w:pPr>
            <w:r>
              <w:rPr>
                <w:rFonts w:ascii="宋体"/>
                <w:spacing w:val="-3"/>
                <w:sz w:val="18"/>
              </w:rPr>
              <w:t>4.60%</w:t>
            </w:r>
          </w:p>
        </w:tc>
      </w:tr>
      <w:tr>
        <w:trPr>
          <w:trHeight w:val="392"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1"/>
              <w:jc w:val="right"/>
              <w:rPr>
                <w:rFonts w:ascii="宋体" w:hAnsi="宋体" w:cs="宋体" w:eastAsia="宋体" w:hint="default"/>
                <w:sz w:val="18"/>
                <w:szCs w:val="18"/>
              </w:rPr>
            </w:pPr>
            <w:r>
              <w:rPr>
                <w:rFonts w:ascii="宋体" w:hAnsi="宋体" w:cs="宋体" w:eastAsia="宋体" w:hint="default"/>
                <w:spacing w:val="-4"/>
                <w:sz w:val="18"/>
                <w:szCs w:val="18"/>
              </w:rPr>
              <w:t>二至三年</w:t>
            </w:r>
          </w:p>
        </w:tc>
        <w:tc>
          <w:tcPr>
            <w:tcW w:w="748"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26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08"/>
              <w:jc w:val="right"/>
              <w:rPr>
                <w:rFonts w:ascii="宋体" w:hAnsi="宋体" w:cs="宋体" w:eastAsia="宋体" w:hint="default"/>
                <w:sz w:val="18"/>
                <w:szCs w:val="18"/>
              </w:rPr>
            </w:pPr>
            <w:r>
              <w:rPr>
                <w:rFonts w:ascii="宋体"/>
                <w:sz w:val="18"/>
              </w:rPr>
              <w:t>483,794.00</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
              <w:jc w:val="right"/>
              <w:rPr>
                <w:rFonts w:ascii="宋体" w:hAnsi="宋体" w:cs="宋体" w:eastAsia="宋体" w:hint="default"/>
                <w:sz w:val="18"/>
                <w:szCs w:val="18"/>
              </w:rPr>
            </w:pPr>
            <w:r>
              <w:rPr>
                <w:rFonts w:ascii="宋体"/>
                <w:sz w:val="18"/>
              </w:rPr>
              <w:t>0.50%</w:t>
            </w:r>
          </w:p>
        </w:tc>
        <w:tc>
          <w:tcPr>
            <w:tcW w:w="260"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89"/>
              <w:jc w:val="right"/>
              <w:rPr>
                <w:rFonts w:ascii="宋体" w:hAnsi="宋体" w:cs="宋体" w:eastAsia="宋体" w:hint="default"/>
                <w:sz w:val="18"/>
                <w:szCs w:val="18"/>
              </w:rPr>
            </w:pPr>
            <w:r>
              <w:rPr>
                <w:rFonts w:ascii="宋体"/>
                <w:spacing w:val="-3"/>
                <w:sz w:val="18"/>
              </w:rPr>
              <w:t>45,600.00</w:t>
            </w:r>
            <w:r>
              <w:rPr>
                <w:rFonts w:ascii="宋体"/>
                <w:sz w:val="18"/>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
              <w:jc w:val="right"/>
              <w:rPr>
                <w:rFonts w:ascii="宋体" w:hAnsi="宋体" w:cs="宋体" w:eastAsia="宋体" w:hint="default"/>
                <w:sz w:val="18"/>
                <w:szCs w:val="18"/>
              </w:rPr>
            </w:pPr>
            <w:r>
              <w:rPr>
                <w:rFonts w:ascii="宋体"/>
                <w:spacing w:val="-3"/>
                <w:sz w:val="18"/>
              </w:rPr>
              <w:t>0.09%</w:t>
            </w:r>
          </w:p>
        </w:tc>
      </w:tr>
      <w:tr>
        <w:trPr>
          <w:trHeight w:val="396"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pacing w:val="-4"/>
                <w:sz w:val="18"/>
                <w:szCs w:val="18"/>
              </w:rPr>
              <w:t>三年以上</w:t>
            </w:r>
          </w:p>
        </w:tc>
        <w:tc>
          <w:tcPr>
            <w:tcW w:w="748"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262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08"/>
              <w:jc w:val="right"/>
              <w:rPr>
                <w:rFonts w:ascii="宋体" w:hAnsi="宋体" w:cs="宋体" w:eastAsia="宋体" w:hint="default"/>
                <w:sz w:val="18"/>
                <w:szCs w:val="18"/>
              </w:rPr>
            </w:pPr>
            <w:r>
              <w:rPr>
                <w:rFonts w:ascii="宋体"/>
                <w:sz w:val="18"/>
              </w:rPr>
              <w:t>60,500.37</w:t>
            </w:r>
          </w:p>
        </w:tc>
        <w:tc>
          <w:tcPr>
            <w:tcW w:w="101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
              <w:jc w:val="right"/>
              <w:rPr>
                <w:rFonts w:ascii="宋体" w:hAnsi="宋体" w:cs="宋体" w:eastAsia="宋体" w:hint="default"/>
                <w:sz w:val="18"/>
                <w:szCs w:val="18"/>
              </w:rPr>
            </w:pPr>
            <w:r>
              <w:rPr>
                <w:rFonts w:ascii="宋体"/>
                <w:sz w:val="18"/>
              </w:rPr>
              <w:t>0.06%</w:t>
            </w:r>
          </w:p>
        </w:tc>
        <w:tc>
          <w:tcPr>
            <w:tcW w:w="260" w:type="dxa"/>
            <w:tcBorders>
              <w:top w:val="nil" w:sz="6" w:space="0" w:color="auto"/>
              <w:left w:val="nil" w:sz="6" w:space="0" w:color="auto"/>
              <w:bottom w:val="nil" w:sz="6" w:space="0" w:color="auto"/>
              <w:right w:val="nil" w:sz="6" w:space="0" w:color="auto"/>
            </w:tcBorders>
          </w:tcPr>
          <w:p>
            <w:pPr/>
          </w:p>
        </w:tc>
        <w:tc>
          <w:tcPr>
            <w:tcW w:w="262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789"/>
              <w:jc w:val="right"/>
              <w:rPr>
                <w:rFonts w:ascii="宋体" w:hAnsi="宋体" w:cs="宋体" w:eastAsia="宋体" w:hint="default"/>
                <w:sz w:val="18"/>
                <w:szCs w:val="18"/>
              </w:rPr>
            </w:pPr>
            <w:r>
              <w:rPr>
                <w:rFonts w:ascii="宋体"/>
                <w:spacing w:val="-3"/>
                <w:sz w:val="18"/>
              </w:rPr>
              <w:t>20,000.00</w:t>
            </w:r>
            <w:r>
              <w:rPr>
                <w:rFonts w:ascii="宋体"/>
                <w:sz w:val="18"/>
              </w:rPr>
            </w:r>
          </w:p>
        </w:tc>
        <w:tc>
          <w:tcPr>
            <w:tcW w:w="101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6"/>
              <w:jc w:val="right"/>
              <w:rPr>
                <w:rFonts w:ascii="宋体" w:hAnsi="宋体" w:cs="宋体" w:eastAsia="宋体" w:hint="default"/>
                <w:sz w:val="18"/>
                <w:szCs w:val="18"/>
              </w:rPr>
            </w:pPr>
            <w:r>
              <w:rPr>
                <w:rFonts w:ascii="宋体"/>
                <w:spacing w:val="-3"/>
                <w:sz w:val="18"/>
              </w:rPr>
              <w:t>0.04%</w:t>
            </w:r>
          </w:p>
        </w:tc>
      </w:tr>
      <w:tr>
        <w:trPr>
          <w:trHeight w:val="393" w:hRule="exact"/>
        </w:trPr>
        <w:tc>
          <w:tcPr>
            <w:tcW w:w="816"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2629"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1.1pt;height:.5pt;mso-position-horizontal-relative:char;mso-position-vertical-relative:line" coordorigin="0,0" coordsize="1822,10">
                  <v:group style="position:absolute;left:5;top:5;width:1812;height:2" coordorigin="5,5" coordsize="1812,2">
                    <v:shape style="position:absolute;left:5;top:5;width:1812;height:2" coordorigin="5,5" coordsize="1812,0" path="m5,5l1817,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2"/>
              <w:ind w:right="808"/>
              <w:jc w:val="right"/>
              <w:rPr>
                <w:rFonts w:ascii="宋体" w:hAnsi="宋体" w:cs="宋体" w:eastAsia="宋体" w:hint="default"/>
                <w:sz w:val="18"/>
                <w:szCs w:val="18"/>
              </w:rPr>
            </w:pPr>
            <w:r>
              <w:rPr>
                <w:rFonts w:ascii="宋体"/>
                <w:sz w:val="18"/>
              </w:rPr>
              <w:t>96,471,449.38</w:t>
            </w:r>
          </w:p>
        </w:tc>
        <w:tc>
          <w:tcPr>
            <w:tcW w:w="10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
              <w:jc w:val="right"/>
              <w:rPr>
                <w:rFonts w:ascii="宋体" w:hAnsi="宋体" w:cs="宋体" w:eastAsia="宋体" w:hint="default"/>
                <w:sz w:val="18"/>
                <w:szCs w:val="18"/>
              </w:rPr>
            </w:pPr>
            <w:r>
              <w:rPr>
                <w:rFonts w:ascii="宋体"/>
                <w:spacing w:val="-3"/>
                <w:sz w:val="18"/>
              </w:rPr>
              <w:t>100.00%</w:t>
            </w:r>
            <w:r>
              <w:rPr>
                <w:rFonts w:ascii="宋体"/>
                <w:sz w:val="18"/>
              </w:rPr>
            </w:r>
          </w:p>
        </w:tc>
        <w:tc>
          <w:tcPr>
            <w:tcW w:w="260" w:type="dxa"/>
            <w:tcBorders>
              <w:top w:val="nil" w:sz="6" w:space="0" w:color="auto"/>
              <w:left w:val="nil" w:sz="6" w:space="0" w:color="auto"/>
              <w:bottom w:val="nil" w:sz="6" w:space="0" w:color="auto"/>
              <w:right w:val="nil" w:sz="6" w:space="0" w:color="auto"/>
            </w:tcBorders>
          </w:tcPr>
          <w:p>
            <w:pPr/>
          </w:p>
        </w:tc>
        <w:tc>
          <w:tcPr>
            <w:tcW w:w="2627"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1.95pt;height:.5pt;mso-position-horizontal-relative:char;mso-position-vertical-relative:line" coordorigin="0,0" coordsize="1839,10">
                  <v:group style="position:absolute;left:5;top:5;width:1829;height:2" coordorigin="5,5" coordsize="1829,2">
                    <v:shape style="position:absolute;left:5;top:5;width:1829;height:2" coordorigin="5,5" coordsize="1829,0" path="m5,5l1834,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2"/>
              <w:ind w:right="790"/>
              <w:jc w:val="right"/>
              <w:rPr>
                <w:rFonts w:ascii="宋体" w:hAnsi="宋体" w:cs="宋体" w:eastAsia="宋体" w:hint="default"/>
                <w:sz w:val="18"/>
                <w:szCs w:val="18"/>
              </w:rPr>
            </w:pPr>
            <w:r>
              <w:rPr>
                <w:rFonts w:ascii="宋体"/>
                <w:spacing w:val="-3"/>
                <w:sz w:val="18"/>
              </w:rPr>
              <w:t>52,466,912.72</w:t>
            </w:r>
            <w:r>
              <w:rPr>
                <w:rFonts w:ascii="宋体"/>
                <w:sz w:val="18"/>
              </w:rPr>
            </w:r>
          </w:p>
        </w:tc>
        <w:tc>
          <w:tcPr>
            <w:tcW w:w="10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
              <w:jc w:val="right"/>
              <w:rPr>
                <w:rFonts w:ascii="宋体" w:hAnsi="宋体" w:cs="宋体" w:eastAsia="宋体" w:hint="default"/>
                <w:sz w:val="18"/>
                <w:szCs w:val="18"/>
              </w:rPr>
            </w:pPr>
            <w:r>
              <w:rPr>
                <w:rFonts w:ascii="宋体"/>
                <w:spacing w:val="-3"/>
                <w:sz w:val="18"/>
              </w:rPr>
              <w:t>100.00%</w:t>
            </w:r>
            <w:r>
              <w:rPr>
                <w:rFonts w:ascii="宋体"/>
                <w:sz w:val="18"/>
              </w:rPr>
            </w:r>
          </w:p>
        </w:tc>
      </w:tr>
    </w:tbl>
    <w:p>
      <w:pPr>
        <w:tabs>
          <w:tab w:pos="4480" w:val="left" w:leader="none"/>
          <w:tab w:pos="6292" w:val="left" w:leader="none"/>
          <w:tab w:pos="8382" w:val="left" w:leader="none"/>
        </w:tabs>
        <w:spacing w:line="28" w:lineRule="exact"/>
        <w:ind w:left="2387" w:right="0" w:firstLine="0"/>
        <w:rPr>
          <w:rFonts w:ascii="宋体" w:hAnsi="宋体" w:cs="宋体" w:eastAsia="宋体" w:hint="default"/>
          <w:sz w:val="2"/>
          <w:szCs w:val="2"/>
        </w:rPr>
      </w:pPr>
      <w:r>
        <w:rPr>
          <w:rFonts w:ascii="宋体"/>
          <w:position w:val="0"/>
          <w:sz w:val="2"/>
        </w:rPr>
        <w:pict>
          <v:group style="width:91.8pt;height:1.45pt;mso-position-horizontal-relative:char;mso-position-vertical-relative:line" coordorigin="0,0" coordsize="1836,29">
            <v:group style="position:absolute;left:5;top:24;width:1827;height:2" coordorigin="5,24" coordsize="1827,2">
              <v:shape style="position:absolute;left:5;top:24;width:1827;height:2" coordorigin="5,24" coordsize="1827,0" path="m5,24l1831,24e" filled="false" stroked="true" strokeweight=".48pt" strokecolor="#000000">
                <v:path arrowok="t"/>
              </v:shape>
            </v:group>
            <v:group style="position:absolute;left:5;top:5;width:1827;height:2" coordorigin="5,5" coordsize="1827,2">
              <v:shape style="position:absolute;left:5;top:5;width:1827;height:2" coordorigin="5,5" coordsize="1827,0" path="m5,5l1831,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8.8pt;height:1.45pt;mso-position-horizontal-relative:char;mso-position-vertical-relative:line" coordorigin="0,0" coordsize="1576,29">
            <v:group style="position:absolute;left:5;top:24;width:1566;height:2" coordorigin="5,24" coordsize="1566,2">
              <v:shape style="position:absolute;left:5;top:24;width:1566;height:2" coordorigin="5,24" coordsize="1566,0" path="m5,24l1571,24e" filled="false" stroked="true" strokeweight=".48pt" strokecolor="#000000">
                <v:path arrowok="t"/>
              </v:shape>
            </v:group>
            <v:group style="position:absolute;left:5;top:5;width:1566;height:2" coordorigin="5,5" coordsize="1566,2">
              <v:shape style="position:absolute;left:5;top:5;width:1566;height:2" coordorigin="5,5" coordsize="1566,0" path="m5,5l1571,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2.65pt;height:1.45pt;mso-position-horizontal-relative:char;mso-position-vertical-relative:line" coordorigin="0,0" coordsize="1853,29">
            <v:group style="position:absolute;left:5;top:24;width:1844;height:2" coordorigin="5,24" coordsize="1844,2">
              <v:shape style="position:absolute;left:5;top:24;width:1844;height:2" coordorigin="5,24" coordsize="1844,0" path="m5,24l1848,24e" filled="false" stroked="true" strokeweight=".48pt" strokecolor="#000000">
                <v:path arrowok="t"/>
              </v:shape>
            </v:group>
            <v:group style="position:absolute;left:5;top:5;width:1844;height:2" coordorigin="5,5" coordsize="1844,2">
              <v:shape style="position:absolute;left:5;top:5;width:1844;height:2" coordorigin="5,5" coordsize="1844,0" path="m5,5l1848,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78.75pt;height:1.45pt;mso-position-horizontal-relative:char;mso-position-vertical-relative:line" coordorigin="0,0" coordsize="1575,29">
            <v:group style="position:absolute;left:5;top:24;width:1565;height:2" coordorigin="5,24" coordsize="1565,2">
              <v:shape style="position:absolute;left:5;top:24;width:1565;height:2" coordorigin="5,24" coordsize="1565,0" path="m5,24l1570,24e" filled="false" stroked="true" strokeweight=".48pt" strokecolor="#000000">
                <v:path arrowok="t"/>
              </v:shape>
            </v:group>
            <v:group style="position:absolute;left:5;top:5;width:1565;height:2" coordorigin="5,5" coordsize="1565,2">
              <v:shape style="position:absolute;left:5;top:5;width:1565;height:2" coordorigin="5,5" coordsize="1565,0" path="m5,5l1570,5e" filled="false" stroked="true" strokeweight=".48pt" strokecolor="#000000">
                <v:path arrowok="t"/>
              </v:shape>
            </v:group>
          </v:group>
        </w:pict>
      </w:r>
      <w:r>
        <w:rPr>
          <w:rFonts w:ascii="宋体"/>
          <w:position w:val="0"/>
          <w:sz w:val="2"/>
        </w:rPr>
      </w:r>
    </w:p>
    <w:p>
      <w:pPr>
        <w:spacing w:line="240" w:lineRule="auto" w:before="12"/>
        <w:rPr>
          <w:rFonts w:ascii="宋体" w:hAnsi="宋体" w:cs="宋体" w:eastAsia="宋体" w:hint="default"/>
          <w:b/>
          <w:bCs/>
          <w:sz w:val="6"/>
          <w:szCs w:val="6"/>
        </w:rPr>
      </w:pPr>
    </w:p>
    <w:p>
      <w:pPr>
        <w:pStyle w:val="BodyText"/>
        <w:spacing w:line="276" w:lineRule="auto" w:before="26"/>
        <w:ind w:left="314" w:right="138" w:firstLine="480"/>
        <w:jc w:val="left"/>
      </w:pPr>
      <w:r>
        <w:rPr/>
        <w:t>于</w:t>
      </w:r>
      <w:r>
        <w:rPr>
          <w:spacing w:val="-56"/>
        </w:rPr>
        <w:t> </w:t>
      </w:r>
      <w:r>
        <w:rPr/>
        <w:t>2008</w:t>
      </w:r>
      <w:r>
        <w:rPr>
          <w:spacing w:val="-56"/>
        </w:rPr>
        <w:t> </w:t>
      </w:r>
      <w:r>
        <w:rPr/>
        <w:t>年</w:t>
      </w:r>
      <w:r>
        <w:rPr>
          <w:spacing w:val="-56"/>
        </w:rPr>
        <w:t> </w:t>
      </w:r>
      <w:r>
        <w:rPr/>
        <w:t>12</w:t>
      </w:r>
      <w:r>
        <w:rPr>
          <w:spacing w:val="-56"/>
        </w:rPr>
        <w:t> </w:t>
      </w:r>
      <w:r>
        <w:rPr/>
        <w:t>月</w:t>
      </w:r>
      <w:r>
        <w:rPr>
          <w:spacing w:val="-56"/>
        </w:rPr>
        <w:t> </w:t>
      </w:r>
      <w:r>
        <w:rPr/>
        <w:t>31</w:t>
      </w:r>
      <w:r>
        <w:rPr>
          <w:spacing w:val="-56"/>
        </w:rPr>
        <w:t> </w:t>
      </w:r>
      <w:r>
        <w:rPr/>
        <w:t>日，预收款项中无预收持有本公司</w:t>
      </w:r>
      <w:r>
        <w:rPr>
          <w:spacing w:val="-56"/>
        </w:rPr>
        <w:t> </w:t>
      </w:r>
      <w:r>
        <w:rPr/>
        <w:t>5%(含</w:t>
      </w:r>
      <w:r>
        <w:rPr>
          <w:spacing w:val="-56"/>
        </w:rPr>
        <w:t> </w:t>
      </w:r>
      <w:r>
        <w:rPr/>
        <w:t>5%)以上表决权股份的股东</w:t>
      </w:r>
      <w:r>
        <w:rPr/>
        <w:t> 的款项。</w:t>
      </w:r>
    </w:p>
    <w:p>
      <w:pPr>
        <w:pStyle w:val="BodyText"/>
        <w:spacing w:line="276" w:lineRule="auto" w:before="109"/>
        <w:ind w:left="314" w:right="137" w:firstLine="480"/>
        <w:jc w:val="left"/>
      </w:pPr>
      <w:r>
        <w:rPr/>
        <w:t>于</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3"/>
        </w:rPr>
        <w:t>日，账龄超过一年的预收款项为</w:t>
      </w:r>
      <w:r>
        <w:rPr>
          <w:spacing w:val="-60"/>
        </w:rPr>
        <w:t> </w:t>
      </w:r>
      <w:r>
        <w:rPr/>
        <w:t>17,146,613.94</w:t>
      </w:r>
      <w:r>
        <w:rPr>
          <w:spacing w:val="-60"/>
        </w:rPr>
        <w:t> </w:t>
      </w:r>
      <w:r>
        <w:rPr>
          <w:spacing w:val="-5"/>
        </w:rPr>
        <w:t>元，主要为项目尚未</w:t>
      </w:r>
      <w:r>
        <w:rPr/>
        <w:t> 完成，款项暂未结转。</w:t>
      </w:r>
    </w:p>
    <w:p>
      <w:pPr>
        <w:pStyle w:val="Heading4"/>
        <w:spacing w:line="240" w:lineRule="auto" w:before="110"/>
        <w:ind w:right="1890"/>
        <w:jc w:val="left"/>
        <w:rPr>
          <w:b w:val="0"/>
          <w:bCs w:val="0"/>
        </w:rPr>
      </w:pPr>
      <w:r>
        <w:rPr/>
        <w:t>19、应付职工薪酬</w:t>
      </w:r>
      <w:r>
        <w:rPr>
          <w:b w:val="0"/>
          <w:bCs w:val="0"/>
        </w:rPr>
      </w:r>
    </w:p>
    <w:p>
      <w:pPr>
        <w:spacing w:line="240" w:lineRule="auto" w:before="9"/>
        <w:rPr>
          <w:rFonts w:ascii="宋体" w:hAnsi="宋体" w:cs="宋体" w:eastAsia="宋体" w:hint="default"/>
          <w:b/>
          <w:bCs/>
          <w:sz w:val="17"/>
          <w:szCs w:val="17"/>
        </w:rPr>
      </w:pPr>
    </w:p>
    <w:tbl>
      <w:tblPr>
        <w:tblW w:w="0" w:type="auto"/>
        <w:jc w:val="left"/>
        <w:tblInd w:w="113" w:type="dxa"/>
        <w:tblLayout w:type="fixed"/>
        <w:tblCellMar>
          <w:top w:w="0" w:type="dxa"/>
          <w:left w:w="0" w:type="dxa"/>
          <w:bottom w:w="0" w:type="dxa"/>
          <w:right w:w="0" w:type="dxa"/>
        </w:tblCellMar>
        <w:tblLook w:val="01E0"/>
      </w:tblPr>
      <w:tblGrid>
        <w:gridCol w:w="2861"/>
        <w:gridCol w:w="1762"/>
        <w:gridCol w:w="265"/>
        <w:gridCol w:w="1356"/>
        <w:gridCol w:w="265"/>
        <w:gridCol w:w="1351"/>
        <w:gridCol w:w="254"/>
        <w:gridCol w:w="1724"/>
      </w:tblGrid>
      <w:tr>
        <w:trPr>
          <w:trHeight w:val="277" w:hRule="exact"/>
        </w:trPr>
        <w:tc>
          <w:tcPr>
            <w:tcW w:w="2861"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180" w:lineRule="exact"/>
              <w:ind w:left="14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180" w:lineRule="exact"/>
              <w:ind w:left="32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Style w:val="TableParagraph"/>
              <w:spacing w:line="180" w:lineRule="exact"/>
              <w:ind w:left="31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4" w:space="0" w:color="000000"/>
              <w:right w:val="nil" w:sz="6" w:space="0" w:color="auto"/>
            </w:tcBorders>
          </w:tcPr>
          <w:p>
            <w:pPr>
              <w:pStyle w:val="TableParagraph"/>
              <w:spacing w:line="180" w:lineRule="exact"/>
              <w:ind w:left="12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76"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宋体" w:hAnsi="宋体" w:cs="宋体" w:eastAsia="宋体" w:hint="default"/>
                <w:sz w:val="18"/>
                <w:szCs w:val="18"/>
              </w:rPr>
            </w:pPr>
            <w:r>
              <w:rPr>
                <w:rFonts w:ascii="宋体" w:hAnsi="宋体" w:cs="宋体" w:eastAsia="宋体" w:hint="default"/>
                <w:sz w:val="18"/>
                <w:szCs w:val="18"/>
              </w:rPr>
              <w:t>工资、奖金、津贴和补贴</w:t>
            </w: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w:t>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25,068,157.24</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25,068,157.24</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w:t>
            </w:r>
          </w:p>
        </w:tc>
      </w:tr>
      <w:tr>
        <w:trPr>
          <w:trHeight w:val="37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00"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278,781.16</w:t>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6,621,868.66</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6,642,954.27</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257,695.55</w:t>
            </w:r>
          </w:p>
        </w:tc>
      </w:tr>
      <w:tr>
        <w:trPr>
          <w:trHeight w:val="369"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00"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41,950.92</w:t>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1,633,012.65</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1,649,075.50</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25,888.07</w:t>
            </w:r>
          </w:p>
        </w:tc>
      </w:tr>
      <w:tr>
        <w:trPr>
          <w:trHeight w:val="369"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40"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198,802.08</w:t>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4,286,198.24</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4,269,495.76</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215,504.56</w:t>
            </w:r>
          </w:p>
        </w:tc>
      </w:tr>
      <w:tr>
        <w:trPr>
          <w:trHeight w:val="369"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40" w:right="0"/>
              <w:jc w:val="left"/>
              <w:rPr>
                <w:rFonts w:ascii="宋体" w:hAnsi="宋体" w:cs="宋体" w:eastAsia="宋体" w:hint="default"/>
                <w:sz w:val="18"/>
                <w:szCs w:val="18"/>
              </w:rPr>
            </w:pPr>
            <w:r>
              <w:rPr>
                <w:rFonts w:ascii="宋体" w:hAnsi="宋体" w:cs="宋体" w:eastAsia="宋体" w:hint="default"/>
                <w:sz w:val="18"/>
                <w:szCs w:val="18"/>
              </w:rPr>
              <w:t>年金缴费</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1,981.31</w:t>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1,981.31</w:t>
            </w:r>
          </w:p>
        </w:tc>
      </w:tr>
      <w:tr>
        <w:trPr>
          <w:trHeight w:val="369"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40"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20,959.97</w:t>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446,680.06</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453,821.40</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13,818.63</w:t>
            </w:r>
          </w:p>
        </w:tc>
      </w:tr>
      <w:tr>
        <w:trPr>
          <w:trHeight w:val="369"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740"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8,381.60</w:t>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149,317.72</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157,377.44</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321.88</w:t>
            </w:r>
          </w:p>
        </w:tc>
      </w:tr>
      <w:tr>
        <w:trPr>
          <w:trHeight w:val="369"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740"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6,705.28</w:t>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106,659.99</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113,184.17</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181.10</w:t>
            </w:r>
          </w:p>
        </w:tc>
      </w:tr>
      <w:tr>
        <w:trPr>
          <w:trHeight w:val="369"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00"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w:t>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1,295,429.84</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1,294,507.00</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922.84</w:t>
            </w:r>
          </w:p>
        </w:tc>
      </w:tr>
      <w:tr>
        <w:trPr>
          <w:trHeight w:val="369"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0" w:right="0"/>
              <w:jc w:val="left"/>
              <w:rPr>
                <w:rFonts w:ascii="宋体" w:hAnsi="宋体" w:cs="宋体" w:eastAsia="宋体" w:hint="default"/>
                <w:sz w:val="18"/>
                <w:szCs w:val="18"/>
              </w:rPr>
            </w:pPr>
            <w:r>
              <w:rPr>
                <w:rFonts w:ascii="宋体" w:hAnsi="宋体" w:cs="宋体" w:eastAsia="宋体" w:hint="default"/>
                <w:sz w:val="18"/>
                <w:szCs w:val="18"/>
              </w:rPr>
              <w:t>工会经费和职工教育经费</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pacing w:val="-5"/>
                <w:sz w:val="18"/>
              </w:rPr>
              <w:t>288,089.07</w:t>
            </w:r>
            <w:r>
              <w:rPr>
                <w:rFonts w:ascii="宋体"/>
                <w:sz w:val="18"/>
              </w:rPr>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689,578.62</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678,240.14</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宋体" w:hAnsi="宋体" w:cs="宋体" w:eastAsia="宋体" w:hint="default"/>
                <w:sz w:val="18"/>
                <w:szCs w:val="18"/>
              </w:rPr>
            </w:pPr>
            <w:r>
              <w:rPr>
                <w:rFonts w:ascii="宋体"/>
                <w:sz w:val="18"/>
              </w:rPr>
              <w:t>299,427.55</w:t>
            </w:r>
          </w:p>
        </w:tc>
      </w:tr>
      <w:tr>
        <w:trPr>
          <w:trHeight w:val="370" w:hRule="exact"/>
        </w:trPr>
        <w:tc>
          <w:tcPr>
            <w:tcW w:w="28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62" w:type="dxa"/>
            <w:tcBorders>
              <w:top w:val="nil" w:sz="6" w:space="0" w:color="auto"/>
              <w:left w:val="nil" w:sz="6" w:space="0" w:color="auto"/>
              <w:bottom w:val="single" w:sz="2" w:space="0" w:color="000000"/>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131,572.37</w:t>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2" w:space="0" w:color="000000"/>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2" w:space="0" w:color="000000"/>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62,018.10</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2" w:space="0" w:color="000000"/>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z w:val="18"/>
              </w:rPr>
              <w:t>69,554.27</w:t>
            </w:r>
          </w:p>
        </w:tc>
      </w:tr>
      <w:tr>
        <w:trPr>
          <w:trHeight w:val="388" w:hRule="exact"/>
        </w:trPr>
        <w:tc>
          <w:tcPr>
            <w:tcW w:w="2861" w:type="dxa"/>
            <w:tcBorders>
              <w:top w:val="nil" w:sz="6" w:space="0" w:color="auto"/>
              <w:left w:val="nil" w:sz="6" w:space="0" w:color="auto"/>
              <w:bottom w:val="nil" w:sz="6" w:space="0" w:color="auto"/>
              <w:right w:val="nil" w:sz="6" w:space="0" w:color="auto"/>
            </w:tcBorders>
          </w:tcPr>
          <w:p>
            <w:pPr/>
          </w:p>
        </w:tc>
        <w:tc>
          <w:tcPr>
            <w:tcW w:w="1762" w:type="dxa"/>
            <w:tcBorders>
              <w:top w:val="single" w:sz="2" w:space="0" w:color="000000"/>
              <w:left w:val="nil" w:sz="6" w:space="0" w:color="auto"/>
              <w:bottom w:val="single" w:sz="12"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pacing w:val="-5"/>
                <w:sz w:val="18"/>
              </w:rPr>
              <w:t>698,442.60</w:t>
            </w:r>
            <w:r>
              <w:rPr>
                <w:rFonts w:ascii="宋体"/>
                <w:sz w:val="18"/>
              </w:rPr>
            </w:r>
          </w:p>
        </w:tc>
        <w:tc>
          <w:tcPr>
            <w:tcW w:w="265" w:type="dxa"/>
            <w:tcBorders>
              <w:top w:val="nil" w:sz="6" w:space="0" w:color="auto"/>
              <w:left w:val="nil" w:sz="6" w:space="0" w:color="auto"/>
              <w:bottom w:val="nil" w:sz="6" w:space="0" w:color="auto"/>
              <w:right w:val="nil" w:sz="6" w:space="0" w:color="auto"/>
            </w:tcBorders>
          </w:tcPr>
          <w:p>
            <w:pPr/>
          </w:p>
        </w:tc>
        <w:tc>
          <w:tcPr>
            <w:tcW w:w="1356" w:type="dxa"/>
            <w:tcBorders>
              <w:top w:val="single" w:sz="2" w:space="0" w:color="000000"/>
              <w:left w:val="nil" w:sz="6" w:space="0" w:color="auto"/>
              <w:bottom w:val="single" w:sz="12"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33,675,034.36</w:t>
            </w:r>
          </w:p>
        </w:tc>
        <w:tc>
          <w:tcPr>
            <w:tcW w:w="265" w:type="dxa"/>
            <w:tcBorders>
              <w:top w:val="nil" w:sz="6" w:space="0" w:color="auto"/>
              <w:left w:val="nil" w:sz="6" w:space="0" w:color="auto"/>
              <w:bottom w:val="nil" w:sz="6" w:space="0" w:color="auto"/>
              <w:right w:val="nil" w:sz="6" w:space="0" w:color="auto"/>
            </w:tcBorders>
          </w:tcPr>
          <w:p>
            <w:pPr/>
          </w:p>
        </w:tc>
        <w:tc>
          <w:tcPr>
            <w:tcW w:w="1351" w:type="dxa"/>
            <w:tcBorders>
              <w:top w:val="single" w:sz="2" w:space="0" w:color="000000"/>
              <w:left w:val="nil" w:sz="6" w:space="0" w:color="auto"/>
              <w:bottom w:val="single" w:sz="12"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33,745,876.75</w:t>
            </w:r>
          </w:p>
        </w:tc>
        <w:tc>
          <w:tcPr>
            <w:tcW w:w="254" w:type="dxa"/>
            <w:tcBorders>
              <w:top w:val="nil" w:sz="6" w:space="0" w:color="auto"/>
              <w:left w:val="nil" w:sz="6" w:space="0" w:color="auto"/>
              <w:bottom w:val="nil" w:sz="6" w:space="0" w:color="auto"/>
              <w:right w:val="nil" w:sz="6" w:space="0" w:color="auto"/>
            </w:tcBorders>
          </w:tcPr>
          <w:p>
            <w:pPr/>
          </w:p>
        </w:tc>
        <w:tc>
          <w:tcPr>
            <w:tcW w:w="1724" w:type="dxa"/>
            <w:tcBorders>
              <w:top w:val="single" w:sz="2" w:space="0" w:color="000000"/>
              <w:left w:val="nil" w:sz="6" w:space="0" w:color="auto"/>
              <w:bottom w:val="single" w:sz="12" w:space="0" w:color="000000"/>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z w:val="18"/>
              </w:rPr>
              <w:t>627,600.21</w:t>
            </w:r>
          </w:p>
        </w:tc>
      </w:tr>
    </w:tbl>
    <w:p>
      <w:pPr>
        <w:spacing w:line="240" w:lineRule="auto" w:before="13"/>
        <w:rPr>
          <w:rFonts w:ascii="宋体" w:hAnsi="宋体" w:cs="宋体" w:eastAsia="宋体" w:hint="default"/>
          <w:b/>
          <w:bCs/>
          <w:sz w:val="10"/>
          <w:szCs w:val="10"/>
        </w:rPr>
      </w:pPr>
    </w:p>
    <w:p>
      <w:pPr>
        <w:pStyle w:val="Heading4"/>
        <w:spacing w:line="240" w:lineRule="auto"/>
        <w:ind w:right="1890"/>
        <w:jc w:val="left"/>
        <w:rPr>
          <w:b w:val="0"/>
          <w:bCs w:val="0"/>
        </w:rPr>
      </w:pPr>
      <w:r>
        <w:rPr/>
        <w:t>20、应交税费</w:t>
      </w:r>
      <w:r>
        <w:rPr>
          <w:b w:val="0"/>
          <w:bCs w:val="0"/>
        </w:rPr>
      </w:r>
    </w:p>
    <w:p>
      <w:pPr>
        <w:spacing w:line="240" w:lineRule="auto" w:before="1"/>
        <w:rPr>
          <w:rFonts w:ascii="宋体" w:hAnsi="宋体" w:cs="宋体" w:eastAsia="宋体" w:hint="default"/>
          <w:b/>
          <w:bCs/>
          <w:sz w:val="20"/>
          <w:szCs w:val="20"/>
        </w:rPr>
      </w:pPr>
    </w:p>
    <w:tbl>
      <w:tblPr>
        <w:tblW w:w="0" w:type="auto"/>
        <w:jc w:val="left"/>
        <w:tblInd w:w="113" w:type="dxa"/>
        <w:tblLayout w:type="fixed"/>
        <w:tblCellMar>
          <w:top w:w="0" w:type="dxa"/>
          <w:left w:w="0" w:type="dxa"/>
          <w:bottom w:w="0" w:type="dxa"/>
          <w:right w:w="0" w:type="dxa"/>
        </w:tblCellMar>
        <w:tblLook w:val="01E0"/>
      </w:tblPr>
      <w:tblGrid>
        <w:gridCol w:w="4152"/>
        <w:gridCol w:w="2564"/>
        <w:gridCol w:w="501"/>
        <w:gridCol w:w="2622"/>
      </w:tblGrid>
      <w:tr>
        <w:trPr>
          <w:trHeight w:val="290" w:hRule="exact"/>
        </w:trPr>
        <w:tc>
          <w:tcPr>
            <w:tcW w:w="4152" w:type="dxa"/>
            <w:tcBorders>
              <w:top w:val="nil" w:sz="6" w:space="0" w:color="auto"/>
              <w:left w:val="nil" w:sz="6" w:space="0" w:color="auto"/>
              <w:bottom w:val="nil" w:sz="6" w:space="0" w:color="auto"/>
              <w:right w:val="nil" w:sz="6" w:space="0" w:color="auto"/>
            </w:tcBorders>
          </w:tcPr>
          <w:p>
            <w:pPr/>
          </w:p>
        </w:tc>
        <w:tc>
          <w:tcPr>
            <w:tcW w:w="2564" w:type="dxa"/>
            <w:tcBorders>
              <w:top w:val="nil" w:sz="6" w:space="0" w:color="auto"/>
              <w:left w:val="nil" w:sz="6" w:space="0" w:color="auto"/>
              <w:bottom w:val="single" w:sz="4" w:space="0" w:color="000000"/>
              <w:right w:val="nil" w:sz="6" w:space="0" w:color="auto"/>
            </w:tcBorders>
          </w:tcPr>
          <w:p>
            <w:pPr>
              <w:pStyle w:val="TableParagraph"/>
              <w:spacing w:line="180" w:lineRule="exact"/>
              <w:ind w:left="54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01" w:type="dxa"/>
            <w:tcBorders>
              <w:top w:val="nil" w:sz="6" w:space="0" w:color="auto"/>
              <w:left w:val="nil" w:sz="6" w:space="0" w:color="auto"/>
              <w:bottom w:val="nil" w:sz="6" w:space="0" w:color="auto"/>
              <w:right w:val="nil" w:sz="6" w:space="0" w:color="auto"/>
            </w:tcBorders>
          </w:tcPr>
          <w:p>
            <w:pPr/>
          </w:p>
        </w:tc>
        <w:tc>
          <w:tcPr>
            <w:tcW w:w="2622" w:type="dxa"/>
            <w:tcBorders>
              <w:top w:val="nil" w:sz="6" w:space="0" w:color="auto"/>
              <w:left w:val="nil" w:sz="6" w:space="0" w:color="auto"/>
              <w:bottom w:val="single" w:sz="4" w:space="0" w:color="000000"/>
              <w:right w:val="nil" w:sz="6" w:space="0" w:color="auto"/>
            </w:tcBorders>
          </w:tcPr>
          <w:p>
            <w:pPr>
              <w:pStyle w:val="TableParagraph"/>
              <w:spacing w:line="180" w:lineRule="exact"/>
              <w:ind w:left="571"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8" w:hRule="exact"/>
        </w:trPr>
        <w:tc>
          <w:tcPr>
            <w:tcW w:w="415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应交企业所得税</w:t>
            </w:r>
          </w:p>
        </w:tc>
        <w:tc>
          <w:tcPr>
            <w:tcW w:w="25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(6,014,231.72)</w:t>
            </w:r>
          </w:p>
        </w:tc>
        <w:tc>
          <w:tcPr>
            <w:tcW w:w="501" w:type="dxa"/>
            <w:tcBorders>
              <w:top w:val="nil" w:sz="6" w:space="0" w:color="auto"/>
              <w:left w:val="nil" w:sz="6" w:space="0" w:color="auto"/>
              <w:bottom w:val="nil" w:sz="6" w:space="0" w:color="auto"/>
              <w:right w:val="nil" w:sz="6" w:space="0" w:color="auto"/>
            </w:tcBorders>
          </w:tcPr>
          <w:p>
            <w:pPr/>
          </w:p>
        </w:tc>
        <w:tc>
          <w:tcPr>
            <w:tcW w:w="26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(3,457,867.04)</w:t>
            </w:r>
          </w:p>
        </w:tc>
      </w:tr>
      <w:tr>
        <w:trPr>
          <w:trHeight w:val="392" w:hRule="exact"/>
        </w:trPr>
        <w:tc>
          <w:tcPr>
            <w:tcW w:w="4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应交增值税</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(17,747,952.16)</w:t>
            </w:r>
          </w:p>
        </w:tc>
        <w:tc>
          <w:tcPr>
            <w:tcW w:w="501" w:type="dxa"/>
            <w:tcBorders>
              <w:top w:val="nil" w:sz="6" w:space="0" w:color="auto"/>
              <w:left w:val="nil" w:sz="6" w:space="0" w:color="auto"/>
              <w:bottom w:val="nil" w:sz="6" w:space="0" w:color="auto"/>
              <w:right w:val="nil" w:sz="6" w:space="0" w:color="auto"/>
            </w:tcBorders>
          </w:tcPr>
          <w:p>
            <w:pP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(4,867,803.61)</w:t>
            </w:r>
          </w:p>
        </w:tc>
      </w:tr>
      <w:tr>
        <w:trPr>
          <w:trHeight w:val="392" w:hRule="exact"/>
        </w:trPr>
        <w:tc>
          <w:tcPr>
            <w:tcW w:w="4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应交营业税</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69,100.00</w:t>
            </w:r>
          </w:p>
        </w:tc>
        <w:tc>
          <w:tcPr>
            <w:tcW w:w="501" w:type="dxa"/>
            <w:tcBorders>
              <w:top w:val="nil" w:sz="6" w:space="0" w:color="auto"/>
              <w:left w:val="nil" w:sz="6" w:space="0" w:color="auto"/>
              <w:bottom w:val="nil" w:sz="6" w:space="0" w:color="auto"/>
              <w:right w:val="nil" w:sz="6" w:space="0" w:color="auto"/>
            </w:tcBorders>
          </w:tcPr>
          <w:p>
            <w:pP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(555,820.00)</w:t>
            </w:r>
          </w:p>
        </w:tc>
      </w:tr>
      <w:tr>
        <w:trPr>
          <w:trHeight w:val="392" w:hRule="exact"/>
        </w:trPr>
        <w:tc>
          <w:tcPr>
            <w:tcW w:w="4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应交城市维护建设税</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242,585.85</w:t>
            </w:r>
          </w:p>
        </w:tc>
        <w:tc>
          <w:tcPr>
            <w:tcW w:w="501" w:type="dxa"/>
            <w:tcBorders>
              <w:top w:val="nil" w:sz="6" w:space="0" w:color="auto"/>
              <w:left w:val="nil" w:sz="6" w:space="0" w:color="auto"/>
              <w:bottom w:val="nil" w:sz="6" w:space="0" w:color="auto"/>
              <w:right w:val="nil" w:sz="6" w:space="0" w:color="auto"/>
            </w:tcBorders>
          </w:tcPr>
          <w:p>
            <w:pP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129,090.92</w:t>
            </w:r>
          </w:p>
        </w:tc>
      </w:tr>
      <w:tr>
        <w:trPr>
          <w:trHeight w:val="392" w:hRule="exact"/>
        </w:trPr>
        <w:tc>
          <w:tcPr>
            <w:tcW w:w="4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应交教育费附加</w:t>
            </w:r>
          </w:p>
        </w:tc>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133,160.93</w:t>
            </w:r>
          </w:p>
        </w:tc>
        <w:tc>
          <w:tcPr>
            <w:tcW w:w="501" w:type="dxa"/>
            <w:tcBorders>
              <w:top w:val="nil" w:sz="6" w:space="0" w:color="auto"/>
              <w:left w:val="nil" w:sz="6" w:space="0" w:color="auto"/>
              <w:bottom w:val="nil" w:sz="6" w:space="0" w:color="auto"/>
              <w:right w:val="nil" w:sz="6" w:space="0" w:color="auto"/>
            </w:tcBorders>
          </w:tcPr>
          <w:p>
            <w:pPr/>
          </w:p>
        </w:tc>
        <w:tc>
          <w:tcPr>
            <w:tcW w:w="262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73,766.24</w:t>
            </w:r>
          </w:p>
        </w:tc>
      </w:tr>
      <w:tr>
        <w:trPr>
          <w:trHeight w:val="395" w:hRule="exact"/>
        </w:trPr>
        <w:tc>
          <w:tcPr>
            <w:tcW w:w="4152"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6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898,667.51</w:t>
            </w:r>
          </w:p>
        </w:tc>
        <w:tc>
          <w:tcPr>
            <w:tcW w:w="501" w:type="dxa"/>
            <w:tcBorders>
              <w:top w:val="nil" w:sz="6" w:space="0" w:color="auto"/>
              <w:left w:val="nil" w:sz="6" w:space="0" w:color="auto"/>
              <w:bottom w:val="nil" w:sz="6" w:space="0" w:color="auto"/>
              <w:right w:val="nil" w:sz="6" w:space="0" w:color="auto"/>
            </w:tcBorders>
          </w:tcPr>
          <w:p>
            <w:pPr/>
          </w:p>
        </w:tc>
        <w:tc>
          <w:tcPr>
            <w:tcW w:w="262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482,267.87</w:t>
            </w:r>
          </w:p>
        </w:tc>
      </w:tr>
      <w:tr>
        <w:trPr>
          <w:trHeight w:val="413" w:hRule="exact"/>
        </w:trPr>
        <w:tc>
          <w:tcPr>
            <w:tcW w:w="4152" w:type="dxa"/>
            <w:tcBorders>
              <w:top w:val="nil" w:sz="6" w:space="0" w:color="auto"/>
              <w:left w:val="nil" w:sz="6" w:space="0" w:color="auto"/>
              <w:bottom w:val="nil" w:sz="6" w:space="0" w:color="auto"/>
              <w:right w:val="nil" w:sz="6" w:space="0" w:color="auto"/>
            </w:tcBorders>
          </w:tcPr>
          <w:p>
            <w:pPr/>
          </w:p>
        </w:tc>
        <w:tc>
          <w:tcPr>
            <w:tcW w:w="256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(22,418,669.59)</w:t>
            </w:r>
          </w:p>
        </w:tc>
        <w:tc>
          <w:tcPr>
            <w:tcW w:w="501" w:type="dxa"/>
            <w:tcBorders>
              <w:top w:val="nil" w:sz="6" w:space="0" w:color="auto"/>
              <w:left w:val="nil" w:sz="6" w:space="0" w:color="auto"/>
              <w:bottom w:val="nil" w:sz="6" w:space="0" w:color="auto"/>
              <w:right w:val="nil" w:sz="6" w:space="0" w:color="auto"/>
            </w:tcBorders>
          </w:tcPr>
          <w:p>
            <w:pPr/>
          </w:p>
        </w:tc>
        <w:tc>
          <w:tcPr>
            <w:tcW w:w="262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(8,196,365.62)</w:t>
            </w:r>
          </w:p>
        </w:tc>
      </w:tr>
    </w:tbl>
    <w:p>
      <w:pPr>
        <w:spacing w:after="0" w:line="240" w:lineRule="auto"/>
        <w:jc w:val="right"/>
        <w:rPr>
          <w:rFonts w:ascii="宋体" w:hAnsi="宋体" w:cs="宋体" w:eastAsia="宋体" w:hint="default"/>
          <w:sz w:val="18"/>
          <w:szCs w:val="18"/>
        </w:rPr>
        <w:sectPr>
          <w:pgSz w:w="11910" w:h="16840"/>
          <w:pgMar w:header="877" w:footer="1022" w:top="1060" w:bottom="1220" w:left="820" w:right="980"/>
        </w:sectPr>
      </w:pPr>
    </w:p>
    <w:p>
      <w:pPr>
        <w:spacing w:line="240" w:lineRule="auto" w:before="0"/>
        <w:rPr>
          <w:rFonts w:ascii="宋体" w:hAnsi="宋体" w:cs="宋体" w:eastAsia="宋体" w:hint="default"/>
          <w:b/>
          <w:bCs/>
          <w:sz w:val="20"/>
          <w:szCs w:val="20"/>
        </w:rPr>
      </w:pPr>
    </w:p>
    <w:p>
      <w:pPr>
        <w:pStyle w:val="Heading4"/>
        <w:spacing w:line="240" w:lineRule="auto" w:before="161"/>
        <w:ind w:right="1890"/>
        <w:jc w:val="left"/>
        <w:rPr>
          <w:b w:val="0"/>
          <w:bCs w:val="0"/>
        </w:rPr>
      </w:pPr>
      <w:r>
        <w:rPr/>
        <w:t>21、其他非流动负债(递延收益)</w:t>
      </w:r>
      <w:r>
        <w:rPr>
          <w:b w:val="0"/>
          <w:bCs w:val="0"/>
        </w:rPr>
      </w:r>
    </w:p>
    <w:p>
      <w:pPr>
        <w:spacing w:line="240" w:lineRule="auto" w:before="2"/>
        <w:rPr>
          <w:rFonts w:ascii="宋体" w:hAnsi="宋体" w:cs="宋体" w:eastAsia="宋体" w:hint="default"/>
          <w:b/>
          <w:bCs/>
          <w:sz w:val="21"/>
          <w:szCs w:val="21"/>
        </w:rPr>
      </w:pPr>
    </w:p>
    <w:tbl>
      <w:tblPr>
        <w:tblW w:w="0" w:type="auto"/>
        <w:jc w:val="left"/>
        <w:tblInd w:w="113" w:type="dxa"/>
        <w:tblLayout w:type="fixed"/>
        <w:tblCellMar>
          <w:top w:w="0" w:type="dxa"/>
          <w:left w:w="0" w:type="dxa"/>
          <w:bottom w:w="0" w:type="dxa"/>
          <w:right w:w="0" w:type="dxa"/>
        </w:tblCellMar>
        <w:tblLook w:val="01E0"/>
      </w:tblPr>
      <w:tblGrid>
        <w:gridCol w:w="2197"/>
        <w:gridCol w:w="1238"/>
        <w:gridCol w:w="1514"/>
        <w:gridCol w:w="1237"/>
        <w:gridCol w:w="1228"/>
        <w:gridCol w:w="1103"/>
        <w:gridCol w:w="1321"/>
      </w:tblGrid>
      <w:tr>
        <w:trPr>
          <w:trHeight w:val="277" w:hRule="exact"/>
        </w:trPr>
        <w:tc>
          <w:tcPr>
            <w:tcW w:w="2197"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single" w:sz="4" w:space="0" w:color="000000"/>
              <w:right w:val="nil" w:sz="6" w:space="0" w:color="auto"/>
            </w:tcBorders>
          </w:tcPr>
          <w:p>
            <w:pPr>
              <w:pStyle w:val="TableParagraph"/>
              <w:spacing w:line="150" w:lineRule="exact"/>
              <w:ind w:left="345" w:right="0"/>
              <w:jc w:val="left"/>
              <w:rPr>
                <w:rFonts w:ascii="宋体" w:hAnsi="宋体" w:cs="宋体" w:eastAsia="宋体" w:hint="default"/>
                <w:sz w:val="15"/>
                <w:szCs w:val="15"/>
              </w:rPr>
            </w:pPr>
            <w:r>
              <w:rPr>
                <w:rFonts w:ascii="宋体" w:hAnsi="宋体" w:cs="宋体" w:eastAsia="宋体" w:hint="default"/>
                <w:spacing w:val="-13"/>
                <w:sz w:val="15"/>
                <w:szCs w:val="15"/>
              </w:rPr>
              <w:t>原始金额</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150" w:lineRule="exact"/>
              <w:ind w:left="142" w:right="0"/>
              <w:jc w:val="left"/>
              <w:rPr>
                <w:rFonts w:ascii="宋体" w:hAnsi="宋体" w:cs="宋体" w:eastAsia="宋体" w:hint="default"/>
                <w:sz w:val="15"/>
                <w:szCs w:val="15"/>
              </w:rPr>
            </w:pPr>
            <w:r>
              <w:rPr>
                <w:rFonts w:ascii="宋体" w:hAnsi="宋体" w:cs="宋体" w:eastAsia="宋体" w:hint="default"/>
                <w:spacing w:val="-6"/>
                <w:sz w:val="15"/>
                <w:szCs w:val="15"/>
              </w:rPr>
              <w:t>2007</w:t>
            </w:r>
            <w:r>
              <w:rPr>
                <w:rFonts w:ascii="宋体" w:hAnsi="宋体" w:cs="宋体" w:eastAsia="宋体" w:hint="default"/>
                <w:spacing w:val="-50"/>
                <w:sz w:val="15"/>
                <w:szCs w:val="15"/>
              </w:rPr>
              <w:t> </w:t>
            </w:r>
            <w:r>
              <w:rPr>
                <w:rFonts w:ascii="宋体" w:hAnsi="宋体" w:cs="宋体" w:eastAsia="宋体" w:hint="default"/>
                <w:sz w:val="15"/>
                <w:szCs w:val="15"/>
              </w:rPr>
              <w:t>年</w:t>
            </w:r>
            <w:r>
              <w:rPr>
                <w:rFonts w:ascii="宋体" w:hAnsi="宋体" w:cs="宋体" w:eastAsia="宋体" w:hint="default"/>
                <w:spacing w:val="-59"/>
                <w:sz w:val="15"/>
                <w:szCs w:val="15"/>
              </w:rPr>
              <w:t> </w:t>
            </w:r>
            <w:r>
              <w:rPr>
                <w:rFonts w:ascii="宋体" w:hAnsi="宋体" w:cs="宋体" w:eastAsia="宋体" w:hint="default"/>
                <w:spacing w:val="-4"/>
                <w:sz w:val="15"/>
                <w:szCs w:val="15"/>
              </w:rPr>
              <w:t>12</w:t>
            </w:r>
            <w:r>
              <w:rPr>
                <w:rFonts w:ascii="宋体" w:hAnsi="宋体" w:cs="宋体" w:eastAsia="宋体" w:hint="default"/>
                <w:spacing w:val="-50"/>
                <w:sz w:val="15"/>
                <w:szCs w:val="15"/>
              </w:rPr>
              <w:t> </w:t>
            </w:r>
            <w:r>
              <w:rPr>
                <w:rFonts w:ascii="宋体" w:hAnsi="宋体" w:cs="宋体" w:eastAsia="宋体" w:hint="default"/>
                <w:sz w:val="15"/>
                <w:szCs w:val="15"/>
              </w:rPr>
              <w:t>月</w:t>
            </w:r>
            <w:r>
              <w:rPr>
                <w:rFonts w:ascii="宋体" w:hAnsi="宋体" w:cs="宋体" w:eastAsia="宋体" w:hint="default"/>
                <w:spacing w:val="-59"/>
                <w:sz w:val="15"/>
                <w:szCs w:val="15"/>
              </w:rPr>
              <w:t> </w:t>
            </w:r>
            <w:r>
              <w:rPr>
                <w:rFonts w:ascii="宋体" w:hAnsi="宋体" w:cs="宋体" w:eastAsia="宋体" w:hint="default"/>
                <w:spacing w:val="-4"/>
                <w:sz w:val="15"/>
                <w:szCs w:val="15"/>
              </w:rPr>
              <w:t>31</w:t>
            </w:r>
            <w:r>
              <w:rPr>
                <w:rFonts w:ascii="宋体" w:hAnsi="宋体" w:cs="宋体" w:eastAsia="宋体" w:hint="default"/>
                <w:spacing w:val="-50"/>
                <w:sz w:val="15"/>
                <w:szCs w:val="15"/>
              </w:rPr>
              <w:t> </w:t>
            </w:r>
            <w:r>
              <w:rPr>
                <w:rFonts w:ascii="宋体" w:hAnsi="宋体" w:cs="宋体" w:eastAsia="宋体" w:hint="default"/>
                <w:sz w:val="15"/>
                <w:szCs w:val="15"/>
              </w:rPr>
              <w:t>日</w:t>
            </w:r>
          </w:p>
        </w:tc>
        <w:tc>
          <w:tcPr>
            <w:tcW w:w="1237" w:type="dxa"/>
            <w:tcBorders>
              <w:top w:val="nil" w:sz="6" w:space="0" w:color="auto"/>
              <w:left w:val="nil" w:sz="6" w:space="0" w:color="auto"/>
              <w:bottom w:val="single" w:sz="4" w:space="0" w:color="000000"/>
              <w:right w:val="nil" w:sz="6" w:space="0" w:color="auto"/>
            </w:tcBorders>
          </w:tcPr>
          <w:p>
            <w:pPr>
              <w:pStyle w:val="TableParagraph"/>
              <w:spacing w:line="150" w:lineRule="exact"/>
              <w:ind w:left="232" w:right="0"/>
              <w:jc w:val="left"/>
              <w:rPr>
                <w:rFonts w:ascii="宋体" w:hAnsi="宋体" w:cs="宋体" w:eastAsia="宋体" w:hint="default"/>
                <w:sz w:val="15"/>
                <w:szCs w:val="15"/>
              </w:rPr>
            </w:pPr>
            <w:r>
              <w:rPr>
                <w:rFonts w:ascii="宋体" w:hAnsi="宋体" w:cs="宋体" w:eastAsia="宋体" w:hint="default"/>
                <w:spacing w:val="-13"/>
                <w:sz w:val="15"/>
                <w:szCs w:val="15"/>
              </w:rPr>
              <w:t>本年增加</w:t>
            </w:r>
          </w:p>
        </w:tc>
        <w:tc>
          <w:tcPr>
            <w:tcW w:w="1228" w:type="dxa"/>
            <w:tcBorders>
              <w:top w:val="nil" w:sz="6" w:space="0" w:color="auto"/>
              <w:left w:val="nil" w:sz="6" w:space="0" w:color="auto"/>
              <w:bottom w:val="single" w:sz="4" w:space="0" w:color="000000"/>
              <w:right w:val="nil" w:sz="6" w:space="0" w:color="auto"/>
            </w:tcBorders>
          </w:tcPr>
          <w:p>
            <w:pPr>
              <w:pStyle w:val="TableParagraph"/>
              <w:spacing w:line="150" w:lineRule="exact"/>
              <w:ind w:left="232" w:right="0"/>
              <w:jc w:val="left"/>
              <w:rPr>
                <w:rFonts w:ascii="宋体" w:hAnsi="宋体" w:cs="宋体" w:eastAsia="宋体" w:hint="default"/>
                <w:sz w:val="15"/>
                <w:szCs w:val="15"/>
              </w:rPr>
            </w:pPr>
            <w:r>
              <w:rPr>
                <w:rFonts w:ascii="宋体" w:hAnsi="宋体" w:cs="宋体" w:eastAsia="宋体" w:hint="default"/>
                <w:spacing w:val="-13"/>
                <w:sz w:val="15"/>
                <w:szCs w:val="15"/>
              </w:rPr>
              <w:t>本年结转</w:t>
            </w:r>
          </w:p>
        </w:tc>
        <w:tc>
          <w:tcPr>
            <w:tcW w:w="1103" w:type="dxa"/>
            <w:tcBorders>
              <w:top w:val="nil" w:sz="6" w:space="0" w:color="auto"/>
              <w:left w:val="nil" w:sz="6" w:space="0" w:color="auto"/>
              <w:bottom w:val="single" w:sz="4" w:space="0" w:color="000000"/>
              <w:right w:val="nil" w:sz="6" w:space="0" w:color="auto"/>
            </w:tcBorders>
          </w:tcPr>
          <w:p>
            <w:pPr>
              <w:pStyle w:val="TableParagraph"/>
              <w:spacing w:line="150" w:lineRule="exact"/>
              <w:ind w:left="194" w:right="0"/>
              <w:jc w:val="left"/>
              <w:rPr>
                <w:rFonts w:ascii="宋体" w:hAnsi="宋体" w:cs="宋体" w:eastAsia="宋体" w:hint="default"/>
                <w:sz w:val="15"/>
                <w:szCs w:val="15"/>
              </w:rPr>
            </w:pPr>
            <w:r>
              <w:rPr>
                <w:rFonts w:ascii="宋体" w:hAnsi="宋体" w:cs="宋体" w:eastAsia="宋体" w:hint="default"/>
                <w:spacing w:val="-13"/>
                <w:sz w:val="15"/>
                <w:szCs w:val="15"/>
              </w:rPr>
              <w:t>其他减少</w:t>
            </w:r>
          </w:p>
        </w:tc>
        <w:tc>
          <w:tcPr>
            <w:tcW w:w="1321" w:type="dxa"/>
            <w:tcBorders>
              <w:top w:val="nil" w:sz="6" w:space="0" w:color="auto"/>
              <w:left w:val="nil" w:sz="6" w:space="0" w:color="auto"/>
              <w:bottom w:val="single" w:sz="4" w:space="0" w:color="000000"/>
              <w:right w:val="nil" w:sz="6" w:space="0" w:color="auto"/>
            </w:tcBorders>
          </w:tcPr>
          <w:p>
            <w:pPr>
              <w:pStyle w:val="TableParagraph"/>
              <w:spacing w:line="150" w:lineRule="exact"/>
              <w:ind w:left="80" w:right="0"/>
              <w:jc w:val="left"/>
              <w:rPr>
                <w:rFonts w:ascii="宋体" w:hAnsi="宋体" w:cs="宋体" w:eastAsia="宋体" w:hint="default"/>
                <w:sz w:val="15"/>
                <w:szCs w:val="15"/>
              </w:rPr>
            </w:pPr>
            <w:r>
              <w:rPr>
                <w:rFonts w:ascii="宋体" w:hAnsi="宋体" w:cs="宋体" w:eastAsia="宋体" w:hint="default"/>
                <w:spacing w:val="-6"/>
                <w:sz w:val="15"/>
                <w:szCs w:val="15"/>
              </w:rPr>
              <w:t>2008</w:t>
            </w:r>
            <w:r>
              <w:rPr>
                <w:rFonts w:ascii="宋体" w:hAnsi="宋体" w:cs="宋体" w:eastAsia="宋体" w:hint="default"/>
                <w:spacing w:val="-50"/>
                <w:sz w:val="15"/>
                <w:szCs w:val="15"/>
              </w:rPr>
              <w:t> </w:t>
            </w:r>
            <w:r>
              <w:rPr>
                <w:rFonts w:ascii="宋体" w:hAnsi="宋体" w:cs="宋体" w:eastAsia="宋体" w:hint="default"/>
                <w:sz w:val="15"/>
                <w:szCs w:val="15"/>
              </w:rPr>
              <w:t>年</w:t>
            </w:r>
            <w:r>
              <w:rPr>
                <w:rFonts w:ascii="宋体" w:hAnsi="宋体" w:cs="宋体" w:eastAsia="宋体" w:hint="default"/>
                <w:spacing w:val="-59"/>
                <w:sz w:val="15"/>
                <w:szCs w:val="15"/>
              </w:rPr>
              <w:t> </w:t>
            </w:r>
            <w:r>
              <w:rPr>
                <w:rFonts w:ascii="宋体" w:hAnsi="宋体" w:cs="宋体" w:eastAsia="宋体" w:hint="default"/>
                <w:spacing w:val="-4"/>
                <w:sz w:val="15"/>
                <w:szCs w:val="15"/>
              </w:rPr>
              <w:t>12</w:t>
            </w:r>
            <w:r>
              <w:rPr>
                <w:rFonts w:ascii="宋体" w:hAnsi="宋体" w:cs="宋体" w:eastAsia="宋体" w:hint="default"/>
                <w:spacing w:val="-50"/>
                <w:sz w:val="15"/>
                <w:szCs w:val="15"/>
              </w:rPr>
              <w:t> </w:t>
            </w:r>
            <w:r>
              <w:rPr>
                <w:rFonts w:ascii="宋体" w:hAnsi="宋体" w:cs="宋体" w:eastAsia="宋体" w:hint="default"/>
                <w:sz w:val="15"/>
                <w:szCs w:val="15"/>
              </w:rPr>
              <w:t>月</w:t>
            </w:r>
            <w:r>
              <w:rPr>
                <w:rFonts w:ascii="宋体" w:hAnsi="宋体" w:cs="宋体" w:eastAsia="宋体" w:hint="default"/>
                <w:spacing w:val="-59"/>
                <w:sz w:val="15"/>
                <w:szCs w:val="15"/>
              </w:rPr>
              <w:t> </w:t>
            </w:r>
            <w:r>
              <w:rPr>
                <w:rFonts w:ascii="宋体" w:hAnsi="宋体" w:cs="宋体" w:eastAsia="宋体" w:hint="default"/>
                <w:spacing w:val="-4"/>
                <w:sz w:val="15"/>
                <w:szCs w:val="15"/>
              </w:rPr>
              <w:t>31</w:t>
            </w:r>
            <w:r>
              <w:rPr>
                <w:rFonts w:ascii="宋体" w:hAnsi="宋体" w:cs="宋体" w:eastAsia="宋体" w:hint="default"/>
                <w:spacing w:val="-50"/>
                <w:sz w:val="15"/>
                <w:szCs w:val="15"/>
              </w:rPr>
              <w:t> </w:t>
            </w:r>
            <w:r>
              <w:rPr>
                <w:rFonts w:ascii="宋体" w:hAnsi="宋体" w:cs="宋体" w:eastAsia="宋体" w:hint="default"/>
                <w:sz w:val="15"/>
                <w:szCs w:val="15"/>
              </w:rPr>
              <w:t>日</w:t>
            </w:r>
          </w:p>
        </w:tc>
      </w:tr>
      <w:tr>
        <w:trPr>
          <w:trHeight w:val="397"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宋体" w:hAnsi="宋体" w:cs="宋体" w:eastAsia="宋体" w:hint="default"/>
                <w:sz w:val="15"/>
                <w:szCs w:val="15"/>
              </w:rPr>
            </w:pPr>
            <w:r>
              <w:rPr>
                <w:rFonts w:ascii="宋体" w:hAnsi="宋体" w:cs="宋体" w:eastAsia="宋体" w:hint="default"/>
                <w:spacing w:val="-14"/>
                <w:sz w:val="15"/>
                <w:szCs w:val="15"/>
              </w:rPr>
              <w:t>科技三项费用</w:t>
            </w:r>
          </w:p>
        </w:tc>
        <w:tc>
          <w:tcPr>
            <w:tcW w:w="123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5"/>
                <w:szCs w:val="15"/>
              </w:rPr>
            </w:pPr>
            <w:r>
              <w:rPr>
                <w:rFonts w:ascii="宋体"/>
                <w:spacing w:val="-1"/>
                <w:sz w:val="15"/>
              </w:rPr>
              <w:t>5,830,000.00</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28"/>
              <w:jc w:val="right"/>
              <w:rPr>
                <w:rFonts w:ascii="宋体" w:hAnsi="宋体" w:cs="宋体" w:eastAsia="宋体" w:hint="default"/>
                <w:sz w:val="15"/>
                <w:szCs w:val="15"/>
              </w:rPr>
            </w:pPr>
            <w:r>
              <w:rPr>
                <w:rFonts w:ascii="宋体"/>
                <w:spacing w:val="-1"/>
                <w:sz w:val="15"/>
              </w:rPr>
              <w:t>2,900,000.00</w:t>
            </w:r>
          </w:p>
        </w:tc>
        <w:tc>
          <w:tcPr>
            <w:tcW w:w="123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28"/>
              <w:jc w:val="right"/>
              <w:rPr>
                <w:rFonts w:ascii="宋体" w:hAnsi="宋体" w:cs="宋体" w:eastAsia="宋体" w:hint="default"/>
                <w:sz w:val="15"/>
                <w:szCs w:val="15"/>
              </w:rPr>
            </w:pPr>
            <w:r>
              <w:rPr>
                <w:rFonts w:ascii="宋体"/>
                <w:spacing w:val="-1"/>
                <w:sz w:val="15"/>
              </w:rPr>
              <w:t>2,930,000.00</w:t>
            </w:r>
          </w:p>
        </w:tc>
        <w:tc>
          <w:tcPr>
            <w:tcW w:w="122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19"/>
              <w:jc w:val="right"/>
              <w:rPr>
                <w:rFonts w:ascii="宋体" w:hAnsi="宋体" w:cs="宋体" w:eastAsia="宋体" w:hint="default"/>
                <w:sz w:val="15"/>
                <w:szCs w:val="15"/>
              </w:rPr>
            </w:pPr>
            <w:r>
              <w:rPr>
                <w:rFonts w:ascii="宋体"/>
                <w:spacing w:val="-1"/>
                <w:sz w:val="15"/>
              </w:rPr>
              <w:t>2,180,000.00</w:t>
            </w:r>
          </w:p>
        </w:tc>
        <w:tc>
          <w:tcPr>
            <w:tcW w:w="110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79"/>
              <w:jc w:val="right"/>
              <w:rPr>
                <w:rFonts w:ascii="宋体" w:hAnsi="宋体" w:cs="宋体" w:eastAsia="宋体" w:hint="default"/>
                <w:sz w:val="15"/>
                <w:szCs w:val="15"/>
              </w:rPr>
            </w:pPr>
            <w:r>
              <w:rPr>
                <w:rFonts w:ascii="宋体"/>
                <w:sz w:val="15"/>
              </w:rPr>
              <w:t>-</w:t>
            </w:r>
          </w:p>
        </w:tc>
        <w:tc>
          <w:tcPr>
            <w:tcW w:w="132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5"/>
                <w:szCs w:val="15"/>
              </w:rPr>
            </w:pPr>
            <w:r>
              <w:rPr>
                <w:rFonts w:ascii="宋体"/>
                <w:spacing w:val="-1"/>
                <w:sz w:val="15"/>
              </w:rPr>
              <w:t>3,650,000.00</w:t>
            </w:r>
          </w:p>
        </w:tc>
      </w:tr>
      <w:tr>
        <w:trPr>
          <w:trHeight w:val="392"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宋体" w:hAnsi="宋体" w:cs="宋体" w:eastAsia="宋体" w:hint="default"/>
                <w:sz w:val="15"/>
                <w:szCs w:val="15"/>
              </w:rPr>
            </w:pPr>
            <w:r>
              <w:rPr>
                <w:rFonts w:ascii="宋体" w:hAnsi="宋体" w:cs="宋体" w:eastAsia="宋体" w:hint="default"/>
                <w:spacing w:val="-15"/>
                <w:sz w:val="15"/>
                <w:szCs w:val="15"/>
              </w:rPr>
              <w:t>高技术产业化项目国家拨款</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
              <w:jc w:val="right"/>
              <w:rPr>
                <w:rFonts w:ascii="宋体" w:hAnsi="宋体" w:cs="宋体" w:eastAsia="宋体" w:hint="default"/>
                <w:sz w:val="15"/>
                <w:szCs w:val="15"/>
              </w:rPr>
            </w:pPr>
            <w:r>
              <w:rPr>
                <w:rFonts w:ascii="宋体"/>
                <w:spacing w:val="-1"/>
                <w:sz w:val="15"/>
              </w:rPr>
              <w:t>23,500,000.00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8"/>
              <w:jc w:val="right"/>
              <w:rPr>
                <w:rFonts w:ascii="宋体" w:hAnsi="宋体" w:cs="宋体" w:eastAsia="宋体" w:hint="default"/>
                <w:sz w:val="15"/>
                <w:szCs w:val="15"/>
              </w:rPr>
            </w:pPr>
            <w:r>
              <w:rPr>
                <w:rFonts w:ascii="宋体"/>
                <w:spacing w:val="-1"/>
                <w:sz w:val="15"/>
              </w:rPr>
              <w:t>23,000,000.00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8"/>
              <w:jc w:val="right"/>
              <w:rPr>
                <w:rFonts w:ascii="宋体" w:hAnsi="宋体" w:cs="宋体" w:eastAsia="宋体" w:hint="default"/>
                <w:sz w:val="15"/>
                <w:szCs w:val="15"/>
              </w:rPr>
            </w:pPr>
            <w:r>
              <w:rPr>
                <w:rFonts w:ascii="宋体"/>
                <w:spacing w:val="-1"/>
                <w:sz w:val="15"/>
              </w:rPr>
              <w:t>500,000.00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9"/>
              <w:jc w:val="right"/>
              <w:rPr>
                <w:rFonts w:ascii="宋体" w:hAnsi="宋体" w:cs="宋体" w:eastAsia="宋体" w:hint="default"/>
                <w:sz w:val="15"/>
                <w:szCs w:val="15"/>
              </w:rPr>
            </w:pPr>
            <w:r>
              <w:rPr>
                <w:rFonts w:ascii="宋体"/>
                <w:spacing w:val="-1"/>
                <w:sz w:val="15"/>
              </w:rPr>
              <w:t>500,000.00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9"/>
              <w:jc w:val="right"/>
              <w:rPr>
                <w:rFonts w:ascii="宋体" w:hAnsi="宋体" w:cs="宋体" w:eastAsia="宋体" w:hint="default"/>
                <w:sz w:val="15"/>
                <w:szCs w:val="15"/>
              </w:rPr>
            </w:pPr>
            <w:r>
              <w:rPr>
                <w:rFonts w:ascii="宋体"/>
                <w:sz w:val="15"/>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5"/>
                <w:szCs w:val="15"/>
              </w:rPr>
            </w:pPr>
            <w:r>
              <w:rPr>
                <w:rFonts w:ascii="宋体"/>
                <w:spacing w:val="-1"/>
                <w:sz w:val="15"/>
              </w:rPr>
              <w:t>23,000,000.00</w:t>
            </w:r>
          </w:p>
        </w:tc>
      </w:tr>
      <w:tr>
        <w:trPr>
          <w:trHeight w:val="392"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宋体" w:hAnsi="宋体" w:cs="宋体" w:eastAsia="宋体" w:hint="default"/>
                <w:sz w:val="15"/>
                <w:szCs w:val="15"/>
              </w:rPr>
            </w:pPr>
            <w:r>
              <w:rPr>
                <w:rFonts w:ascii="宋体" w:hAnsi="宋体" w:cs="宋体" w:eastAsia="宋体" w:hint="default"/>
                <w:spacing w:val="-10"/>
                <w:sz w:val="15"/>
                <w:szCs w:val="15"/>
              </w:rPr>
              <w:t>其中:RGM</w:t>
            </w:r>
            <w:r>
              <w:rPr>
                <w:rFonts w:ascii="宋体" w:hAnsi="宋体" w:cs="宋体" w:eastAsia="宋体" w:hint="default"/>
                <w:spacing w:val="-48"/>
                <w:sz w:val="15"/>
                <w:szCs w:val="15"/>
              </w:rPr>
              <w:t> </w:t>
            </w:r>
            <w:r>
              <w:rPr>
                <w:rFonts w:ascii="宋体" w:hAnsi="宋体" w:cs="宋体" w:eastAsia="宋体" w:hint="default"/>
                <w:spacing w:val="-8"/>
                <w:sz w:val="15"/>
                <w:szCs w:val="15"/>
              </w:rPr>
              <w:t>项目</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
              <w:jc w:val="right"/>
              <w:rPr>
                <w:rFonts w:ascii="宋体" w:hAnsi="宋体" w:cs="宋体" w:eastAsia="宋体" w:hint="default"/>
                <w:sz w:val="15"/>
                <w:szCs w:val="15"/>
              </w:rPr>
            </w:pPr>
            <w:r>
              <w:rPr>
                <w:rFonts w:ascii="宋体"/>
                <w:spacing w:val="-1"/>
                <w:sz w:val="15"/>
              </w:rPr>
              <w:t>13,000,000.00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8"/>
              <w:jc w:val="right"/>
              <w:rPr>
                <w:rFonts w:ascii="宋体" w:hAnsi="宋体" w:cs="宋体" w:eastAsia="宋体" w:hint="default"/>
                <w:sz w:val="15"/>
                <w:szCs w:val="15"/>
              </w:rPr>
            </w:pPr>
            <w:r>
              <w:rPr>
                <w:rFonts w:ascii="宋体"/>
                <w:spacing w:val="-1"/>
                <w:sz w:val="15"/>
              </w:rPr>
              <w:t>13,000,000.00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9"/>
              <w:jc w:val="right"/>
              <w:rPr>
                <w:rFonts w:ascii="宋体" w:hAnsi="宋体" w:cs="宋体" w:eastAsia="宋体" w:hint="default"/>
                <w:sz w:val="15"/>
                <w:szCs w:val="15"/>
              </w:rPr>
            </w:pPr>
            <w:r>
              <w:rPr>
                <w:rFonts w:ascii="宋体"/>
                <w:sz w:val="15"/>
              </w:rPr>
              <w:t>-</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0"/>
              <w:jc w:val="right"/>
              <w:rPr>
                <w:rFonts w:ascii="宋体" w:hAnsi="宋体" w:cs="宋体" w:eastAsia="宋体" w:hint="default"/>
                <w:sz w:val="15"/>
                <w:szCs w:val="15"/>
              </w:rPr>
            </w:pPr>
            <w:r>
              <w:rPr>
                <w:rFonts w:ascii="宋体"/>
                <w:sz w:val="15"/>
              </w:rPr>
              <w:t>-</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9"/>
              <w:jc w:val="right"/>
              <w:rPr>
                <w:rFonts w:ascii="宋体" w:hAnsi="宋体" w:cs="宋体" w:eastAsia="宋体" w:hint="default"/>
                <w:sz w:val="15"/>
                <w:szCs w:val="15"/>
              </w:rPr>
            </w:pPr>
            <w:r>
              <w:rPr>
                <w:rFonts w:ascii="宋体"/>
                <w:sz w:val="15"/>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5"/>
                <w:szCs w:val="15"/>
              </w:rPr>
            </w:pPr>
            <w:r>
              <w:rPr>
                <w:rFonts w:ascii="宋体"/>
                <w:spacing w:val="-1"/>
                <w:sz w:val="15"/>
              </w:rPr>
              <w:t>13,000,000.00</w:t>
            </w:r>
          </w:p>
        </w:tc>
      </w:tr>
      <w:tr>
        <w:trPr>
          <w:trHeight w:val="392"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553" w:right="0"/>
              <w:jc w:val="left"/>
              <w:rPr>
                <w:rFonts w:ascii="宋体" w:hAnsi="宋体" w:cs="宋体" w:eastAsia="宋体" w:hint="default"/>
                <w:sz w:val="15"/>
                <w:szCs w:val="15"/>
              </w:rPr>
            </w:pPr>
            <w:r>
              <w:rPr>
                <w:rFonts w:ascii="宋体" w:hAnsi="宋体" w:cs="宋体" w:eastAsia="宋体" w:hint="default"/>
                <w:spacing w:val="-6"/>
                <w:sz w:val="15"/>
                <w:szCs w:val="15"/>
              </w:rPr>
              <w:t>SVC</w:t>
            </w:r>
            <w:r>
              <w:rPr>
                <w:rFonts w:ascii="宋体" w:hAnsi="宋体" w:cs="宋体" w:eastAsia="宋体" w:hint="default"/>
                <w:spacing w:val="-48"/>
                <w:sz w:val="15"/>
                <w:szCs w:val="15"/>
              </w:rPr>
              <w:t> </w:t>
            </w:r>
            <w:r>
              <w:rPr>
                <w:rFonts w:ascii="宋体" w:hAnsi="宋体" w:cs="宋体" w:eastAsia="宋体" w:hint="default"/>
                <w:spacing w:val="-17"/>
                <w:sz w:val="15"/>
                <w:szCs w:val="15"/>
              </w:rPr>
              <w:t>升级项目</w:t>
            </w:r>
            <w:r>
              <w:rPr>
                <w:rFonts w:ascii="宋体" w:hAnsi="宋体" w:cs="宋体" w:eastAsia="宋体" w:hint="default"/>
                <w:sz w:val="15"/>
                <w:szCs w:val="15"/>
              </w:rPr>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
              <w:jc w:val="right"/>
              <w:rPr>
                <w:rFonts w:ascii="宋体" w:hAnsi="宋体" w:cs="宋体" w:eastAsia="宋体" w:hint="default"/>
                <w:sz w:val="15"/>
                <w:szCs w:val="15"/>
              </w:rPr>
            </w:pPr>
            <w:r>
              <w:rPr>
                <w:rFonts w:ascii="宋体"/>
                <w:spacing w:val="-1"/>
                <w:sz w:val="15"/>
              </w:rPr>
              <w:t>10,000,000.00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8"/>
              <w:jc w:val="right"/>
              <w:rPr>
                <w:rFonts w:ascii="宋体" w:hAnsi="宋体" w:cs="宋体" w:eastAsia="宋体" w:hint="default"/>
                <w:sz w:val="15"/>
                <w:szCs w:val="15"/>
              </w:rPr>
            </w:pPr>
            <w:r>
              <w:rPr>
                <w:rFonts w:ascii="宋体"/>
                <w:spacing w:val="-1"/>
                <w:sz w:val="15"/>
              </w:rPr>
              <w:t>10,000,000.00</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8"/>
              <w:jc w:val="right"/>
              <w:rPr>
                <w:rFonts w:ascii="宋体" w:hAnsi="宋体" w:cs="宋体" w:eastAsia="宋体" w:hint="default"/>
                <w:sz w:val="15"/>
                <w:szCs w:val="15"/>
              </w:rPr>
            </w:pPr>
            <w:r>
              <w:rPr>
                <w:rFonts w:ascii="宋体"/>
                <w:sz w:val="15"/>
              </w:rPr>
              <w:t>-</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9"/>
              <w:jc w:val="right"/>
              <w:rPr>
                <w:rFonts w:ascii="宋体" w:hAnsi="宋体" w:cs="宋体" w:eastAsia="宋体" w:hint="default"/>
                <w:sz w:val="15"/>
                <w:szCs w:val="15"/>
              </w:rPr>
            </w:pPr>
            <w:r>
              <w:rPr>
                <w:rFonts w:ascii="宋体"/>
                <w:sz w:val="15"/>
              </w:rPr>
              <w:t>-</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8"/>
              <w:jc w:val="right"/>
              <w:rPr>
                <w:rFonts w:ascii="宋体" w:hAnsi="宋体" w:cs="宋体" w:eastAsia="宋体" w:hint="default"/>
                <w:sz w:val="15"/>
                <w:szCs w:val="15"/>
              </w:rPr>
            </w:pPr>
            <w:r>
              <w:rPr>
                <w:rFonts w:ascii="宋体"/>
                <w:sz w:val="15"/>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right"/>
              <w:rPr>
                <w:rFonts w:ascii="宋体" w:hAnsi="宋体" w:cs="宋体" w:eastAsia="宋体" w:hint="default"/>
                <w:sz w:val="15"/>
                <w:szCs w:val="15"/>
              </w:rPr>
            </w:pPr>
            <w:r>
              <w:rPr>
                <w:rFonts w:ascii="宋体"/>
                <w:spacing w:val="-1"/>
                <w:sz w:val="15"/>
              </w:rPr>
              <w:t>10,000,000.00</w:t>
            </w:r>
          </w:p>
        </w:tc>
      </w:tr>
      <w:tr>
        <w:trPr>
          <w:trHeight w:val="392"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552" w:right="0"/>
              <w:jc w:val="left"/>
              <w:rPr>
                <w:rFonts w:ascii="宋体" w:hAnsi="宋体" w:cs="宋体" w:eastAsia="宋体" w:hint="default"/>
                <w:sz w:val="15"/>
                <w:szCs w:val="15"/>
              </w:rPr>
            </w:pPr>
            <w:r>
              <w:rPr>
                <w:rFonts w:ascii="宋体" w:hAnsi="宋体" w:cs="宋体" w:eastAsia="宋体" w:hint="default"/>
                <w:spacing w:val="-7"/>
                <w:sz w:val="15"/>
                <w:szCs w:val="15"/>
              </w:rPr>
              <w:t>STATCOM</w:t>
            </w:r>
            <w:r>
              <w:rPr>
                <w:rFonts w:ascii="宋体" w:hAnsi="宋体" w:cs="宋体" w:eastAsia="宋体" w:hint="default"/>
                <w:spacing w:val="-48"/>
                <w:sz w:val="15"/>
                <w:szCs w:val="15"/>
              </w:rPr>
              <w:t> </w:t>
            </w:r>
            <w:r>
              <w:rPr>
                <w:rFonts w:ascii="宋体" w:hAnsi="宋体" w:cs="宋体" w:eastAsia="宋体" w:hint="default"/>
                <w:spacing w:val="-9"/>
                <w:sz w:val="15"/>
                <w:szCs w:val="15"/>
              </w:rPr>
              <w:t>项目</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
              <w:jc w:val="right"/>
              <w:rPr>
                <w:rFonts w:ascii="宋体" w:hAnsi="宋体" w:cs="宋体" w:eastAsia="宋体" w:hint="default"/>
                <w:sz w:val="15"/>
                <w:szCs w:val="15"/>
              </w:rPr>
            </w:pPr>
            <w:r>
              <w:rPr>
                <w:rFonts w:ascii="宋体"/>
                <w:spacing w:val="-1"/>
                <w:sz w:val="15"/>
              </w:rPr>
              <w:t>500,000.00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8"/>
              <w:jc w:val="right"/>
              <w:rPr>
                <w:rFonts w:ascii="宋体" w:hAnsi="宋体" w:cs="宋体" w:eastAsia="宋体" w:hint="default"/>
                <w:sz w:val="15"/>
                <w:szCs w:val="15"/>
              </w:rPr>
            </w:pPr>
            <w:r>
              <w:rPr>
                <w:rFonts w:ascii="宋体"/>
                <w:sz w:val="15"/>
              </w:rPr>
              <w:t>-</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9"/>
              <w:jc w:val="right"/>
              <w:rPr>
                <w:rFonts w:ascii="宋体" w:hAnsi="宋体" w:cs="宋体" w:eastAsia="宋体" w:hint="default"/>
                <w:sz w:val="15"/>
                <w:szCs w:val="15"/>
              </w:rPr>
            </w:pPr>
            <w:r>
              <w:rPr>
                <w:rFonts w:ascii="宋体"/>
                <w:spacing w:val="-1"/>
                <w:sz w:val="15"/>
              </w:rPr>
              <w:t>500,000.00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0"/>
              <w:jc w:val="right"/>
              <w:rPr>
                <w:rFonts w:ascii="宋体" w:hAnsi="宋体" w:cs="宋体" w:eastAsia="宋体" w:hint="default"/>
                <w:sz w:val="15"/>
                <w:szCs w:val="15"/>
              </w:rPr>
            </w:pPr>
            <w:r>
              <w:rPr>
                <w:rFonts w:ascii="宋体"/>
                <w:spacing w:val="-1"/>
                <w:sz w:val="15"/>
              </w:rPr>
              <w:t>500,000.00</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9"/>
              <w:jc w:val="right"/>
              <w:rPr>
                <w:rFonts w:ascii="宋体" w:hAnsi="宋体" w:cs="宋体" w:eastAsia="宋体" w:hint="default"/>
                <w:sz w:val="15"/>
                <w:szCs w:val="15"/>
              </w:rPr>
            </w:pPr>
            <w:r>
              <w:rPr>
                <w:rFonts w:ascii="宋体"/>
                <w:sz w:val="15"/>
              </w:rPr>
              <w:t>-</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5"/>
                <w:szCs w:val="15"/>
              </w:rPr>
            </w:pPr>
            <w:r>
              <w:rPr>
                <w:rFonts w:ascii="宋体"/>
                <w:sz w:val="15"/>
              </w:rPr>
              <w:t>-</w:t>
            </w:r>
          </w:p>
        </w:tc>
      </w:tr>
      <w:tr>
        <w:trPr>
          <w:trHeight w:val="392"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00" w:right="0"/>
              <w:jc w:val="left"/>
              <w:rPr>
                <w:rFonts w:ascii="宋体" w:hAnsi="宋体" w:cs="宋体" w:eastAsia="宋体" w:hint="default"/>
                <w:sz w:val="15"/>
                <w:szCs w:val="15"/>
              </w:rPr>
            </w:pPr>
            <w:r>
              <w:rPr>
                <w:rFonts w:ascii="宋体" w:hAnsi="宋体" w:cs="宋体" w:eastAsia="宋体" w:hint="default"/>
                <w:spacing w:val="-15"/>
                <w:sz w:val="15"/>
                <w:szCs w:val="15"/>
              </w:rPr>
              <w:t>国家科技支撑计划专项经费</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6"/>
              <w:jc w:val="right"/>
              <w:rPr>
                <w:rFonts w:ascii="宋体" w:hAnsi="宋体" w:cs="宋体" w:eastAsia="宋体" w:hint="default"/>
                <w:sz w:val="15"/>
                <w:szCs w:val="15"/>
              </w:rPr>
            </w:pPr>
            <w:r>
              <w:rPr>
                <w:rFonts w:ascii="宋体"/>
                <w:spacing w:val="-1"/>
                <w:sz w:val="15"/>
              </w:rPr>
              <w:t>21,130,000.00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8"/>
              <w:jc w:val="right"/>
              <w:rPr>
                <w:rFonts w:ascii="宋体" w:hAnsi="宋体" w:cs="宋体" w:eastAsia="宋体" w:hint="default"/>
                <w:sz w:val="15"/>
                <w:szCs w:val="15"/>
              </w:rPr>
            </w:pPr>
            <w:r>
              <w:rPr>
                <w:rFonts w:ascii="宋体"/>
                <w:sz w:val="15"/>
              </w:rPr>
              <w:t>-</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0" w:right="0"/>
              <w:jc w:val="left"/>
              <w:rPr>
                <w:rFonts w:ascii="宋体" w:hAnsi="宋体" w:cs="宋体" w:eastAsia="宋体" w:hint="default"/>
                <w:sz w:val="15"/>
                <w:szCs w:val="15"/>
              </w:rPr>
            </w:pPr>
            <w:r>
              <w:rPr>
                <w:rFonts w:ascii="宋体"/>
                <w:sz w:val="15"/>
              </w:rPr>
              <w:t>21,130,000.00</w:t>
            </w:r>
          </w:p>
        </w:tc>
        <w:tc>
          <w:tcPr>
            <w:tcW w:w="122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9"/>
              <w:jc w:val="right"/>
              <w:rPr>
                <w:rFonts w:ascii="宋体" w:hAnsi="宋体" w:cs="宋体" w:eastAsia="宋体" w:hint="default"/>
                <w:sz w:val="15"/>
                <w:szCs w:val="15"/>
              </w:rPr>
            </w:pPr>
            <w:r>
              <w:rPr>
                <w:rFonts w:ascii="宋体"/>
                <w:spacing w:val="-1"/>
                <w:sz w:val="15"/>
              </w:rPr>
              <w:t>7,110,554.43</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8"/>
              <w:jc w:val="right"/>
              <w:rPr>
                <w:rFonts w:ascii="宋体" w:hAnsi="宋体" w:cs="宋体" w:eastAsia="宋体" w:hint="default"/>
                <w:sz w:val="15"/>
                <w:szCs w:val="15"/>
              </w:rPr>
            </w:pPr>
            <w:r>
              <w:rPr>
                <w:rFonts w:ascii="宋体"/>
                <w:spacing w:val="-1"/>
                <w:sz w:val="15"/>
              </w:rPr>
              <w:t>9,570,000.00</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0"/>
              <w:jc w:val="right"/>
              <w:rPr>
                <w:rFonts w:ascii="宋体" w:hAnsi="宋体" w:cs="宋体" w:eastAsia="宋体" w:hint="default"/>
                <w:sz w:val="15"/>
                <w:szCs w:val="15"/>
              </w:rPr>
            </w:pPr>
            <w:r>
              <w:rPr>
                <w:rFonts w:ascii="宋体"/>
                <w:spacing w:val="-1"/>
                <w:sz w:val="15"/>
              </w:rPr>
              <w:t>4,449,445.57</w:t>
            </w:r>
          </w:p>
        </w:tc>
      </w:tr>
      <w:tr>
        <w:trPr>
          <w:trHeight w:val="397" w:hRule="exact"/>
        </w:trPr>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00" w:right="0"/>
              <w:jc w:val="left"/>
              <w:rPr>
                <w:rFonts w:ascii="宋体" w:hAnsi="宋体" w:cs="宋体" w:eastAsia="宋体" w:hint="default"/>
                <w:sz w:val="15"/>
                <w:szCs w:val="15"/>
              </w:rPr>
            </w:pPr>
            <w:r>
              <w:rPr>
                <w:rFonts w:ascii="宋体" w:hAnsi="宋体" w:cs="宋体" w:eastAsia="宋体" w:hint="default"/>
                <w:spacing w:val="-13"/>
                <w:sz w:val="15"/>
                <w:szCs w:val="15"/>
              </w:rPr>
              <w:t>研发经费</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
              <w:jc w:val="right"/>
              <w:rPr>
                <w:rFonts w:ascii="宋体" w:hAnsi="宋体" w:cs="宋体" w:eastAsia="宋体" w:hint="default"/>
                <w:sz w:val="15"/>
                <w:szCs w:val="15"/>
              </w:rPr>
            </w:pPr>
            <w:r>
              <w:rPr>
                <w:rFonts w:ascii="宋体"/>
                <w:spacing w:val="-1"/>
                <w:sz w:val="15"/>
              </w:rPr>
              <w:t>4,500,000.00</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28"/>
              <w:jc w:val="right"/>
              <w:rPr>
                <w:rFonts w:ascii="宋体" w:hAnsi="宋体" w:cs="宋体" w:eastAsia="宋体" w:hint="default"/>
                <w:sz w:val="15"/>
                <w:szCs w:val="15"/>
              </w:rPr>
            </w:pPr>
            <w:r>
              <w:rPr>
                <w:rFonts w:ascii="宋体"/>
                <w:sz w:val="15"/>
              </w:rPr>
              <w:t>-</w:t>
            </w:r>
          </w:p>
        </w:tc>
        <w:tc>
          <w:tcPr>
            <w:tcW w:w="1237"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28"/>
              <w:jc w:val="right"/>
              <w:rPr>
                <w:rFonts w:ascii="宋体" w:hAnsi="宋体" w:cs="宋体" w:eastAsia="宋体" w:hint="default"/>
                <w:sz w:val="15"/>
                <w:szCs w:val="15"/>
              </w:rPr>
            </w:pPr>
            <w:r>
              <w:rPr>
                <w:rFonts w:ascii="宋体"/>
                <w:spacing w:val="-1"/>
                <w:sz w:val="15"/>
              </w:rPr>
              <w:t>4,500,000.00</w:t>
            </w:r>
          </w:p>
        </w:tc>
        <w:tc>
          <w:tcPr>
            <w:tcW w:w="1228"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119"/>
              <w:jc w:val="right"/>
              <w:rPr>
                <w:rFonts w:ascii="宋体" w:hAnsi="宋体" w:cs="宋体" w:eastAsia="宋体" w:hint="default"/>
                <w:sz w:val="15"/>
                <w:szCs w:val="15"/>
              </w:rPr>
            </w:pPr>
            <w:r>
              <w:rPr>
                <w:rFonts w:ascii="宋体"/>
                <w:spacing w:val="-1"/>
                <w:sz w:val="15"/>
              </w:rPr>
              <w:t>4,500,000.00</w:t>
            </w:r>
          </w:p>
        </w:tc>
        <w:tc>
          <w:tcPr>
            <w:tcW w:w="1103"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79"/>
              <w:jc w:val="right"/>
              <w:rPr>
                <w:rFonts w:ascii="宋体" w:hAnsi="宋体" w:cs="宋体" w:eastAsia="宋体" w:hint="default"/>
                <w:sz w:val="15"/>
                <w:szCs w:val="15"/>
              </w:rPr>
            </w:pPr>
            <w:r>
              <w:rPr>
                <w:rFonts w:ascii="宋体"/>
                <w:sz w:val="15"/>
              </w:rPr>
              <w:t>-</w:t>
            </w:r>
          </w:p>
        </w:tc>
        <w:tc>
          <w:tcPr>
            <w:tcW w:w="1321"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right="0"/>
              <w:jc w:val="right"/>
              <w:rPr>
                <w:rFonts w:ascii="宋体" w:hAnsi="宋体" w:cs="宋体" w:eastAsia="宋体" w:hint="default"/>
                <w:sz w:val="15"/>
                <w:szCs w:val="15"/>
              </w:rPr>
            </w:pPr>
            <w:r>
              <w:rPr>
                <w:rFonts w:ascii="宋体"/>
                <w:sz w:val="15"/>
              </w:rPr>
              <w:t>-</w:t>
            </w:r>
          </w:p>
        </w:tc>
      </w:tr>
      <w:tr>
        <w:trPr>
          <w:trHeight w:val="413" w:hRule="exact"/>
        </w:trPr>
        <w:tc>
          <w:tcPr>
            <w:tcW w:w="2197"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128"/>
              <w:jc w:val="right"/>
              <w:rPr>
                <w:rFonts w:ascii="宋体" w:hAnsi="宋体" w:cs="宋体" w:eastAsia="宋体" w:hint="default"/>
                <w:sz w:val="15"/>
                <w:szCs w:val="15"/>
              </w:rPr>
            </w:pPr>
            <w:r>
              <w:rPr>
                <w:rFonts w:ascii="宋体"/>
                <w:spacing w:val="-1"/>
                <w:sz w:val="15"/>
              </w:rPr>
              <w:t>25,900,000.00</w:t>
            </w:r>
          </w:p>
        </w:tc>
        <w:tc>
          <w:tcPr>
            <w:tcW w:w="1237"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left="130" w:right="0"/>
              <w:jc w:val="left"/>
              <w:rPr>
                <w:rFonts w:ascii="宋体" w:hAnsi="宋体" w:cs="宋体" w:eastAsia="宋体" w:hint="default"/>
                <w:sz w:val="15"/>
                <w:szCs w:val="15"/>
              </w:rPr>
            </w:pPr>
            <w:r>
              <w:rPr>
                <w:rFonts w:ascii="宋体"/>
                <w:sz w:val="15"/>
              </w:rPr>
              <w:t>29,060,000.00</w:t>
            </w:r>
          </w:p>
        </w:tc>
        <w:tc>
          <w:tcPr>
            <w:tcW w:w="1228"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120"/>
              <w:jc w:val="right"/>
              <w:rPr>
                <w:rFonts w:ascii="宋体" w:hAnsi="宋体" w:cs="宋体" w:eastAsia="宋体" w:hint="default"/>
                <w:sz w:val="15"/>
                <w:szCs w:val="15"/>
              </w:rPr>
            </w:pPr>
            <w:r>
              <w:rPr>
                <w:rFonts w:ascii="宋体"/>
                <w:spacing w:val="-1"/>
                <w:sz w:val="15"/>
              </w:rPr>
              <w:t>14,290,554.43</w:t>
            </w:r>
          </w:p>
        </w:tc>
        <w:tc>
          <w:tcPr>
            <w:tcW w:w="1103"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78"/>
              <w:jc w:val="right"/>
              <w:rPr>
                <w:rFonts w:ascii="宋体" w:hAnsi="宋体" w:cs="宋体" w:eastAsia="宋体" w:hint="default"/>
                <w:sz w:val="15"/>
                <w:szCs w:val="15"/>
              </w:rPr>
            </w:pPr>
            <w:r>
              <w:rPr>
                <w:rFonts w:ascii="宋体"/>
                <w:spacing w:val="-1"/>
                <w:sz w:val="15"/>
              </w:rPr>
              <w:t>9,570,000.00</w:t>
            </w:r>
          </w:p>
        </w:tc>
        <w:tc>
          <w:tcPr>
            <w:tcW w:w="1321" w:type="dxa"/>
            <w:tcBorders>
              <w:top w:val="single" w:sz="4" w:space="0" w:color="000000"/>
              <w:left w:val="nil" w:sz="6" w:space="0" w:color="auto"/>
              <w:bottom w:val="single" w:sz="12" w:space="0" w:color="000000"/>
              <w:right w:val="nil" w:sz="6" w:space="0" w:color="auto"/>
            </w:tcBorders>
          </w:tcPr>
          <w:p>
            <w:pPr>
              <w:pStyle w:val="TableParagraph"/>
              <w:spacing w:line="240" w:lineRule="auto" w:before="74"/>
              <w:ind w:right="1"/>
              <w:jc w:val="right"/>
              <w:rPr>
                <w:rFonts w:ascii="宋体" w:hAnsi="宋体" w:cs="宋体" w:eastAsia="宋体" w:hint="default"/>
                <w:sz w:val="15"/>
                <w:szCs w:val="15"/>
              </w:rPr>
            </w:pPr>
            <w:r>
              <w:rPr>
                <w:rFonts w:ascii="宋体"/>
                <w:spacing w:val="-1"/>
                <w:sz w:val="15"/>
              </w:rPr>
              <w:t>31,099,445.57</w:t>
            </w:r>
            <w:r>
              <w:rPr>
                <w:rFonts w:ascii="宋体"/>
                <w:sz w:val="15"/>
              </w:rPr>
            </w:r>
          </w:p>
        </w:tc>
      </w:tr>
    </w:tbl>
    <w:p>
      <w:pPr>
        <w:spacing w:line="240" w:lineRule="auto" w:before="7"/>
        <w:rPr>
          <w:rFonts w:ascii="宋体" w:hAnsi="宋体" w:cs="宋体" w:eastAsia="宋体" w:hint="default"/>
          <w:b/>
          <w:bCs/>
          <w:sz w:val="12"/>
          <w:szCs w:val="12"/>
        </w:rPr>
      </w:pPr>
    </w:p>
    <w:p>
      <w:pPr>
        <w:pStyle w:val="BodyText"/>
        <w:spacing w:line="240" w:lineRule="auto" w:before="26"/>
        <w:ind w:left="809" w:right="1890"/>
        <w:jc w:val="left"/>
      </w:pPr>
      <w:r>
        <w:rPr>
          <w:spacing w:val="5"/>
        </w:rPr>
        <w:t>(1)科技三项费用</w:t>
      </w:r>
      <w:r>
        <w:rPr/>
      </w:r>
    </w:p>
    <w:p>
      <w:pPr>
        <w:spacing w:line="240" w:lineRule="auto" w:before="3"/>
        <w:rPr>
          <w:rFonts w:ascii="宋体" w:hAnsi="宋体" w:cs="宋体" w:eastAsia="宋体" w:hint="default"/>
          <w:sz w:val="17"/>
          <w:szCs w:val="17"/>
        </w:rPr>
      </w:pPr>
    </w:p>
    <w:p>
      <w:pPr>
        <w:pStyle w:val="BodyText"/>
        <w:spacing w:line="321" w:lineRule="auto"/>
        <w:ind w:left="314" w:right="116" w:firstLine="495"/>
        <w:jc w:val="both"/>
      </w:pPr>
      <w:r>
        <w:rPr>
          <w:spacing w:val="35"/>
        </w:rPr>
        <w:t>根据鞍财指企</w:t>
      </w:r>
      <w:r>
        <w:rPr>
          <w:spacing w:val="-76"/>
        </w:rPr>
        <w:t> </w:t>
      </w:r>
      <w:r>
        <w:rPr>
          <w:spacing w:val="3"/>
        </w:rPr>
        <w:t>[2007]215</w:t>
      </w:r>
      <w:r>
        <w:rPr>
          <w:spacing w:val="50"/>
        </w:rPr>
        <w:t> </w:t>
      </w:r>
      <w:r>
        <w:rPr/>
        <w:t>号</w:t>
      </w:r>
      <w:r>
        <w:rPr>
          <w:spacing w:val="-76"/>
        </w:rPr>
        <w:t> </w:t>
      </w:r>
      <w:r>
        <w:rPr/>
        <w:t>文</w:t>
      </w:r>
      <w:r>
        <w:rPr>
          <w:spacing w:val="-75"/>
        </w:rPr>
        <w:t> </w:t>
      </w:r>
      <w:r>
        <w:rPr>
          <w:spacing w:val="39"/>
        </w:rPr>
        <w:t>，下达本公司工业攻关及产业化科技资金指标</w:t>
      </w:r>
      <w:r>
        <w:rPr>
          <w:spacing w:val="-78"/>
        </w:rPr>
        <w:t> </w:t>
      </w:r>
      <w:r>
        <w:rPr>
          <w:spacing w:val="3"/>
        </w:rPr>
        <w:t>150,000.00</w:t>
      </w:r>
      <w:r>
        <w:rPr>
          <w:spacing w:val="-25"/>
        </w:rPr>
        <w:t> </w:t>
      </w:r>
      <w:r>
        <w:rPr>
          <w:spacing w:val="7"/>
        </w:rPr>
        <w:t>人民币元，用于高速和冲、重载铁路机车交流主传机项目支出。</w:t>
      </w:r>
      <w:r>
        <w:rPr/>
      </w:r>
    </w:p>
    <w:p>
      <w:pPr>
        <w:pStyle w:val="BodyText"/>
        <w:spacing w:line="321" w:lineRule="auto" w:before="144"/>
        <w:ind w:left="314" w:right="147" w:firstLine="495"/>
        <w:jc w:val="both"/>
      </w:pPr>
      <w:r>
        <w:rPr>
          <w:spacing w:val="8"/>
        </w:rPr>
        <w:t>根据鞍山高新技术产业开发区财政局以鞍高财预字(2007)3</w:t>
      </w:r>
      <w:r>
        <w:rPr>
          <w:spacing w:val="21"/>
        </w:rPr>
        <w:t> </w:t>
      </w:r>
      <w:r>
        <w:rPr>
          <w:spacing w:val="9"/>
        </w:rPr>
        <w:t>号文批准,由鞍山高新技</w:t>
      </w:r>
      <w:r>
        <w:rPr>
          <w:spacing w:val="10"/>
        </w:rPr>
        <w:t> </w:t>
      </w:r>
      <w:r>
        <w:rPr>
          <w:spacing w:val="7"/>
        </w:rPr>
        <w:t>术产业开发区财政局将“跳波式有极调压装轩项目”的科学技术指标 </w:t>
      </w:r>
      <w:r>
        <w:rPr>
          <w:spacing w:val="2"/>
        </w:rPr>
        <w:t>1,500,000.00 </w:t>
      </w:r>
      <w:r>
        <w:rPr>
          <w:spacing w:val="3"/>
        </w:rPr>
        <w:t>人民</w:t>
      </w:r>
      <w:r>
        <w:rPr>
          <w:spacing w:val="-112"/>
        </w:rPr>
        <w:t> </w:t>
      </w:r>
      <w:r>
        <w:rPr>
          <w:spacing w:val="-112"/>
        </w:rPr>
      </w:r>
      <w:r>
        <w:rPr>
          <w:spacing w:val="8"/>
        </w:rPr>
        <w:t>币元拨付给本公司。</w:t>
      </w:r>
      <w:r>
        <w:rPr/>
      </w:r>
    </w:p>
    <w:p>
      <w:pPr>
        <w:pStyle w:val="BodyText"/>
        <w:spacing w:line="321" w:lineRule="auto" w:before="144"/>
        <w:ind w:left="314" w:right="157" w:firstLine="495"/>
        <w:jc w:val="both"/>
      </w:pPr>
      <w:r>
        <w:rPr>
          <w:spacing w:val="6"/>
        </w:rPr>
        <w:t>根据辽宁省科学技术厅和辽宁省财政厅联合以辽科发(2007)40</w:t>
      </w:r>
      <w:r>
        <w:rPr>
          <w:spacing w:val="-36"/>
        </w:rPr>
        <w:t> </w:t>
      </w:r>
      <w:r>
        <w:rPr>
          <w:spacing w:val="6"/>
        </w:rPr>
        <w:t>号文《下达二</w:t>
      </w:r>
      <w:r>
        <w:rPr>
          <w:spacing w:val="-34"/>
        </w:rPr>
        <w:t> </w:t>
      </w:r>
      <w:r>
        <w:rPr/>
        <w:t>00</w:t>
      </w:r>
      <w:r>
        <w:rPr>
          <w:spacing w:val="-38"/>
        </w:rPr>
        <w:t> </w:t>
      </w:r>
      <w:r>
        <w:rPr>
          <w:spacing w:val="4"/>
        </w:rPr>
        <w:t>七年</w:t>
      </w:r>
      <w:r>
        <w:rPr/>
        <w:t> </w:t>
      </w:r>
      <w:r>
        <w:rPr>
          <w:spacing w:val="6"/>
        </w:rPr>
        <w:t>辽宁省第二批科学技术计划的通知》，由鞍山市科技局和财政局将“高速铁路机车交流主</w:t>
      </w:r>
      <w:r>
        <w:rPr>
          <w:spacing w:val="-100"/>
        </w:rPr>
        <w:t> </w:t>
      </w:r>
      <w:r>
        <w:rPr>
          <w:spacing w:val="-100"/>
        </w:rPr>
      </w:r>
      <w:r>
        <w:rPr>
          <w:spacing w:val="6"/>
        </w:rPr>
        <w:t>传动装置”经费 </w:t>
      </w:r>
      <w:r>
        <w:rPr>
          <w:spacing w:val="2"/>
        </w:rPr>
        <w:t>600,000.00</w:t>
      </w:r>
      <w:r>
        <w:rPr>
          <w:spacing w:val="-81"/>
        </w:rPr>
        <w:t> </w:t>
      </w:r>
      <w:r>
        <w:rPr>
          <w:spacing w:val="7"/>
        </w:rPr>
        <w:t>人民币元拨付给本公司，专款专用。</w:t>
      </w:r>
      <w:r>
        <w:rPr/>
      </w:r>
    </w:p>
    <w:p>
      <w:pPr>
        <w:pStyle w:val="BodyText"/>
        <w:spacing w:line="304" w:lineRule="auto" w:before="124"/>
        <w:ind w:left="314" w:right="143" w:firstLine="495"/>
        <w:jc w:val="both"/>
      </w:pPr>
      <w:r>
        <w:rPr>
          <w:spacing w:val="6"/>
        </w:rPr>
        <w:t>根据中华人民共和国科技部以国科财[2008]534</w:t>
      </w:r>
      <w:r>
        <w:rPr>
          <w:spacing w:val="-51"/>
        </w:rPr>
        <w:t> </w:t>
      </w:r>
      <w:r>
        <w:rPr>
          <w:spacing w:val="-8"/>
        </w:rPr>
        <w:t>号文《关于下达</w:t>
      </w:r>
      <w:r>
        <w:rPr>
          <w:spacing w:val="-49"/>
        </w:rPr>
        <w:t> </w:t>
      </w:r>
      <w:r>
        <w:rPr>
          <w:spacing w:val="2"/>
        </w:rPr>
        <w:t>2008</w:t>
      </w:r>
      <w:r>
        <w:rPr>
          <w:spacing w:val="-51"/>
        </w:rPr>
        <w:t> </w:t>
      </w:r>
      <w:r>
        <w:rPr>
          <w:spacing w:val="7"/>
        </w:rPr>
        <w:t>年度国际科技合</w:t>
      </w:r>
      <w:r>
        <w:rPr>
          <w:spacing w:val="7"/>
        </w:rPr>
        <w:t> </w:t>
      </w:r>
      <w:r>
        <w:rPr/>
        <w:t>作与交流专项经费项目预算的通知》，核拨本公司</w:t>
      </w:r>
      <w:r>
        <w:rPr>
          <w:spacing w:val="-46"/>
        </w:rPr>
        <w:t> </w:t>
      </w:r>
      <w:r>
        <w:rPr>
          <w:spacing w:val="2"/>
        </w:rPr>
        <w:t>2008</w:t>
      </w:r>
      <w:r>
        <w:rPr>
          <w:spacing w:val="-48"/>
        </w:rPr>
        <w:t> </w:t>
      </w:r>
      <w:r>
        <w:rPr>
          <w:spacing w:val="7"/>
        </w:rPr>
        <w:t>年度国际科技合作与交流专项经费</w:t>
      </w:r>
      <w:r>
        <w:rPr>
          <w:spacing w:val="-118"/>
        </w:rPr>
        <w:t> </w:t>
      </w:r>
      <w:r>
        <w:rPr>
          <w:spacing w:val="-118"/>
        </w:rPr>
      </w:r>
      <w:r>
        <w:rPr>
          <w:spacing w:val="2"/>
        </w:rPr>
        <w:t>1,280,000.00</w:t>
      </w:r>
      <w:r>
        <w:rPr>
          <w:spacing w:val="-46"/>
        </w:rPr>
        <w:t> </w:t>
      </w:r>
      <w:r>
        <w:rPr>
          <w:spacing w:val="7"/>
        </w:rPr>
        <w:t>人民币元，专项用于“采用</w:t>
      </w:r>
      <w:r>
        <w:rPr>
          <w:spacing w:val="-44"/>
        </w:rPr>
        <w:t> </w:t>
      </w:r>
      <w:r>
        <w:rPr>
          <w:spacing w:val="2"/>
        </w:rPr>
        <w:t>LTT</w:t>
      </w:r>
      <w:r>
        <w:rPr>
          <w:spacing w:val="-48"/>
        </w:rPr>
        <w:t> </w:t>
      </w:r>
      <w:r>
        <w:rPr>
          <w:spacing w:val="5"/>
        </w:rPr>
        <w:t>技术的</w:t>
      </w:r>
      <w:r>
        <w:rPr>
          <w:spacing w:val="-42"/>
        </w:rPr>
        <w:t> </w:t>
      </w:r>
      <w:r>
        <w:rPr>
          <w:spacing w:val="2"/>
        </w:rPr>
        <w:t>66KV</w:t>
      </w:r>
      <w:r>
        <w:rPr>
          <w:spacing w:val="-47"/>
        </w:rPr>
        <w:t> </w:t>
      </w:r>
      <w:r>
        <w:rPr>
          <w:spacing w:val="3"/>
        </w:rPr>
        <w:t>直挂</w:t>
      </w:r>
      <w:r>
        <w:rPr>
          <w:spacing w:val="-42"/>
        </w:rPr>
        <w:t> </w:t>
      </w:r>
      <w:r>
        <w:rPr/>
        <w:t>SVC</w:t>
      </w:r>
      <w:r>
        <w:rPr>
          <w:spacing w:val="-47"/>
        </w:rPr>
        <w:t> </w:t>
      </w:r>
      <w:r>
        <w:rPr>
          <w:spacing w:val="8"/>
        </w:rPr>
        <w:t>研制”项目。本年发</w:t>
      </w:r>
      <w:r>
        <w:rPr>
          <w:spacing w:val="8"/>
        </w:rPr>
        <w:t> </w:t>
      </w:r>
      <w:r>
        <w:rPr/>
        <w:t>生该项目的研发费用 </w:t>
      </w:r>
      <w:r>
        <w:rPr>
          <w:spacing w:val="2"/>
        </w:rPr>
        <w:t>1,280,000.00</w:t>
      </w:r>
      <w:r>
        <w:rPr>
          <w:spacing w:val="-79"/>
        </w:rPr>
        <w:t> </w:t>
      </w:r>
      <w:r>
        <w:rPr/>
        <w:t>人民币元,已全部结转至营业外收入。</w:t>
      </w:r>
    </w:p>
    <w:p>
      <w:pPr>
        <w:pStyle w:val="BodyText"/>
        <w:spacing w:line="304" w:lineRule="auto" w:before="140"/>
        <w:ind w:left="314" w:right="150" w:firstLine="495"/>
        <w:jc w:val="both"/>
      </w:pPr>
      <w:r>
        <w:rPr>
          <w:spacing w:val="6"/>
        </w:rPr>
        <w:t>根据辽宁省科学技术厅和辽宁省财政厅联合以辽科发(2008)30 号文《关于下达二</w:t>
      </w:r>
      <w:r>
        <w:rPr>
          <w:spacing w:val="3"/>
        </w:rPr>
        <w:t> </w:t>
      </w:r>
      <w:r>
        <w:rPr/>
        <w:t>00</w:t>
      </w:r>
      <w:r>
        <w:rPr/>
        <w:t> </w:t>
      </w:r>
      <w:r>
        <w:rPr>
          <w:spacing w:val="1"/>
        </w:rPr>
        <w:t>八年辽宁省科学技术计划的通知》，将“光控晶闸管技术的</w:t>
      </w:r>
      <w:r>
        <w:rPr>
          <w:spacing w:val="-47"/>
        </w:rPr>
        <w:t> </w:t>
      </w:r>
      <w:r>
        <w:rPr>
          <w:spacing w:val="2"/>
        </w:rPr>
        <w:t>66KV</w:t>
      </w:r>
      <w:r>
        <w:rPr>
          <w:spacing w:val="-51"/>
        </w:rPr>
        <w:t> </w:t>
      </w:r>
      <w:r>
        <w:rPr>
          <w:spacing w:val="7"/>
        </w:rPr>
        <w:t>直挂高压动态无功补偿装</w:t>
      </w:r>
      <w:r>
        <w:rPr>
          <w:spacing w:val="7"/>
        </w:rPr>
        <w:t> </w:t>
      </w:r>
      <w:r>
        <w:rPr>
          <w:spacing w:val="5"/>
        </w:rPr>
        <w:t>置”经费 </w:t>
      </w:r>
      <w:r>
        <w:rPr>
          <w:spacing w:val="3"/>
        </w:rPr>
        <w:t>1,500,000.00</w:t>
      </w:r>
      <w:r>
        <w:rPr>
          <w:spacing w:val="-86"/>
        </w:rPr>
        <w:t> </w:t>
      </w:r>
      <w:r>
        <w:rPr>
          <w:spacing w:val="7"/>
        </w:rPr>
        <w:t>人民币元拨付给本公司，专款专用。</w:t>
      </w:r>
      <w:r>
        <w:rPr/>
      </w:r>
    </w:p>
    <w:p>
      <w:pPr>
        <w:pStyle w:val="BodyText"/>
        <w:spacing w:line="240" w:lineRule="auto" w:before="140"/>
        <w:ind w:left="809" w:right="1890"/>
        <w:jc w:val="left"/>
      </w:pPr>
      <w:r>
        <w:rPr>
          <w:spacing w:val="2"/>
        </w:rPr>
        <w:t>(2)RGM</w:t>
      </w:r>
      <w:r>
        <w:rPr>
          <w:spacing w:val="-53"/>
        </w:rPr>
        <w:t> </w:t>
      </w:r>
      <w:r>
        <w:rPr>
          <w:spacing w:val="4"/>
        </w:rPr>
        <w:t>项目</w:t>
      </w:r>
    </w:p>
    <w:p>
      <w:pPr>
        <w:pStyle w:val="BodyText"/>
        <w:spacing w:line="304" w:lineRule="auto" w:before="206"/>
        <w:ind w:left="314" w:right="149" w:firstLine="495"/>
        <w:jc w:val="both"/>
      </w:pPr>
      <w:r>
        <w:rPr>
          <w:spacing w:val="7"/>
        </w:rPr>
        <w:t>根据国家发改委，财政部关于下达 </w:t>
      </w:r>
      <w:r>
        <w:rPr>
          <w:spacing w:val="2"/>
        </w:rPr>
        <w:t>2004</w:t>
      </w:r>
      <w:r>
        <w:rPr>
          <w:spacing w:val="-17"/>
        </w:rPr>
        <w:t> </w:t>
      </w:r>
      <w:r>
        <w:rPr>
          <w:spacing w:val="8"/>
        </w:rPr>
        <w:t>年第二批国家高技术产业发展项目产业技术</w:t>
      </w:r>
      <w:r>
        <w:rPr>
          <w:spacing w:val="8"/>
        </w:rPr>
        <w:t> </w:t>
      </w:r>
      <w:r>
        <w:rPr>
          <w:spacing w:val="6"/>
        </w:rPr>
        <w:t>研究与开发资金指标计划的通知(发改高技[2004]2563</w:t>
      </w:r>
      <w:r>
        <w:rPr>
          <w:spacing w:val="-44"/>
        </w:rPr>
        <w:t> </w:t>
      </w:r>
      <w:r>
        <w:rPr>
          <w:spacing w:val="1"/>
        </w:rPr>
        <w:t>号)，本公司从辽宁省财政厅取得专</w:t>
      </w:r>
      <w:r>
        <w:rPr>
          <w:spacing w:val="-118"/>
        </w:rPr>
        <w:t> </w:t>
      </w:r>
      <w:r>
        <w:rPr>
          <w:spacing w:val="-118"/>
        </w:rPr>
      </w:r>
      <w:r>
        <w:rPr>
          <w:spacing w:val="5"/>
        </w:rPr>
        <w:t>项拨款</w:t>
      </w:r>
      <w:r>
        <w:rPr>
          <w:spacing w:val="-46"/>
        </w:rPr>
        <w:t> </w:t>
      </w:r>
      <w:r>
        <w:rPr>
          <w:spacing w:val="3"/>
        </w:rPr>
        <w:t>6,500,000.00</w:t>
      </w:r>
      <w:r>
        <w:rPr>
          <w:spacing w:val="-48"/>
        </w:rPr>
        <w:t> </w:t>
      </w:r>
      <w:r>
        <w:rPr>
          <w:spacing w:val="7"/>
        </w:rPr>
        <w:t>人民币元。</w:t>
      </w:r>
      <w:r>
        <w:rPr/>
      </w:r>
    </w:p>
    <w:p>
      <w:pPr>
        <w:pStyle w:val="BodyText"/>
        <w:spacing w:line="240" w:lineRule="auto" w:before="142"/>
        <w:ind w:left="809" w:right="92"/>
        <w:jc w:val="left"/>
      </w:pPr>
      <w:r>
        <w:rPr>
          <w:spacing w:val="7"/>
        </w:rPr>
        <w:t>根据国家发改委，财政部关于下达 </w:t>
      </w:r>
      <w:r>
        <w:rPr>
          <w:spacing w:val="2"/>
        </w:rPr>
        <w:t>2005</w:t>
      </w:r>
      <w:r>
        <w:rPr>
          <w:spacing w:val="-16"/>
        </w:rPr>
        <w:t> </w:t>
      </w:r>
      <w:r>
        <w:rPr>
          <w:spacing w:val="8"/>
        </w:rPr>
        <w:t>年第一批国家高技术产业发展项目和产业技</w:t>
      </w:r>
      <w:r>
        <w:rPr/>
      </w:r>
    </w:p>
    <w:p>
      <w:pPr>
        <w:spacing w:after="0" w:line="240" w:lineRule="auto"/>
        <w:jc w:val="left"/>
        <w:sectPr>
          <w:pgSz w:w="11910" w:h="16840"/>
          <w:pgMar w:header="877" w:footer="1022" w:top="1060" w:bottom="1220" w:left="820" w:right="980"/>
        </w:sectPr>
      </w:pPr>
    </w:p>
    <w:p>
      <w:pPr>
        <w:spacing w:line="240" w:lineRule="auto" w:before="0"/>
        <w:rPr>
          <w:rFonts w:ascii="宋体" w:hAnsi="宋体" w:cs="宋体" w:eastAsia="宋体" w:hint="default"/>
          <w:sz w:val="20"/>
          <w:szCs w:val="20"/>
        </w:rPr>
      </w:pPr>
    </w:p>
    <w:p>
      <w:pPr>
        <w:pStyle w:val="BodyText"/>
        <w:spacing w:line="304" w:lineRule="auto" w:before="161"/>
        <w:ind w:left="313" w:right="0"/>
        <w:jc w:val="left"/>
      </w:pPr>
      <w:r>
        <w:rPr>
          <w:spacing w:val="5"/>
        </w:rPr>
        <w:t>术研究与开发资金指标计划的通知(发改高技[2005]912</w:t>
      </w:r>
      <w:r>
        <w:rPr>
          <w:spacing w:val="-6"/>
        </w:rPr>
        <w:t> </w:t>
      </w:r>
      <w:r>
        <w:rPr>
          <w:spacing w:val="7"/>
        </w:rPr>
        <w:t>号)，本公司从辽宁省财政厅取得</w:t>
      </w:r>
      <w:r>
        <w:rPr>
          <w:spacing w:val="-113"/>
        </w:rPr>
        <w:t> </w:t>
      </w:r>
      <w:r>
        <w:rPr>
          <w:spacing w:val="-113"/>
        </w:rPr>
      </w:r>
      <w:r>
        <w:rPr>
          <w:spacing w:val="5"/>
        </w:rPr>
        <w:t>专项拨款</w:t>
      </w:r>
      <w:r>
        <w:rPr>
          <w:spacing w:val="-45"/>
        </w:rPr>
        <w:t> </w:t>
      </w:r>
      <w:r>
        <w:rPr>
          <w:spacing w:val="3"/>
        </w:rPr>
        <w:t>6,500,000.00</w:t>
      </w:r>
      <w:r>
        <w:rPr>
          <w:spacing w:val="-51"/>
        </w:rPr>
        <w:t> </w:t>
      </w:r>
      <w:r>
        <w:rPr>
          <w:spacing w:val="6"/>
        </w:rPr>
        <w:t>人民币元。</w:t>
      </w:r>
    </w:p>
    <w:p>
      <w:pPr>
        <w:pStyle w:val="BodyText"/>
        <w:spacing w:line="396" w:lineRule="auto" w:before="142"/>
        <w:ind w:left="809" w:right="2735"/>
        <w:jc w:val="left"/>
      </w:pPr>
      <w:r>
        <w:rPr>
          <w:spacing w:val="7"/>
        </w:rPr>
        <w:t>相关的资产正在建设过程中，所以尚未分摊计入损益。</w:t>
      </w:r>
      <w:r>
        <w:rPr>
          <w:spacing w:val="-98"/>
        </w:rPr>
        <w:t> </w:t>
      </w:r>
      <w:r>
        <w:rPr>
          <w:spacing w:val="-98"/>
        </w:rPr>
      </w:r>
      <w:r>
        <w:rPr>
          <w:spacing w:val="2"/>
        </w:rPr>
        <w:t>(3)SVC</w:t>
      </w:r>
      <w:r>
        <w:rPr>
          <w:spacing w:val="-50"/>
        </w:rPr>
        <w:t> </w:t>
      </w:r>
      <w:r>
        <w:rPr>
          <w:spacing w:val="5"/>
        </w:rPr>
        <w:t>升级项目</w:t>
      </w:r>
    </w:p>
    <w:p>
      <w:pPr>
        <w:pStyle w:val="BodyText"/>
        <w:spacing w:line="304" w:lineRule="auto" w:before="49"/>
        <w:ind w:left="313" w:right="230" w:firstLine="495"/>
        <w:jc w:val="both"/>
      </w:pPr>
      <w:r>
        <w:rPr>
          <w:spacing w:val="5"/>
        </w:rPr>
        <w:t>根据鞍山市财政局鞍财指经(2007)597</w:t>
      </w:r>
      <w:r>
        <w:rPr>
          <w:spacing w:val="-47"/>
        </w:rPr>
        <w:t> </w:t>
      </w:r>
      <w:r>
        <w:rPr>
          <w:spacing w:val="-5"/>
        </w:rPr>
        <w:t>号文《转发关于下达</w:t>
      </w:r>
      <w:r>
        <w:rPr>
          <w:spacing w:val="-44"/>
        </w:rPr>
        <w:t> </w:t>
      </w:r>
      <w:r>
        <w:rPr>
          <w:spacing w:val="2"/>
        </w:rPr>
        <w:t>2007</w:t>
      </w:r>
      <w:r>
        <w:rPr>
          <w:spacing w:val="-48"/>
        </w:rPr>
        <w:t> </w:t>
      </w:r>
      <w:r>
        <w:rPr>
          <w:spacing w:val="7"/>
        </w:rPr>
        <w:t>年国债专项资金基建</w:t>
      </w:r>
      <w:r>
        <w:rPr>
          <w:spacing w:val="7"/>
        </w:rPr>
        <w:t> </w:t>
      </w:r>
      <w:r>
        <w:rPr>
          <w:spacing w:val="28"/>
        </w:rPr>
        <w:t>支出预算(</w:t>
      </w:r>
      <w:r>
        <w:rPr>
          <w:spacing w:val="-88"/>
        </w:rPr>
        <w:t> </w:t>
      </w:r>
      <w:r>
        <w:rPr>
          <w:spacing w:val="27"/>
        </w:rPr>
        <w:t>拨款的)</w:t>
      </w:r>
      <w:r>
        <w:rPr>
          <w:spacing w:val="-88"/>
        </w:rPr>
        <w:t> </w:t>
      </w:r>
      <w:r>
        <w:rPr>
          <w:spacing w:val="24"/>
        </w:rPr>
        <w:t>的通知</w:t>
      </w:r>
      <w:r>
        <w:rPr>
          <w:spacing w:val="-83"/>
        </w:rPr>
        <w:t> </w:t>
      </w:r>
      <w:r>
        <w:rPr>
          <w:spacing w:val="13"/>
        </w:rPr>
        <w:t>》，下达本公司</w:t>
      </w:r>
      <w:r>
        <w:rPr>
          <w:spacing w:val="43"/>
        </w:rPr>
        <w:t> </w:t>
      </w:r>
      <w:r>
        <w:rPr>
          <w:spacing w:val="2"/>
        </w:rPr>
        <w:t>2007</w:t>
      </w:r>
      <w:r>
        <w:rPr>
          <w:spacing w:val="40"/>
        </w:rPr>
        <w:t> </w:t>
      </w:r>
      <w:r>
        <w:rPr>
          <w:spacing w:val="33"/>
        </w:rPr>
        <w:t>年国债专项资金基建支出预算(</w:t>
      </w:r>
      <w:r>
        <w:rPr>
          <w:spacing w:val="-89"/>
        </w:rPr>
        <w:t> </w:t>
      </w:r>
      <w:r>
        <w:rPr/>
        <w:t>拨</w:t>
      </w:r>
      <w:r>
        <w:rPr/>
        <w:t> </w:t>
      </w:r>
      <w:r>
        <w:rPr>
          <w:spacing w:val="3"/>
        </w:rPr>
        <w:t>款)5,000,000.00</w:t>
      </w:r>
      <w:r>
        <w:rPr>
          <w:spacing w:val="-17"/>
        </w:rPr>
        <w:t> </w:t>
      </w:r>
      <w:r>
        <w:rPr>
          <w:spacing w:val="7"/>
        </w:rPr>
        <w:t>人民币元，专项用于提高自主创新能力及高技术产业发展项目建设。</w:t>
      </w:r>
      <w:r>
        <w:rPr/>
      </w:r>
    </w:p>
    <w:p>
      <w:pPr>
        <w:pStyle w:val="BodyText"/>
        <w:spacing w:line="307" w:lineRule="auto" w:before="140"/>
        <w:ind w:left="313" w:right="105" w:firstLine="495"/>
        <w:jc w:val="left"/>
      </w:pPr>
      <w:r>
        <w:rPr>
          <w:spacing w:val="5"/>
        </w:rPr>
        <w:t>根据鞍山市财政局以鞍财指经[2007]401</w:t>
      </w:r>
      <w:r>
        <w:rPr>
          <w:spacing w:val="-19"/>
        </w:rPr>
        <w:t> </w:t>
      </w:r>
      <w:r>
        <w:rPr>
          <w:spacing w:val="8"/>
        </w:rPr>
        <w:t>号文，由鞍山市高新区转发关于下达资助创</w:t>
      </w:r>
      <w:r>
        <w:rPr>
          <w:spacing w:val="8"/>
        </w:rPr>
        <w:t> </w:t>
      </w:r>
      <w:r>
        <w:rPr>
          <w:spacing w:val="5"/>
        </w:rPr>
        <w:t>新基金 </w:t>
      </w:r>
      <w:r>
        <w:rPr>
          <w:spacing w:val="3"/>
        </w:rPr>
        <w:t>5,000,000.00</w:t>
      </w:r>
      <w:r>
        <w:rPr>
          <w:spacing w:val="-90"/>
        </w:rPr>
        <w:t> </w:t>
      </w:r>
      <w:r>
        <w:rPr>
          <w:spacing w:val="6"/>
        </w:rPr>
        <w:t>人民币元，专项用于提高自主创新能力及高技术产业发展项目建设。</w:t>
      </w:r>
    </w:p>
    <w:p>
      <w:pPr>
        <w:pStyle w:val="BodyText"/>
        <w:spacing w:line="396" w:lineRule="auto" w:before="138"/>
        <w:ind w:left="809" w:right="2735"/>
        <w:jc w:val="left"/>
      </w:pPr>
      <w:r>
        <w:rPr>
          <w:spacing w:val="7"/>
        </w:rPr>
        <w:t>相关的资产正在建设过程中，所以尚未分摊计入损益。</w:t>
      </w:r>
      <w:r>
        <w:rPr>
          <w:spacing w:val="-98"/>
        </w:rPr>
        <w:t> </w:t>
      </w:r>
      <w:r>
        <w:rPr>
          <w:spacing w:val="-98"/>
        </w:rPr>
      </w:r>
      <w:r>
        <w:rPr/>
        <w:t>(4)国家科技支撑计划专项经费</w:t>
      </w:r>
    </w:p>
    <w:p>
      <w:pPr>
        <w:pStyle w:val="BodyText"/>
        <w:spacing w:line="304" w:lineRule="auto" w:before="50"/>
        <w:ind w:left="314" w:right="231" w:firstLine="480"/>
        <w:jc w:val="both"/>
      </w:pPr>
      <w:r>
        <w:rPr/>
        <w:t>根据辽财指教[2007]8038 号文《关于下达 2007</w:t>
      </w:r>
      <w:r>
        <w:rPr>
          <w:spacing w:val="-84"/>
        </w:rPr>
        <w:t> </w:t>
      </w:r>
      <w:r>
        <w:rPr/>
        <w:t>年国家科技支撑计划课题(第二批)预算</w:t>
      </w:r>
      <w:r>
        <w:rPr/>
        <w:t> </w:t>
      </w:r>
      <w:r>
        <w:rPr>
          <w:spacing w:val="-7"/>
        </w:rPr>
        <w:t>指标的通知》，由辽宁省财务局拨付给本公司国家科技支撑计划专项经费</w:t>
      </w:r>
      <w:r>
        <w:rPr>
          <w:spacing w:val="-50"/>
        </w:rPr>
        <w:t> </w:t>
      </w:r>
      <w:r>
        <w:rPr/>
        <w:t>23,910,000.00</w:t>
      </w:r>
      <w:r>
        <w:rPr>
          <w:spacing w:val="-50"/>
        </w:rPr>
        <w:t> </w:t>
      </w:r>
      <w:r>
        <w:rPr/>
        <w:t>人民</w:t>
      </w:r>
      <w:r>
        <w:rPr/>
        <w:t> 币元，专项用于中高压、百</w:t>
      </w:r>
      <w:r>
        <w:rPr>
          <w:spacing w:val="-60"/>
        </w:rPr>
        <w:t> </w:t>
      </w:r>
      <w:r>
        <w:rPr/>
        <w:t>MVA</w:t>
      </w:r>
      <w:r>
        <w:rPr>
          <w:spacing w:val="-60"/>
        </w:rPr>
        <w:t> </w:t>
      </w:r>
      <w:r>
        <w:rPr/>
        <w:t>级链式及多电平变流器与静止补偿器研制。</w:t>
      </w:r>
    </w:p>
    <w:p>
      <w:pPr>
        <w:pStyle w:val="BodyText"/>
        <w:spacing w:line="304" w:lineRule="auto" w:before="142"/>
        <w:ind w:left="314" w:right="231" w:firstLine="480"/>
        <w:jc w:val="both"/>
      </w:pPr>
      <w:r>
        <w:rPr/>
        <w:t>本年度减少 9,570,000.00</w:t>
      </w:r>
      <w:r>
        <w:rPr>
          <w:spacing w:val="25"/>
        </w:rPr>
        <w:t> </w:t>
      </w:r>
      <w:r>
        <w:rPr/>
        <w:t>人民币元系本公司作为项目第一承担单位转支付给其他承担</w:t>
      </w:r>
      <w:r>
        <w:rPr>
          <w:spacing w:val="1"/>
        </w:rPr>
        <w:t> </w:t>
      </w:r>
      <w:r>
        <w:rPr/>
        <w:t>单位清华大学研发款。</w:t>
      </w:r>
    </w:p>
    <w:p>
      <w:pPr>
        <w:pStyle w:val="BodyText"/>
        <w:spacing w:line="307" w:lineRule="auto" w:before="140"/>
        <w:ind w:left="314" w:right="231" w:firstLine="480"/>
        <w:jc w:val="both"/>
      </w:pPr>
      <w:r>
        <w:rPr/>
        <w:t>本年度减少 7,110,554.43</w:t>
      </w:r>
      <w:r>
        <w:rPr>
          <w:spacing w:val="-82"/>
        </w:rPr>
        <w:t> </w:t>
      </w:r>
      <w:r>
        <w:rPr/>
        <w:t>人民币元系公司当期发生该项目研发费用,已结转至营业外收</w:t>
      </w:r>
      <w:r>
        <w:rPr/>
        <w:t> 入。</w:t>
      </w:r>
    </w:p>
    <w:p>
      <w:pPr>
        <w:pStyle w:val="BodyText"/>
        <w:spacing w:line="240" w:lineRule="auto" w:before="138"/>
        <w:ind w:left="809" w:right="0"/>
        <w:jc w:val="left"/>
      </w:pPr>
      <w:r>
        <w:rPr>
          <w:spacing w:val="5"/>
        </w:rPr>
        <w:t>(5)研发经费</w:t>
      </w:r>
    </w:p>
    <w:p>
      <w:pPr>
        <w:pStyle w:val="BodyText"/>
        <w:spacing w:line="304" w:lineRule="auto" w:before="205"/>
        <w:ind w:left="314" w:right="229" w:firstLine="495"/>
        <w:jc w:val="both"/>
      </w:pPr>
      <w:r>
        <w:rPr>
          <w:spacing w:val="6"/>
        </w:rPr>
        <w:t>根据鞍山高新技术产业开发区财政局以鞍高财预字[2008]1</w:t>
      </w:r>
      <w:r>
        <w:rPr>
          <w:spacing w:val="-47"/>
        </w:rPr>
        <w:t> </w:t>
      </w:r>
      <w:r>
        <w:rPr>
          <w:spacing w:val="-8"/>
        </w:rPr>
        <w:t>号文《关于下达</w:t>
      </w:r>
      <w:r>
        <w:rPr>
          <w:spacing w:val="-44"/>
        </w:rPr>
        <w:t> </w:t>
      </w:r>
      <w:r>
        <w:rPr>
          <w:spacing w:val="2"/>
        </w:rPr>
        <w:t>2008</w:t>
      </w:r>
      <w:r>
        <w:rPr>
          <w:spacing w:val="-48"/>
        </w:rPr>
        <w:t> </w:t>
      </w:r>
      <w:r>
        <w:rPr>
          <w:spacing w:val="7"/>
        </w:rPr>
        <w:t>年高</w:t>
      </w:r>
      <w:r>
        <w:rPr>
          <w:spacing w:val="7"/>
        </w:rPr>
        <w:t> </w:t>
      </w:r>
      <w:r>
        <w:rPr>
          <w:spacing w:val="6"/>
        </w:rPr>
        <w:t>新区第一批科学技术项目指标的通知》，本公司收到中压高性能变频调速技术及装置研发</w:t>
      </w:r>
      <w:r>
        <w:rPr>
          <w:spacing w:val="-100"/>
        </w:rPr>
        <w:t> </w:t>
      </w:r>
      <w:r>
        <w:rPr>
          <w:spacing w:val="-100"/>
        </w:rPr>
      </w:r>
      <w:r>
        <w:rPr>
          <w:spacing w:val="3"/>
        </w:rPr>
        <w:t>经费</w:t>
      </w:r>
      <w:r>
        <w:rPr>
          <w:spacing w:val="-45"/>
        </w:rPr>
        <w:t> </w:t>
      </w:r>
      <w:r>
        <w:rPr>
          <w:spacing w:val="3"/>
        </w:rPr>
        <w:t>4,500,000.00</w:t>
      </w:r>
      <w:r>
        <w:rPr>
          <w:spacing w:val="-47"/>
        </w:rPr>
        <w:t> </w:t>
      </w:r>
      <w:r>
        <w:rPr/>
        <w:t>人民币元。本年发生该项目的研发费用</w:t>
      </w:r>
      <w:r>
        <w:rPr>
          <w:spacing w:val="-55"/>
        </w:rPr>
        <w:t> </w:t>
      </w:r>
      <w:r>
        <w:rPr>
          <w:spacing w:val="2"/>
        </w:rPr>
        <w:t>4,500,000.00</w:t>
      </w:r>
      <w:r>
        <w:rPr>
          <w:spacing w:val="-47"/>
        </w:rPr>
        <w:t> </w:t>
      </w:r>
      <w:r>
        <w:rPr>
          <w:spacing w:val="3"/>
        </w:rPr>
        <w:t>人民币元,已全部</w:t>
      </w:r>
      <w:r>
        <w:rPr>
          <w:spacing w:val="-118"/>
        </w:rPr>
        <w:t> </w:t>
      </w:r>
      <w:r>
        <w:rPr>
          <w:spacing w:val="-118"/>
        </w:rPr>
      </w:r>
      <w:r>
        <w:rPr/>
        <w:t>结转至营业外收入。</w:t>
      </w:r>
    </w:p>
    <w:p>
      <w:pPr>
        <w:pStyle w:val="Heading4"/>
        <w:spacing w:line="240" w:lineRule="auto" w:before="181"/>
        <w:ind w:right="0"/>
        <w:jc w:val="left"/>
        <w:rPr>
          <w:b w:val="0"/>
          <w:bCs w:val="0"/>
        </w:rPr>
      </w:pPr>
      <w:r>
        <w:rPr/>
        <w:t>22、递延所得税资产</w:t>
      </w:r>
      <w:r>
        <w:rPr>
          <w:b w:val="0"/>
          <w:bCs w:val="0"/>
        </w:rPr>
      </w:r>
    </w:p>
    <w:p>
      <w:pPr>
        <w:spacing w:line="240" w:lineRule="auto" w:before="1"/>
        <w:rPr>
          <w:rFonts w:ascii="宋体" w:hAnsi="宋体" w:cs="宋体" w:eastAsia="宋体" w:hint="default"/>
          <w:b/>
          <w:bCs/>
          <w:sz w:val="20"/>
          <w:szCs w:val="20"/>
        </w:rPr>
      </w:pPr>
    </w:p>
    <w:tbl>
      <w:tblPr>
        <w:tblW w:w="0" w:type="auto"/>
        <w:jc w:val="left"/>
        <w:tblInd w:w="113" w:type="dxa"/>
        <w:tblLayout w:type="fixed"/>
        <w:tblCellMar>
          <w:top w:w="0" w:type="dxa"/>
          <w:left w:w="0" w:type="dxa"/>
          <w:bottom w:w="0" w:type="dxa"/>
          <w:right w:w="0" w:type="dxa"/>
        </w:tblCellMar>
        <w:tblLook w:val="01E0"/>
      </w:tblPr>
      <w:tblGrid>
        <w:gridCol w:w="1964"/>
        <w:gridCol w:w="1682"/>
        <w:gridCol w:w="270"/>
        <w:gridCol w:w="1813"/>
        <w:gridCol w:w="274"/>
        <w:gridCol w:w="1686"/>
        <w:gridCol w:w="260"/>
        <w:gridCol w:w="1889"/>
      </w:tblGrid>
      <w:tr>
        <w:trPr>
          <w:trHeight w:val="290" w:hRule="exact"/>
        </w:trPr>
        <w:tc>
          <w:tcPr>
            <w:tcW w:w="6003"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310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835" w:type="dxa"/>
            <w:gridSpan w:val="3"/>
            <w:tcBorders>
              <w:top w:val="nil" w:sz="6" w:space="0" w:color="auto"/>
              <w:left w:val="nil" w:sz="6" w:space="0" w:color="auto"/>
              <w:bottom w:val="single" w:sz="4" w:space="0" w:color="000000"/>
              <w:right w:val="nil" w:sz="6" w:space="0" w:color="auto"/>
            </w:tcBorders>
          </w:tcPr>
          <w:p>
            <w:pPr>
              <w:pStyle w:val="TableParagraph"/>
              <w:spacing w:line="180" w:lineRule="exact"/>
              <w:ind w:left="117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02" w:hRule="exact"/>
        </w:trPr>
        <w:tc>
          <w:tcPr>
            <w:tcW w:w="1964" w:type="dxa"/>
            <w:tcBorders>
              <w:top w:val="nil" w:sz="6" w:space="0" w:color="auto"/>
              <w:left w:val="nil" w:sz="6" w:space="0" w:color="auto"/>
              <w:bottom w:val="nil" w:sz="6" w:space="0" w:color="auto"/>
              <w:right w:val="nil" w:sz="6" w:space="0" w:color="auto"/>
            </w:tcBorders>
          </w:tcPr>
          <w:p>
            <w:pPr/>
          </w:p>
        </w:tc>
        <w:tc>
          <w:tcPr>
            <w:tcW w:w="168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0" w:type="dxa"/>
            <w:tcBorders>
              <w:top w:val="single" w:sz="4" w:space="0" w:color="000000"/>
              <w:left w:val="nil" w:sz="6" w:space="0" w:color="auto"/>
              <w:bottom w:val="nil" w:sz="6" w:space="0" w:color="auto"/>
              <w:right w:val="nil" w:sz="6" w:space="0" w:color="auto"/>
            </w:tcBorders>
          </w:tcPr>
          <w:p>
            <w:pPr/>
          </w:p>
        </w:tc>
        <w:tc>
          <w:tcPr>
            <w:tcW w:w="181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274" w:type="dxa"/>
            <w:tcBorders>
              <w:top w:val="nil" w:sz="6" w:space="0" w:color="auto"/>
              <w:left w:val="nil" w:sz="6" w:space="0" w:color="auto"/>
              <w:bottom w:val="nil" w:sz="6" w:space="0" w:color="auto"/>
              <w:right w:val="nil" w:sz="6" w:space="0" w:color="auto"/>
            </w:tcBorders>
          </w:tcPr>
          <w:p>
            <w:pPr/>
          </w:p>
        </w:tc>
        <w:tc>
          <w:tcPr>
            <w:tcW w:w="168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60" w:type="dxa"/>
            <w:tcBorders>
              <w:top w:val="single" w:sz="4" w:space="0" w:color="000000"/>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r>
      <w:tr>
        <w:trPr>
          <w:trHeight w:val="292" w:hRule="exact"/>
        </w:trPr>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68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02" w:right="0"/>
              <w:jc w:val="left"/>
              <w:rPr>
                <w:rFonts w:ascii="宋体" w:hAnsi="宋体" w:cs="宋体" w:eastAsia="宋体" w:hint="default"/>
                <w:sz w:val="18"/>
                <w:szCs w:val="18"/>
              </w:rPr>
            </w:pPr>
            <w:r>
              <w:rPr>
                <w:rFonts w:ascii="宋体"/>
                <w:sz w:val="18"/>
              </w:rPr>
              <w:t>2,869,064.40</w:t>
            </w:r>
          </w:p>
        </w:tc>
        <w:tc>
          <w:tcPr>
            <w:tcW w:w="270" w:type="dxa"/>
            <w:tcBorders>
              <w:top w:val="nil" w:sz="6" w:space="0" w:color="auto"/>
              <w:left w:val="nil" w:sz="6" w:space="0" w:color="auto"/>
              <w:bottom w:val="nil" w:sz="6" w:space="0" w:color="auto"/>
              <w:right w:val="nil" w:sz="6" w:space="0" w:color="auto"/>
            </w:tcBorders>
          </w:tcPr>
          <w:p>
            <w:pPr/>
          </w:p>
        </w:tc>
        <w:tc>
          <w:tcPr>
            <w:tcW w:w="181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43" w:right="0"/>
              <w:jc w:val="left"/>
              <w:rPr>
                <w:rFonts w:ascii="宋体" w:hAnsi="宋体" w:cs="宋体" w:eastAsia="宋体" w:hint="default"/>
                <w:sz w:val="18"/>
                <w:szCs w:val="18"/>
              </w:rPr>
            </w:pPr>
            <w:r>
              <w:rPr>
                <w:rFonts w:ascii="宋体"/>
                <w:sz w:val="18"/>
              </w:rPr>
              <w:t>28,016,234.75</w:t>
            </w:r>
          </w:p>
        </w:tc>
        <w:tc>
          <w:tcPr>
            <w:tcW w:w="274" w:type="dxa"/>
            <w:tcBorders>
              <w:top w:val="nil" w:sz="6" w:space="0" w:color="auto"/>
              <w:left w:val="nil" w:sz="6" w:space="0" w:color="auto"/>
              <w:bottom w:val="nil" w:sz="6" w:space="0" w:color="auto"/>
              <w:right w:val="nil" w:sz="6" w:space="0" w:color="auto"/>
            </w:tcBorders>
          </w:tcPr>
          <w:p>
            <w:pPr/>
          </w:p>
        </w:tc>
        <w:tc>
          <w:tcPr>
            <w:tcW w:w="168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606" w:right="0"/>
              <w:jc w:val="left"/>
              <w:rPr>
                <w:rFonts w:ascii="宋体" w:hAnsi="宋体" w:cs="宋体" w:eastAsia="宋体" w:hint="default"/>
                <w:sz w:val="18"/>
                <w:szCs w:val="18"/>
              </w:rPr>
            </w:pPr>
            <w:r>
              <w:rPr>
                <w:rFonts w:ascii="宋体"/>
                <w:sz w:val="18"/>
              </w:rPr>
              <w:t>1,342,510.65</w:t>
            </w:r>
          </w:p>
        </w:tc>
        <w:tc>
          <w:tcPr>
            <w:tcW w:w="260" w:type="dxa"/>
            <w:tcBorders>
              <w:top w:val="nil" w:sz="6" w:space="0" w:color="auto"/>
              <w:left w:val="nil" w:sz="6" w:space="0" w:color="auto"/>
              <w:bottom w:val="nil" w:sz="6" w:space="0" w:color="auto"/>
              <w:right w:val="nil" w:sz="6" w:space="0" w:color="auto"/>
            </w:tcBorders>
          </w:tcPr>
          <w:p>
            <w:pPr/>
          </w:p>
        </w:tc>
        <w:tc>
          <w:tcPr>
            <w:tcW w:w="188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718" w:right="0"/>
              <w:jc w:val="left"/>
              <w:rPr>
                <w:rFonts w:ascii="宋体" w:hAnsi="宋体" w:cs="宋体" w:eastAsia="宋体" w:hint="default"/>
                <w:sz w:val="18"/>
                <w:szCs w:val="18"/>
              </w:rPr>
            </w:pPr>
            <w:r>
              <w:rPr>
                <w:rFonts w:ascii="宋体"/>
                <w:sz w:val="18"/>
              </w:rPr>
              <w:t>13,418,042.52</w:t>
            </w:r>
          </w:p>
        </w:tc>
      </w:tr>
    </w:tbl>
    <w:p>
      <w:pPr>
        <w:spacing w:line="240" w:lineRule="auto" w:before="1"/>
        <w:rPr>
          <w:rFonts w:ascii="宋体" w:hAnsi="宋体" w:cs="宋体" w:eastAsia="宋体" w:hint="default"/>
          <w:b/>
          <w:bCs/>
          <w:sz w:val="19"/>
          <w:szCs w:val="19"/>
        </w:rPr>
      </w:pPr>
    </w:p>
    <w:p>
      <w:pPr>
        <w:pStyle w:val="Heading4"/>
        <w:spacing w:line="240" w:lineRule="auto"/>
        <w:ind w:right="0"/>
        <w:jc w:val="left"/>
        <w:rPr>
          <w:b w:val="0"/>
          <w:bCs w:val="0"/>
        </w:rPr>
      </w:pPr>
      <w:r>
        <w:rPr/>
        <w:pict>
          <v:group style="position:absolute;margin-left:203.880005pt;margin-top:44.655926pt;width:227.25pt;height:.5pt;mso-position-horizontal-relative:page;mso-position-vertical-relative:paragraph;z-index:-525880" coordorigin="4078,893" coordsize="4545,10">
            <v:group style="position:absolute;left:4082;top:898;width:2640;height:2" coordorigin="4082,898" coordsize="2640,2">
              <v:shape style="position:absolute;left:4082;top:898;width:2640;height:2" coordorigin="4082,898" coordsize="2640,0" path="m4082,898l6722,898e" filled="false" stroked="true" strokeweight=".48pt" strokecolor="#000000">
                <v:path arrowok="t"/>
              </v:shape>
            </v:group>
            <v:group style="position:absolute;left:6746;top:898;width:1871;height:2" coordorigin="6746,898" coordsize="1871,2">
              <v:shape style="position:absolute;left:6746;top:898;width:1871;height:2" coordorigin="6746,898" coordsize="1871,0" path="m6746,898l8617,898e" filled="false" stroked="true" strokeweight=".48pt" strokecolor="#000000">
                <v:path arrowok="t"/>
              </v:shape>
            </v:group>
            <w10:wrap type="none"/>
          </v:group>
        </w:pict>
      </w:r>
      <w:r>
        <w:rPr/>
        <w:t>23、资产减值准备</w:t>
      </w:r>
      <w:r>
        <w:rPr>
          <w:b w:val="0"/>
          <w:bCs w:val="0"/>
        </w:rPr>
      </w:r>
    </w:p>
    <w:p>
      <w:pPr>
        <w:spacing w:line="240" w:lineRule="auto" w:before="3"/>
        <w:rPr>
          <w:rFonts w:ascii="宋体" w:hAnsi="宋体" w:cs="宋体" w:eastAsia="宋体" w:hint="default"/>
          <w:b/>
          <w:bCs/>
          <w:sz w:val="20"/>
          <w:szCs w:val="20"/>
        </w:rPr>
      </w:pPr>
    </w:p>
    <w:tbl>
      <w:tblPr>
        <w:tblW w:w="0" w:type="auto"/>
        <w:jc w:val="left"/>
        <w:tblInd w:w="321" w:type="dxa"/>
        <w:tblLayout w:type="fixed"/>
        <w:tblCellMar>
          <w:top w:w="0" w:type="dxa"/>
          <w:left w:w="0" w:type="dxa"/>
          <w:bottom w:w="0" w:type="dxa"/>
          <w:right w:w="0" w:type="dxa"/>
        </w:tblCellMar>
        <w:tblLook w:val="01E0"/>
      </w:tblPr>
      <w:tblGrid>
        <w:gridCol w:w="973"/>
        <w:gridCol w:w="3222"/>
        <w:gridCol w:w="1416"/>
        <w:gridCol w:w="1002"/>
        <w:gridCol w:w="3010"/>
      </w:tblGrid>
      <w:tr>
        <w:trPr>
          <w:trHeight w:val="189" w:hRule="exact"/>
        </w:trPr>
        <w:tc>
          <w:tcPr>
            <w:tcW w:w="973" w:type="dxa"/>
            <w:tcBorders>
              <w:top w:val="nil" w:sz="6" w:space="0" w:color="auto"/>
              <w:left w:val="nil" w:sz="6" w:space="0" w:color="auto"/>
              <w:bottom w:val="nil" w:sz="6" w:space="0" w:color="auto"/>
              <w:right w:val="nil" w:sz="6" w:space="0" w:color="auto"/>
            </w:tcBorders>
          </w:tcPr>
          <w:p>
            <w:pPr/>
          </w:p>
        </w:tc>
        <w:tc>
          <w:tcPr>
            <w:tcW w:w="4638"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293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4012"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575" w:right="0"/>
              <w:jc w:val="left"/>
              <w:rPr>
                <w:rFonts w:ascii="宋体" w:hAnsi="宋体" w:cs="宋体" w:eastAsia="宋体" w:hint="default"/>
                <w:sz w:val="18"/>
                <w:szCs w:val="18"/>
              </w:rPr>
            </w:pPr>
            <w:r>
              <w:rPr>
                <w:rFonts w:ascii="宋体" w:hAnsi="宋体" w:cs="宋体" w:eastAsia="宋体" w:hint="default"/>
                <w:sz w:val="18"/>
                <w:szCs w:val="18"/>
              </w:rPr>
              <w:t>本年减少</w:t>
            </w:r>
          </w:p>
        </w:tc>
      </w:tr>
      <w:tr>
        <w:trPr>
          <w:trHeight w:val="202" w:hRule="exact"/>
        </w:trPr>
        <w:tc>
          <w:tcPr>
            <w:tcW w:w="973" w:type="dxa"/>
            <w:tcBorders>
              <w:top w:val="nil" w:sz="6" w:space="0" w:color="auto"/>
              <w:left w:val="nil" w:sz="6" w:space="0" w:color="auto"/>
              <w:bottom w:val="nil" w:sz="6" w:space="0" w:color="auto"/>
              <w:right w:val="nil" w:sz="6" w:space="0" w:color="auto"/>
            </w:tcBorders>
          </w:tcPr>
          <w:p>
            <w:pPr>
              <w:pStyle w:val="TableParagraph"/>
              <w:spacing w:line="189" w:lineRule="exact"/>
              <w:ind w:left="33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nil" w:sz="6" w:space="0" w:color="auto"/>
              <w:left w:val="nil" w:sz="6" w:space="0" w:color="auto"/>
              <w:bottom w:val="nil" w:sz="6" w:space="0" w:color="auto"/>
              <w:right w:val="nil" w:sz="6" w:space="0" w:color="auto"/>
            </w:tcBorders>
          </w:tcPr>
          <w:p>
            <w:pPr>
              <w:pStyle w:val="TableParagraph"/>
              <w:spacing w:line="189" w:lineRule="exact"/>
              <w:ind w:left="27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416" w:type="dxa"/>
            <w:tcBorders>
              <w:top w:val="nil" w:sz="6" w:space="0" w:color="auto"/>
              <w:left w:val="nil" w:sz="6" w:space="0" w:color="auto"/>
              <w:bottom w:val="nil" w:sz="6" w:space="0" w:color="auto"/>
              <w:right w:val="nil" w:sz="6" w:space="0" w:color="auto"/>
            </w:tcBorders>
          </w:tcPr>
          <w:p>
            <w:pPr/>
          </w:p>
        </w:tc>
        <w:tc>
          <w:tcPr>
            <w:tcW w:w="1002" w:type="dxa"/>
            <w:tcBorders>
              <w:top w:val="nil" w:sz="6" w:space="0" w:color="auto"/>
              <w:left w:val="nil" w:sz="6" w:space="0" w:color="auto"/>
              <w:bottom w:val="nil" w:sz="6" w:space="0" w:color="auto"/>
              <w:right w:val="nil" w:sz="6" w:space="0" w:color="auto"/>
            </w:tcBorders>
          </w:tcPr>
          <w:p>
            <w:pPr/>
          </w:p>
        </w:tc>
        <w:tc>
          <w:tcPr>
            <w:tcW w:w="3010" w:type="dxa"/>
            <w:tcBorders>
              <w:top w:val="nil" w:sz="6" w:space="0" w:color="auto"/>
              <w:left w:val="nil" w:sz="6" w:space="0" w:color="auto"/>
              <w:bottom w:val="nil" w:sz="6" w:space="0" w:color="auto"/>
              <w:right w:val="nil" w:sz="6" w:space="0" w:color="auto"/>
            </w:tcBorders>
          </w:tcPr>
          <w:p>
            <w:pPr>
              <w:pStyle w:val="TableParagraph"/>
              <w:spacing w:line="189" w:lineRule="exact"/>
              <w:ind w:left="124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99" w:hRule="exact"/>
        </w:trPr>
        <w:tc>
          <w:tcPr>
            <w:tcW w:w="973" w:type="dxa"/>
            <w:tcBorders>
              <w:top w:val="nil" w:sz="6" w:space="0" w:color="auto"/>
              <w:left w:val="nil" w:sz="6" w:space="0" w:color="auto"/>
              <w:bottom w:val="single" w:sz="4" w:space="0" w:color="000000"/>
              <w:right w:val="nil" w:sz="6" w:space="0" w:color="auto"/>
            </w:tcBorders>
          </w:tcPr>
          <w:p>
            <w:pPr/>
          </w:p>
        </w:tc>
        <w:tc>
          <w:tcPr>
            <w:tcW w:w="3222" w:type="dxa"/>
            <w:tcBorders>
              <w:top w:val="nil" w:sz="6" w:space="0" w:color="auto"/>
              <w:left w:val="nil" w:sz="6" w:space="0" w:color="auto"/>
              <w:bottom w:val="single" w:sz="4" w:space="0" w:color="000000"/>
              <w:right w:val="nil" w:sz="6" w:space="0" w:color="auto"/>
            </w:tcBorders>
          </w:tcPr>
          <w:p>
            <w:pPr>
              <w:pStyle w:val="TableParagraph"/>
              <w:spacing w:line="193" w:lineRule="exact"/>
              <w:ind w:right="260"/>
              <w:jc w:val="right"/>
              <w:rPr>
                <w:rFonts w:ascii="宋体" w:hAnsi="宋体" w:cs="宋体" w:eastAsia="宋体" w:hint="default"/>
                <w:sz w:val="18"/>
                <w:szCs w:val="18"/>
              </w:rPr>
            </w:pPr>
            <w:r>
              <w:rPr>
                <w:rFonts w:ascii="宋体" w:hAnsi="宋体" w:cs="宋体" w:eastAsia="宋体" w:hint="default"/>
                <w:sz w:val="18"/>
                <w:szCs w:val="18"/>
              </w:rPr>
              <w:t>本年转入</w:t>
            </w:r>
          </w:p>
        </w:tc>
        <w:tc>
          <w:tcPr>
            <w:tcW w:w="1416" w:type="dxa"/>
            <w:tcBorders>
              <w:top w:val="nil" w:sz="6" w:space="0" w:color="auto"/>
              <w:left w:val="nil" w:sz="6" w:space="0" w:color="auto"/>
              <w:bottom w:val="single" w:sz="4" w:space="0" w:color="000000"/>
              <w:right w:val="nil" w:sz="6" w:space="0" w:color="auto"/>
            </w:tcBorders>
          </w:tcPr>
          <w:p>
            <w:pPr>
              <w:pStyle w:val="TableParagraph"/>
              <w:spacing w:line="193" w:lineRule="exact"/>
              <w:ind w:left="260"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1002" w:type="dxa"/>
            <w:tcBorders>
              <w:top w:val="nil" w:sz="6" w:space="0" w:color="auto"/>
              <w:left w:val="nil" w:sz="6" w:space="0" w:color="auto"/>
              <w:bottom w:val="single" w:sz="4" w:space="0" w:color="000000"/>
              <w:right w:val="nil" w:sz="6" w:space="0" w:color="auto"/>
            </w:tcBorders>
          </w:tcPr>
          <w:p>
            <w:pPr>
              <w:pStyle w:val="TableParagraph"/>
              <w:spacing w:line="193" w:lineRule="exact"/>
              <w:ind w:left="254" w:right="0"/>
              <w:jc w:val="left"/>
              <w:rPr>
                <w:rFonts w:ascii="宋体" w:hAnsi="宋体" w:cs="宋体" w:eastAsia="宋体" w:hint="default"/>
                <w:sz w:val="18"/>
                <w:szCs w:val="18"/>
              </w:rPr>
            </w:pPr>
            <w:r>
              <w:rPr>
                <w:rFonts w:ascii="宋体" w:hAnsi="宋体" w:cs="宋体" w:eastAsia="宋体" w:hint="default"/>
                <w:sz w:val="18"/>
                <w:szCs w:val="18"/>
              </w:rPr>
              <w:t>转  回</w:t>
            </w:r>
          </w:p>
        </w:tc>
        <w:tc>
          <w:tcPr>
            <w:tcW w:w="3010" w:type="dxa"/>
            <w:tcBorders>
              <w:top w:val="nil" w:sz="6" w:space="0" w:color="auto"/>
              <w:left w:val="nil" w:sz="6" w:space="0" w:color="auto"/>
              <w:bottom w:val="single" w:sz="4" w:space="0" w:color="000000"/>
              <w:right w:val="nil" w:sz="6" w:space="0" w:color="auto"/>
            </w:tcBorders>
          </w:tcPr>
          <w:p>
            <w:pPr>
              <w:pStyle w:val="TableParagraph"/>
              <w:spacing w:line="193" w:lineRule="exact"/>
              <w:ind w:left="206" w:right="0"/>
              <w:jc w:val="left"/>
              <w:rPr>
                <w:rFonts w:ascii="宋体" w:hAnsi="宋体" w:cs="宋体" w:eastAsia="宋体" w:hint="default"/>
                <w:sz w:val="18"/>
                <w:szCs w:val="18"/>
              </w:rPr>
            </w:pPr>
            <w:r>
              <w:rPr>
                <w:rFonts w:ascii="宋体" w:hAnsi="宋体" w:cs="宋体" w:eastAsia="宋体" w:hint="default"/>
                <w:sz w:val="18"/>
                <w:szCs w:val="18"/>
              </w:rPr>
              <w:t>转  销</w:t>
            </w:r>
          </w:p>
        </w:tc>
      </w:tr>
    </w:tbl>
    <w:p>
      <w:pPr>
        <w:spacing w:after="0" w:line="193" w:lineRule="exact"/>
        <w:jc w:val="left"/>
        <w:rPr>
          <w:rFonts w:ascii="宋体" w:hAnsi="宋体" w:cs="宋体" w:eastAsia="宋体" w:hint="default"/>
          <w:sz w:val="18"/>
          <w:szCs w:val="18"/>
        </w:rPr>
        <w:sectPr>
          <w:pgSz w:w="11910" w:h="16840"/>
          <w:pgMar w:header="877" w:footer="1022" w:top="1060" w:bottom="1220" w:left="820" w:right="900"/>
        </w:sectPr>
      </w:pPr>
    </w:p>
    <w:p>
      <w:pPr>
        <w:spacing w:line="240" w:lineRule="auto" w:before="6"/>
        <w:rPr>
          <w:rFonts w:ascii="宋体" w:hAnsi="宋体" w:cs="宋体" w:eastAsia="宋体" w:hint="default"/>
          <w:b/>
          <w:bCs/>
          <w:sz w:val="28"/>
          <w:szCs w:val="28"/>
        </w:rPr>
      </w:pPr>
    </w:p>
    <w:tbl>
      <w:tblPr>
        <w:tblW w:w="0" w:type="auto"/>
        <w:jc w:val="left"/>
        <w:tblInd w:w="153" w:type="dxa"/>
        <w:tblLayout w:type="fixed"/>
        <w:tblCellMar>
          <w:top w:w="0" w:type="dxa"/>
          <w:left w:w="0" w:type="dxa"/>
          <w:bottom w:w="0" w:type="dxa"/>
          <w:right w:w="0" w:type="dxa"/>
        </w:tblCellMar>
        <w:tblLook w:val="01E0"/>
      </w:tblPr>
      <w:tblGrid>
        <w:gridCol w:w="1267"/>
        <w:gridCol w:w="1874"/>
        <w:gridCol w:w="1177"/>
        <w:gridCol w:w="1364"/>
        <w:gridCol w:w="1718"/>
        <w:gridCol w:w="175"/>
        <w:gridCol w:w="2063"/>
      </w:tblGrid>
      <w:tr>
        <w:trPr>
          <w:trHeight w:val="292" w:hRule="exact"/>
        </w:trPr>
        <w:tc>
          <w:tcPr>
            <w:tcW w:w="12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47" w:right="0"/>
              <w:jc w:val="left"/>
              <w:rPr>
                <w:rFonts w:ascii="宋体" w:hAnsi="宋体" w:cs="宋体" w:eastAsia="宋体" w:hint="default"/>
                <w:sz w:val="18"/>
                <w:szCs w:val="18"/>
              </w:rPr>
            </w:pPr>
            <w:r>
              <w:rPr>
                <w:rFonts w:ascii="宋体"/>
                <w:spacing w:val="-5"/>
                <w:sz w:val="18"/>
              </w:rPr>
              <w:t>14,528,300.49</w:t>
            </w:r>
            <w:r>
              <w:rPr>
                <w:rFonts w:ascii="宋体"/>
                <w:sz w:val="18"/>
              </w:rPr>
            </w:r>
          </w:p>
        </w:tc>
        <w:tc>
          <w:tcPr>
            <w:tcW w:w="117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07" w:right="0"/>
              <w:jc w:val="left"/>
              <w:rPr>
                <w:rFonts w:ascii="宋体" w:hAnsi="宋体" w:cs="宋体" w:eastAsia="宋体" w:hint="default"/>
                <w:sz w:val="18"/>
                <w:szCs w:val="18"/>
              </w:rPr>
            </w:pPr>
            <w:r>
              <w:rPr>
                <w:rFonts w:ascii="宋体"/>
                <w:spacing w:val="-5"/>
                <w:sz w:val="18"/>
              </w:rPr>
              <w:t>439,580.79</w:t>
            </w:r>
            <w:r>
              <w:rPr>
                <w:rFonts w:ascii="宋体"/>
                <w:sz w:val="18"/>
              </w:rPr>
            </w:r>
          </w:p>
        </w:tc>
        <w:tc>
          <w:tcPr>
            <w:tcW w:w="136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sz w:val="18"/>
              </w:rPr>
              <w:t>13,242,705.96</w:t>
            </w:r>
          </w:p>
        </w:tc>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85" w:right="0"/>
              <w:jc w:val="left"/>
              <w:rPr>
                <w:rFonts w:ascii="宋体" w:hAnsi="宋体" w:cs="宋体" w:eastAsia="宋体" w:hint="default"/>
                <w:sz w:val="18"/>
                <w:szCs w:val="18"/>
              </w:rPr>
            </w:pPr>
            <w:r>
              <w:rPr>
                <w:rFonts w:ascii="宋体"/>
                <w:sz w:val="18"/>
              </w:rPr>
              <w:t>194,352.49</w:t>
            </w:r>
          </w:p>
        </w:tc>
        <w:tc>
          <w:tcPr>
            <w:tcW w:w="17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sz w:val="18"/>
              </w:rPr>
              <w:t>-</w:t>
            </w:r>
          </w:p>
        </w:tc>
        <w:tc>
          <w:tcPr>
            <w:tcW w:w="20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892" w:right="0"/>
              <w:jc w:val="left"/>
              <w:rPr>
                <w:rFonts w:ascii="宋体" w:hAnsi="宋体" w:cs="宋体" w:eastAsia="宋体" w:hint="default"/>
                <w:sz w:val="18"/>
                <w:szCs w:val="18"/>
              </w:rPr>
            </w:pPr>
            <w:r>
              <w:rPr>
                <w:rFonts w:ascii="宋体"/>
                <w:sz w:val="18"/>
              </w:rPr>
              <w:t>28,016,234.75</w:t>
            </w:r>
          </w:p>
        </w:tc>
      </w:tr>
    </w:tbl>
    <w:p>
      <w:pPr>
        <w:spacing w:line="240" w:lineRule="auto" w:before="9"/>
        <w:rPr>
          <w:rFonts w:ascii="宋体" w:hAnsi="宋体" w:cs="宋体" w:eastAsia="宋体" w:hint="default"/>
          <w:b/>
          <w:bCs/>
          <w:sz w:val="18"/>
          <w:szCs w:val="18"/>
        </w:rPr>
      </w:pPr>
    </w:p>
    <w:p>
      <w:pPr>
        <w:pStyle w:val="Heading4"/>
        <w:spacing w:line="240" w:lineRule="auto"/>
        <w:ind w:left="636" w:right="210"/>
        <w:jc w:val="left"/>
        <w:rPr>
          <w:b w:val="0"/>
          <w:bCs w:val="0"/>
        </w:rPr>
      </w:pPr>
      <w:r>
        <w:rPr/>
        <w:t>24、股本</w:t>
      </w:r>
      <w:r>
        <w:rPr>
          <w:b w:val="0"/>
          <w:bCs w:val="0"/>
        </w:rPr>
      </w:r>
    </w:p>
    <w:p>
      <w:pPr>
        <w:spacing w:line="240" w:lineRule="auto" w:before="5"/>
        <w:rPr>
          <w:rFonts w:ascii="宋体" w:hAnsi="宋体" w:cs="宋体" w:eastAsia="宋体" w:hint="default"/>
          <w:b/>
          <w:bCs/>
          <w:sz w:val="12"/>
          <w:szCs w:val="12"/>
        </w:rPr>
      </w:pPr>
    </w:p>
    <w:p>
      <w:pPr>
        <w:spacing w:after="0" w:line="240" w:lineRule="auto"/>
        <w:rPr>
          <w:rFonts w:ascii="宋体" w:hAnsi="宋体" w:cs="宋体" w:eastAsia="宋体" w:hint="default"/>
          <w:sz w:val="12"/>
          <w:szCs w:val="12"/>
        </w:rPr>
        <w:sectPr>
          <w:pgSz w:w="11910" w:h="16840"/>
          <w:pgMar w:header="877" w:footer="1022" w:top="1060" w:bottom="1220" w:left="980" w:right="940"/>
        </w:sectPr>
      </w:pPr>
    </w:p>
    <w:p>
      <w:pPr>
        <w:spacing w:line="240" w:lineRule="auto" w:before="0"/>
        <w:rPr>
          <w:rFonts w:ascii="宋体" w:hAnsi="宋体" w:cs="宋体" w:eastAsia="宋体" w:hint="default"/>
          <w:b/>
          <w:bCs/>
          <w:sz w:val="14"/>
          <w:szCs w:val="14"/>
        </w:rPr>
      </w:pPr>
    </w:p>
    <w:p>
      <w:pPr>
        <w:spacing w:line="240" w:lineRule="auto" w:before="11"/>
        <w:rPr>
          <w:rFonts w:ascii="宋体" w:hAnsi="宋体" w:cs="宋体" w:eastAsia="宋体" w:hint="default"/>
          <w:b/>
          <w:bCs/>
          <w:sz w:val="11"/>
          <w:szCs w:val="11"/>
        </w:rPr>
      </w:pPr>
    </w:p>
    <w:p>
      <w:pPr>
        <w:tabs>
          <w:tab w:pos="2081" w:val="left" w:leader="none"/>
        </w:tabs>
        <w:spacing w:before="0"/>
        <w:ind w:left="801" w:right="-15" w:firstLine="0"/>
        <w:jc w:val="left"/>
        <w:rPr>
          <w:rFonts w:ascii="宋体" w:hAnsi="宋体" w:cs="宋体" w:eastAsia="宋体" w:hint="default"/>
          <w:sz w:val="15"/>
          <w:szCs w:val="15"/>
        </w:rPr>
      </w:pPr>
      <w:r>
        <w:rPr>
          <w:rFonts w:ascii="宋体" w:hAnsi="宋体" w:cs="宋体" w:eastAsia="宋体" w:hint="default"/>
          <w:spacing w:val="-13"/>
          <w:sz w:val="15"/>
          <w:szCs w:val="15"/>
        </w:rPr>
        <w:t>股份类别</w:t>
        <w:tab/>
      </w:r>
      <w:r>
        <w:rPr>
          <w:rFonts w:ascii="宋体" w:hAnsi="宋体" w:cs="宋体" w:eastAsia="宋体" w:hint="default"/>
          <w:spacing w:val="-6"/>
          <w:sz w:val="15"/>
          <w:szCs w:val="15"/>
        </w:rPr>
        <w:t>2007</w:t>
      </w:r>
      <w:r>
        <w:rPr>
          <w:rFonts w:ascii="宋体" w:hAnsi="宋体" w:cs="宋体" w:eastAsia="宋体" w:hint="default"/>
          <w:spacing w:val="-50"/>
          <w:sz w:val="15"/>
          <w:szCs w:val="15"/>
        </w:rPr>
        <w:t> </w:t>
      </w:r>
      <w:r>
        <w:rPr>
          <w:rFonts w:ascii="宋体" w:hAnsi="宋体" w:cs="宋体" w:eastAsia="宋体" w:hint="default"/>
          <w:sz w:val="15"/>
          <w:szCs w:val="15"/>
        </w:rPr>
        <w:t>年</w:t>
      </w:r>
      <w:r>
        <w:rPr>
          <w:rFonts w:ascii="宋体" w:hAnsi="宋体" w:cs="宋体" w:eastAsia="宋体" w:hint="default"/>
          <w:spacing w:val="-59"/>
          <w:sz w:val="15"/>
          <w:szCs w:val="15"/>
        </w:rPr>
        <w:t> </w:t>
      </w:r>
      <w:r>
        <w:rPr>
          <w:rFonts w:ascii="宋体" w:hAnsi="宋体" w:cs="宋体" w:eastAsia="宋体" w:hint="default"/>
          <w:spacing w:val="-4"/>
          <w:sz w:val="15"/>
          <w:szCs w:val="15"/>
        </w:rPr>
        <w:t>12</w:t>
      </w:r>
      <w:r>
        <w:rPr>
          <w:rFonts w:ascii="宋体" w:hAnsi="宋体" w:cs="宋体" w:eastAsia="宋体" w:hint="default"/>
          <w:spacing w:val="-50"/>
          <w:sz w:val="15"/>
          <w:szCs w:val="15"/>
        </w:rPr>
        <w:t> </w:t>
      </w:r>
      <w:r>
        <w:rPr>
          <w:rFonts w:ascii="宋体" w:hAnsi="宋体" w:cs="宋体" w:eastAsia="宋体" w:hint="default"/>
          <w:sz w:val="15"/>
          <w:szCs w:val="15"/>
        </w:rPr>
        <w:t>月</w:t>
      </w:r>
      <w:r>
        <w:rPr>
          <w:rFonts w:ascii="宋体" w:hAnsi="宋体" w:cs="宋体" w:eastAsia="宋体" w:hint="default"/>
          <w:spacing w:val="-59"/>
          <w:sz w:val="15"/>
          <w:szCs w:val="15"/>
        </w:rPr>
        <w:t> </w:t>
      </w:r>
      <w:r>
        <w:rPr>
          <w:rFonts w:ascii="宋体" w:hAnsi="宋体" w:cs="宋体" w:eastAsia="宋体" w:hint="default"/>
          <w:spacing w:val="-4"/>
          <w:sz w:val="15"/>
          <w:szCs w:val="15"/>
        </w:rPr>
        <w:t>31</w:t>
      </w:r>
      <w:r>
        <w:rPr>
          <w:rFonts w:ascii="宋体" w:hAnsi="宋体" w:cs="宋体" w:eastAsia="宋体" w:hint="default"/>
          <w:spacing w:val="-50"/>
          <w:sz w:val="15"/>
          <w:szCs w:val="15"/>
        </w:rPr>
        <w:t> </w:t>
      </w:r>
      <w:r>
        <w:rPr>
          <w:rFonts w:ascii="宋体" w:hAnsi="宋体" w:cs="宋体" w:eastAsia="宋体" w:hint="default"/>
          <w:sz w:val="15"/>
          <w:szCs w:val="15"/>
        </w:rPr>
        <w:t>日</w:t>
      </w:r>
    </w:p>
    <w:p>
      <w:pPr>
        <w:spacing w:before="53"/>
        <w:ind w:left="103" w:right="0" w:firstLine="0"/>
        <w:jc w:val="center"/>
        <w:rPr>
          <w:rFonts w:ascii="宋体" w:hAnsi="宋体" w:cs="宋体" w:eastAsia="宋体" w:hint="default"/>
          <w:sz w:val="15"/>
          <w:szCs w:val="15"/>
        </w:rPr>
      </w:pPr>
      <w:r>
        <w:rPr>
          <w:spacing w:val="-13"/>
        </w:rPr>
        <w:br w:type="column"/>
      </w:r>
      <w:r>
        <w:rPr>
          <w:rFonts w:ascii="宋体" w:hAnsi="宋体" w:cs="宋体" w:eastAsia="宋体" w:hint="default"/>
          <w:spacing w:val="-13"/>
          <w:sz w:val="15"/>
          <w:szCs w:val="15"/>
        </w:rPr>
        <w:t>本年变动增减(+、-)</w:t>
      </w:r>
    </w:p>
    <w:p>
      <w:pPr>
        <w:spacing w:line="240" w:lineRule="auto" w:before="3"/>
        <w:rPr>
          <w:rFonts w:ascii="宋体" w:hAnsi="宋体" w:cs="宋体" w:eastAsia="宋体" w:hint="default"/>
          <w:sz w:val="10"/>
          <w:szCs w:val="10"/>
        </w:rPr>
      </w:pPr>
    </w:p>
    <w:p>
      <w:pPr>
        <w:spacing w:line="158" w:lineRule="exact" w:before="0"/>
        <w:ind w:left="0" w:right="0" w:firstLine="0"/>
        <w:jc w:val="right"/>
        <w:rPr>
          <w:rFonts w:ascii="宋体" w:hAnsi="宋体" w:cs="宋体" w:eastAsia="宋体" w:hint="default"/>
          <w:sz w:val="15"/>
          <w:szCs w:val="15"/>
        </w:rPr>
      </w:pPr>
      <w:r>
        <w:rPr/>
        <w:pict>
          <v:group style="position:absolute;margin-left:212.759995pt;margin-top:-3.239905pt;width:259.7pt;height:.1pt;mso-position-horizontal-relative:page;mso-position-vertical-relative:paragraph;z-index:2440" coordorigin="4255,-65" coordsize="5194,2">
            <v:shape style="position:absolute;left:4255;top:-65;width:5194;height:2" coordorigin="4255,-65" coordsize="5194,0" path="m4255,-65l9449,-65e" filled="false" stroked="true" strokeweight=".48pt" strokecolor="#000000">
              <v:path arrowok="t"/>
            </v:shape>
            <w10:wrap type="none"/>
          </v:group>
        </w:pict>
      </w:r>
      <w:r>
        <w:rPr>
          <w:rFonts w:ascii="宋体" w:hAnsi="宋体" w:cs="宋体" w:eastAsia="宋体" w:hint="default"/>
          <w:sz w:val="15"/>
          <w:szCs w:val="15"/>
        </w:rPr>
        <w:t>小</w:t>
      </w:r>
    </w:p>
    <w:p>
      <w:pPr>
        <w:tabs>
          <w:tab w:pos="1553" w:val="left" w:leader="none"/>
          <w:tab w:pos="2731" w:val="left" w:leader="none"/>
          <w:tab w:pos="3991" w:val="left" w:leader="none"/>
        </w:tabs>
        <w:spacing w:line="158" w:lineRule="exact" w:before="0"/>
        <w:ind w:left="50" w:right="0" w:firstLine="0"/>
        <w:jc w:val="center"/>
        <w:rPr>
          <w:rFonts w:ascii="宋体" w:hAnsi="宋体" w:cs="宋体" w:eastAsia="宋体" w:hint="default"/>
          <w:sz w:val="15"/>
          <w:szCs w:val="15"/>
        </w:rPr>
      </w:pPr>
      <w:r>
        <w:rPr/>
        <w:pict>
          <v:shape style="position:absolute;margin-left:54.950001pt;margin-top:6.407256pt;width:483.7pt;height:143.450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84"/>
                    <w:gridCol w:w="1457"/>
                    <w:gridCol w:w="1503"/>
                    <w:gridCol w:w="1328"/>
                    <w:gridCol w:w="1486"/>
                    <w:gridCol w:w="831"/>
                    <w:gridCol w:w="1184"/>
                  </w:tblGrid>
                  <w:tr>
                    <w:trPr>
                      <w:trHeight w:val="219" w:hRule="exact"/>
                    </w:trPr>
                    <w:tc>
                      <w:tcPr>
                        <w:tcW w:w="7658" w:type="dxa"/>
                        <w:gridSpan w:val="5"/>
                        <w:tcBorders>
                          <w:top w:val="nil" w:sz="6" w:space="0" w:color="auto"/>
                          <w:left w:val="nil" w:sz="6" w:space="0" w:color="auto"/>
                          <w:bottom w:val="single" w:sz="4" w:space="0" w:color="000000"/>
                          <w:right w:val="nil" w:sz="6" w:space="0" w:color="auto"/>
                        </w:tcBorders>
                      </w:tcPr>
                      <w:p>
                        <w:pPr/>
                      </w:p>
                    </w:tc>
                    <w:tc>
                      <w:tcPr>
                        <w:tcW w:w="831" w:type="dxa"/>
                        <w:tcBorders>
                          <w:top w:val="nil" w:sz="6" w:space="0" w:color="auto"/>
                          <w:left w:val="nil" w:sz="6" w:space="0" w:color="auto"/>
                          <w:bottom w:val="single" w:sz="4" w:space="0" w:color="000000"/>
                          <w:right w:val="nil" w:sz="6" w:space="0" w:color="auto"/>
                        </w:tcBorders>
                      </w:tcPr>
                      <w:p>
                        <w:pPr>
                          <w:pStyle w:val="TableParagraph"/>
                          <w:spacing w:line="150" w:lineRule="exact"/>
                          <w:ind w:right="189"/>
                          <w:jc w:val="right"/>
                          <w:rPr>
                            <w:rFonts w:ascii="宋体" w:hAnsi="宋体" w:cs="宋体" w:eastAsia="宋体" w:hint="default"/>
                            <w:sz w:val="15"/>
                            <w:szCs w:val="15"/>
                          </w:rPr>
                        </w:pPr>
                        <w:r>
                          <w:rPr>
                            <w:rFonts w:ascii="宋体" w:hAnsi="宋体" w:cs="宋体" w:eastAsia="宋体" w:hint="default"/>
                            <w:sz w:val="15"/>
                            <w:szCs w:val="15"/>
                          </w:rPr>
                          <w:t>计</w:t>
                        </w:r>
                      </w:p>
                    </w:tc>
                    <w:tc>
                      <w:tcPr>
                        <w:tcW w:w="1184" w:type="dxa"/>
                        <w:tcBorders>
                          <w:top w:val="nil" w:sz="6" w:space="0" w:color="auto"/>
                          <w:left w:val="nil" w:sz="6" w:space="0" w:color="auto"/>
                          <w:bottom w:val="single" w:sz="4" w:space="0" w:color="000000"/>
                          <w:right w:val="nil" w:sz="6" w:space="0" w:color="auto"/>
                        </w:tcBorders>
                      </w:tcPr>
                      <w:p>
                        <w:pPr/>
                      </w:p>
                    </w:tc>
                  </w:tr>
                  <w:tr>
                    <w:trPr>
                      <w:trHeight w:val="667" w:hRule="exact"/>
                    </w:trPr>
                    <w:tc>
                      <w:tcPr>
                        <w:tcW w:w="1884" w:type="dxa"/>
                        <w:tcBorders>
                          <w:top w:val="single" w:sz="4" w:space="0" w:color="000000"/>
                          <w:left w:val="nil" w:sz="6" w:space="0" w:color="auto"/>
                          <w:bottom w:val="nil" w:sz="6" w:space="0" w:color="auto"/>
                          <w:right w:val="nil" w:sz="6" w:space="0" w:color="auto"/>
                        </w:tcBorders>
                      </w:tcPr>
                      <w:p>
                        <w:pPr>
                          <w:pStyle w:val="TableParagraph"/>
                          <w:spacing w:line="391" w:lineRule="auto" w:before="60"/>
                          <w:ind w:left="35" w:right="497"/>
                          <w:jc w:val="left"/>
                          <w:rPr>
                            <w:rFonts w:ascii="宋体" w:hAnsi="宋体" w:cs="宋体" w:eastAsia="宋体" w:hint="default"/>
                            <w:sz w:val="15"/>
                            <w:szCs w:val="15"/>
                          </w:rPr>
                        </w:pPr>
                        <w:r>
                          <w:rPr>
                            <w:rFonts w:ascii="宋体" w:hAnsi="宋体" w:cs="宋体" w:eastAsia="宋体" w:hint="default"/>
                            <w:sz w:val="15"/>
                            <w:szCs w:val="15"/>
                          </w:rPr>
                          <w:t>一、有限售条件股份 </w:t>
                        </w:r>
                        <w:r>
                          <w:rPr>
                            <w:rFonts w:ascii="宋体" w:hAnsi="宋体" w:cs="宋体" w:eastAsia="宋体" w:hint="default"/>
                            <w:spacing w:val="-8"/>
                            <w:sz w:val="15"/>
                            <w:szCs w:val="15"/>
                          </w:rPr>
                          <w:t>境内法人持股</w:t>
                        </w:r>
                      </w:p>
                    </w:tc>
                    <w:tc>
                      <w:tcPr>
                        <w:tcW w:w="1457"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00"/>
                          <w:jc w:val="right"/>
                          <w:rPr>
                            <w:rFonts w:ascii="宋体" w:hAnsi="宋体" w:cs="宋体" w:eastAsia="宋体" w:hint="default"/>
                            <w:sz w:val="15"/>
                            <w:szCs w:val="15"/>
                          </w:rPr>
                        </w:pPr>
                        <w:r>
                          <w:rPr>
                            <w:rFonts w:ascii="宋体"/>
                            <w:spacing w:val="-5"/>
                            <w:sz w:val="15"/>
                          </w:rPr>
                          <w:t>27,105,071.00</w:t>
                        </w:r>
                        <w:r>
                          <w:rPr>
                            <w:rFonts w:ascii="宋体"/>
                            <w:sz w:val="15"/>
                          </w:rPr>
                        </w: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74"/>
                          <w:jc w:val="right"/>
                          <w:rPr>
                            <w:rFonts w:ascii="宋体" w:hAnsi="宋体" w:cs="宋体" w:eastAsia="宋体" w:hint="default"/>
                            <w:sz w:val="15"/>
                            <w:szCs w:val="15"/>
                          </w:rPr>
                        </w:pPr>
                        <w:r>
                          <w:rPr>
                            <w:rFonts w:ascii="宋体"/>
                            <w:spacing w:val="-1"/>
                            <w:sz w:val="15"/>
                          </w:rPr>
                          <w:t>(13,787,034.00)</w:t>
                        </w:r>
                      </w:p>
                    </w:tc>
                    <w:tc>
                      <w:tcPr>
                        <w:tcW w:w="132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74"/>
                          <w:jc w:val="right"/>
                          <w:rPr>
                            <w:rFonts w:ascii="宋体" w:hAnsi="宋体" w:cs="宋体" w:eastAsia="宋体" w:hint="default"/>
                            <w:sz w:val="15"/>
                            <w:szCs w:val="15"/>
                          </w:rPr>
                        </w:pPr>
                        <w:r>
                          <w:rPr>
                            <w:rFonts w:ascii="宋体"/>
                            <w:spacing w:val="-1"/>
                            <w:sz w:val="15"/>
                          </w:rPr>
                          <w:t>7,990,822.00</w:t>
                        </w: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331"/>
                          <w:jc w:val="right"/>
                          <w:rPr>
                            <w:rFonts w:ascii="宋体" w:hAnsi="宋体" w:cs="宋体" w:eastAsia="宋体" w:hint="default"/>
                            <w:sz w:val="15"/>
                            <w:szCs w:val="15"/>
                          </w:rPr>
                        </w:pPr>
                        <w:r>
                          <w:rPr>
                            <w:rFonts w:ascii="宋体"/>
                            <w:spacing w:val="-1"/>
                            <w:sz w:val="15"/>
                          </w:rPr>
                          <w:t>5,327,215.00</w:t>
                        </w:r>
                      </w:p>
                    </w:tc>
                    <w:tc>
                      <w:tcPr>
                        <w:tcW w:w="831"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tabs>
                            <w:tab w:pos="289" w:val="left" w:leader="none"/>
                          </w:tabs>
                          <w:spacing w:line="240" w:lineRule="auto"/>
                          <w:ind w:right="130"/>
                          <w:jc w:val="right"/>
                          <w:rPr>
                            <w:rFonts w:ascii="宋体" w:hAnsi="宋体" w:cs="宋体" w:eastAsia="宋体" w:hint="default"/>
                            <w:sz w:val="15"/>
                            <w:szCs w:val="15"/>
                          </w:rPr>
                        </w:pPr>
                        <w:r>
                          <w:rPr>
                            <w:rFonts w:ascii="宋体"/>
                            <w:sz w:val="15"/>
                          </w:rPr>
                          <w:t>-</w:t>
                          <w:tab/>
                          <w:t>-</w:t>
                        </w:r>
                      </w:p>
                    </w:tc>
                    <w:tc>
                      <w:tcPr>
                        <w:tcW w:w="118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right"/>
                          <w:rPr>
                            <w:rFonts w:ascii="宋体" w:hAnsi="宋体" w:cs="宋体" w:eastAsia="宋体" w:hint="default"/>
                            <w:sz w:val="15"/>
                            <w:szCs w:val="15"/>
                          </w:rPr>
                        </w:pPr>
                        <w:r>
                          <w:rPr>
                            <w:rFonts w:ascii="宋体"/>
                            <w:spacing w:val="-1"/>
                            <w:sz w:val="15"/>
                          </w:rPr>
                          <w:t>26,636,074.00</w:t>
                        </w:r>
                        <w:r>
                          <w:rPr>
                            <w:rFonts w:ascii="宋体"/>
                            <w:sz w:val="15"/>
                          </w:rPr>
                        </w:r>
                      </w:p>
                    </w:tc>
                  </w:tr>
                  <w:tr>
                    <w:trPr>
                      <w:trHeight w:val="303"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5"/>
                            <w:szCs w:val="15"/>
                          </w:rPr>
                        </w:pPr>
                        <w:r>
                          <w:rPr>
                            <w:rFonts w:ascii="宋体" w:hAnsi="宋体" w:cs="宋体" w:eastAsia="宋体" w:hint="default"/>
                            <w:spacing w:val="-9"/>
                            <w:sz w:val="15"/>
                            <w:szCs w:val="15"/>
                          </w:rPr>
                          <w:t>境内自然人持股</w:t>
                        </w:r>
                        <w:r>
                          <w:rPr>
                            <w:rFonts w:ascii="宋体" w:hAnsi="宋体" w:cs="宋体" w:eastAsia="宋体" w:hint="default"/>
                            <w:sz w:val="15"/>
                            <w:szCs w:val="15"/>
                          </w:rPr>
                        </w:r>
                      </w:p>
                    </w:tc>
                    <w:tc>
                      <w:tcPr>
                        <w:tcW w:w="1457"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00"/>
                          <w:jc w:val="right"/>
                          <w:rPr>
                            <w:rFonts w:ascii="宋体" w:hAnsi="宋体" w:cs="宋体" w:eastAsia="宋体" w:hint="default"/>
                            <w:sz w:val="15"/>
                            <w:szCs w:val="15"/>
                          </w:rPr>
                        </w:pPr>
                        <w:r>
                          <w:rPr>
                            <w:rFonts w:ascii="宋体"/>
                            <w:spacing w:val="-5"/>
                            <w:sz w:val="15"/>
                          </w:rPr>
                          <w:t>20,894,929.00</w:t>
                        </w:r>
                        <w:r>
                          <w:rPr>
                            <w:rFonts w:ascii="宋体"/>
                            <w:sz w:val="15"/>
                          </w:rPr>
                        </w: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74"/>
                          <w:jc w:val="right"/>
                          <w:rPr>
                            <w:rFonts w:ascii="宋体" w:hAnsi="宋体" w:cs="宋体" w:eastAsia="宋体" w:hint="default"/>
                            <w:sz w:val="15"/>
                            <w:szCs w:val="15"/>
                          </w:rPr>
                        </w:pPr>
                        <w:r>
                          <w:rPr>
                            <w:rFonts w:ascii="宋体"/>
                            <w:spacing w:val="-1"/>
                            <w:sz w:val="15"/>
                          </w:rPr>
                          <w:t>(9,404,927.00)</w:t>
                        </w:r>
                      </w:p>
                    </w:tc>
                    <w:tc>
                      <w:tcPr>
                        <w:tcW w:w="132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74"/>
                          <w:jc w:val="right"/>
                          <w:rPr>
                            <w:rFonts w:ascii="宋体" w:hAnsi="宋体" w:cs="宋体" w:eastAsia="宋体" w:hint="default"/>
                            <w:sz w:val="15"/>
                            <w:szCs w:val="15"/>
                          </w:rPr>
                        </w:pPr>
                        <w:r>
                          <w:rPr>
                            <w:rFonts w:ascii="宋体"/>
                            <w:spacing w:val="-1"/>
                            <w:sz w:val="15"/>
                          </w:rPr>
                          <w:t>6,894,001.00</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331"/>
                          <w:jc w:val="right"/>
                          <w:rPr>
                            <w:rFonts w:ascii="宋体" w:hAnsi="宋体" w:cs="宋体" w:eastAsia="宋体" w:hint="default"/>
                            <w:sz w:val="15"/>
                            <w:szCs w:val="15"/>
                          </w:rPr>
                        </w:pPr>
                        <w:r>
                          <w:rPr>
                            <w:rFonts w:ascii="宋体"/>
                            <w:spacing w:val="-1"/>
                            <w:sz w:val="15"/>
                          </w:rPr>
                          <w:t>4,596,001.00</w:t>
                        </w:r>
                      </w:p>
                    </w:tc>
                    <w:tc>
                      <w:tcPr>
                        <w:tcW w:w="831" w:type="dxa"/>
                        <w:tcBorders>
                          <w:top w:val="nil" w:sz="6" w:space="0" w:color="auto"/>
                          <w:left w:val="nil" w:sz="6" w:space="0" w:color="auto"/>
                          <w:bottom w:val="single" w:sz="4" w:space="0" w:color="000000"/>
                          <w:right w:val="nil" w:sz="6" w:space="0" w:color="auto"/>
                        </w:tcBorders>
                      </w:tcPr>
                      <w:p>
                        <w:pPr>
                          <w:pStyle w:val="TableParagraph"/>
                          <w:tabs>
                            <w:tab w:pos="289" w:val="left" w:leader="none"/>
                          </w:tabs>
                          <w:spacing w:line="240" w:lineRule="auto" w:before="39"/>
                          <w:ind w:right="130"/>
                          <w:jc w:val="right"/>
                          <w:rPr>
                            <w:rFonts w:ascii="宋体" w:hAnsi="宋体" w:cs="宋体" w:eastAsia="宋体" w:hint="default"/>
                            <w:sz w:val="15"/>
                            <w:szCs w:val="15"/>
                          </w:rPr>
                        </w:pPr>
                        <w:r>
                          <w:rPr>
                            <w:rFonts w:ascii="宋体"/>
                            <w:sz w:val="15"/>
                          </w:rPr>
                          <w:t>-</w:t>
                          <w:tab/>
                          <w:t>-</w:t>
                        </w: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0"/>
                          <w:jc w:val="right"/>
                          <w:rPr>
                            <w:rFonts w:ascii="宋体" w:hAnsi="宋体" w:cs="宋体" w:eastAsia="宋体" w:hint="default"/>
                            <w:sz w:val="15"/>
                            <w:szCs w:val="15"/>
                          </w:rPr>
                        </w:pPr>
                        <w:r>
                          <w:rPr>
                            <w:rFonts w:ascii="宋体"/>
                            <w:spacing w:val="-1"/>
                            <w:sz w:val="15"/>
                          </w:rPr>
                          <w:t>22,980,004.00</w:t>
                        </w:r>
                        <w:r>
                          <w:rPr>
                            <w:rFonts w:ascii="宋体"/>
                            <w:sz w:val="15"/>
                          </w:rPr>
                        </w:r>
                      </w:p>
                    </w:tc>
                  </w:tr>
                  <w:tr>
                    <w:trPr>
                      <w:trHeight w:val="330"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7"/>
                          <w:jc w:val="righ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45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200"/>
                          <w:jc w:val="right"/>
                          <w:rPr>
                            <w:rFonts w:ascii="宋体" w:hAnsi="宋体" w:cs="宋体" w:eastAsia="宋体" w:hint="default"/>
                            <w:sz w:val="15"/>
                            <w:szCs w:val="15"/>
                          </w:rPr>
                        </w:pPr>
                        <w:r>
                          <w:rPr>
                            <w:rFonts w:ascii="宋体"/>
                            <w:spacing w:val="-5"/>
                            <w:sz w:val="15"/>
                          </w:rPr>
                          <w:t>48,000,000.00</w:t>
                        </w:r>
                        <w:r>
                          <w:rPr>
                            <w:rFonts w:ascii="宋体"/>
                            <w:sz w:val="15"/>
                          </w:rPr>
                        </w:r>
                      </w:p>
                    </w:tc>
                    <w:tc>
                      <w:tcPr>
                        <w:tcW w:w="1503"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174"/>
                          <w:jc w:val="right"/>
                          <w:rPr>
                            <w:rFonts w:ascii="宋体" w:hAnsi="宋体" w:cs="宋体" w:eastAsia="宋体" w:hint="default"/>
                            <w:sz w:val="15"/>
                            <w:szCs w:val="15"/>
                          </w:rPr>
                        </w:pPr>
                        <w:r>
                          <w:rPr>
                            <w:rFonts w:ascii="宋体"/>
                            <w:spacing w:val="-1"/>
                            <w:sz w:val="15"/>
                          </w:rPr>
                          <w:t>(23,191,961.00)</w:t>
                        </w:r>
                      </w:p>
                    </w:tc>
                    <w:tc>
                      <w:tcPr>
                        <w:tcW w:w="1328"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174"/>
                          <w:jc w:val="right"/>
                          <w:rPr>
                            <w:rFonts w:ascii="宋体" w:hAnsi="宋体" w:cs="宋体" w:eastAsia="宋体" w:hint="default"/>
                            <w:sz w:val="15"/>
                            <w:szCs w:val="15"/>
                          </w:rPr>
                        </w:pPr>
                        <w:r>
                          <w:rPr>
                            <w:rFonts w:ascii="宋体"/>
                            <w:spacing w:val="-1"/>
                            <w:sz w:val="15"/>
                          </w:rPr>
                          <w:t>14,884,823.00</w:t>
                        </w:r>
                      </w:p>
                    </w:tc>
                    <w:tc>
                      <w:tcPr>
                        <w:tcW w:w="1486"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31"/>
                          <w:jc w:val="right"/>
                          <w:rPr>
                            <w:rFonts w:ascii="宋体" w:hAnsi="宋体" w:cs="宋体" w:eastAsia="宋体" w:hint="default"/>
                            <w:sz w:val="15"/>
                            <w:szCs w:val="15"/>
                          </w:rPr>
                        </w:pPr>
                        <w:r>
                          <w:rPr>
                            <w:rFonts w:ascii="宋体"/>
                            <w:spacing w:val="-1"/>
                            <w:sz w:val="15"/>
                          </w:rPr>
                          <w:t>9,923,216.00</w:t>
                        </w:r>
                      </w:p>
                    </w:tc>
                    <w:tc>
                      <w:tcPr>
                        <w:tcW w:w="831" w:type="dxa"/>
                        <w:tcBorders>
                          <w:top w:val="single" w:sz="4" w:space="0" w:color="000000"/>
                          <w:left w:val="nil" w:sz="6" w:space="0" w:color="auto"/>
                          <w:bottom w:val="single" w:sz="4" w:space="0" w:color="000000"/>
                          <w:right w:val="nil" w:sz="6" w:space="0" w:color="auto"/>
                        </w:tcBorders>
                      </w:tcPr>
                      <w:p>
                        <w:pPr>
                          <w:pStyle w:val="TableParagraph"/>
                          <w:tabs>
                            <w:tab w:pos="289" w:val="left" w:leader="none"/>
                          </w:tabs>
                          <w:spacing w:line="240" w:lineRule="auto" w:before="60"/>
                          <w:ind w:right="130"/>
                          <w:jc w:val="right"/>
                          <w:rPr>
                            <w:rFonts w:ascii="宋体" w:hAnsi="宋体" w:cs="宋体" w:eastAsia="宋体" w:hint="default"/>
                            <w:sz w:val="15"/>
                            <w:szCs w:val="15"/>
                          </w:rPr>
                        </w:pPr>
                        <w:r>
                          <w:rPr>
                            <w:rFonts w:ascii="宋体"/>
                            <w:sz w:val="15"/>
                          </w:rPr>
                          <w:t>-</w:t>
                          <w:tab/>
                          <w:t>-</w:t>
                        </w:r>
                      </w:p>
                    </w:tc>
                    <w:tc>
                      <w:tcPr>
                        <w:tcW w:w="1184"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0"/>
                          <w:jc w:val="right"/>
                          <w:rPr>
                            <w:rFonts w:ascii="宋体" w:hAnsi="宋体" w:cs="宋体" w:eastAsia="宋体" w:hint="default"/>
                            <w:sz w:val="15"/>
                            <w:szCs w:val="15"/>
                          </w:rPr>
                        </w:pPr>
                        <w:r>
                          <w:rPr>
                            <w:rFonts w:ascii="宋体"/>
                            <w:spacing w:val="-1"/>
                            <w:sz w:val="15"/>
                          </w:rPr>
                          <w:t>49,616,078.00</w:t>
                        </w:r>
                        <w:r>
                          <w:rPr>
                            <w:rFonts w:ascii="宋体"/>
                            <w:sz w:val="15"/>
                          </w:rPr>
                        </w:r>
                      </w:p>
                    </w:tc>
                  </w:tr>
                  <w:tr>
                    <w:trPr>
                      <w:trHeight w:val="650"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5"/>
                            <w:szCs w:val="15"/>
                          </w:rPr>
                        </w:pPr>
                        <w:r>
                          <w:rPr>
                            <w:rFonts w:ascii="宋体" w:hAnsi="宋体" w:cs="宋体" w:eastAsia="宋体" w:hint="default"/>
                            <w:sz w:val="15"/>
                            <w:szCs w:val="15"/>
                          </w:rPr>
                          <w:t>二、无限售条件股份</w:t>
                        </w:r>
                      </w:p>
                      <w:p>
                        <w:pPr>
                          <w:pStyle w:val="TableParagraph"/>
                          <w:spacing w:line="240" w:lineRule="auto" w:before="124"/>
                          <w:ind w:left="524" w:right="0"/>
                          <w:jc w:val="left"/>
                          <w:rPr>
                            <w:rFonts w:ascii="宋体" w:hAnsi="宋体" w:cs="宋体" w:eastAsia="宋体" w:hint="default"/>
                            <w:sz w:val="15"/>
                            <w:szCs w:val="15"/>
                          </w:rPr>
                        </w:pPr>
                        <w:r>
                          <w:rPr>
                            <w:rFonts w:ascii="宋体" w:hAnsi="宋体" w:cs="宋体" w:eastAsia="宋体" w:hint="default"/>
                            <w:spacing w:val="-8"/>
                            <w:sz w:val="15"/>
                            <w:szCs w:val="15"/>
                          </w:rPr>
                          <w:t>人民币普通股</w:t>
                        </w:r>
                      </w:p>
                    </w:tc>
                    <w:tc>
                      <w:tcPr>
                        <w:tcW w:w="145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00"/>
                          <w:jc w:val="right"/>
                          <w:rPr>
                            <w:rFonts w:ascii="宋体" w:hAnsi="宋体" w:cs="宋体" w:eastAsia="宋体" w:hint="default"/>
                            <w:sz w:val="15"/>
                            <w:szCs w:val="15"/>
                          </w:rPr>
                        </w:pPr>
                        <w:r>
                          <w:rPr>
                            <w:rFonts w:ascii="宋体"/>
                            <w:spacing w:val="-5"/>
                            <w:sz w:val="15"/>
                          </w:rPr>
                          <w:t>16,000,000.00</w:t>
                        </w:r>
                        <w:r>
                          <w:rPr>
                            <w:rFonts w:ascii="宋体"/>
                            <w:sz w:val="15"/>
                          </w:rPr>
                        </w:r>
                      </w:p>
                    </w:tc>
                    <w:tc>
                      <w:tcPr>
                        <w:tcW w:w="150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75"/>
                          <w:jc w:val="right"/>
                          <w:rPr>
                            <w:rFonts w:ascii="宋体" w:hAnsi="宋体" w:cs="宋体" w:eastAsia="宋体" w:hint="default"/>
                            <w:sz w:val="15"/>
                            <w:szCs w:val="15"/>
                          </w:rPr>
                        </w:pPr>
                        <w:r>
                          <w:rPr>
                            <w:rFonts w:ascii="宋体"/>
                            <w:spacing w:val="-1"/>
                            <w:sz w:val="15"/>
                          </w:rPr>
                          <w:t>23,191,961.00</w:t>
                        </w:r>
                      </w:p>
                    </w:tc>
                    <w:tc>
                      <w:tcPr>
                        <w:tcW w:w="132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74"/>
                          <w:jc w:val="right"/>
                          <w:rPr>
                            <w:rFonts w:ascii="宋体" w:hAnsi="宋体" w:cs="宋体" w:eastAsia="宋体" w:hint="default"/>
                            <w:sz w:val="15"/>
                            <w:szCs w:val="15"/>
                          </w:rPr>
                        </w:pPr>
                        <w:r>
                          <w:rPr>
                            <w:rFonts w:ascii="宋体"/>
                            <w:spacing w:val="-1"/>
                            <w:sz w:val="15"/>
                          </w:rPr>
                          <w:t>23,515,177.00</w:t>
                        </w:r>
                      </w:p>
                    </w:tc>
                    <w:tc>
                      <w:tcPr>
                        <w:tcW w:w="148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331"/>
                          <w:jc w:val="right"/>
                          <w:rPr>
                            <w:rFonts w:ascii="宋体" w:hAnsi="宋体" w:cs="宋体" w:eastAsia="宋体" w:hint="default"/>
                            <w:sz w:val="15"/>
                            <w:szCs w:val="15"/>
                          </w:rPr>
                        </w:pPr>
                        <w:r>
                          <w:rPr>
                            <w:rFonts w:ascii="宋体"/>
                            <w:spacing w:val="-1"/>
                            <w:sz w:val="15"/>
                          </w:rPr>
                          <w:t>15,676,784.0</w:t>
                        </w:r>
                      </w:p>
                    </w:tc>
                    <w:tc>
                      <w:tcPr>
                        <w:tcW w:w="831"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tabs>
                            <w:tab w:pos="289" w:val="left" w:leader="none"/>
                          </w:tabs>
                          <w:spacing w:line="240" w:lineRule="auto"/>
                          <w:ind w:right="130"/>
                          <w:jc w:val="right"/>
                          <w:rPr>
                            <w:rFonts w:ascii="宋体" w:hAnsi="宋体" w:cs="宋体" w:eastAsia="宋体" w:hint="default"/>
                            <w:sz w:val="15"/>
                            <w:szCs w:val="15"/>
                          </w:rPr>
                        </w:pPr>
                        <w:r>
                          <w:rPr>
                            <w:rFonts w:ascii="宋体"/>
                            <w:sz w:val="15"/>
                          </w:rPr>
                          <w:t>-</w:t>
                          <w:tab/>
                          <w:t>-</w:t>
                        </w:r>
                      </w:p>
                    </w:tc>
                    <w:tc>
                      <w:tcPr>
                        <w:tcW w:w="118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78,383,922.00</w:t>
                        </w:r>
                      </w:p>
                    </w:tc>
                  </w:tr>
                  <w:tr>
                    <w:trPr>
                      <w:trHeight w:val="330"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57"/>
                          <w:jc w:val="right"/>
                          <w:rPr>
                            <w:rFonts w:ascii="宋体" w:hAnsi="宋体" w:cs="宋体" w:eastAsia="宋体" w:hint="default"/>
                            <w:sz w:val="15"/>
                            <w:szCs w:val="15"/>
                          </w:rPr>
                        </w:pPr>
                        <w:r>
                          <w:rPr>
                            <w:rFonts w:ascii="宋体" w:hAnsi="宋体" w:cs="宋体" w:eastAsia="宋体" w:hint="default"/>
                            <w:sz w:val="15"/>
                            <w:szCs w:val="15"/>
                          </w:rPr>
                          <w:t>无限售条件股份合计</w:t>
                        </w:r>
                      </w:p>
                    </w:tc>
                    <w:tc>
                      <w:tcPr>
                        <w:tcW w:w="1457"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200"/>
                          <w:jc w:val="right"/>
                          <w:rPr>
                            <w:rFonts w:ascii="宋体" w:hAnsi="宋体" w:cs="宋体" w:eastAsia="宋体" w:hint="default"/>
                            <w:sz w:val="15"/>
                            <w:szCs w:val="15"/>
                          </w:rPr>
                        </w:pPr>
                        <w:r>
                          <w:rPr>
                            <w:rFonts w:ascii="宋体"/>
                            <w:spacing w:val="-5"/>
                            <w:sz w:val="15"/>
                          </w:rPr>
                          <w:t>16,000,000.00</w:t>
                        </w:r>
                        <w:r>
                          <w:rPr>
                            <w:rFonts w:ascii="宋体"/>
                            <w:sz w:val="15"/>
                          </w:rPr>
                        </w:r>
                      </w:p>
                    </w:tc>
                    <w:tc>
                      <w:tcPr>
                        <w:tcW w:w="1503"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175"/>
                          <w:jc w:val="right"/>
                          <w:rPr>
                            <w:rFonts w:ascii="宋体" w:hAnsi="宋体" w:cs="宋体" w:eastAsia="宋体" w:hint="default"/>
                            <w:sz w:val="15"/>
                            <w:szCs w:val="15"/>
                          </w:rPr>
                        </w:pPr>
                        <w:r>
                          <w:rPr>
                            <w:rFonts w:ascii="宋体"/>
                            <w:spacing w:val="-1"/>
                            <w:sz w:val="15"/>
                          </w:rPr>
                          <w:t>23,191,961.00</w:t>
                        </w:r>
                      </w:p>
                    </w:tc>
                    <w:tc>
                      <w:tcPr>
                        <w:tcW w:w="1328"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174"/>
                          <w:jc w:val="right"/>
                          <w:rPr>
                            <w:rFonts w:ascii="宋体" w:hAnsi="宋体" w:cs="宋体" w:eastAsia="宋体" w:hint="default"/>
                            <w:sz w:val="15"/>
                            <w:szCs w:val="15"/>
                          </w:rPr>
                        </w:pPr>
                        <w:r>
                          <w:rPr>
                            <w:rFonts w:ascii="宋体"/>
                            <w:spacing w:val="-1"/>
                            <w:sz w:val="15"/>
                          </w:rPr>
                          <w:t>23,515,177.00</w:t>
                        </w:r>
                      </w:p>
                    </w:tc>
                    <w:tc>
                      <w:tcPr>
                        <w:tcW w:w="1486"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331"/>
                          <w:jc w:val="right"/>
                          <w:rPr>
                            <w:rFonts w:ascii="宋体" w:hAnsi="宋体" w:cs="宋体" w:eastAsia="宋体" w:hint="default"/>
                            <w:sz w:val="15"/>
                            <w:szCs w:val="15"/>
                          </w:rPr>
                        </w:pPr>
                        <w:r>
                          <w:rPr>
                            <w:rFonts w:ascii="宋体"/>
                            <w:spacing w:val="-1"/>
                            <w:sz w:val="15"/>
                          </w:rPr>
                          <w:t>15,676,784.0</w:t>
                        </w:r>
                      </w:p>
                    </w:tc>
                    <w:tc>
                      <w:tcPr>
                        <w:tcW w:w="831" w:type="dxa"/>
                        <w:tcBorders>
                          <w:top w:val="single" w:sz="4" w:space="0" w:color="000000"/>
                          <w:left w:val="nil" w:sz="6" w:space="0" w:color="auto"/>
                          <w:bottom w:val="single" w:sz="4" w:space="0" w:color="000000"/>
                          <w:right w:val="nil" w:sz="6" w:space="0" w:color="auto"/>
                        </w:tcBorders>
                      </w:tcPr>
                      <w:p>
                        <w:pPr>
                          <w:pStyle w:val="TableParagraph"/>
                          <w:tabs>
                            <w:tab w:pos="289" w:val="left" w:leader="none"/>
                          </w:tabs>
                          <w:spacing w:line="240" w:lineRule="auto" w:before="60"/>
                          <w:ind w:right="130"/>
                          <w:jc w:val="right"/>
                          <w:rPr>
                            <w:rFonts w:ascii="宋体" w:hAnsi="宋体" w:cs="宋体" w:eastAsia="宋体" w:hint="default"/>
                            <w:sz w:val="15"/>
                            <w:szCs w:val="15"/>
                          </w:rPr>
                        </w:pPr>
                        <w:r>
                          <w:rPr>
                            <w:rFonts w:ascii="宋体"/>
                            <w:sz w:val="15"/>
                          </w:rPr>
                          <w:t>-</w:t>
                          <w:tab/>
                          <w:t>-</w:t>
                        </w:r>
                      </w:p>
                    </w:tc>
                    <w:tc>
                      <w:tcPr>
                        <w:tcW w:w="1184" w:type="dxa"/>
                        <w:tcBorders>
                          <w:top w:val="single" w:sz="4" w:space="0" w:color="000000"/>
                          <w:left w:val="nil" w:sz="6" w:space="0" w:color="auto"/>
                          <w:bottom w:val="single" w:sz="4" w:space="0" w:color="000000"/>
                          <w:right w:val="nil" w:sz="6" w:space="0" w:color="auto"/>
                        </w:tcBorders>
                      </w:tcPr>
                      <w:p>
                        <w:pPr>
                          <w:pStyle w:val="TableParagraph"/>
                          <w:spacing w:line="240" w:lineRule="auto" w:before="60"/>
                          <w:ind w:right="1"/>
                          <w:jc w:val="right"/>
                          <w:rPr>
                            <w:rFonts w:ascii="宋体" w:hAnsi="宋体" w:cs="宋体" w:eastAsia="宋体" w:hint="default"/>
                            <w:sz w:val="15"/>
                            <w:szCs w:val="15"/>
                          </w:rPr>
                        </w:pPr>
                        <w:r>
                          <w:rPr>
                            <w:rFonts w:ascii="宋体"/>
                            <w:spacing w:val="-1"/>
                            <w:sz w:val="15"/>
                          </w:rPr>
                          <w:t>78,383,922.00</w:t>
                        </w:r>
                      </w:p>
                    </w:tc>
                  </w:tr>
                  <w:tr>
                    <w:trPr>
                      <w:trHeight w:val="341"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5"/>
                            <w:szCs w:val="15"/>
                          </w:rPr>
                        </w:pPr>
                        <w:r>
                          <w:rPr>
                            <w:rFonts w:ascii="宋体" w:hAnsi="宋体" w:cs="宋体" w:eastAsia="宋体" w:hint="default"/>
                            <w:sz w:val="15"/>
                            <w:szCs w:val="15"/>
                          </w:rPr>
                          <w:t>三、股份总额</w:t>
                        </w:r>
                      </w:p>
                    </w:tc>
                    <w:tc>
                      <w:tcPr>
                        <w:tcW w:w="1457"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200"/>
                          <w:jc w:val="right"/>
                          <w:rPr>
                            <w:rFonts w:ascii="宋体" w:hAnsi="宋体" w:cs="宋体" w:eastAsia="宋体" w:hint="default"/>
                            <w:sz w:val="15"/>
                            <w:szCs w:val="15"/>
                          </w:rPr>
                        </w:pPr>
                        <w:r>
                          <w:rPr>
                            <w:rFonts w:ascii="宋体"/>
                            <w:spacing w:val="-5"/>
                            <w:sz w:val="15"/>
                          </w:rPr>
                          <w:t>64,000,000.00</w:t>
                        </w:r>
                        <w:r>
                          <w:rPr>
                            <w:rFonts w:ascii="宋体"/>
                            <w:sz w:val="15"/>
                          </w:rPr>
                        </w:r>
                      </w:p>
                    </w:tc>
                    <w:tc>
                      <w:tcPr>
                        <w:tcW w:w="1503"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75"/>
                          <w:jc w:val="right"/>
                          <w:rPr>
                            <w:rFonts w:ascii="宋体" w:hAnsi="宋体" w:cs="宋体" w:eastAsia="宋体" w:hint="default"/>
                            <w:sz w:val="15"/>
                            <w:szCs w:val="15"/>
                          </w:rPr>
                        </w:pPr>
                        <w:r>
                          <w:rPr>
                            <w:rFonts w:ascii="宋体"/>
                            <w:sz w:val="15"/>
                          </w:rPr>
                          <w:t>-</w:t>
                        </w:r>
                      </w:p>
                    </w:tc>
                    <w:tc>
                      <w:tcPr>
                        <w:tcW w:w="132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74"/>
                          <w:jc w:val="right"/>
                          <w:rPr>
                            <w:rFonts w:ascii="宋体" w:hAnsi="宋体" w:cs="宋体" w:eastAsia="宋体" w:hint="default"/>
                            <w:sz w:val="15"/>
                            <w:szCs w:val="15"/>
                          </w:rPr>
                        </w:pPr>
                        <w:r>
                          <w:rPr>
                            <w:rFonts w:ascii="宋体"/>
                            <w:spacing w:val="-1"/>
                            <w:sz w:val="15"/>
                          </w:rPr>
                          <w:t>38,400,000.00</w:t>
                        </w: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331"/>
                          <w:jc w:val="right"/>
                          <w:rPr>
                            <w:rFonts w:ascii="宋体" w:hAnsi="宋体" w:cs="宋体" w:eastAsia="宋体" w:hint="default"/>
                            <w:sz w:val="15"/>
                            <w:szCs w:val="15"/>
                          </w:rPr>
                        </w:pPr>
                        <w:r>
                          <w:rPr>
                            <w:rFonts w:ascii="宋体"/>
                            <w:spacing w:val="-1"/>
                            <w:sz w:val="15"/>
                          </w:rPr>
                          <w:t>25,600,000.00</w:t>
                        </w:r>
                      </w:p>
                    </w:tc>
                    <w:tc>
                      <w:tcPr>
                        <w:tcW w:w="831" w:type="dxa"/>
                        <w:tcBorders>
                          <w:top w:val="single" w:sz="4" w:space="0" w:color="000000"/>
                          <w:left w:val="nil" w:sz="6" w:space="0" w:color="auto"/>
                          <w:bottom w:val="single" w:sz="12" w:space="0" w:color="000000"/>
                          <w:right w:val="nil" w:sz="6" w:space="0" w:color="auto"/>
                        </w:tcBorders>
                      </w:tcPr>
                      <w:p>
                        <w:pPr>
                          <w:pStyle w:val="TableParagraph"/>
                          <w:tabs>
                            <w:tab w:pos="289" w:val="left" w:leader="none"/>
                          </w:tabs>
                          <w:spacing w:line="240" w:lineRule="auto" w:before="60"/>
                          <w:ind w:right="130"/>
                          <w:jc w:val="right"/>
                          <w:rPr>
                            <w:rFonts w:ascii="宋体" w:hAnsi="宋体" w:cs="宋体" w:eastAsia="宋体" w:hint="default"/>
                            <w:sz w:val="15"/>
                            <w:szCs w:val="15"/>
                          </w:rPr>
                        </w:pPr>
                        <w:r>
                          <w:rPr>
                            <w:rFonts w:ascii="宋体"/>
                            <w:sz w:val="15"/>
                          </w:rPr>
                          <w:t>-</w:t>
                          <w:tab/>
                          <w:t>-</w:t>
                        </w:r>
                      </w:p>
                    </w:tc>
                    <w:tc>
                      <w:tcPr>
                        <w:tcW w:w="1184"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0"/>
                          <w:jc w:val="right"/>
                          <w:rPr>
                            <w:rFonts w:ascii="宋体" w:hAnsi="宋体" w:cs="宋体" w:eastAsia="宋体" w:hint="default"/>
                            <w:sz w:val="15"/>
                            <w:szCs w:val="15"/>
                          </w:rPr>
                        </w:pPr>
                        <w:r>
                          <w:rPr>
                            <w:rFonts w:ascii="宋体"/>
                            <w:spacing w:val="-1"/>
                            <w:sz w:val="15"/>
                          </w:rPr>
                          <w:t>128,000,000.00</w:t>
                        </w:r>
                      </w:p>
                    </w:tc>
                  </w:tr>
                </w:tbl>
                <w:p>
                  <w:pPr/>
                </w:p>
              </w:txbxContent>
            </v:textbox>
            <w10:wrap type="none"/>
          </v:shape>
        </w:pict>
      </w:r>
      <w:r>
        <w:rPr>
          <w:rFonts w:ascii="宋体" w:hAnsi="宋体" w:cs="宋体" w:eastAsia="宋体" w:hint="default"/>
          <w:sz w:val="15"/>
          <w:szCs w:val="15"/>
        </w:rPr>
        <w:t>解除限售条件</w:t>
        <w:tab/>
        <w:t>公积金转股</w:t>
        <w:tab/>
        <w:t>未分配利润送股</w:t>
        <w:tab/>
        <w:t>发行新股</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1"/>
        <w:rPr>
          <w:rFonts w:ascii="宋体" w:hAnsi="宋体" w:cs="宋体" w:eastAsia="宋体" w:hint="default"/>
          <w:sz w:val="11"/>
          <w:szCs w:val="11"/>
        </w:rPr>
      </w:pPr>
    </w:p>
    <w:p>
      <w:pPr>
        <w:spacing w:before="0"/>
        <w:ind w:left="135" w:right="0" w:firstLine="0"/>
        <w:jc w:val="left"/>
        <w:rPr>
          <w:rFonts w:ascii="宋体" w:hAnsi="宋体" w:cs="宋体" w:eastAsia="宋体" w:hint="default"/>
          <w:sz w:val="15"/>
          <w:szCs w:val="15"/>
        </w:rPr>
      </w:pPr>
      <w:r>
        <w:rPr>
          <w:rFonts w:ascii="宋体" w:hAnsi="宋体" w:cs="宋体" w:eastAsia="宋体" w:hint="default"/>
          <w:spacing w:val="-6"/>
          <w:sz w:val="15"/>
          <w:szCs w:val="15"/>
        </w:rPr>
        <w:t>2008</w:t>
      </w:r>
      <w:r>
        <w:rPr>
          <w:rFonts w:ascii="宋体" w:hAnsi="宋体" w:cs="宋体" w:eastAsia="宋体" w:hint="default"/>
          <w:spacing w:val="-50"/>
          <w:sz w:val="15"/>
          <w:szCs w:val="15"/>
        </w:rPr>
        <w:t> </w:t>
      </w:r>
      <w:r>
        <w:rPr>
          <w:rFonts w:ascii="宋体" w:hAnsi="宋体" w:cs="宋体" w:eastAsia="宋体" w:hint="default"/>
          <w:sz w:val="15"/>
          <w:szCs w:val="15"/>
        </w:rPr>
        <w:t>年</w:t>
      </w:r>
      <w:r>
        <w:rPr>
          <w:rFonts w:ascii="宋体" w:hAnsi="宋体" w:cs="宋体" w:eastAsia="宋体" w:hint="default"/>
          <w:spacing w:val="-59"/>
          <w:sz w:val="15"/>
          <w:szCs w:val="15"/>
        </w:rPr>
        <w:t> </w:t>
      </w:r>
      <w:r>
        <w:rPr>
          <w:rFonts w:ascii="宋体" w:hAnsi="宋体" w:cs="宋体" w:eastAsia="宋体" w:hint="default"/>
          <w:spacing w:val="-4"/>
          <w:sz w:val="15"/>
          <w:szCs w:val="15"/>
        </w:rPr>
        <w:t>12</w:t>
      </w:r>
      <w:r>
        <w:rPr>
          <w:rFonts w:ascii="宋体" w:hAnsi="宋体" w:cs="宋体" w:eastAsia="宋体" w:hint="default"/>
          <w:spacing w:val="-50"/>
          <w:sz w:val="15"/>
          <w:szCs w:val="15"/>
        </w:rPr>
        <w:t> </w:t>
      </w:r>
      <w:r>
        <w:rPr>
          <w:rFonts w:ascii="宋体" w:hAnsi="宋体" w:cs="宋体" w:eastAsia="宋体" w:hint="default"/>
          <w:sz w:val="15"/>
          <w:szCs w:val="15"/>
        </w:rPr>
        <w:t>月</w:t>
      </w:r>
      <w:r>
        <w:rPr>
          <w:rFonts w:ascii="宋体" w:hAnsi="宋体" w:cs="宋体" w:eastAsia="宋体" w:hint="default"/>
          <w:spacing w:val="-59"/>
          <w:sz w:val="15"/>
          <w:szCs w:val="15"/>
        </w:rPr>
        <w:t> </w:t>
      </w:r>
      <w:r>
        <w:rPr>
          <w:rFonts w:ascii="宋体" w:hAnsi="宋体" w:cs="宋体" w:eastAsia="宋体" w:hint="default"/>
          <w:spacing w:val="-4"/>
          <w:sz w:val="15"/>
          <w:szCs w:val="15"/>
        </w:rPr>
        <w:t>31</w:t>
      </w:r>
      <w:r>
        <w:rPr>
          <w:rFonts w:ascii="宋体" w:hAnsi="宋体" w:cs="宋体" w:eastAsia="宋体" w:hint="default"/>
          <w:spacing w:val="-50"/>
          <w:sz w:val="15"/>
          <w:szCs w:val="15"/>
        </w:rPr>
        <w:t> </w:t>
      </w:r>
      <w:r>
        <w:rPr>
          <w:rFonts w:ascii="宋体" w:hAnsi="宋体" w:cs="宋体" w:eastAsia="宋体" w:hint="default"/>
          <w:sz w:val="15"/>
          <w:szCs w:val="15"/>
        </w:rPr>
        <w:t>日</w:t>
      </w:r>
    </w:p>
    <w:p>
      <w:pPr>
        <w:spacing w:after="0"/>
        <w:jc w:val="left"/>
        <w:rPr>
          <w:rFonts w:ascii="宋体" w:hAnsi="宋体" w:cs="宋体" w:eastAsia="宋体" w:hint="default"/>
          <w:sz w:val="15"/>
          <w:szCs w:val="15"/>
        </w:rPr>
        <w:sectPr>
          <w:type w:val="continuous"/>
          <w:pgSz w:w="11910" w:h="16840"/>
          <w:pgMar w:top="1600" w:bottom="280" w:left="980" w:right="940"/>
          <w:cols w:num="3" w:equalWidth="0">
            <w:col w:w="3204" w:space="40"/>
            <w:col w:w="5174" w:space="40"/>
            <w:col w:w="153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304" w:lineRule="auto" w:before="26"/>
        <w:ind w:right="90" w:firstLine="495"/>
        <w:jc w:val="left"/>
      </w:pPr>
      <w:r>
        <w:rPr>
          <w:spacing w:val="5"/>
        </w:rPr>
        <w:t>本公司首次公开发行前股本为4800万股，首次向社会公开发行1600万股，并于2007年</w:t>
      </w:r>
      <w:r>
        <w:rPr>
          <w:spacing w:val="3"/>
        </w:rPr>
        <w:t> </w:t>
      </w:r>
      <w:r>
        <w:rPr/>
        <w:t>3月28日在深交所中小企业板上市，上市时股本总额为6400万股。</w:t>
      </w:r>
    </w:p>
    <w:p>
      <w:pPr>
        <w:pStyle w:val="BodyText"/>
        <w:spacing w:line="336" w:lineRule="auto" w:before="181"/>
        <w:ind w:right="188" w:firstLine="480"/>
        <w:jc w:val="both"/>
      </w:pPr>
      <w:r>
        <w:rPr/>
        <w:t>本公司股东深圳市天图创业投资有限公司(以下简称“深圳天图”)、河南新纪元防腐绝</w:t>
      </w:r>
      <w:r>
        <w:rPr>
          <w:spacing w:val="1"/>
        </w:rPr>
        <w:t> </w:t>
      </w:r>
      <w:r>
        <w:rPr/>
        <w:t>热工程有限公司、北京天成天信投资顾问有限公司、贺建文、张新华、上海九观投资咨询有</w:t>
      </w:r>
      <w:r>
        <w:rPr>
          <w:spacing w:val="-83"/>
        </w:rPr>
        <w:t> </w:t>
      </w:r>
      <w:r>
        <w:rPr>
          <w:spacing w:val="-83"/>
        </w:rPr>
      </w:r>
      <w:r>
        <w:rPr/>
        <w:t>限公司、孙景顺、李静、贺峤、陈佳、赵殿波、龙浩、王立生、焦东亮、王强、李兴、王岱</w:t>
      </w:r>
      <w:r>
        <w:rPr>
          <w:spacing w:val="-83"/>
        </w:rPr>
        <w:t> </w:t>
      </w:r>
      <w:r>
        <w:rPr>
          <w:spacing w:val="-83"/>
        </w:rPr>
      </w:r>
      <w:r>
        <w:rPr/>
        <w:t>岩和张银山承诺：自公司股票上市之日起一年内不转让或者委托他人管理其持有的本公司股</w:t>
      </w:r>
      <w:r>
        <w:rPr>
          <w:spacing w:val="-83"/>
        </w:rPr>
        <w:t> </w:t>
      </w:r>
      <w:r>
        <w:rPr>
          <w:spacing w:val="-83"/>
        </w:rPr>
      </w:r>
      <w:r>
        <w:rPr/>
        <w:t>份，也不由本公司回购其持有的股份。</w:t>
      </w:r>
    </w:p>
    <w:p>
      <w:pPr>
        <w:pStyle w:val="BodyText"/>
        <w:spacing w:line="336" w:lineRule="auto" w:before="150"/>
        <w:ind w:right="90" w:firstLine="480"/>
        <w:jc w:val="left"/>
      </w:pPr>
      <w:r>
        <w:rPr/>
        <w:t>同时，作为担任公司董事、高级管理人员的龙浩、赵殿波、焦东亮、王强、王岱岩还承</w:t>
      </w:r>
      <w:r>
        <w:rPr>
          <w:spacing w:val="1"/>
        </w:rPr>
        <w:t> </w:t>
      </w:r>
      <w:r>
        <w:rPr/>
        <w:t>诺：除前述锁定期外，在其任职期间每年转让的股份不超过其所持有本公司股份总数的25%；</w:t>
      </w:r>
      <w:r>
        <w:rPr/>
        <w:t> 离职后半年内，不转让其所持有的本公司股份。</w:t>
      </w:r>
    </w:p>
    <w:p>
      <w:pPr>
        <w:pStyle w:val="BodyText"/>
        <w:spacing w:line="336" w:lineRule="auto" w:before="150"/>
        <w:ind w:right="90" w:firstLine="480"/>
        <w:jc w:val="left"/>
      </w:pPr>
      <w:r>
        <w:rPr/>
        <w:t>2008年3月28日本公司首次公开发行前已发行股份本次解除限售的数量为24,953,528股， 实际可上市流通数量为23,201,961股。</w:t>
      </w:r>
    </w:p>
    <w:p>
      <w:pPr>
        <w:pStyle w:val="BodyText"/>
        <w:spacing w:line="240" w:lineRule="auto" w:before="149"/>
        <w:ind w:left="649" w:right="90"/>
        <w:jc w:val="left"/>
      </w:pPr>
      <w:r>
        <w:rPr>
          <w:spacing w:val="6"/>
        </w:rPr>
        <w:t>根据本公司</w:t>
      </w:r>
      <w:r>
        <w:rPr>
          <w:spacing w:val="-68"/>
        </w:rPr>
        <w:t> </w:t>
      </w:r>
      <w:r>
        <w:rPr>
          <w:spacing w:val="2"/>
        </w:rPr>
        <w:t>2008</w:t>
      </w:r>
      <w:r>
        <w:rPr>
          <w:spacing w:val="-73"/>
        </w:rPr>
        <w:t> </w:t>
      </w:r>
      <w:r>
        <w:rPr/>
        <w:t>年</w:t>
      </w:r>
      <w:r>
        <w:rPr>
          <w:spacing w:val="-67"/>
        </w:rPr>
        <w:t> </w:t>
      </w:r>
      <w:r>
        <w:rPr/>
        <w:t>4</w:t>
      </w:r>
      <w:r>
        <w:rPr>
          <w:spacing w:val="-73"/>
        </w:rPr>
        <w:t> </w:t>
      </w:r>
      <w:r>
        <w:rPr/>
        <w:t>月</w:t>
      </w:r>
      <w:r>
        <w:rPr>
          <w:spacing w:val="-68"/>
        </w:rPr>
        <w:t> </w:t>
      </w:r>
      <w:r>
        <w:rPr/>
        <w:t>29</w:t>
      </w:r>
      <w:r>
        <w:rPr>
          <w:spacing w:val="-71"/>
        </w:rPr>
        <w:t> </w:t>
      </w:r>
      <w:r>
        <w:rPr>
          <w:spacing w:val="6"/>
        </w:rPr>
        <w:t>日召开的</w:t>
      </w:r>
      <w:r>
        <w:rPr>
          <w:spacing w:val="-69"/>
        </w:rPr>
        <w:t> </w:t>
      </w:r>
      <w:r>
        <w:rPr>
          <w:spacing w:val="2"/>
        </w:rPr>
        <w:t>2007</w:t>
      </w:r>
      <w:r>
        <w:rPr>
          <w:spacing w:val="-73"/>
        </w:rPr>
        <w:t> </w:t>
      </w:r>
      <w:r>
        <w:rPr>
          <w:spacing w:val="7"/>
        </w:rPr>
        <w:t>年度股东大会决议和修改后章程的规定：本</w:t>
      </w:r>
    </w:p>
    <w:p>
      <w:pPr>
        <w:pStyle w:val="BodyText"/>
        <w:spacing w:line="240" w:lineRule="auto" w:before="126"/>
        <w:ind w:left="153" w:right="90"/>
        <w:jc w:val="left"/>
      </w:pPr>
      <w:r>
        <w:rPr>
          <w:spacing w:val="5"/>
        </w:rPr>
        <w:t>公司以</w:t>
      </w:r>
      <w:r>
        <w:rPr>
          <w:spacing w:val="-42"/>
        </w:rPr>
        <w:t> </w:t>
      </w:r>
      <w:r>
        <w:rPr>
          <w:spacing w:val="2"/>
        </w:rPr>
        <w:t>2007</w:t>
      </w:r>
      <w:r>
        <w:rPr>
          <w:spacing w:val="-45"/>
        </w:rPr>
        <w:t> </w:t>
      </w:r>
      <w:r>
        <w:rPr/>
        <w:t>年</w:t>
      </w:r>
      <w:r>
        <w:rPr>
          <w:spacing w:val="-40"/>
        </w:rPr>
        <w:t> </w:t>
      </w:r>
      <w:r>
        <w:rPr/>
        <w:t>12</w:t>
      </w:r>
      <w:r>
        <w:rPr>
          <w:spacing w:val="-44"/>
        </w:rPr>
        <w:t> </w:t>
      </w:r>
      <w:r>
        <w:rPr/>
        <w:t>月</w:t>
      </w:r>
      <w:r>
        <w:rPr>
          <w:spacing w:val="-40"/>
        </w:rPr>
        <w:t> </w:t>
      </w:r>
      <w:r>
        <w:rPr/>
        <w:t>31</w:t>
      </w:r>
      <w:r>
        <w:rPr>
          <w:spacing w:val="-45"/>
        </w:rPr>
        <w:t> </w:t>
      </w:r>
      <w:r>
        <w:rPr>
          <w:spacing w:val="6"/>
        </w:rPr>
        <w:t>日总股本</w:t>
      </w:r>
      <w:r>
        <w:rPr>
          <w:spacing w:val="-42"/>
        </w:rPr>
        <w:t> </w:t>
      </w:r>
      <w:r>
        <w:rPr>
          <w:spacing w:val="3"/>
        </w:rPr>
        <w:t>64,000,000</w:t>
      </w:r>
      <w:r>
        <w:rPr>
          <w:spacing w:val="-44"/>
        </w:rPr>
        <w:t> </w:t>
      </w:r>
      <w:r>
        <w:rPr>
          <w:spacing w:val="7"/>
        </w:rPr>
        <w:t>股为基数，向全体股东每</w:t>
      </w:r>
      <w:r>
        <w:rPr>
          <w:spacing w:val="-42"/>
        </w:rPr>
        <w:t> </w:t>
      </w:r>
      <w:r>
        <w:rPr/>
        <w:t>10</w:t>
      </w:r>
      <w:r>
        <w:rPr>
          <w:spacing w:val="-45"/>
        </w:rPr>
        <w:t> </w:t>
      </w:r>
      <w:r>
        <w:rPr>
          <w:spacing w:val="8"/>
        </w:rPr>
        <w:t>股以未分配利</w:t>
      </w:r>
      <w:r>
        <w:rPr/>
      </w:r>
    </w:p>
    <w:p>
      <w:pPr>
        <w:pStyle w:val="BodyText"/>
        <w:spacing w:line="240" w:lineRule="auto" w:before="126"/>
        <w:ind w:left="153" w:right="90"/>
        <w:jc w:val="left"/>
      </w:pPr>
      <w:r>
        <w:rPr>
          <w:spacing w:val="5"/>
        </w:rPr>
        <w:t>润派送</w:t>
      </w:r>
      <w:r>
        <w:rPr>
          <w:spacing w:val="-39"/>
        </w:rPr>
        <w:t> </w:t>
      </w:r>
      <w:r>
        <w:rPr/>
        <w:t>4</w:t>
      </w:r>
      <w:r>
        <w:rPr>
          <w:spacing w:val="-43"/>
        </w:rPr>
        <w:t> </w:t>
      </w:r>
      <w:r>
        <w:rPr>
          <w:spacing w:val="7"/>
        </w:rPr>
        <w:t>股红股，增加注册资本人民币</w:t>
      </w:r>
      <w:r>
        <w:rPr>
          <w:spacing w:val="-41"/>
        </w:rPr>
        <w:t> </w:t>
      </w:r>
      <w:r>
        <w:rPr>
          <w:spacing w:val="3"/>
        </w:rPr>
        <w:t>25,600,000.00</w:t>
      </w:r>
      <w:r>
        <w:rPr>
          <w:spacing w:val="-43"/>
        </w:rPr>
        <w:t> </w:t>
      </w:r>
      <w:r>
        <w:rPr>
          <w:spacing w:val="5"/>
        </w:rPr>
        <w:t>元；以</w:t>
      </w:r>
      <w:r>
        <w:rPr>
          <w:spacing w:val="-39"/>
        </w:rPr>
        <w:t> </w:t>
      </w:r>
      <w:r>
        <w:rPr>
          <w:spacing w:val="3"/>
        </w:rPr>
        <w:t>2007</w:t>
      </w:r>
      <w:r>
        <w:rPr>
          <w:spacing w:val="-43"/>
        </w:rPr>
        <w:t> </w:t>
      </w:r>
      <w:r>
        <w:rPr/>
        <w:t>年</w:t>
      </w:r>
      <w:r>
        <w:rPr>
          <w:spacing w:val="-41"/>
        </w:rPr>
        <w:t> </w:t>
      </w:r>
      <w:r>
        <w:rPr/>
        <w:t>12</w:t>
      </w:r>
      <w:r>
        <w:rPr>
          <w:spacing w:val="-44"/>
        </w:rPr>
        <w:t> </w:t>
      </w:r>
      <w:r>
        <w:rPr/>
        <w:t>月</w:t>
      </w:r>
      <w:r>
        <w:rPr>
          <w:spacing w:val="-39"/>
        </w:rPr>
        <w:t> </w:t>
      </w:r>
      <w:r>
        <w:rPr/>
        <w:t>31</w:t>
      </w:r>
      <w:r>
        <w:rPr>
          <w:spacing w:val="-44"/>
        </w:rPr>
        <w:t> </w:t>
      </w:r>
      <w:r>
        <w:rPr>
          <w:spacing w:val="5"/>
        </w:rPr>
        <w:t>日总股本</w:t>
      </w:r>
    </w:p>
    <w:p>
      <w:pPr>
        <w:pStyle w:val="BodyText"/>
        <w:spacing w:line="240" w:lineRule="auto" w:before="125"/>
        <w:ind w:left="153" w:right="90"/>
        <w:jc w:val="left"/>
      </w:pPr>
      <w:r>
        <w:rPr>
          <w:spacing w:val="3"/>
        </w:rPr>
        <w:t>64,000,000</w:t>
      </w:r>
      <w:r>
        <w:rPr>
          <w:spacing w:val="-45"/>
        </w:rPr>
        <w:t> </w:t>
      </w:r>
      <w:r>
        <w:rPr>
          <w:spacing w:val="7"/>
        </w:rPr>
        <w:t>股为基数，以资本公积金转增股本方式，向全体股东每</w:t>
      </w:r>
      <w:r>
        <w:rPr>
          <w:spacing w:val="-41"/>
        </w:rPr>
        <w:t> </w:t>
      </w:r>
      <w:r>
        <w:rPr/>
        <w:t>10</w:t>
      </w:r>
      <w:r>
        <w:rPr>
          <w:spacing w:val="-45"/>
        </w:rPr>
        <w:t> </w:t>
      </w:r>
      <w:r>
        <w:rPr>
          <w:spacing w:val="5"/>
        </w:rPr>
        <w:t>股转增</w:t>
      </w:r>
      <w:r>
        <w:rPr>
          <w:spacing w:val="-40"/>
        </w:rPr>
        <w:t> </w:t>
      </w:r>
      <w:r>
        <w:rPr/>
        <w:t>6</w:t>
      </w:r>
      <w:r>
        <w:rPr>
          <w:spacing w:val="-43"/>
        </w:rPr>
        <w:t> </w:t>
      </w:r>
      <w:r>
        <w:rPr>
          <w:spacing w:val="7"/>
        </w:rPr>
        <w:t>股，计人</w:t>
      </w:r>
      <w:r>
        <w:rPr/>
      </w:r>
    </w:p>
    <w:p>
      <w:pPr>
        <w:pStyle w:val="BodyText"/>
        <w:spacing w:line="240" w:lineRule="auto" w:before="126"/>
        <w:ind w:left="153" w:right="90"/>
        <w:jc w:val="left"/>
      </w:pPr>
      <w:r>
        <w:rPr>
          <w:spacing w:val="4"/>
        </w:rPr>
        <w:t>民币</w:t>
      </w:r>
      <w:r>
        <w:rPr>
          <w:spacing w:val="-24"/>
        </w:rPr>
        <w:t> </w:t>
      </w:r>
      <w:r>
        <w:rPr>
          <w:spacing w:val="3"/>
        </w:rPr>
        <w:t>38,400,000.00</w:t>
      </w:r>
      <w:r>
        <w:rPr>
          <w:spacing w:val="-27"/>
        </w:rPr>
        <w:t> </w:t>
      </w:r>
      <w:r>
        <w:rPr>
          <w:spacing w:val="7"/>
        </w:rPr>
        <w:t>元，本期转增后公司注册资本为人民币</w:t>
      </w:r>
      <w:r>
        <w:rPr>
          <w:spacing w:val="-24"/>
        </w:rPr>
        <w:t> </w:t>
      </w:r>
      <w:r>
        <w:rPr>
          <w:spacing w:val="3"/>
        </w:rPr>
        <w:t>128,000,000.00</w:t>
      </w:r>
      <w:r>
        <w:rPr>
          <w:spacing w:val="-28"/>
        </w:rPr>
        <w:t> </w:t>
      </w:r>
      <w:r>
        <w:rPr>
          <w:spacing w:val="6"/>
        </w:rPr>
        <w:t>元。上述出</w:t>
      </w:r>
    </w:p>
    <w:p>
      <w:pPr>
        <w:pStyle w:val="BodyText"/>
        <w:spacing w:line="396" w:lineRule="auto" w:before="126"/>
        <w:ind w:left="636" w:right="1138" w:hanging="483"/>
        <w:jc w:val="left"/>
        <w:rPr>
          <w:rFonts w:ascii="宋体" w:hAnsi="宋体" w:cs="宋体" w:eastAsia="宋体" w:hint="default"/>
        </w:rPr>
      </w:pPr>
      <w:r>
        <w:rPr>
          <w:spacing w:val="6"/>
        </w:rPr>
        <w:t>资业经开元信德会计师事务所验资报字[2008]第 </w:t>
      </w:r>
      <w:r>
        <w:rPr/>
        <w:t>016</w:t>
      </w:r>
      <w:r>
        <w:rPr>
          <w:spacing w:val="-93"/>
        </w:rPr>
        <w:t> </w:t>
      </w:r>
      <w:r>
        <w:rPr>
          <w:spacing w:val="8"/>
        </w:rPr>
        <w:t>号《验资报告》审验在案。</w:t>
      </w:r>
      <w:r>
        <w:rPr>
          <w:spacing w:val="8"/>
        </w:rPr>
        <w:t> </w:t>
      </w:r>
      <w:r>
        <w:rPr>
          <w:rFonts w:ascii="宋体" w:hAnsi="宋体" w:cs="宋体" w:eastAsia="宋体" w:hint="default"/>
          <w:b/>
          <w:bCs/>
        </w:rPr>
        <w:t>25、资本公积</w:t>
      </w:r>
      <w:r>
        <w:rPr>
          <w:rFonts w:ascii="宋体" w:hAnsi="宋体" w:cs="宋体" w:eastAsia="宋体" w:hint="default"/>
        </w:rPr>
      </w:r>
    </w:p>
    <w:p>
      <w:pPr>
        <w:spacing w:after="0" w:line="396" w:lineRule="auto"/>
        <w:jc w:val="left"/>
        <w:rPr>
          <w:rFonts w:ascii="宋体" w:hAnsi="宋体" w:cs="宋体" w:eastAsia="宋体" w:hint="default"/>
        </w:rPr>
        <w:sectPr>
          <w:type w:val="continuous"/>
          <w:pgSz w:w="11910" w:h="16840"/>
          <w:pgMar w:top="1600" w:bottom="280" w:left="980" w:right="94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tbl>
      <w:tblPr>
        <w:tblW w:w="0" w:type="auto"/>
        <w:jc w:val="left"/>
        <w:tblInd w:w="113" w:type="dxa"/>
        <w:tblLayout w:type="fixed"/>
        <w:tblCellMar>
          <w:top w:w="0" w:type="dxa"/>
          <w:left w:w="0" w:type="dxa"/>
          <w:bottom w:w="0" w:type="dxa"/>
          <w:right w:w="0" w:type="dxa"/>
        </w:tblCellMar>
        <w:tblLook w:val="01E0"/>
      </w:tblPr>
      <w:tblGrid>
        <w:gridCol w:w="2565"/>
        <w:gridCol w:w="1849"/>
        <w:gridCol w:w="169"/>
        <w:gridCol w:w="1669"/>
        <w:gridCol w:w="110"/>
        <w:gridCol w:w="1451"/>
        <w:gridCol w:w="101"/>
        <w:gridCol w:w="1924"/>
      </w:tblGrid>
      <w:tr>
        <w:trPr>
          <w:trHeight w:val="290" w:hRule="exact"/>
        </w:trPr>
        <w:tc>
          <w:tcPr>
            <w:tcW w:w="2565" w:type="dxa"/>
            <w:tcBorders>
              <w:top w:val="nil" w:sz="6" w:space="0" w:color="auto"/>
              <w:left w:val="nil" w:sz="6" w:space="0" w:color="auto"/>
              <w:bottom w:val="nil" w:sz="6" w:space="0" w:color="auto"/>
              <w:right w:val="nil" w:sz="6" w:space="0" w:color="auto"/>
            </w:tcBorders>
          </w:tcPr>
          <w:p>
            <w:pPr/>
          </w:p>
        </w:tc>
        <w:tc>
          <w:tcPr>
            <w:tcW w:w="1849" w:type="dxa"/>
            <w:tcBorders>
              <w:top w:val="nil" w:sz="6" w:space="0" w:color="auto"/>
              <w:left w:val="nil" w:sz="6" w:space="0" w:color="auto"/>
              <w:bottom w:val="single" w:sz="4" w:space="0" w:color="000000"/>
              <w:right w:val="nil" w:sz="6" w:space="0" w:color="auto"/>
            </w:tcBorders>
          </w:tcPr>
          <w:p>
            <w:pPr>
              <w:pStyle w:val="TableParagraph"/>
              <w:spacing w:line="180" w:lineRule="exact"/>
              <w:ind w:left="189"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single" w:sz="4" w:space="0" w:color="000000"/>
              <w:right w:val="nil" w:sz="6" w:space="0" w:color="auto"/>
            </w:tcBorders>
          </w:tcPr>
          <w:p>
            <w:pPr>
              <w:pStyle w:val="TableParagraph"/>
              <w:spacing w:line="180" w:lineRule="exact"/>
              <w:ind w:left="48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0"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Style w:val="TableParagraph"/>
              <w:spacing w:line="180" w:lineRule="exact"/>
              <w:ind w:left="36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01"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single" w:sz="4" w:space="0" w:color="000000"/>
              <w:right w:val="nil" w:sz="6" w:space="0" w:color="auto"/>
            </w:tcBorders>
          </w:tcPr>
          <w:p>
            <w:pPr>
              <w:pStyle w:val="TableParagraph"/>
              <w:spacing w:line="180" w:lineRule="exact"/>
              <w:ind w:left="22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8"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00"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84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272,008,491.14</w:t>
            </w:r>
          </w:p>
        </w:tc>
        <w:tc>
          <w:tcPr>
            <w:tcW w:w="169" w:type="dxa"/>
            <w:tcBorders>
              <w:top w:val="nil" w:sz="6" w:space="0" w:color="auto"/>
              <w:left w:val="nil" w:sz="6" w:space="0" w:color="auto"/>
              <w:bottom w:val="nil" w:sz="6" w:space="0" w:color="auto"/>
              <w:right w:val="nil" w:sz="6" w:space="0" w:color="auto"/>
            </w:tcBorders>
          </w:tcPr>
          <w:p>
            <w:pPr/>
          </w:p>
        </w:tc>
        <w:tc>
          <w:tcPr>
            <w:tcW w:w="166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38,400,000.00</w:t>
            </w:r>
          </w:p>
        </w:tc>
        <w:tc>
          <w:tcPr>
            <w:tcW w:w="101" w:type="dxa"/>
            <w:tcBorders>
              <w:top w:val="nil" w:sz="6" w:space="0" w:color="auto"/>
              <w:left w:val="nil" w:sz="6" w:space="0" w:color="auto"/>
              <w:bottom w:val="nil" w:sz="6" w:space="0" w:color="auto"/>
              <w:right w:val="nil" w:sz="6" w:space="0" w:color="auto"/>
            </w:tcBorders>
          </w:tcPr>
          <w:p>
            <w:pPr/>
          </w:p>
        </w:tc>
        <w:tc>
          <w:tcPr>
            <w:tcW w:w="192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233,608,491.14</w:t>
            </w:r>
          </w:p>
        </w:tc>
      </w:tr>
      <w:tr>
        <w:trPr>
          <w:trHeight w:val="395"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617,899.00</w:t>
            </w:r>
          </w:p>
        </w:tc>
        <w:tc>
          <w:tcPr>
            <w:tcW w:w="16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w:t>
            </w:r>
          </w:p>
        </w:tc>
        <w:tc>
          <w:tcPr>
            <w:tcW w:w="101"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617,899.00</w:t>
            </w:r>
          </w:p>
        </w:tc>
      </w:tr>
      <w:tr>
        <w:trPr>
          <w:trHeight w:val="413" w:hRule="exact"/>
        </w:trPr>
        <w:tc>
          <w:tcPr>
            <w:tcW w:w="2565" w:type="dxa"/>
            <w:tcBorders>
              <w:top w:val="nil" w:sz="6" w:space="0" w:color="auto"/>
              <w:left w:val="nil" w:sz="6" w:space="0" w:color="auto"/>
              <w:bottom w:val="nil" w:sz="6" w:space="0" w:color="auto"/>
              <w:right w:val="nil" w:sz="6" w:space="0" w:color="auto"/>
            </w:tcBorders>
          </w:tcPr>
          <w:p>
            <w:pPr/>
          </w:p>
        </w:tc>
        <w:tc>
          <w:tcPr>
            <w:tcW w:w="1849"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1"/>
              <w:jc w:val="right"/>
              <w:rPr>
                <w:rFonts w:ascii="宋体" w:hAnsi="宋体" w:cs="宋体" w:eastAsia="宋体" w:hint="default"/>
                <w:sz w:val="18"/>
                <w:szCs w:val="18"/>
              </w:rPr>
            </w:pPr>
            <w:r>
              <w:rPr>
                <w:rFonts w:ascii="宋体"/>
                <w:sz w:val="18"/>
              </w:rPr>
              <w:t>272,626,390.14</w:t>
            </w:r>
          </w:p>
        </w:tc>
        <w:tc>
          <w:tcPr>
            <w:tcW w:w="169" w:type="dxa"/>
            <w:tcBorders>
              <w:top w:val="nil" w:sz="6" w:space="0" w:color="auto"/>
              <w:left w:val="nil" w:sz="6" w:space="0" w:color="auto"/>
              <w:bottom w:val="nil" w:sz="6" w:space="0" w:color="auto"/>
              <w:right w:val="nil" w:sz="6" w:space="0" w:color="auto"/>
            </w:tcBorders>
          </w:tcPr>
          <w:p>
            <w:pPr/>
          </w:p>
        </w:tc>
        <w:tc>
          <w:tcPr>
            <w:tcW w:w="166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w:t>
            </w:r>
          </w:p>
        </w:tc>
        <w:tc>
          <w:tcPr>
            <w:tcW w:w="110"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38,400,000.00</w:t>
            </w:r>
          </w:p>
        </w:tc>
        <w:tc>
          <w:tcPr>
            <w:tcW w:w="101" w:type="dxa"/>
            <w:tcBorders>
              <w:top w:val="nil" w:sz="6" w:space="0" w:color="auto"/>
              <w:left w:val="nil" w:sz="6" w:space="0" w:color="auto"/>
              <w:bottom w:val="nil" w:sz="6" w:space="0" w:color="auto"/>
              <w:right w:val="nil" w:sz="6" w:space="0" w:color="auto"/>
            </w:tcBorders>
          </w:tcPr>
          <w:p>
            <w:pPr/>
          </w:p>
        </w:tc>
        <w:tc>
          <w:tcPr>
            <w:tcW w:w="1924"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234,226,390.14</w:t>
            </w:r>
          </w:p>
        </w:tc>
      </w:tr>
    </w:tbl>
    <w:p>
      <w:pPr>
        <w:spacing w:line="240" w:lineRule="auto" w:before="1"/>
        <w:rPr>
          <w:rFonts w:ascii="宋体" w:hAnsi="宋体" w:cs="宋体" w:eastAsia="宋体" w:hint="default"/>
          <w:b/>
          <w:bCs/>
          <w:sz w:val="14"/>
          <w:szCs w:val="14"/>
        </w:rPr>
      </w:pPr>
    </w:p>
    <w:p>
      <w:pPr>
        <w:spacing w:line="396" w:lineRule="auto" w:before="26"/>
        <w:ind w:left="796" w:right="3871" w:firstLine="27"/>
        <w:jc w:val="left"/>
        <w:rPr>
          <w:rFonts w:ascii="宋体" w:hAnsi="宋体" w:cs="宋体" w:eastAsia="宋体" w:hint="default"/>
          <w:sz w:val="24"/>
          <w:szCs w:val="24"/>
        </w:rPr>
      </w:pPr>
      <w:r>
        <w:rPr>
          <w:rFonts w:ascii="宋体" w:hAnsi="宋体" w:cs="宋体" w:eastAsia="宋体" w:hint="default"/>
          <w:spacing w:val="7"/>
          <w:sz w:val="24"/>
          <w:szCs w:val="24"/>
        </w:rPr>
        <w:t>本年度资本公积减少系以资本公积转增股本所致。</w:t>
      </w:r>
      <w:r>
        <w:rPr>
          <w:rFonts w:ascii="宋体" w:hAnsi="宋体" w:cs="宋体" w:eastAsia="宋体" w:hint="default"/>
          <w:spacing w:val="8"/>
          <w:sz w:val="24"/>
          <w:szCs w:val="24"/>
        </w:rPr>
        <w:t> </w:t>
      </w:r>
      <w:r>
        <w:rPr>
          <w:rFonts w:ascii="宋体" w:hAnsi="宋体" w:cs="宋体" w:eastAsia="宋体" w:hint="default"/>
          <w:b/>
          <w:bCs/>
          <w:sz w:val="24"/>
          <w:szCs w:val="24"/>
        </w:rPr>
        <w:t>26、盈余公积</w:t>
      </w:r>
      <w:r>
        <w:rPr>
          <w:rFonts w:ascii="宋体" w:hAnsi="宋体" w:cs="宋体" w:eastAsia="宋体" w:hint="default"/>
          <w:sz w:val="24"/>
          <w:szCs w:val="24"/>
        </w:rPr>
      </w:r>
    </w:p>
    <w:p>
      <w:pPr>
        <w:spacing w:line="240" w:lineRule="auto" w:before="2"/>
        <w:rPr>
          <w:rFonts w:ascii="宋体" w:hAnsi="宋体" w:cs="宋体" w:eastAsia="宋体" w:hint="default"/>
          <w:b/>
          <w:bCs/>
          <w:sz w:val="8"/>
          <w:szCs w:val="8"/>
        </w:rPr>
      </w:pPr>
    </w:p>
    <w:tbl>
      <w:tblPr>
        <w:tblW w:w="0" w:type="auto"/>
        <w:jc w:val="left"/>
        <w:tblInd w:w="283" w:type="dxa"/>
        <w:tblLayout w:type="fixed"/>
        <w:tblCellMar>
          <w:top w:w="0" w:type="dxa"/>
          <w:left w:w="0" w:type="dxa"/>
          <w:bottom w:w="0" w:type="dxa"/>
          <w:right w:w="0" w:type="dxa"/>
        </w:tblCellMar>
        <w:tblLook w:val="01E0"/>
      </w:tblPr>
      <w:tblGrid>
        <w:gridCol w:w="1855"/>
        <w:gridCol w:w="156"/>
        <w:gridCol w:w="140"/>
        <w:gridCol w:w="156"/>
        <w:gridCol w:w="1742"/>
        <w:gridCol w:w="2046"/>
        <w:gridCol w:w="1736"/>
      </w:tblGrid>
      <w:tr>
        <w:trPr>
          <w:trHeight w:val="266" w:hRule="exact"/>
        </w:trPr>
        <w:tc>
          <w:tcPr>
            <w:tcW w:w="1855"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Style w:val="TableParagraph"/>
              <w:spacing w:line="180" w:lineRule="exact"/>
              <w:ind w:right="-1614"/>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42" w:type="dxa"/>
            <w:tcBorders>
              <w:top w:val="nil" w:sz="6" w:space="0" w:color="auto"/>
              <w:left w:val="nil" w:sz="6" w:space="0" w:color="auto"/>
              <w:bottom w:val="nil" w:sz="6" w:space="0" w:color="auto"/>
              <w:right w:val="nil" w:sz="6" w:space="0" w:color="auto"/>
            </w:tcBorders>
          </w:tcPr>
          <w:p>
            <w:pPr>
              <w:pStyle w:val="TableParagraph"/>
              <w:spacing w:line="180" w:lineRule="exact"/>
              <w:ind w:left="324" w:right="0"/>
              <w:jc w:val="center"/>
              <w:rPr>
                <w:rFonts w:ascii="宋体" w:hAnsi="宋体" w:cs="宋体" w:eastAsia="宋体" w:hint="default"/>
                <w:sz w:val="18"/>
                <w:szCs w:val="18"/>
              </w:rPr>
            </w:pPr>
            <w:r>
              <w:rPr>
                <w:rFonts w:ascii="宋体" w:hAnsi="宋体" w:cs="宋体" w:eastAsia="宋体" w:hint="default"/>
                <w:sz w:val="18"/>
                <w:szCs w:val="18"/>
              </w:rPr>
              <w:t>本年提取</w:t>
            </w:r>
          </w:p>
        </w:tc>
        <w:tc>
          <w:tcPr>
            <w:tcW w:w="2046" w:type="dxa"/>
            <w:tcBorders>
              <w:top w:val="nil" w:sz="6" w:space="0" w:color="auto"/>
              <w:left w:val="nil" w:sz="6" w:space="0" w:color="auto"/>
              <w:bottom w:val="nil" w:sz="6" w:space="0" w:color="auto"/>
              <w:right w:val="nil" w:sz="6" w:space="0" w:color="auto"/>
            </w:tcBorders>
          </w:tcPr>
          <w:p>
            <w:pPr>
              <w:pStyle w:val="TableParagraph"/>
              <w:spacing w:line="180" w:lineRule="exact"/>
              <w:ind w:left="39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36" w:type="dxa"/>
            <w:tcBorders>
              <w:top w:val="nil" w:sz="6" w:space="0" w:color="auto"/>
              <w:left w:val="nil" w:sz="6" w:space="0" w:color="auto"/>
              <w:bottom w:val="nil" w:sz="6" w:space="0" w:color="auto"/>
              <w:right w:val="nil" w:sz="6" w:space="0" w:color="auto"/>
            </w:tcBorders>
          </w:tcPr>
          <w:p>
            <w:pPr>
              <w:pStyle w:val="TableParagraph"/>
              <w:spacing w:line="180" w:lineRule="exact"/>
              <w:ind w:left="268" w:right="-18"/>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0" w:hRule="exact"/>
        </w:trPr>
        <w:tc>
          <w:tcPr>
            <w:tcW w:w="1855"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left="297" w:right="0"/>
              <w:jc w:val="left"/>
              <w:rPr>
                <w:rFonts w:ascii="宋体" w:hAnsi="宋体" w:cs="宋体" w:eastAsia="宋体" w:hint="default"/>
                <w:sz w:val="18"/>
                <w:szCs w:val="18"/>
              </w:rPr>
            </w:pPr>
            <w:r>
              <w:rPr>
                <w:rFonts w:ascii="宋体" w:hAnsi="宋体" w:cs="宋体" w:eastAsia="宋体" w:hint="default"/>
                <w:sz w:val="18"/>
                <w:szCs w:val="18"/>
              </w:rPr>
              <w:t>法定盈余公积金</w:t>
            </w:r>
          </w:p>
        </w:tc>
        <w:tc>
          <w:tcPr>
            <w:tcW w:w="156"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single" w:sz="6" w:space="0" w:color="000000"/>
              <w:right w:val="nil" w:sz="6" w:space="0" w:color="auto"/>
            </w:tcBorders>
          </w:tcPr>
          <w:p>
            <w:pPr/>
          </w:p>
        </w:tc>
        <w:tc>
          <w:tcPr>
            <w:tcW w:w="156" w:type="dxa"/>
            <w:tcBorders>
              <w:top w:val="nil" w:sz="6" w:space="0" w:color="auto"/>
              <w:left w:val="nil" w:sz="6" w:space="0" w:color="auto"/>
              <w:bottom w:val="single" w:sz="6" w:space="0" w:color="000000"/>
              <w:right w:val="nil" w:sz="6" w:space="0" w:color="auto"/>
            </w:tcBorders>
          </w:tcPr>
          <w:p>
            <w:pPr>
              <w:pStyle w:val="TableParagraph"/>
              <w:spacing w:line="240" w:lineRule="auto" w:before="31"/>
              <w:ind w:right="-1713"/>
              <w:jc w:val="right"/>
              <w:rPr>
                <w:rFonts w:ascii="宋体" w:hAnsi="宋体" w:cs="宋体" w:eastAsia="宋体" w:hint="default"/>
                <w:sz w:val="18"/>
                <w:szCs w:val="18"/>
              </w:rPr>
            </w:pPr>
            <w:r>
              <w:rPr>
                <w:rFonts w:ascii="宋体"/>
                <w:sz w:val="18"/>
              </w:rPr>
              <w:t>23,294,614.02</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0"/>
              <w:ind w:left="380" w:right="0"/>
              <w:jc w:val="center"/>
              <w:rPr>
                <w:rFonts w:ascii="宋体" w:hAnsi="宋体" w:cs="宋体" w:eastAsia="宋体" w:hint="default"/>
                <w:sz w:val="18"/>
                <w:szCs w:val="18"/>
              </w:rPr>
            </w:pPr>
            <w:r>
              <w:rPr>
                <w:rFonts w:ascii="宋体"/>
                <w:sz w:val="18"/>
              </w:rPr>
              <w:t>12,797,163.24</w:t>
            </w:r>
          </w:p>
        </w:tc>
        <w:tc>
          <w:tcPr>
            <w:tcW w:w="204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76"/>
              <w:jc w:val="right"/>
              <w:rPr>
                <w:rFonts w:ascii="宋体" w:hAnsi="宋体" w:cs="宋体" w:eastAsia="宋体" w:hint="default"/>
                <w:sz w:val="18"/>
                <w:szCs w:val="18"/>
              </w:rPr>
            </w:pPr>
            <w:r>
              <w:rPr>
                <w:rFonts w:ascii="宋体"/>
                <w:sz w:val="18"/>
              </w:rPr>
              <w:t>-</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70"/>
              <w:ind w:left="666" w:right="-101"/>
              <w:jc w:val="left"/>
              <w:rPr>
                <w:rFonts w:ascii="宋体" w:hAnsi="宋体" w:cs="宋体" w:eastAsia="宋体" w:hint="default"/>
                <w:sz w:val="18"/>
                <w:szCs w:val="18"/>
              </w:rPr>
            </w:pPr>
            <w:r>
              <w:rPr>
                <w:rFonts w:ascii="宋体"/>
                <w:sz w:val="18"/>
              </w:rPr>
              <w:t>36,091,777.26</w:t>
            </w:r>
          </w:p>
        </w:tc>
      </w:tr>
    </w:tbl>
    <w:p>
      <w:pPr>
        <w:spacing w:line="240" w:lineRule="auto" w:before="5"/>
        <w:rPr>
          <w:rFonts w:ascii="宋体" w:hAnsi="宋体" w:cs="宋体" w:eastAsia="宋体" w:hint="default"/>
          <w:b/>
          <w:bCs/>
          <w:sz w:val="17"/>
          <w:szCs w:val="17"/>
        </w:rPr>
      </w:pPr>
    </w:p>
    <w:p>
      <w:pPr>
        <w:spacing w:line="396" w:lineRule="auto" w:before="26"/>
        <w:ind w:left="796" w:right="3871" w:hanging="3"/>
        <w:jc w:val="left"/>
        <w:rPr>
          <w:rFonts w:ascii="宋体" w:hAnsi="宋体" w:cs="宋体" w:eastAsia="宋体" w:hint="default"/>
          <w:sz w:val="24"/>
          <w:szCs w:val="24"/>
        </w:rPr>
      </w:pPr>
      <w:r>
        <w:rPr>
          <w:rFonts w:ascii="宋体" w:hAnsi="宋体" w:cs="宋体" w:eastAsia="宋体" w:hint="default"/>
          <w:sz w:val="24"/>
          <w:szCs w:val="24"/>
        </w:rPr>
        <w:t>本公司</w:t>
      </w:r>
      <w:r>
        <w:rPr>
          <w:rFonts w:ascii="宋体" w:hAnsi="宋体" w:cs="宋体" w:eastAsia="宋体" w:hint="default"/>
          <w:spacing w:val="-60"/>
          <w:sz w:val="24"/>
          <w:szCs w:val="24"/>
        </w:rPr>
        <w:t> </w:t>
      </w: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年按净利润的</w:t>
      </w:r>
      <w:r>
        <w:rPr>
          <w:rFonts w:ascii="宋体" w:hAnsi="宋体" w:cs="宋体" w:eastAsia="宋体" w:hint="default"/>
          <w:spacing w:val="-60"/>
          <w:sz w:val="24"/>
          <w:szCs w:val="24"/>
        </w:rPr>
        <w:t> </w:t>
      </w:r>
      <w:r>
        <w:rPr>
          <w:rFonts w:ascii="宋体" w:hAnsi="宋体" w:cs="宋体" w:eastAsia="宋体" w:hint="default"/>
          <w:sz w:val="24"/>
          <w:szCs w:val="24"/>
        </w:rPr>
        <w:t>10%提取法定盈余公积金。</w:t>
      </w:r>
      <w:r>
        <w:rPr>
          <w:rFonts w:ascii="宋体" w:hAnsi="宋体" w:cs="宋体" w:eastAsia="宋体" w:hint="default"/>
          <w:sz w:val="24"/>
          <w:szCs w:val="24"/>
        </w:rPr>
        <w:t> </w:t>
      </w:r>
      <w:r>
        <w:rPr>
          <w:rFonts w:ascii="宋体" w:hAnsi="宋体" w:cs="宋体" w:eastAsia="宋体" w:hint="default"/>
          <w:b/>
          <w:bCs/>
          <w:sz w:val="24"/>
          <w:szCs w:val="24"/>
        </w:rPr>
        <w:t>27、未分配利润</w:t>
      </w:r>
      <w:r>
        <w:rPr>
          <w:rFonts w:ascii="宋体" w:hAnsi="宋体" w:cs="宋体" w:eastAsia="宋体" w:hint="default"/>
          <w:sz w:val="24"/>
          <w:szCs w:val="24"/>
        </w:rPr>
      </w:r>
    </w:p>
    <w:p>
      <w:pPr>
        <w:spacing w:line="240" w:lineRule="auto" w:before="4"/>
        <w:rPr>
          <w:rFonts w:ascii="宋体" w:hAnsi="宋体" w:cs="宋体" w:eastAsia="宋体" w:hint="default"/>
          <w:b/>
          <w:bCs/>
          <w:sz w:val="7"/>
          <w:szCs w:val="7"/>
        </w:rPr>
      </w:pPr>
    </w:p>
    <w:tbl>
      <w:tblPr>
        <w:tblW w:w="0" w:type="auto"/>
        <w:jc w:val="left"/>
        <w:tblInd w:w="113" w:type="dxa"/>
        <w:tblLayout w:type="fixed"/>
        <w:tblCellMar>
          <w:top w:w="0" w:type="dxa"/>
          <w:left w:w="0" w:type="dxa"/>
          <w:bottom w:w="0" w:type="dxa"/>
          <w:right w:w="0" w:type="dxa"/>
        </w:tblCellMar>
        <w:tblLook w:val="01E0"/>
      </w:tblPr>
      <w:tblGrid>
        <w:gridCol w:w="7489"/>
        <w:gridCol w:w="2354"/>
      </w:tblGrid>
      <w:tr>
        <w:trPr>
          <w:trHeight w:val="278" w:hRule="exact"/>
        </w:trPr>
        <w:tc>
          <w:tcPr>
            <w:tcW w:w="7489" w:type="dxa"/>
            <w:tcBorders>
              <w:top w:val="nil" w:sz="6" w:space="0" w:color="auto"/>
              <w:left w:val="nil" w:sz="6" w:space="0" w:color="auto"/>
              <w:bottom w:val="nil" w:sz="6" w:space="0" w:color="auto"/>
              <w:right w:val="nil" w:sz="6" w:space="0" w:color="auto"/>
            </w:tcBorders>
          </w:tcPr>
          <w:p>
            <w:pPr/>
          </w:p>
        </w:tc>
        <w:tc>
          <w:tcPr>
            <w:tcW w:w="2354" w:type="dxa"/>
            <w:tcBorders>
              <w:top w:val="nil" w:sz="6" w:space="0" w:color="auto"/>
              <w:left w:val="nil" w:sz="6" w:space="0" w:color="auto"/>
              <w:bottom w:val="single" w:sz="4" w:space="0" w:color="000000"/>
              <w:right w:val="nil" w:sz="6" w:space="0" w:color="auto"/>
            </w:tcBorders>
          </w:tcPr>
          <w:p>
            <w:pPr>
              <w:pStyle w:val="TableParagraph"/>
              <w:spacing w:line="180" w:lineRule="exact"/>
              <w:ind w:left="10" w:right="0"/>
              <w:jc w:val="center"/>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66"/>
                <w:sz w:val="18"/>
                <w:szCs w:val="18"/>
              </w:rPr>
              <w:t> </w:t>
            </w:r>
            <w:r>
              <w:rPr>
                <w:rFonts w:ascii="宋体" w:hAnsi="宋体" w:cs="宋体" w:eastAsia="宋体" w:hint="default"/>
                <w:sz w:val="18"/>
                <w:szCs w:val="18"/>
              </w:rPr>
              <w:t>额</w:t>
            </w:r>
          </w:p>
        </w:tc>
      </w:tr>
      <w:tr>
        <w:trPr>
          <w:trHeight w:val="376"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2354"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right="0"/>
              <w:jc w:val="right"/>
              <w:rPr>
                <w:rFonts w:ascii="宋体" w:hAnsi="宋体" w:cs="宋体" w:eastAsia="宋体" w:hint="default"/>
                <w:sz w:val="18"/>
                <w:szCs w:val="18"/>
              </w:rPr>
            </w:pPr>
            <w:r>
              <w:rPr>
                <w:rFonts w:ascii="宋体"/>
                <w:spacing w:val="-4"/>
                <w:sz w:val="18"/>
              </w:rPr>
              <w:t>158,163,622.79</w:t>
            </w:r>
          </w:p>
        </w:tc>
      </w:tr>
      <w:tr>
        <w:trPr>
          <w:trHeight w:val="369"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6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
              <w:jc w:val="right"/>
              <w:rPr>
                <w:rFonts w:ascii="宋体" w:hAnsi="宋体" w:cs="宋体" w:eastAsia="宋体" w:hint="default"/>
                <w:sz w:val="18"/>
                <w:szCs w:val="18"/>
              </w:rPr>
            </w:pPr>
            <w:r>
              <w:rPr>
                <w:rFonts w:ascii="宋体"/>
                <w:sz w:val="18"/>
              </w:rPr>
              <w:t>-</w:t>
            </w:r>
          </w:p>
        </w:tc>
      </w:tr>
      <w:tr>
        <w:trPr>
          <w:trHeight w:val="369"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92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
              <w:jc w:val="right"/>
              <w:rPr>
                <w:rFonts w:ascii="宋体" w:hAnsi="宋体" w:cs="宋体" w:eastAsia="宋体" w:hint="default"/>
                <w:sz w:val="18"/>
                <w:szCs w:val="18"/>
              </w:rPr>
            </w:pPr>
            <w:r>
              <w:rPr>
                <w:rFonts w:ascii="宋体"/>
                <w:sz w:val="18"/>
              </w:rPr>
              <w:t>-</w:t>
            </w:r>
          </w:p>
        </w:tc>
      </w:tr>
      <w:tr>
        <w:trPr>
          <w:trHeight w:val="369"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00"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0"/>
              <w:jc w:val="right"/>
              <w:rPr>
                <w:rFonts w:ascii="宋体" w:hAnsi="宋体" w:cs="宋体" w:eastAsia="宋体" w:hint="default"/>
                <w:sz w:val="18"/>
                <w:szCs w:val="18"/>
              </w:rPr>
            </w:pPr>
            <w:r>
              <w:rPr>
                <w:rFonts w:ascii="宋体"/>
                <w:spacing w:val="-4"/>
                <w:sz w:val="18"/>
              </w:rPr>
              <w:t>158,163,622.79</w:t>
            </w:r>
          </w:p>
        </w:tc>
      </w:tr>
      <w:tr>
        <w:trPr>
          <w:trHeight w:val="369"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0" w:right="0"/>
              <w:jc w:val="left"/>
              <w:rPr>
                <w:rFonts w:ascii="宋体" w:hAnsi="宋体" w:cs="宋体" w:eastAsia="宋体" w:hint="default"/>
                <w:sz w:val="18"/>
                <w:szCs w:val="18"/>
              </w:rPr>
            </w:pPr>
            <w:r>
              <w:rPr>
                <w:rFonts w:ascii="宋体" w:hAnsi="宋体" w:cs="宋体" w:eastAsia="宋体" w:hint="default"/>
                <w:sz w:val="18"/>
                <w:szCs w:val="18"/>
              </w:rPr>
              <w:t>三、本年增减变动金额</w:t>
            </w:r>
          </w:p>
        </w:tc>
        <w:tc>
          <w:tcPr>
            <w:tcW w:w="2354" w:type="dxa"/>
            <w:tcBorders>
              <w:top w:val="nil" w:sz="6" w:space="0" w:color="auto"/>
              <w:left w:val="nil" w:sz="6" w:space="0" w:color="auto"/>
              <w:bottom w:val="nil" w:sz="6" w:space="0" w:color="auto"/>
              <w:right w:val="nil" w:sz="6" w:space="0" w:color="auto"/>
            </w:tcBorders>
          </w:tcPr>
          <w:p>
            <w:pPr/>
          </w:p>
        </w:tc>
      </w:tr>
      <w:tr>
        <w:trPr>
          <w:trHeight w:val="369"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
              <w:jc w:val="right"/>
              <w:rPr>
                <w:rFonts w:ascii="宋体" w:hAnsi="宋体" w:cs="宋体" w:eastAsia="宋体" w:hint="default"/>
                <w:sz w:val="18"/>
                <w:szCs w:val="18"/>
              </w:rPr>
            </w:pPr>
            <w:r>
              <w:rPr>
                <w:rFonts w:ascii="宋体"/>
                <w:sz w:val="18"/>
              </w:rPr>
              <w:t>130,222,796.59</w:t>
            </w:r>
          </w:p>
        </w:tc>
      </w:tr>
      <w:tr>
        <w:trPr>
          <w:trHeight w:val="369"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00" w:right="0"/>
              <w:jc w:val="left"/>
              <w:rPr>
                <w:rFonts w:ascii="宋体" w:hAnsi="宋体" w:cs="宋体" w:eastAsia="宋体" w:hint="default"/>
                <w:sz w:val="18"/>
                <w:szCs w:val="18"/>
              </w:rPr>
            </w:pPr>
            <w:r>
              <w:rPr>
                <w:rFonts w:ascii="宋体" w:hAnsi="宋体" w:cs="宋体" w:eastAsia="宋体" w:hint="default"/>
                <w:sz w:val="18"/>
                <w:szCs w:val="18"/>
              </w:rPr>
              <w:t>(二)利润分配</w:t>
            </w:r>
          </w:p>
        </w:tc>
        <w:tc>
          <w:tcPr>
            <w:tcW w:w="2354" w:type="dxa"/>
            <w:tcBorders>
              <w:top w:val="nil" w:sz="6" w:space="0" w:color="auto"/>
              <w:left w:val="nil" w:sz="6" w:space="0" w:color="auto"/>
              <w:bottom w:val="nil" w:sz="6" w:space="0" w:color="auto"/>
              <w:right w:val="nil" w:sz="6" w:space="0" w:color="auto"/>
            </w:tcBorders>
          </w:tcPr>
          <w:p>
            <w:pPr/>
          </w:p>
        </w:tc>
      </w:tr>
      <w:tr>
        <w:trPr>
          <w:trHeight w:val="369"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80" w:right="0"/>
              <w:jc w:val="left"/>
              <w:rPr>
                <w:rFonts w:ascii="宋体" w:hAnsi="宋体" w:cs="宋体" w:eastAsia="宋体" w:hint="default"/>
                <w:sz w:val="18"/>
                <w:szCs w:val="18"/>
              </w:rPr>
            </w:pPr>
            <w:r>
              <w:rPr>
                <w:rFonts w:ascii="宋体" w:hAnsi="宋体" w:cs="宋体" w:eastAsia="宋体" w:hint="default"/>
                <w:sz w:val="18"/>
                <w:szCs w:val="18"/>
              </w:rPr>
              <w:t>1、提取盈余公积</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
              <w:jc w:val="right"/>
              <w:rPr>
                <w:rFonts w:ascii="宋体" w:hAnsi="宋体" w:cs="宋体" w:eastAsia="宋体" w:hint="default"/>
                <w:sz w:val="18"/>
                <w:szCs w:val="18"/>
              </w:rPr>
            </w:pPr>
            <w:r>
              <w:rPr>
                <w:rFonts w:ascii="宋体"/>
                <w:sz w:val="18"/>
              </w:rPr>
              <w:t>12,797,163.24</w:t>
            </w:r>
          </w:p>
        </w:tc>
      </w:tr>
      <w:tr>
        <w:trPr>
          <w:trHeight w:val="369"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38"/>
              <w:ind w:left="380" w:right="0"/>
              <w:jc w:val="left"/>
              <w:rPr>
                <w:rFonts w:ascii="宋体" w:hAnsi="宋体" w:cs="宋体" w:eastAsia="宋体" w:hint="default"/>
                <w:sz w:val="18"/>
                <w:szCs w:val="18"/>
              </w:rPr>
            </w:pPr>
            <w:r>
              <w:rPr>
                <w:rFonts w:ascii="宋体" w:hAnsi="宋体" w:cs="宋体" w:eastAsia="宋体" w:hint="default"/>
                <w:sz w:val="18"/>
                <w:szCs w:val="18"/>
              </w:rPr>
              <w:t>2、支付的普通股股利(对所有者或股东的分配)</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
              <w:jc w:val="right"/>
              <w:rPr>
                <w:rFonts w:ascii="宋体" w:hAnsi="宋体" w:cs="宋体" w:eastAsia="宋体" w:hint="default"/>
                <w:sz w:val="18"/>
                <w:szCs w:val="18"/>
              </w:rPr>
            </w:pPr>
            <w:r>
              <w:rPr>
                <w:rFonts w:ascii="宋体"/>
                <w:sz w:val="18"/>
              </w:rPr>
              <w:t>3,200,000.00</w:t>
            </w:r>
          </w:p>
        </w:tc>
      </w:tr>
      <w:tr>
        <w:trPr>
          <w:trHeight w:val="372"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80" w:right="0"/>
              <w:jc w:val="left"/>
              <w:rPr>
                <w:rFonts w:ascii="宋体" w:hAnsi="宋体" w:cs="宋体" w:eastAsia="宋体" w:hint="default"/>
                <w:sz w:val="18"/>
                <w:szCs w:val="18"/>
              </w:rPr>
            </w:pPr>
            <w:r>
              <w:rPr>
                <w:rFonts w:ascii="宋体" w:hAnsi="宋体" w:cs="宋体" w:eastAsia="宋体" w:hint="default"/>
                <w:sz w:val="18"/>
                <w:szCs w:val="18"/>
              </w:rPr>
              <w:t>3、转作股本的普通股股利</w:t>
            </w:r>
          </w:p>
        </w:tc>
        <w:tc>
          <w:tcPr>
            <w:tcW w:w="2354"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
              <w:jc w:val="right"/>
              <w:rPr>
                <w:rFonts w:ascii="宋体" w:hAnsi="宋体" w:cs="宋体" w:eastAsia="宋体" w:hint="default"/>
                <w:sz w:val="18"/>
                <w:szCs w:val="18"/>
              </w:rPr>
            </w:pPr>
            <w:r>
              <w:rPr>
                <w:rFonts w:ascii="宋体"/>
                <w:sz w:val="18"/>
              </w:rPr>
              <w:t>25,600,000.00</w:t>
            </w:r>
          </w:p>
        </w:tc>
      </w:tr>
      <w:tr>
        <w:trPr>
          <w:trHeight w:val="389"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2354"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
              <w:jc w:val="right"/>
              <w:rPr>
                <w:rFonts w:ascii="宋体" w:hAnsi="宋体" w:cs="宋体" w:eastAsia="宋体" w:hint="default"/>
                <w:sz w:val="18"/>
                <w:szCs w:val="18"/>
              </w:rPr>
            </w:pPr>
            <w:r>
              <w:rPr>
                <w:rFonts w:ascii="宋体"/>
                <w:sz w:val="18"/>
              </w:rPr>
              <w:t>246,789,256.14</w:t>
            </w:r>
          </w:p>
        </w:tc>
      </w:tr>
      <w:tr>
        <w:trPr>
          <w:trHeight w:val="292" w:hRule="exact"/>
        </w:trPr>
        <w:tc>
          <w:tcPr>
            <w:tcW w:w="748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其中：拟分配的现金股利</w:t>
            </w:r>
          </w:p>
        </w:tc>
        <w:tc>
          <w:tcPr>
            <w:tcW w:w="2354" w:type="dxa"/>
            <w:tcBorders>
              <w:top w:val="single" w:sz="12" w:space="0" w:color="000000"/>
              <w:left w:val="nil" w:sz="6" w:space="0" w:color="auto"/>
              <w:bottom w:val="nil" w:sz="6" w:space="0" w:color="auto"/>
              <w:right w:val="nil" w:sz="6" w:space="0" w:color="auto"/>
            </w:tcBorders>
          </w:tcPr>
          <w:p>
            <w:pPr>
              <w:pStyle w:val="TableParagraph"/>
              <w:spacing w:line="240" w:lineRule="auto" w:before="41"/>
              <w:ind w:right="2"/>
              <w:jc w:val="right"/>
              <w:rPr>
                <w:rFonts w:ascii="宋体" w:hAnsi="宋体" w:cs="宋体" w:eastAsia="宋体" w:hint="default"/>
                <w:sz w:val="18"/>
                <w:szCs w:val="18"/>
              </w:rPr>
            </w:pPr>
            <w:r>
              <w:rPr>
                <w:rFonts w:ascii="宋体"/>
                <w:sz w:val="18"/>
              </w:rPr>
              <w:t>25,600,000.00</w:t>
            </w:r>
          </w:p>
        </w:tc>
      </w:tr>
    </w:tbl>
    <w:p>
      <w:pPr>
        <w:spacing w:line="240" w:lineRule="auto" w:before="1"/>
        <w:rPr>
          <w:rFonts w:ascii="宋体" w:hAnsi="宋体" w:cs="宋体" w:eastAsia="宋体" w:hint="default"/>
          <w:b/>
          <w:bCs/>
          <w:sz w:val="21"/>
          <w:szCs w:val="21"/>
        </w:rPr>
      </w:pPr>
    </w:p>
    <w:p>
      <w:pPr>
        <w:pStyle w:val="BodyText"/>
        <w:spacing w:line="240" w:lineRule="auto" w:before="26"/>
        <w:ind w:left="794" w:right="3871"/>
        <w:jc w:val="left"/>
      </w:pPr>
      <w:r>
        <w:rPr/>
        <w:t>(1)本年内分配普通股股利</w:t>
      </w:r>
    </w:p>
    <w:p>
      <w:pPr>
        <w:spacing w:line="240" w:lineRule="auto" w:before="11"/>
        <w:rPr>
          <w:rFonts w:ascii="宋体" w:hAnsi="宋体" w:cs="宋体" w:eastAsia="宋体" w:hint="default"/>
          <w:sz w:val="18"/>
          <w:szCs w:val="18"/>
        </w:rPr>
      </w:pPr>
    </w:p>
    <w:p>
      <w:pPr>
        <w:pStyle w:val="BodyText"/>
        <w:spacing w:line="336" w:lineRule="auto"/>
        <w:ind w:left="314" w:right="298" w:firstLine="480"/>
        <w:jc w:val="left"/>
      </w:pPr>
      <w:r>
        <w:rPr/>
        <w:t>根据本公司</w:t>
      </w:r>
      <w:r>
        <w:rPr>
          <w:spacing w:val="-56"/>
        </w:rPr>
        <w:t> </w:t>
      </w:r>
      <w:r>
        <w:rPr>
          <w:spacing w:val="27"/>
        </w:rPr>
        <w:t>2008年4月</w:t>
      </w:r>
      <w:r>
        <w:rPr>
          <w:spacing w:val="-56"/>
        </w:rPr>
        <w:t> </w:t>
      </w:r>
      <w:r>
        <w:rPr/>
        <w:t>29</w:t>
      </w:r>
      <w:r>
        <w:rPr>
          <w:spacing w:val="-56"/>
        </w:rPr>
        <w:t> </w:t>
      </w:r>
      <w:r>
        <w:rPr/>
        <w:t>日召开的</w:t>
      </w:r>
      <w:r>
        <w:rPr>
          <w:spacing w:val="-56"/>
        </w:rPr>
        <w:t> </w:t>
      </w:r>
      <w:r>
        <w:rPr/>
        <w:t>2007</w:t>
      </w:r>
      <w:r>
        <w:rPr>
          <w:spacing w:val="-56"/>
        </w:rPr>
        <w:t> </w:t>
      </w:r>
      <w:r>
        <w:rPr/>
        <w:t>年度股东大会决议和修改后章程的规定： 本</w:t>
      </w:r>
      <w:r>
        <w:rPr/>
        <w:t> 公司以</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日总股本</w:t>
      </w:r>
      <w:r>
        <w:rPr>
          <w:spacing w:val="-60"/>
        </w:rPr>
        <w:t> </w:t>
      </w:r>
      <w:r>
        <w:rPr/>
        <w:t>64,000,000</w:t>
      </w:r>
      <w:r>
        <w:rPr>
          <w:spacing w:val="-60"/>
        </w:rPr>
        <w:t> </w:t>
      </w:r>
      <w:r>
        <w:rPr>
          <w:spacing w:val="-8"/>
        </w:rPr>
        <w:t>股为基数，向全体股东每</w:t>
      </w:r>
      <w:r>
        <w:rPr>
          <w:spacing w:val="-60"/>
        </w:rPr>
        <w:t> </w:t>
      </w:r>
      <w:r>
        <w:rPr/>
        <w:t>10</w:t>
      </w:r>
      <w:r>
        <w:rPr>
          <w:spacing w:val="-60"/>
        </w:rPr>
        <w:t> </w:t>
      </w:r>
      <w:r>
        <w:rPr/>
        <w:t>股以未分配利润派</w:t>
      </w:r>
    </w:p>
    <w:p>
      <w:pPr>
        <w:pStyle w:val="BodyText"/>
        <w:spacing w:line="240" w:lineRule="auto" w:before="29"/>
        <w:ind w:left="314" w:right="0"/>
        <w:jc w:val="left"/>
      </w:pPr>
      <w:r>
        <w:rPr/>
        <w:t>送</w:t>
      </w:r>
      <w:r>
        <w:rPr>
          <w:spacing w:val="-74"/>
        </w:rPr>
        <w:t> </w:t>
      </w:r>
      <w:r>
        <w:rPr/>
        <w:t>4</w:t>
      </w:r>
      <w:r>
        <w:rPr>
          <w:spacing w:val="-74"/>
        </w:rPr>
        <w:t> </w:t>
      </w:r>
      <w:r>
        <w:rPr/>
        <w:t>股红股</w:t>
      </w:r>
      <w:r>
        <w:rPr>
          <w:spacing w:val="-120"/>
        </w:rPr>
        <w:t>，</w:t>
      </w:r>
      <w:r>
        <w:rPr/>
        <w:t>增加注册资本人民币</w:t>
      </w:r>
      <w:r>
        <w:rPr>
          <w:spacing w:val="-74"/>
        </w:rPr>
        <w:t> </w:t>
      </w:r>
      <w:r>
        <w:rPr/>
        <w:t>25,600,000.00</w:t>
      </w:r>
      <w:r>
        <w:rPr>
          <w:spacing w:val="-74"/>
        </w:rPr>
        <w:t> </w:t>
      </w:r>
      <w:r>
        <w:rPr/>
        <w:t>元</w:t>
      </w:r>
      <w:r>
        <w:rPr>
          <w:spacing w:val="-120"/>
        </w:rPr>
        <w:t>；</w:t>
      </w:r>
      <w:r>
        <w:rPr/>
        <w:t>以</w:t>
      </w:r>
      <w:r>
        <w:rPr>
          <w:spacing w:val="-74"/>
        </w:rPr>
        <w:t> </w:t>
      </w:r>
      <w:r>
        <w:rPr/>
        <w:t>2007</w:t>
      </w:r>
      <w:r>
        <w:rPr>
          <w:spacing w:val="-74"/>
        </w:rPr>
        <w:t> </w:t>
      </w:r>
      <w:r>
        <w:rPr/>
        <w:t>年</w:t>
      </w:r>
      <w:r>
        <w:rPr>
          <w:spacing w:val="-74"/>
        </w:rPr>
        <w:t> </w:t>
      </w:r>
      <w:r>
        <w:rPr>
          <w:spacing w:val="1"/>
        </w:rPr>
        <w:t>1</w:t>
      </w:r>
      <w:r>
        <w:rPr/>
        <w:t>2</w:t>
      </w:r>
      <w:r>
        <w:rPr>
          <w:spacing w:val="-74"/>
        </w:rPr>
        <w:t> </w:t>
      </w:r>
      <w:r>
        <w:rPr/>
        <w:t>月</w:t>
      </w:r>
      <w:r>
        <w:rPr>
          <w:spacing w:val="-74"/>
        </w:rPr>
        <w:t> </w:t>
      </w:r>
      <w:r>
        <w:rPr/>
        <w:t>31</w:t>
      </w:r>
      <w:r>
        <w:rPr>
          <w:spacing w:val="-74"/>
        </w:rPr>
        <w:t> </w:t>
      </w:r>
      <w:r>
        <w:rPr/>
        <w:t>日总股本</w:t>
      </w:r>
      <w:r>
        <w:rPr>
          <w:spacing w:val="-74"/>
        </w:rPr>
        <w:t> </w:t>
      </w:r>
      <w:r>
        <w:rPr/>
        <w:t>64,000,000</w:t>
      </w:r>
    </w:p>
    <w:p>
      <w:pPr>
        <w:pStyle w:val="BodyText"/>
        <w:spacing w:line="240" w:lineRule="auto" w:before="126"/>
        <w:ind w:left="313" w:right="0"/>
        <w:jc w:val="left"/>
      </w:pPr>
      <w:r>
        <w:rPr/>
        <w:t>股为基数</w:t>
      </w:r>
      <w:r>
        <w:rPr>
          <w:spacing w:val="-120"/>
        </w:rPr>
        <w:t>，</w:t>
      </w:r>
      <w:r>
        <w:rPr/>
        <w:t>以资本公积金转增股本方式</w:t>
      </w:r>
      <w:r>
        <w:rPr>
          <w:spacing w:val="-120"/>
        </w:rPr>
        <w:t>，</w:t>
      </w:r>
      <w:r>
        <w:rPr/>
        <w:t>向全体股东每</w:t>
      </w:r>
      <w:r>
        <w:rPr>
          <w:spacing w:val="-89"/>
        </w:rPr>
        <w:t> </w:t>
      </w:r>
      <w:r>
        <w:rPr/>
        <w:t>10</w:t>
      </w:r>
      <w:r>
        <w:rPr>
          <w:spacing w:val="-89"/>
        </w:rPr>
        <w:t> </w:t>
      </w:r>
      <w:r>
        <w:rPr/>
        <w:t>股转增</w:t>
      </w:r>
      <w:r>
        <w:rPr>
          <w:spacing w:val="-89"/>
        </w:rPr>
        <w:t> </w:t>
      </w:r>
      <w:r>
        <w:rPr/>
        <w:t>6</w:t>
      </w:r>
      <w:r>
        <w:rPr>
          <w:spacing w:val="-88"/>
        </w:rPr>
        <w:t> </w:t>
      </w:r>
      <w:r>
        <w:rPr/>
        <w:t>股</w:t>
      </w:r>
      <w:r>
        <w:rPr>
          <w:spacing w:val="-120"/>
        </w:rPr>
        <w:t>，</w:t>
      </w:r>
      <w:r>
        <w:rPr/>
        <w:t>计人民币</w:t>
      </w:r>
      <w:r>
        <w:rPr>
          <w:spacing w:val="-89"/>
        </w:rPr>
        <w:t> </w:t>
      </w:r>
      <w:r>
        <w:rPr/>
        <w:t>38,400,000.00</w:t>
      </w:r>
    </w:p>
    <w:p>
      <w:pPr>
        <w:pStyle w:val="BodyText"/>
        <w:spacing w:line="240" w:lineRule="auto" w:before="126"/>
        <w:ind w:left="313" w:right="0"/>
        <w:jc w:val="left"/>
      </w:pPr>
      <w:r>
        <w:rPr/>
        <w:t>元; 以</w:t>
      </w:r>
      <w:r>
        <w:rPr>
          <w:spacing w:val="-60"/>
        </w:rPr>
        <w:t> </w:t>
      </w:r>
      <w:r>
        <w:rPr/>
        <w:t>2007</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日总股本</w:t>
      </w:r>
      <w:r>
        <w:rPr>
          <w:spacing w:val="-60"/>
        </w:rPr>
        <w:t> </w:t>
      </w:r>
      <w:r>
        <w:rPr/>
        <w:t>64,000,000</w:t>
      </w:r>
      <w:r>
        <w:rPr>
          <w:spacing w:val="-60"/>
        </w:rPr>
        <w:t> </w:t>
      </w:r>
      <w:r>
        <w:rPr>
          <w:spacing w:val="-14"/>
        </w:rPr>
        <w:t>股为基数，每</w:t>
      </w:r>
      <w:r>
        <w:rPr>
          <w:spacing w:val="-60"/>
        </w:rPr>
        <w:t> </w:t>
      </w:r>
      <w:r>
        <w:rPr/>
        <w:t>10 股派送人民币</w:t>
      </w:r>
      <w:r>
        <w:rPr>
          <w:spacing w:val="-60"/>
        </w:rPr>
        <w:t> </w:t>
      </w:r>
      <w:r>
        <w:rPr/>
        <w:t>0.50 元(含税)</w:t>
      </w:r>
    </w:p>
    <w:p>
      <w:pPr>
        <w:pStyle w:val="BodyText"/>
        <w:spacing w:line="240" w:lineRule="auto" w:before="125"/>
        <w:ind w:left="313" w:right="3871"/>
        <w:jc w:val="left"/>
      </w:pPr>
      <w:r>
        <w:rPr/>
        <w:t>现金股息，派发现金股利共计</w:t>
      </w:r>
      <w:r>
        <w:rPr>
          <w:spacing w:val="-60"/>
        </w:rPr>
        <w:t> </w:t>
      </w:r>
      <w:r>
        <w:rPr/>
        <w:t>3,200,000.00</w:t>
      </w:r>
      <w:r>
        <w:rPr>
          <w:spacing w:val="-60"/>
        </w:rPr>
        <w:t> </w:t>
      </w:r>
      <w:r>
        <w:rPr/>
        <w:t>元。</w:t>
      </w:r>
    </w:p>
    <w:p>
      <w:pPr>
        <w:spacing w:line="240" w:lineRule="auto" w:before="11"/>
        <w:rPr>
          <w:rFonts w:ascii="宋体" w:hAnsi="宋体" w:cs="宋体" w:eastAsia="宋体" w:hint="default"/>
          <w:sz w:val="18"/>
          <w:szCs w:val="18"/>
        </w:rPr>
      </w:pPr>
    </w:p>
    <w:p>
      <w:pPr>
        <w:pStyle w:val="BodyText"/>
        <w:spacing w:line="240" w:lineRule="auto"/>
        <w:ind w:left="793" w:right="3871"/>
        <w:jc w:val="left"/>
      </w:pPr>
      <w:r>
        <w:rPr/>
        <w:t>(2) 于资产负债表日后提议的利润分配预案</w:t>
      </w:r>
    </w:p>
    <w:p>
      <w:pPr>
        <w:spacing w:after="0" w:line="240" w:lineRule="auto"/>
        <w:jc w:val="left"/>
        <w:sectPr>
          <w:pgSz w:w="11910" w:h="16840"/>
          <w:pgMar w:header="877" w:footer="1022" w:top="1060" w:bottom="1220" w:left="820" w:right="820"/>
        </w:sectPr>
      </w:pPr>
    </w:p>
    <w:p>
      <w:pPr>
        <w:spacing w:line="240" w:lineRule="auto" w:before="0"/>
        <w:rPr>
          <w:rFonts w:ascii="宋体" w:hAnsi="宋体" w:cs="宋体" w:eastAsia="宋体" w:hint="default"/>
          <w:sz w:val="20"/>
          <w:szCs w:val="20"/>
        </w:rPr>
      </w:pPr>
    </w:p>
    <w:p>
      <w:pPr>
        <w:pStyle w:val="BodyText"/>
        <w:spacing w:line="336" w:lineRule="auto" w:before="200"/>
        <w:ind w:left="313" w:right="95" w:firstLine="480"/>
        <w:jc w:val="left"/>
      </w:pPr>
      <w:r>
        <w:rPr/>
        <w:t>根据</w:t>
      </w:r>
      <w:r>
        <w:rPr>
          <w:spacing w:val="-54"/>
        </w:rPr>
        <w:t> </w:t>
      </w:r>
      <w:r>
        <w:rPr/>
        <w:t>2009</w:t>
      </w:r>
      <w:r>
        <w:rPr>
          <w:spacing w:val="-53"/>
        </w:rPr>
        <w:t> </w:t>
      </w:r>
      <w:r>
        <w:rPr>
          <w:spacing w:val="44"/>
        </w:rPr>
        <w:t>年2月</w:t>
      </w:r>
      <w:r>
        <w:rPr>
          <w:spacing w:val="-54"/>
        </w:rPr>
        <w:t> </w:t>
      </w:r>
      <w:r>
        <w:rPr/>
        <w:t>24</w:t>
      </w:r>
      <w:r>
        <w:rPr>
          <w:spacing w:val="-54"/>
        </w:rPr>
        <w:t> </w:t>
      </w:r>
      <w:r>
        <w:rPr/>
        <w:t>日董事会决议，董事会提议：本公司向全体股东派发现金股利，每</w:t>
      </w:r>
      <w:r>
        <w:rPr/>
        <w:t> 股人民币</w:t>
      </w:r>
      <w:r>
        <w:rPr>
          <w:spacing w:val="-58"/>
        </w:rPr>
        <w:t> </w:t>
      </w:r>
      <w:r>
        <w:rPr/>
        <w:t>0.2</w:t>
      </w:r>
      <w:r>
        <w:rPr>
          <w:spacing w:val="-58"/>
        </w:rPr>
        <w:t> </w:t>
      </w:r>
      <w:r>
        <w:rPr>
          <w:spacing w:val="-6"/>
        </w:rPr>
        <w:t>元，按已发行股份</w:t>
      </w:r>
      <w:r>
        <w:rPr>
          <w:spacing w:val="-58"/>
        </w:rPr>
        <w:t> </w:t>
      </w:r>
      <w:r>
        <w:rPr/>
        <w:t>128,000,000</w:t>
      </w:r>
      <w:r>
        <w:rPr>
          <w:spacing w:val="-58"/>
        </w:rPr>
        <w:t> </w:t>
      </w:r>
      <w:r>
        <w:rPr>
          <w:spacing w:val="-4"/>
        </w:rPr>
        <w:t>计算，拟派发现金股利共计</w:t>
      </w:r>
      <w:r>
        <w:rPr>
          <w:spacing w:val="-58"/>
        </w:rPr>
        <w:t> </w:t>
      </w:r>
      <w:r>
        <w:rPr/>
        <w:t>25,600,000.00</w:t>
      </w:r>
      <w:r>
        <w:rPr>
          <w:spacing w:val="-58"/>
        </w:rPr>
        <w:t> </w:t>
      </w:r>
      <w:r>
        <w:rPr/>
        <w:t>元；</w:t>
      </w:r>
    </w:p>
    <w:p>
      <w:pPr>
        <w:pStyle w:val="BodyText"/>
        <w:spacing w:line="240" w:lineRule="auto" w:before="29"/>
        <w:ind w:left="313" w:right="0"/>
        <w:jc w:val="left"/>
      </w:pPr>
      <w:r>
        <w:rPr/>
        <w:t>以资本公积转增股本方式，向全体股东每</w:t>
      </w:r>
      <w:r>
        <w:rPr>
          <w:spacing w:val="-64"/>
        </w:rPr>
        <w:t> </w:t>
      </w:r>
      <w:r>
        <w:rPr/>
        <w:t>10</w:t>
      </w:r>
      <w:r>
        <w:rPr>
          <w:spacing w:val="-64"/>
        </w:rPr>
        <w:t> </w:t>
      </w:r>
      <w:r>
        <w:rPr/>
        <w:t>股转增</w:t>
      </w:r>
      <w:r>
        <w:rPr>
          <w:spacing w:val="-64"/>
        </w:rPr>
        <w:t> </w:t>
      </w:r>
      <w:r>
        <w:rPr/>
        <w:t>6</w:t>
      </w:r>
      <w:r>
        <w:rPr>
          <w:spacing w:val="-64"/>
        </w:rPr>
        <w:t> </w:t>
      </w:r>
      <w:r>
        <w:rPr>
          <w:spacing w:val="-4"/>
        </w:rPr>
        <w:t>股。上述提议尚待股东大会批准，拟派</w:t>
      </w:r>
    </w:p>
    <w:p>
      <w:pPr>
        <w:pStyle w:val="BodyText"/>
        <w:spacing w:line="427" w:lineRule="auto" w:before="126"/>
        <w:ind w:left="793" w:right="4691" w:hanging="480"/>
        <w:jc w:val="left"/>
      </w:pPr>
      <w:r>
        <w:rPr/>
        <w:t>发现金股利不确认为</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日的负债。</w:t>
      </w:r>
      <w:r>
        <w:rPr/>
        <w:t> </w:t>
      </w:r>
      <w:r>
        <w:rPr>
          <w:rFonts w:ascii="宋体" w:hAnsi="宋体" w:cs="宋体" w:eastAsia="宋体" w:hint="default"/>
          <w:b/>
          <w:bCs/>
        </w:rPr>
        <w:t>28、少数股东权益</w:t>
      </w:r>
      <w:r>
        <w:rPr>
          <w:rFonts w:ascii="宋体" w:hAnsi="宋体" w:cs="宋体" w:eastAsia="宋体" w:hint="default"/>
          <w:b/>
          <w:bCs/>
          <w:spacing w:val="1"/>
          <w:w w:val="99"/>
        </w:rPr>
        <w:t> </w:t>
      </w:r>
      <w:r>
        <w:rPr/>
        <w:t>归属于子公司少数股东的少数股东权益</w:t>
      </w:r>
    </w:p>
    <w:p>
      <w:pPr>
        <w:spacing w:line="240" w:lineRule="auto" w:before="1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038"/>
        <w:gridCol w:w="2309"/>
        <w:gridCol w:w="1222"/>
        <w:gridCol w:w="2270"/>
      </w:tblGrid>
      <w:tr>
        <w:trPr>
          <w:trHeight w:val="290" w:hRule="exact"/>
        </w:trPr>
        <w:tc>
          <w:tcPr>
            <w:tcW w:w="4038" w:type="dxa"/>
            <w:tcBorders>
              <w:top w:val="nil" w:sz="6" w:space="0" w:color="auto"/>
              <w:left w:val="nil" w:sz="6" w:space="0" w:color="auto"/>
              <w:bottom w:val="nil" w:sz="6" w:space="0" w:color="auto"/>
              <w:right w:val="nil" w:sz="6" w:space="0" w:color="auto"/>
            </w:tcBorders>
          </w:tcPr>
          <w:p>
            <w:pPr/>
          </w:p>
        </w:tc>
        <w:tc>
          <w:tcPr>
            <w:tcW w:w="2309" w:type="dxa"/>
            <w:tcBorders>
              <w:top w:val="nil" w:sz="6" w:space="0" w:color="auto"/>
              <w:left w:val="nil" w:sz="6" w:space="0" w:color="auto"/>
              <w:bottom w:val="single" w:sz="4" w:space="0" w:color="000000"/>
              <w:right w:val="nil" w:sz="6" w:space="0" w:color="auto"/>
            </w:tcBorders>
          </w:tcPr>
          <w:p>
            <w:pPr>
              <w:pStyle w:val="TableParagraph"/>
              <w:spacing w:line="180" w:lineRule="exact"/>
              <w:ind w:left="415"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4" w:space="0" w:color="000000"/>
              <w:right w:val="nil" w:sz="6" w:space="0" w:color="auto"/>
            </w:tcBorders>
          </w:tcPr>
          <w:p>
            <w:pPr>
              <w:pStyle w:val="TableParagraph"/>
              <w:spacing w:line="180" w:lineRule="exact"/>
              <w:ind w:left="39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92" w:hRule="exact"/>
        </w:trPr>
        <w:tc>
          <w:tcPr>
            <w:tcW w:w="403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北京信力</w:t>
            </w:r>
          </w:p>
        </w:tc>
        <w:tc>
          <w:tcPr>
            <w:tcW w:w="230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138" w:right="0"/>
              <w:jc w:val="left"/>
              <w:rPr>
                <w:rFonts w:ascii="宋体" w:hAnsi="宋体" w:cs="宋体" w:eastAsia="宋体" w:hint="default"/>
                <w:sz w:val="18"/>
                <w:szCs w:val="18"/>
              </w:rPr>
            </w:pPr>
            <w:r>
              <w:rPr>
                <w:rFonts w:ascii="宋体"/>
                <w:sz w:val="18"/>
              </w:rPr>
              <w:t>12,304,400.06</w:t>
            </w:r>
          </w:p>
        </w:tc>
        <w:tc>
          <w:tcPr>
            <w:tcW w:w="1222"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9"/>
          <w:szCs w:val="19"/>
        </w:rPr>
      </w:pPr>
    </w:p>
    <w:p>
      <w:pPr>
        <w:pStyle w:val="Heading4"/>
        <w:spacing w:line="240" w:lineRule="auto"/>
        <w:ind w:right="0"/>
        <w:jc w:val="left"/>
        <w:rPr>
          <w:b w:val="0"/>
          <w:bCs w:val="0"/>
        </w:rPr>
      </w:pPr>
      <w:r>
        <w:rPr/>
        <w:t>29、营业收入和营业成本</w:t>
      </w:r>
      <w:r>
        <w:rPr>
          <w:b w:val="0"/>
          <w:bCs w:val="0"/>
        </w:rPr>
      </w:r>
    </w:p>
    <w:p>
      <w:pPr>
        <w:spacing w:line="240" w:lineRule="auto" w:before="2"/>
        <w:rPr>
          <w:rFonts w:ascii="宋体" w:hAnsi="宋体" w:cs="宋体" w:eastAsia="宋体" w:hint="default"/>
          <w:b/>
          <w:bCs/>
          <w:sz w:val="18"/>
          <w:szCs w:val="18"/>
        </w:rPr>
      </w:pPr>
    </w:p>
    <w:tbl>
      <w:tblPr>
        <w:tblW w:w="0" w:type="auto"/>
        <w:jc w:val="left"/>
        <w:tblInd w:w="113" w:type="dxa"/>
        <w:tblLayout w:type="fixed"/>
        <w:tblCellMar>
          <w:top w:w="0" w:type="dxa"/>
          <w:left w:w="0" w:type="dxa"/>
          <w:bottom w:w="0" w:type="dxa"/>
          <w:right w:w="0" w:type="dxa"/>
        </w:tblCellMar>
        <w:tblLook w:val="01E0"/>
      </w:tblPr>
      <w:tblGrid>
        <w:gridCol w:w="4039"/>
        <w:gridCol w:w="2293"/>
        <w:gridCol w:w="1242"/>
        <w:gridCol w:w="2264"/>
      </w:tblGrid>
      <w:tr>
        <w:trPr>
          <w:trHeight w:val="263" w:hRule="exact"/>
        </w:trPr>
        <w:tc>
          <w:tcPr>
            <w:tcW w:w="4039" w:type="dxa"/>
            <w:tcBorders>
              <w:top w:val="nil" w:sz="6" w:space="0" w:color="auto"/>
              <w:left w:val="nil" w:sz="6" w:space="0" w:color="auto"/>
              <w:bottom w:val="nil" w:sz="6" w:space="0" w:color="auto"/>
              <w:right w:val="nil" w:sz="6" w:space="0" w:color="auto"/>
            </w:tcBorders>
          </w:tcPr>
          <w:p>
            <w:pPr/>
          </w:p>
        </w:tc>
        <w:tc>
          <w:tcPr>
            <w:tcW w:w="2293" w:type="dxa"/>
            <w:tcBorders>
              <w:top w:val="nil" w:sz="6" w:space="0" w:color="auto"/>
              <w:left w:val="nil" w:sz="6" w:space="0" w:color="auto"/>
              <w:bottom w:val="single" w:sz="4" w:space="0" w:color="000000"/>
              <w:right w:val="nil" w:sz="6" w:space="0" w:color="auto"/>
            </w:tcBorders>
          </w:tcPr>
          <w:p>
            <w:pPr>
              <w:pStyle w:val="TableParagraph"/>
              <w:spacing w:line="180" w:lineRule="exact"/>
              <w:ind w:left="76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42"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single" w:sz="4" w:space="0" w:color="000000"/>
              <w:right w:val="nil" w:sz="6" w:space="0" w:color="auto"/>
            </w:tcBorders>
          </w:tcPr>
          <w:p>
            <w:pPr>
              <w:pStyle w:val="TableParagraph"/>
              <w:spacing w:line="180" w:lineRule="exact"/>
              <w:ind w:left="75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40" w:hRule="exact"/>
        </w:trPr>
        <w:tc>
          <w:tcPr>
            <w:tcW w:w="403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293"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557,107,875.12</w:t>
            </w:r>
          </w:p>
        </w:tc>
        <w:tc>
          <w:tcPr>
            <w:tcW w:w="1242" w:type="dxa"/>
            <w:tcBorders>
              <w:top w:val="nil" w:sz="6" w:space="0" w:color="auto"/>
              <w:left w:val="nil" w:sz="6" w:space="0" w:color="auto"/>
              <w:bottom w:val="nil" w:sz="6" w:space="0" w:color="auto"/>
              <w:right w:val="nil" w:sz="6" w:space="0" w:color="auto"/>
            </w:tcBorders>
          </w:tcPr>
          <w:p>
            <w:pPr/>
          </w:p>
        </w:tc>
        <w:tc>
          <w:tcPr>
            <w:tcW w:w="2264"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356,013,088.50</w:t>
            </w:r>
          </w:p>
        </w:tc>
      </w:tr>
      <w:tr>
        <w:trPr>
          <w:trHeight w:val="341" w:hRule="exact"/>
        </w:trPr>
        <w:tc>
          <w:tcPr>
            <w:tcW w:w="403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00"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293"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25,529,601.55</w:t>
            </w:r>
          </w:p>
        </w:tc>
        <w:tc>
          <w:tcPr>
            <w:tcW w:w="1242" w:type="dxa"/>
            <w:tcBorders>
              <w:top w:val="nil" w:sz="6" w:space="0" w:color="auto"/>
              <w:left w:val="nil" w:sz="6" w:space="0" w:color="auto"/>
              <w:bottom w:val="nil" w:sz="6" w:space="0" w:color="auto"/>
              <w:right w:val="nil" w:sz="6" w:space="0" w:color="auto"/>
            </w:tcBorders>
          </w:tcPr>
          <w:p>
            <w:pPr/>
          </w:p>
        </w:tc>
        <w:tc>
          <w:tcPr>
            <w:tcW w:w="2264"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0"/>
              <w:jc w:val="right"/>
              <w:rPr>
                <w:rFonts w:ascii="宋体" w:hAnsi="宋体" w:cs="宋体" w:eastAsia="宋体" w:hint="default"/>
                <w:sz w:val="18"/>
                <w:szCs w:val="18"/>
              </w:rPr>
            </w:pPr>
            <w:r>
              <w:rPr>
                <w:rFonts w:ascii="宋体"/>
                <w:sz w:val="18"/>
              </w:rPr>
              <w:t>11,143,888.26</w:t>
            </w:r>
          </w:p>
        </w:tc>
      </w:tr>
      <w:tr>
        <w:trPr>
          <w:trHeight w:val="350" w:hRule="exact"/>
        </w:trPr>
        <w:tc>
          <w:tcPr>
            <w:tcW w:w="4039" w:type="dxa"/>
            <w:tcBorders>
              <w:top w:val="nil" w:sz="6" w:space="0" w:color="auto"/>
              <w:left w:val="nil" w:sz="6" w:space="0" w:color="auto"/>
              <w:bottom w:val="nil" w:sz="6" w:space="0" w:color="auto"/>
              <w:right w:val="nil" w:sz="6" w:space="0" w:color="auto"/>
            </w:tcBorders>
          </w:tcPr>
          <w:p>
            <w:pPr/>
          </w:p>
        </w:tc>
        <w:tc>
          <w:tcPr>
            <w:tcW w:w="2293"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582,637,476.67</w:t>
            </w:r>
          </w:p>
        </w:tc>
        <w:tc>
          <w:tcPr>
            <w:tcW w:w="1242" w:type="dxa"/>
            <w:tcBorders>
              <w:top w:val="nil" w:sz="6" w:space="0" w:color="auto"/>
              <w:left w:val="nil" w:sz="6" w:space="0" w:color="auto"/>
              <w:bottom w:val="nil" w:sz="6" w:space="0" w:color="auto"/>
              <w:right w:val="nil" w:sz="6" w:space="0" w:color="auto"/>
            </w:tcBorders>
          </w:tcPr>
          <w:p>
            <w:pPr/>
          </w:p>
        </w:tc>
        <w:tc>
          <w:tcPr>
            <w:tcW w:w="2264" w:type="dxa"/>
            <w:tcBorders>
              <w:top w:val="single" w:sz="4" w:space="0" w:color="000000"/>
              <w:left w:val="nil" w:sz="6" w:space="0" w:color="auto"/>
              <w:bottom w:val="single" w:sz="12" w:space="0" w:color="000000"/>
              <w:right w:val="nil" w:sz="6" w:space="0" w:color="auto"/>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367,156,976.76</w:t>
            </w:r>
          </w:p>
        </w:tc>
      </w:tr>
    </w:tbl>
    <w:p>
      <w:pPr>
        <w:spacing w:line="240" w:lineRule="auto" w:before="13"/>
        <w:rPr>
          <w:rFonts w:ascii="宋体" w:hAnsi="宋体" w:cs="宋体" w:eastAsia="宋体" w:hint="default"/>
          <w:b/>
          <w:bCs/>
          <w:sz w:val="10"/>
          <w:szCs w:val="10"/>
        </w:rPr>
      </w:pPr>
    </w:p>
    <w:p>
      <w:pPr>
        <w:pStyle w:val="BodyText"/>
        <w:spacing w:line="240" w:lineRule="auto" w:before="26"/>
        <w:ind w:left="734" w:right="0"/>
        <w:jc w:val="left"/>
      </w:pPr>
      <w:r>
        <w:rPr/>
        <w:t>(1)主营业务收入和主营业务成本</w:t>
      </w:r>
    </w:p>
    <w:p>
      <w:pPr>
        <w:spacing w:line="240" w:lineRule="auto" w:before="2"/>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1583"/>
        <w:gridCol w:w="2366"/>
        <w:gridCol w:w="1453"/>
        <w:gridCol w:w="290"/>
        <w:gridCol w:w="1937"/>
        <w:gridCol w:w="390"/>
        <w:gridCol w:w="1819"/>
      </w:tblGrid>
      <w:tr>
        <w:trPr>
          <w:trHeight w:val="210" w:hRule="exact"/>
        </w:trPr>
        <w:tc>
          <w:tcPr>
            <w:tcW w:w="1583" w:type="dxa"/>
            <w:tcBorders>
              <w:top w:val="nil" w:sz="6" w:space="0" w:color="auto"/>
              <w:left w:val="nil" w:sz="6" w:space="0" w:color="auto"/>
              <w:bottom w:val="nil" w:sz="6" w:space="0" w:color="auto"/>
              <w:right w:val="nil" w:sz="6" w:space="0" w:color="auto"/>
            </w:tcBorders>
          </w:tcPr>
          <w:p>
            <w:pPr/>
          </w:p>
        </w:tc>
        <w:tc>
          <w:tcPr>
            <w:tcW w:w="2366" w:type="dxa"/>
            <w:tcBorders>
              <w:top w:val="nil" w:sz="6" w:space="0" w:color="auto"/>
              <w:left w:val="nil" w:sz="6" w:space="0" w:color="auto"/>
              <w:bottom w:val="single" w:sz="4" w:space="0" w:color="000000"/>
              <w:right w:val="nil" w:sz="6" w:space="0" w:color="auto"/>
            </w:tcBorders>
          </w:tcPr>
          <w:p>
            <w:pPr>
              <w:pStyle w:val="TableParagraph"/>
              <w:spacing w:line="180" w:lineRule="exact"/>
              <w:ind w:left="152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453" w:type="dxa"/>
            <w:tcBorders>
              <w:top w:val="nil" w:sz="6" w:space="0" w:color="auto"/>
              <w:left w:val="nil" w:sz="6" w:space="0" w:color="auto"/>
              <w:bottom w:val="single" w:sz="4" w:space="0" w:color="000000"/>
              <w:right w:val="nil" w:sz="6" w:space="0" w:color="auto"/>
            </w:tcBorders>
          </w:tcPr>
          <w:p>
            <w:pPr/>
          </w:p>
        </w:tc>
        <w:tc>
          <w:tcPr>
            <w:tcW w:w="290" w:type="dxa"/>
            <w:tcBorders>
              <w:top w:val="nil" w:sz="6" w:space="0" w:color="auto"/>
              <w:left w:val="nil" w:sz="6" w:space="0" w:color="auto"/>
              <w:bottom w:val="nil" w:sz="6" w:space="0" w:color="auto"/>
              <w:right w:val="nil" w:sz="6" w:space="0" w:color="auto"/>
            </w:tcBorders>
          </w:tcPr>
          <w:p>
            <w:pPr/>
          </w:p>
        </w:tc>
        <w:tc>
          <w:tcPr>
            <w:tcW w:w="4146" w:type="dxa"/>
            <w:gridSpan w:val="3"/>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12" w:hRule="exact"/>
        </w:trPr>
        <w:tc>
          <w:tcPr>
            <w:tcW w:w="1583" w:type="dxa"/>
            <w:tcBorders>
              <w:top w:val="nil" w:sz="6" w:space="0" w:color="auto"/>
              <w:left w:val="nil" w:sz="6" w:space="0" w:color="auto"/>
              <w:bottom w:val="nil" w:sz="6" w:space="0" w:color="auto"/>
              <w:right w:val="nil" w:sz="6" w:space="0" w:color="auto"/>
            </w:tcBorders>
          </w:tcPr>
          <w:p>
            <w:pPr/>
          </w:p>
        </w:tc>
        <w:tc>
          <w:tcPr>
            <w:tcW w:w="236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15"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45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90"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90" w:type="dxa"/>
            <w:tcBorders>
              <w:top w:val="single" w:sz="4" w:space="0" w:color="000000"/>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53"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sz w:val="18"/>
              </w:rPr>
              <w:t>SVC</w:t>
            </w:r>
          </w:p>
        </w:tc>
        <w:tc>
          <w:tcPr>
            <w:tcW w:w="236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95.3pt;height:.5pt;mso-position-horizontal-relative:char;mso-position-vertical-relative:line" coordorigin="0,0" coordsize="1906,10">
                  <v:group style="position:absolute;left:5;top:5;width:1896;height:2" coordorigin="5,5" coordsize="1896,2">
                    <v:shape style="position:absolute;left:5;top:5;width:1896;height:2" coordorigin="5,5" coordsize="1896,0" path="m5,5l1901,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1"/>
              <w:ind w:left="626" w:right="0"/>
              <w:jc w:val="left"/>
              <w:rPr>
                <w:rFonts w:ascii="宋体" w:hAnsi="宋体" w:cs="宋体" w:eastAsia="宋体" w:hint="default"/>
                <w:sz w:val="18"/>
                <w:szCs w:val="18"/>
              </w:rPr>
            </w:pPr>
            <w:r>
              <w:rPr>
                <w:rFonts w:ascii="宋体"/>
                <w:sz w:val="18"/>
              </w:rPr>
              <w:t>424,154,503.29</w:t>
            </w:r>
          </w:p>
        </w:tc>
        <w:tc>
          <w:tcPr>
            <w:tcW w:w="145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197,926,572.59</w:t>
            </w:r>
          </w:p>
        </w:tc>
        <w:tc>
          <w:tcPr>
            <w:tcW w:w="290"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pacing w:val="-6"/>
                <w:sz w:val="18"/>
              </w:rPr>
              <w:t>294,988,090.10</w:t>
            </w:r>
            <w:r>
              <w:rPr>
                <w:rFonts w:ascii="宋体"/>
                <w:sz w:val="18"/>
              </w:rPr>
            </w:r>
          </w:p>
        </w:tc>
        <w:tc>
          <w:tcPr>
            <w:tcW w:w="390" w:type="dxa"/>
            <w:tcBorders>
              <w:top w:val="nil" w:sz="6" w:space="0" w:color="auto"/>
              <w:left w:val="nil" w:sz="6" w:space="0" w:color="auto"/>
              <w:bottom w:val="nil" w:sz="6" w:space="0" w:color="auto"/>
              <w:right w:val="nil" w:sz="6" w:space="0" w:color="auto"/>
            </w:tcBorders>
          </w:tcPr>
          <w:p>
            <w:pP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132,120,125.20</w:t>
            </w:r>
          </w:p>
        </w:tc>
      </w:tr>
      <w:tr>
        <w:trPr>
          <w:trHeight w:val="307"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18"/>
                <w:szCs w:val="18"/>
              </w:rPr>
            </w:pPr>
            <w:r>
              <w:rPr>
                <w:rFonts w:ascii="宋体"/>
                <w:sz w:val="18"/>
              </w:rPr>
              <w:t>FC</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5"/>
              <w:ind w:left="716" w:right="0"/>
              <w:jc w:val="left"/>
              <w:rPr>
                <w:rFonts w:ascii="宋体" w:hAnsi="宋体" w:cs="宋体" w:eastAsia="宋体" w:hint="default"/>
                <w:sz w:val="18"/>
                <w:szCs w:val="18"/>
              </w:rPr>
            </w:pPr>
            <w:r>
              <w:rPr>
                <w:rFonts w:ascii="宋体"/>
                <w:sz w:val="18"/>
              </w:rPr>
              <w:t>38,863,334.22</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32,022,757.19</w:t>
            </w:r>
          </w:p>
        </w:tc>
        <w:tc>
          <w:tcPr>
            <w:tcW w:w="290"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34,865,042.71</w:t>
            </w:r>
          </w:p>
        </w:tc>
        <w:tc>
          <w:tcPr>
            <w:tcW w:w="39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25,259,858.54</w:t>
            </w:r>
          </w:p>
        </w:tc>
      </w:tr>
      <w:tr>
        <w:trPr>
          <w:trHeight w:val="312"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宋体" w:hAnsi="宋体" w:cs="宋体" w:eastAsia="宋体" w:hint="default"/>
                <w:sz w:val="18"/>
                <w:szCs w:val="18"/>
              </w:rPr>
            </w:pPr>
            <w:r>
              <w:rPr>
                <w:rFonts w:ascii="宋体"/>
                <w:sz w:val="18"/>
              </w:rPr>
              <w:t>MABZ</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6" w:right="0"/>
              <w:jc w:val="left"/>
              <w:rPr>
                <w:rFonts w:ascii="宋体" w:hAnsi="宋体" w:cs="宋体" w:eastAsia="宋体" w:hint="default"/>
                <w:sz w:val="18"/>
                <w:szCs w:val="18"/>
              </w:rPr>
            </w:pPr>
            <w:r>
              <w:rPr>
                <w:rFonts w:ascii="宋体"/>
                <w:sz w:val="18"/>
              </w:rPr>
              <w:t>30,273,709.39</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12,923,145.84</w:t>
            </w:r>
          </w:p>
        </w:tc>
        <w:tc>
          <w:tcPr>
            <w:tcW w:w="290"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12,739,743.59</w:t>
            </w:r>
          </w:p>
        </w:tc>
        <w:tc>
          <w:tcPr>
            <w:tcW w:w="39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4,978,179.04</w:t>
            </w:r>
          </w:p>
        </w:tc>
      </w:tr>
      <w:tr>
        <w:trPr>
          <w:trHeight w:val="312"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宋体" w:hAnsi="宋体" w:cs="宋体" w:eastAsia="宋体" w:hint="default"/>
                <w:sz w:val="18"/>
                <w:szCs w:val="18"/>
              </w:rPr>
            </w:pPr>
            <w:r>
              <w:rPr>
                <w:rFonts w:ascii="宋体"/>
                <w:sz w:val="18"/>
              </w:rPr>
              <w:t>HVC</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16" w:right="0"/>
              <w:jc w:val="left"/>
              <w:rPr>
                <w:rFonts w:ascii="宋体" w:hAnsi="宋体" w:cs="宋体" w:eastAsia="宋体" w:hint="default"/>
                <w:sz w:val="18"/>
                <w:szCs w:val="18"/>
              </w:rPr>
            </w:pPr>
            <w:r>
              <w:rPr>
                <w:rFonts w:ascii="宋体"/>
                <w:sz w:val="18"/>
              </w:rPr>
              <w:t>43,956,124.86</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21,349,797.74</w:t>
            </w:r>
          </w:p>
        </w:tc>
        <w:tc>
          <w:tcPr>
            <w:tcW w:w="290"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11,419,145.30</w:t>
            </w:r>
          </w:p>
        </w:tc>
        <w:tc>
          <w:tcPr>
            <w:tcW w:w="39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5,291,601.13</w:t>
            </w:r>
          </w:p>
        </w:tc>
      </w:tr>
      <w:tr>
        <w:trPr>
          <w:trHeight w:val="312"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宋体" w:hAnsi="宋体" w:cs="宋体" w:eastAsia="宋体" w:hint="default"/>
                <w:sz w:val="18"/>
                <w:szCs w:val="18"/>
              </w:rPr>
            </w:pPr>
            <w:r>
              <w:rPr>
                <w:rFonts w:ascii="宋体"/>
                <w:sz w:val="18"/>
              </w:rPr>
              <w:t>VFS</w:t>
            </w:r>
          </w:p>
        </w:tc>
        <w:tc>
          <w:tcPr>
            <w:tcW w:w="23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805" w:right="0"/>
              <w:jc w:val="left"/>
              <w:rPr>
                <w:rFonts w:ascii="宋体" w:hAnsi="宋体" w:cs="宋体" w:eastAsia="宋体" w:hint="default"/>
                <w:sz w:val="18"/>
                <w:szCs w:val="18"/>
              </w:rPr>
            </w:pPr>
            <w:r>
              <w:rPr>
                <w:rFonts w:ascii="宋体"/>
                <w:sz w:val="18"/>
              </w:rPr>
              <w:t>4,608,066.64</w:t>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2,847,797.30</w:t>
            </w:r>
          </w:p>
        </w:tc>
        <w:tc>
          <w:tcPr>
            <w:tcW w:w="290"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2,001,066.80</w:t>
            </w:r>
          </w:p>
        </w:tc>
        <w:tc>
          <w:tcPr>
            <w:tcW w:w="39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987,185.74</w:t>
            </w:r>
          </w:p>
        </w:tc>
      </w:tr>
      <w:tr>
        <w:trPr>
          <w:trHeight w:val="274" w:hRule="exact"/>
        </w:trPr>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0" w:right="0"/>
              <w:jc w:val="left"/>
              <w:rPr>
                <w:rFonts w:ascii="宋体" w:hAnsi="宋体" w:cs="宋体" w:eastAsia="宋体" w:hint="default"/>
                <w:sz w:val="18"/>
                <w:szCs w:val="18"/>
              </w:rPr>
            </w:pPr>
            <w:r>
              <w:rPr>
                <w:rFonts w:ascii="宋体"/>
                <w:sz w:val="18"/>
              </w:rPr>
              <w:t>SVG</w:t>
            </w:r>
          </w:p>
        </w:tc>
        <w:tc>
          <w:tcPr>
            <w:tcW w:w="2366"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left="715" w:right="0"/>
              <w:jc w:val="left"/>
              <w:rPr>
                <w:rFonts w:ascii="宋体" w:hAnsi="宋体" w:cs="宋体" w:eastAsia="宋体" w:hint="default"/>
                <w:sz w:val="18"/>
                <w:szCs w:val="18"/>
              </w:rPr>
            </w:pPr>
            <w:r>
              <w:rPr>
                <w:rFonts w:ascii="宋体"/>
                <w:sz w:val="18"/>
              </w:rPr>
              <w:t>15,252,136.72</w:t>
            </w:r>
          </w:p>
        </w:tc>
        <w:tc>
          <w:tcPr>
            <w:tcW w:w="1453"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11,066,665.91</w:t>
            </w:r>
          </w:p>
        </w:tc>
        <w:tc>
          <w:tcPr>
            <w:tcW w:w="290"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c>
          <w:tcPr>
            <w:tcW w:w="390"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single" w:sz="2" w:space="0" w:color="000000"/>
              <w:right w:val="nil" w:sz="6" w:space="0" w:color="auto"/>
            </w:tcBorders>
          </w:tcPr>
          <w:p>
            <w:pPr>
              <w:pStyle w:val="TableParagraph"/>
              <w:spacing w:line="240" w:lineRule="auto" w:before="10"/>
              <w:ind w:right="0"/>
              <w:jc w:val="right"/>
              <w:rPr>
                <w:rFonts w:ascii="宋体" w:hAnsi="宋体" w:cs="宋体" w:eastAsia="宋体" w:hint="default"/>
                <w:sz w:val="18"/>
                <w:szCs w:val="18"/>
              </w:rPr>
            </w:pPr>
            <w:r>
              <w:rPr>
                <w:rFonts w:ascii="宋体"/>
                <w:sz w:val="18"/>
              </w:rPr>
              <w:t>-</w:t>
            </w:r>
          </w:p>
        </w:tc>
      </w:tr>
      <w:tr>
        <w:trPr>
          <w:trHeight w:val="325" w:hRule="exact"/>
        </w:trPr>
        <w:tc>
          <w:tcPr>
            <w:tcW w:w="1583" w:type="dxa"/>
            <w:tcBorders>
              <w:top w:val="nil" w:sz="6" w:space="0" w:color="auto"/>
              <w:left w:val="nil" w:sz="6" w:space="0" w:color="auto"/>
              <w:bottom w:val="nil" w:sz="6" w:space="0" w:color="auto"/>
              <w:right w:val="nil" w:sz="6" w:space="0" w:color="auto"/>
            </w:tcBorders>
          </w:tcPr>
          <w:p>
            <w:pPr/>
          </w:p>
        </w:tc>
        <w:tc>
          <w:tcPr>
            <w:tcW w:w="2366" w:type="dxa"/>
            <w:tcBorders>
              <w:top w:val="single" w:sz="2" w:space="0" w:color="000000"/>
              <w:left w:val="nil" w:sz="6" w:space="0" w:color="auto"/>
              <w:bottom w:val="single" w:sz="12" w:space="0" w:color="000000"/>
              <w:right w:val="nil" w:sz="6" w:space="0" w:color="auto"/>
            </w:tcBorders>
          </w:tcPr>
          <w:p>
            <w:pPr>
              <w:pStyle w:val="TableParagraph"/>
              <w:spacing w:line="20" w:lineRule="exact"/>
              <w:ind w:left="-3" w:right="0"/>
              <w:jc w:val="left"/>
              <w:rPr>
                <w:rFonts w:ascii="宋体" w:hAnsi="宋体" w:cs="宋体" w:eastAsia="宋体" w:hint="default"/>
                <w:sz w:val="2"/>
                <w:szCs w:val="2"/>
              </w:rPr>
            </w:pPr>
            <w:r>
              <w:rPr>
                <w:rFonts w:ascii="宋体" w:hAnsi="宋体" w:cs="宋体" w:eastAsia="宋体" w:hint="default"/>
                <w:sz w:val="2"/>
                <w:szCs w:val="2"/>
              </w:rPr>
              <w:pict>
                <v:group style="width:95.05pt;height:.25pt;mso-position-horizontal-relative:char;mso-position-vertical-relative:line" coordorigin="0,0" coordsize="1901,5">
                  <v:group style="position:absolute;left:2;top:2;width:1896;height:2" coordorigin="2,2" coordsize="1896,2">
                    <v:shape style="position:absolute;left:2;top:2;width:1896;height:2" coordorigin="2,2" coordsize="1896,0" path="m2,2l1898,2e" filled="false" stroked="true" strokeweight=".24pt" strokecolor="#000000">
                      <v:path arrowok="t"/>
                    </v:shape>
                  </v:group>
                </v:group>
              </w:pict>
            </w:r>
            <w:r>
              <w:rPr>
                <w:rFonts w:ascii="宋体" w:hAnsi="宋体" w:cs="宋体" w:eastAsia="宋体" w:hint="default"/>
                <w:sz w:val="2"/>
                <w:szCs w:val="2"/>
              </w:rPr>
            </w:r>
          </w:p>
          <w:p>
            <w:pPr>
              <w:pStyle w:val="TableParagraph"/>
              <w:spacing w:line="240" w:lineRule="auto" w:before="36"/>
              <w:ind w:left="625" w:right="0"/>
              <w:jc w:val="left"/>
              <w:rPr>
                <w:rFonts w:ascii="宋体" w:hAnsi="宋体" w:cs="宋体" w:eastAsia="宋体" w:hint="default"/>
                <w:sz w:val="18"/>
                <w:szCs w:val="18"/>
              </w:rPr>
            </w:pPr>
            <w:r>
              <w:rPr>
                <w:rFonts w:ascii="宋体"/>
                <w:sz w:val="18"/>
              </w:rPr>
              <w:t>557,107,875.12</w:t>
            </w:r>
          </w:p>
        </w:tc>
        <w:tc>
          <w:tcPr>
            <w:tcW w:w="1453" w:type="dxa"/>
            <w:tcBorders>
              <w:top w:val="single" w:sz="2"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278,136,736.57</w:t>
            </w:r>
          </w:p>
        </w:tc>
        <w:tc>
          <w:tcPr>
            <w:tcW w:w="290" w:type="dxa"/>
            <w:tcBorders>
              <w:top w:val="nil" w:sz="6" w:space="0" w:color="auto"/>
              <w:left w:val="nil" w:sz="6" w:space="0" w:color="auto"/>
              <w:bottom w:val="nil" w:sz="6" w:space="0" w:color="auto"/>
              <w:right w:val="nil" w:sz="6" w:space="0" w:color="auto"/>
            </w:tcBorders>
          </w:tcPr>
          <w:p>
            <w:pPr/>
          </w:p>
        </w:tc>
        <w:tc>
          <w:tcPr>
            <w:tcW w:w="1937" w:type="dxa"/>
            <w:tcBorders>
              <w:top w:val="single" w:sz="2" w:space="0" w:color="000000"/>
              <w:left w:val="nil" w:sz="6" w:space="0" w:color="auto"/>
              <w:bottom w:val="single" w:sz="12"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356,013,088.50</w:t>
            </w:r>
          </w:p>
        </w:tc>
        <w:tc>
          <w:tcPr>
            <w:tcW w:w="390" w:type="dxa"/>
            <w:tcBorders>
              <w:top w:val="nil" w:sz="6" w:space="0" w:color="auto"/>
              <w:left w:val="nil" w:sz="6" w:space="0" w:color="auto"/>
              <w:bottom w:val="nil" w:sz="6" w:space="0" w:color="auto"/>
              <w:right w:val="nil" w:sz="6" w:space="0" w:color="auto"/>
            </w:tcBorders>
          </w:tcPr>
          <w:p>
            <w:pPr/>
          </w:p>
        </w:tc>
        <w:tc>
          <w:tcPr>
            <w:tcW w:w="1819" w:type="dxa"/>
            <w:tcBorders>
              <w:top w:val="single" w:sz="2" w:space="0" w:color="000000"/>
              <w:left w:val="nil" w:sz="6" w:space="0" w:color="auto"/>
              <w:bottom w:val="single" w:sz="12"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168,636,949.65</w:t>
            </w:r>
          </w:p>
        </w:tc>
      </w:tr>
    </w:tbl>
    <w:p>
      <w:pPr>
        <w:spacing w:line="240" w:lineRule="auto" w:before="13"/>
        <w:rPr>
          <w:rFonts w:ascii="宋体" w:hAnsi="宋体" w:cs="宋体" w:eastAsia="宋体" w:hint="default"/>
          <w:sz w:val="10"/>
          <w:szCs w:val="10"/>
        </w:rPr>
      </w:pPr>
    </w:p>
    <w:p>
      <w:pPr>
        <w:pStyle w:val="BodyText"/>
        <w:spacing w:line="304" w:lineRule="auto" w:before="26"/>
        <w:ind w:left="314" w:right="0" w:firstLine="480"/>
        <w:jc w:val="left"/>
      </w:pPr>
      <w:r>
        <w:rPr>
          <w:spacing w:val="8"/>
        </w:rPr>
        <w:t>本公司前五名客户销售的收入总额为 </w:t>
      </w:r>
      <w:r>
        <w:rPr/>
        <w:t>144,996,500.04</w:t>
      </w:r>
      <w:r>
        <w:rPr>
          <w:spacing w:val="15"/>
        </w:rPr>
        <w:t> </w:t>
      </w:r>
      <w:r>
        <w:rPr>
          <w:spacing w:val="9"/>
        </w:rPr>
        <w:t>元，占本公司全部销售收入的</w:t>
      </w:r>
      <w:r>
        <w:rPr>
          <w:spacing w:val="9"/>
        </w:rPr>
        <w:t> </w:t>
      </w:r>
      <w:r>
        <w:rPr/>
        <w:t>24.89%。</w:t>
      </w:r>
    </w:p>
    <w:p>
      <w:pPr>
        <w:pStyle w:val="BodyText"/>
        <w:spacing w:line="240" w:lineRule="auto" w:before="140"/>
        <w:ind w:left="734" w:right="0"/>
        <w:jc w:val="left"/>
      </w:pPr>
      <w:r>
        <w:rPr/>
        <w:t>(2)其他业务收入和其他业务成本</w:t>
      </w:r>
    </w:p>
    <w:p>
      <w:pPr>
        <w:spacing w:line="240" w:lineRule="auto" w:before="5"/>
        <w:rPr>
          <w:rFonts w:ascii="宋体" w:hAnsi="宋体" w:cs="宋体" w:eastAsia="宋体" w:hint="default"/>
          <w:sz w:val="20"/>
          <w:szCs w:val="20"/>
        </w:rPr>
      </w:pPr>
    </w:p>
    <w:tbl>
      <w:tblPr>
        <w:tblW w:w="0" w:type="auto"/>
        <w:jc w:val="left"/>
        <w:tblInd w:w="1696" w:type="dxa"/>
        <w:tblLayout w:type="fixed"/>
        <w:tblCellMar>
          <w:top w:w="0" w:type="dxa"/>
          <w:left w:w="0" w:type="dxa"/>
          <w:bottom w:w="0" w:type="dxa"/>
          <w:right w:w="0" w:type="dxa"/>
        </w:tblCellMar>
        <w:tblLook w:val="01E0"/>
      </w:tblPr>
      <w:tblGrid>
        <w:gridCol w:w="3816"/>
        <w:gridCol w:w="289"/>
        <w:gridCol w:w="4144"/>
      </w:tblGrid>
      <w:tr>
        <w:trPr>
          <w:trHeight w:val="293" w:hRule="exact"/>
        </w:trPr>
        <w:tc>
          <w:tcPr>
            <w:tcW w:w="3816" w:type="dxa"/>
            <w:tcBorders>
              <w:top w:val="nil" w:sz="6" w:space="0" w:color="auto"/>
              <w:left w:val="nil" w:sz="6" w:space="0" w:color="auto"/>
              <w:bottom w:val="single" w:sz="4" w:space="0" w:color="000000"/>
              <w:right w:val="nil" w:sz="6" w:space="0" w:color="auto"/>
            </w:tcBorders>
          </w:tcPr>
          <w:p>
            <w:pPr>
              <w:pStyle w:val="TableParagraph"/>
              <w:spacing w:line="180" w:lineRule="exact"/>
              <w:ind w:left="15"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89" w:type="dxa"/>
            <w:tcBorders>
              <w:top w:val="nil" w:sz="6" w:space="0" w:color="auto"/>
              <w:left w:val="nil" w:sz="6" w:space="0" w:color="auto"/>
              <w:bottom w:val="nil" w:sz="6" w:space="0" w:color="auto"/>
              <w:right w:val="nil" w:sz="6" w:space="0" w:color="auto"/>
            </w:tcBorders>
          </w:tcPr>
          <w:p>
            <w:pPr/>
          </w:p>
        </w:tc>
        <w:tc>
          <w:tcPr>
            <w:tcW w:w="4144" w:type="dxa"/>
            <w:tcBorders>
              <w:top w:val="nil" w:sz="6" w:space="0" w:color="auto"/>
              <w:left w:val="nil" w:sz="6" w:space="0" w:color="auto"/>
              <w:bottom w:val="single" w:sz="4" w:space="0" w:color="000000"/>
              <w:right w:val="nil" w:sz="6" w:space="0" w:color="auto"/>
            </w:tcBorders>
          </w:tcPr>
          <w:p>
            <w:pPr>
              <w:pStyle w:val="TableParagraph"/>
              <w:spacing w:line="180" w:lineRule="exact"/>
              <w:ind w:left="1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07" w:hRule="exact"/>
        </w:trPr>
        <w:tc>
          <w:tcPr>
            <w:tcW w:w="3816" w:type="dxa"/>
            <w:tcBorders>
              <w:top w:val="single" w:sz="4" w:space="0" w:color="000000"/>
              <w:left w:val="nil" w:sz="6" w:space="0" w:color="auto"/>
              <w:bottom w:val="single" w:sz="4" w:space="0" w:color="000000"/>
              <w:right w:val="nil" w:sz="6" w:space="0" w:color="auto"/>
            </w:tcBorders>
          </w:tcPr>
          <w:p>
            <w:pPr>
              <w:pStyle w:val="TableParagraph"/>
              <w:tabs>
                <w:tab w:pos="2029" w:val="left" w:leader="none"/>
              </w:tabs>
              <w:spacing w:line="240" w:lineRule="auto" w:before="53"/>
              <w:ind w:right="113"/>
              <w:jc w:val="center"/>
              <w:rPr>
                <w:rFonts w:ascii="宋体" w:hAnsi="宋体" w:cs="宋体" w:eastAsia="宋体" w:hint="default"/>
                <w:sz w:val="18"/>
                <w:szCs w:val="18"/>
              </w:rPr>
            </w:pPr>
            <w:r>
              <w:rPr>
                <w:rFonts w:ascii="宋体" w:hAnsi="宋体" w:cs="宋体" w:eastAsia="宋体" w:hint="default"/>
                <w:sz w:val="18"/>
                <w:szCs w:val="18"/>
              </w:rPr>
              <w:t>其他业务收入</w:t>
              <w:tab/>
              <w:t>其他业务成本</w:t>
            </w:r>
          </w:p>
        </w:tc>
        <w:tc>
          <w:tcPr>
            <w:tcW w:w="289" w:type="dxa"/>
            <w:tcBorders>
              <w:top w:val="nil" w:sz="6" w:space="0" w:color="auto"/>
              <w:left w:val="nil" w:sz="6" w:space="0" w:color="auto"/>
              <w:bottom w:val="nil" w:sz="6" w:space="0" w:color="auto"/>
              <w:right w:val="nil" w:sz="6" w:space="0" w:color="auto"/>
            </w:tcBorders>
          </w:tcPr>
          <w:p>
            <w:pPr/>
          </w:p>
        </w:tc>
        <w:tc>
          <w:tcPr>
            <w:tcW w:w="4144" w:type="dxa"/>
            <w:tcBorders>
              <w:top w:val="single" w:sz="4" w:space="0" w:color="000000"/>
              <w:left w:val="nil" w:sz="6" w:space="0" w:color="auto"/>
              <w:bottom w:val="single" w:sz="4" w:space="0" w:color="000000"/>
              <w:right w:val="nil" w:sz="6" w:space="0" w:color="auto"/>
            </w:tcBorders>
          </w:tcPr>
          <w:p>
            <w:pPr>
              <w:pStyle w:val="TableParagraph"/>
              <w:tabs>
                <w:tab w:pos="2504" w:val="left" w:leader="none"/>
              </w:tabs>
              <w:spacing w:line="240" w:lineRule="auto" w:before="53"/>
              <w:ind w:left="269" w:right="0"/>
              <w:jc w:val="left"/>
              <w:rPr>
                <w:rFonts w:ascii="宋体" w:hAnsi="宋体" w:cs="宋体" w:eastAsia="宋体" w:hint="default"/>
                <w:sz w:val="18"/>
                <w:szCs w:val="18"/>
              </w:rPr>
            </w:pPr>
            <w:r>
              <w:rPr>
                <w:rFonts w:ascii="宋体" w:hAnsi="宋体" w:cs="宋体" w:eastAsia="宋体" w:hint="default"/>
                <w:sz w:val="18"/>
                <w:szCs w:val="18"/>
              </w:rPr>
              <w:t>其他业务收入</w:t>
              <w:tab/>
              <w:t>其他业务成本</w:t>
            </w:r>
          </w:p>
        </w:tc>
      </w:tr>
    </w:tbl>
    <w:p>
      <w:pPr>
        <w:tabs>
          <w:tab w:pos="5796" w:val="left" w:leader="none"/>
        </w:tabs>
        <w:spacing w:line="20" w:lineRule="exact"/>
        <w:ind w:left="1691" w:right="0" w:firstLine="0"/>
        <w:rPr>
          <w:rFonts w:ascii="宋体" w:hAnsi="宋体" w:cs="宋体" w:eastAsia="宋体" w:hint="default"/>
          <w:sz w:val="2"/>
          <w:szCs w:val="2"/>
        </w:rPr>
      </w:pPr>
      <w:r>
        <w:rPr>
          <w:rFonts w:ascii="宋体"/>
          <w:sz w:val="2"/>
        </w:rPr>
        <w:pict>
          <v:group style="width:83.3pt;height:.5pt;mso-position-horizontal-relative:char;mso-position-vertical-relative:line" coordorigin="0,0" coordsize="1666,10">
            <v:group style="position:absolute;left:5;top:5;width:1656;height:2" coordorigin="5,5" coordsize="1656,2">
              <v:shape style="position:absolute;left:5;top:5;width:1656;height:2" coordorigin="5,5" coordsize="1656,0" path="m5,5l1661,5e" filled="false" stroked="true" strokeweight=".48pt" strokecolor="#000000">
                <v:path arrowok="t"/>
              </v:shape>
            </v:group>
          </v:group>
        </w:pict>
      </w:r>
      <w:r>
        <w:rPr>
          <w:rFonts w:ascii="宋体"/>
          <w:sz w:val="2"/>
        </w:rPr>
      </w:r>
      <w:r>
        <w:rPr>
          <w:rFonts w:ascii="宋体"/>
          <w:sz w:val="2"/>
        </w:rPr>
        <w:tab/>
      </w:r>
      <w:r>
        <w:rPr>
          <w:rFonts w:ascii="宋体"/>
          <w:sz w:val="2"/>
        </w:rPr>
        <w:pict>
          <v:group style="width:80.7pt;height:.5pt;mso-position-horizontal-relative:char;mso-position-vertical-relative:line" coordorigin="0,0" coordsize="1614,10">
            <v:group style="position:absolute;left:5;top:5;width:1605;height:2" coordorigin="5,5" coordsize="1605,2">
              <v:shape style="position:absolute;left:5;top:5;width:1605;height:2" coordorigin="5,5" coordsize="1605,0" path="m5,5l1609,5e" filled="false" stroked="true" strokeweight=".48pt" strokecolor="#000000">
                <v:path arrowok="t"/>
              </v:shape>
            </v:group>
          </v:group>
        </w:pict>
      </w:r>
      <w:r>
        <w:rPr>
          <w:rFonts w:ascii="宋体"/>
          <w:sz w:val="2"/>
        </w:rPr>
      </w:r>
    </w:p>
    <w:p>
      <w:pPr>
        <w:tabs>
          <w:tab w:pos="2189" w:val="left" w:leader="none"/>
          <w:tab w:pos="4349" w:val="left" w:leader="none"/>
          <w:tab w:pos="6243" w:val="left" w:leader="none"/>
          <w:tab w:pos="8872" w:val="left" w:leader="none"/>
        </w:tabs>
        <w:spacing w:before="43"/>
        <w:ind w:left="314" w:right="0" w:firstLine="0"/>
        <w:jc w:val="left"/>
        <w:rPr>
          <w:rFonts w:ascii="宋体" w:hAnsi="宋体" w:cs="宋体" w:eastAsia="宋体" w:hint="default"/>
          <w:sz w:val="18"/>
          <w:szCs w:val="18"/>
        </w:rPr>
      </w:pPr>
      <w:r>
        <w:rPr>
          <w:rFonts w:ascii="宋体" w:hAnsi="宋体" w:cs="宋体" w:eastAsia="宋体" w:hint="default"/>
          <w:sz w:val="18"/>
          <w:szCs w:val="18"/>
        </w:rPr>
        <w:t>备品及其他</w:t>
        <w:tab/>
        <w:t>25,529,601.55</w:t>
        <w:tab/>
        <w:t>16,055,927.42</w:t>
        <w:tab/>
        <w:t>11,143,888.26</w:t>
        <w:tab/>
        <w:t>8,985,501.62</w:t>
      </w:r>
    </w:p>
    <w:p>
      <w:pPr>
        <w:spacing w:line="240" w:lineRule="auto" w:before="8"/>
        <w:rPr>
          <w:rFonts w:ascii="宋体" w:hAnsi="宋体" w:cs="宋体" w:eastAsia="宋体" w:hint="default"/>
          <w:sz w:val="14"/>
          <w:szCs w:val="14"/>
        </w:rPr>
      </w:pPr>
    </w:p>
    <w:p>
      <w:pPr>
        <w:pStyle w:val="BodyText"/>
        <w:spacing w:line="240" w:lineRule="auto" w:before="26"/>
        <w:ind w:left="794" w:right="0"/>
        <w:jc w:val="left"/>
      </w:pPr>
      <w:r>
        <w:rPr/>
        <w:t>(3)收入按地区分列</w:t>
      </w:r>
    </w:p>
    <w:p>
      <w:pPr>
        <w:spacing w:line="240" w:lineRule="auto" w:before="8"/>
        <w:rPr>
          <w:rFonts w:ascii="宋体" w:hAnsi="宋体" w:cs="宋体" w:eastAsia="宋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3407"/>
        <w:gridCol w:w="2818"/>
        <w:gridCol w:w="598"/>
        <w:gridCol w:w="3016"/>
      </w:tblGrid>
      <w:tr>
        <w:trPr>
          <w:trHeight w:val="289" w:hRule="exact"/>
        </w:trPr>
        <w:tc>
          <w:tcPr>
            <w:tcW w:w="3407" w:type="dxa"/>
            <w:tcBorders>
              <w:top w:val="nil" w:sz="6" w:space="0" w:color="auto"/>
              <w:left w:val="nil" w:sz="6" w:space="0" w:color="auto"/>
              <w:bottom w:val="nil" w:sz="6" w:space="0" w:color="auto"/>
              <w:right w:val="nil" w:sz="6" w:space="0" w:color="auto"/>
            </w:tcBorders>
          </w:tcPr>
          <w:p>
            <w:pPr/>
          </w:p>
        </w:tc>
        <w:tc>
          <w:tcPr>
            <w:tcW w:w="2818"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598" w:type="dxa"/>
            <w:tcBorders>
              <w:top w:val="nil" w:sz="6" w:space="0" w:color="auto"/>
              <w:left w:val="nil" w:sz="6" w:space="0" w:color="auto"/>
              <w:bottom w:val="nil" w:sz="6" w:space="0" w:color="auto"/>
              <w:right w:val="nil" w:sz="6" w:space="0" w:color="auto"/>
            </w:tcBorders>
          </w:tcPr>
          <w:p>
            <w:pPr/>
          </w:p>
        </w:tc>
        <w:tc>
          <w:tcPr>
            <w:tcW w:w="3016"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98" w:hRule="exact"/>
        </w:trPr>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281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46,764,018.21</w:t>
            </w:r>
          </w:p>
        </w:tc>
        <w:tc>
          <w:tcPr>
            <w:tcW w:w="598" w:type="dxa"/>
            <w:tcBorders>
              <w:top w:val="nil" w:sz="6" w:space="0" w:color="auto"/>
              <w:left w:val="nil" w:sz="6" w:space="0" w:color="auto"/>
              <w:bottom w:val="nil" w:sz="6" w:space="0" w:color="auto"/>
              <w:right w:val="nil" w:sz="6" w:space="0" w:color="auto"/>
            </w:tcBorders>
          </w:tcPr>
          <w:p>
            <w:pPr/>
          </w:p>
        </w:tc>
        <w:tc>
          <w:tcPr>
            <w:tcW w:w="30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27,528,476.03</w:t>
            </w:r>
          </w:p>
        </w:tc>
      </w:tr>
      <w:tr>
        <w:trPr>
          <w:trHeight w:val="286" w:hRule="exact"/>
        </w:trPr>
        <w:tc>
          <w:tcPr>
            <w:tcW w:w="340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262,408,112.96</w:t>
            </w:r>
          </w:p>
        </w:tc>
        <w:tc>
          <w:tcPr>
            <w:tcW w:w="598" w:type="dxa"/>
            <w:tcBorders>
              <w:top w:val="nil" w:sz="6" w:space="0" w:color="auto"/>
              <w:left w:val="nil" w:sz="6" w:space="0" w:color="auto"/>
              <w:bottom w:val="nil" w:sz="6" w:space="0" w:color="auto"/>
              <w:right w:val="nil" w:sz="6" w:space="0" w:color="auto"/>
            </w:tcBorders>
          </w:tcPr>
          <w:p>
            <w:pPr/>
          </w:p>
        </w:tc>
        <w:tc>
          <w:tcPr>
            <w:tcW w:w="301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132,869,380.72</w:t>
            </w:r>
          </w:p>
        </w:tc>
      </w:tr>
    </w:tbl>
    <w:p>
      <w:pPr>
        <w:spacing w:after="0" w:line="240" w:lineRule="auto"/>
        <w:jc w:val="right"/>
        <w:rPr>
          <w:rFonts w:ascii="宋体" w:hAnsi="宋体" w:cs="宋体" w:eastAsia="宋体" w:hint="default"/>
          <w:sz w:val="18"/>
          <w:szCs w:val="18"/>
        </w:rPr>
        <w:sectPr>
          <w:pgSz w:w="11910" w:h="16840"/>
          <w:pgMar w:header="877" w:footer="1022" w:top="1060" w:bottom="1220" w:left="820" w:right="9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134" w:type="dxa"/>
        <w:tblLayout w:type="fixed"/>
        <w:tblCellMar>
          <w:top w:w="0" w:type="dxa"/>
          <w:left w:w="0" w:type="dxa"/>
          <w:bottom w:w="0" w:type="dxa"/>
          <w:right w:w="0" w:type="dxa"/>
        </w:tblCellMar>
        <w:tblLook w:val="01E0"/>
      </w:tblPr>
      <w:tblGrid>
        <w:gridCol w:w="3406"/>
        <w:gridCol w:w="2818"/>
        <w:gridCol w:w="598"/>
        <w:gridCol w:w="3017"/>
      </w:tblGrid>
      <w:tr>
        <w:trPr>
          <w:trHeight w:val="286"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2818"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35,693,273.44</w:t>
            </w:r>
          </w:p>
        </w:tc>
        <w:tc>
          <w:tcPr>
            <w:tcW w:w="598" w:type="dxa"/>
            <w:tcBorders>
              <w:top w:val="nil" w:sz="6" w:space="0" w:color="auto"/>
              <w:left w:val="nil" w:sz="6" w:space="0" w:color="auto"/>
              <w:bottom w:val="nil" w:sz="6" w:space="0" w:color="auto"/>
              <w:right w:val="nil" w:sz="6" w:space="0" w:color="auto"/>
            </w:tcBorders>
          </w:tcPr>
          <w:p>
            <w:pPr/>
          </w:p>
        </w:tc>
        <w:tc>
          <w:tcPr>
            <w:tcW w:w="3017"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right"/>
              <w:rPr>
                <w:rFonts w:ascii="宋体" w:hAnsi="宋体" w:cs="宋体" w:eastAsia="宋体" w:hint="default"/>
                <w:sz w:val="18"/>
                <w:szCs w:val="18"/>
              </w:rPr>
            </w:pPr>
            <w:r>
              <w:rPr>
                <w:rFonts w:ascii="宋体"/>
                <w:sz w:val="18"/>
              </w:rPr>
              <w:t>44,745,313.43</w:t>
            </w:r>
          </w:p>
        </w:tc>
      </w:tr>
      <w:tr>
        <w:trPr>
          <w:trHeight w:val="392"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115,617,611.37</w:t>
            </w:r>
          </w:p>
        </w:tc>
        <w:tc>
          <w:tcPr>
            <w:tcW w:w="598" w:type="dxa"/>
            <w:tcBorders>
              <w:top w:val="nil" w:sz="6" w:space="0" w:color="auto"/>
              <w:left w:val="nil" w:sz="6" w:space="0" w:color="auto"/>
              <w:bottom w:val="nil" w:sz="6" w:space="0" w:color="auto"/>
              <w:right w:val="nil" w:sz="6" w:space="0" w:color="auto"/>
            </w:tcBorders>
          </w:tcPr>
          <w:p>
            <w:pP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98,250,221.87</w:t>
            </w:r>
          </w:p>
        </w:tc>
      </w:tr>
      <w:tr>
        <w:trPr>
          <w:trHeight w:val="392"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44,290,598.26</w:t>
            </w:r>
          </w:p>
        </w:tc>
        <w:tc>
          <w:tcPr>
            <w:tcW w:w="598" w:type="dxa"/>
            <w:tcBorders>
              <w:top w:val="nil" w:sz="6" w:space="0" w:color="auto"/>
              <w:left w:val="nil" w:sz="6" w:space="0" w:color="auto"/>
              <w:bottom w:val="nil" w:sz="6" w:space="0" w:color="auto"/>
              <w:right w:val="nil" w:sz="6" w:space="0" w:color="auto"/>
            </w:tcBorders>
          </w:tcPr>
          <w:p>
            <w:pP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29,153,846.47</w:t>
            </w:r>
          </w:p>
        </w:tc>
      </w:tr>
      <w:tr>
        <w:trPr>
          <w:trHeight w:val="392"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16,535,908.39</w:t>
            </w:r>
          </w:p>
        </w:tc>
        <w:tc>
          <w:tcPr>
            <w:tcW w:w="598" w:type="dxa"/>
            <w:tcBorders>
              <w:top w:val="nil" w:sz="6" w:space="0" w:color="auto"/>
              <w:left w:val="nil" w:sz="6" w:space="0" w:color="auto"/>
              <w:bottom w:val="nil" w:sz="6" w:space="0" w:color="auto"/>
              <w:right w:val="nil" w:sz="6" w:space="0" w:color="auto"/>
            </w:tcBorders>
          </w:tcPr>
          <w:p>
            <w:pP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5,179,487.19</w:t>
            </w:r>
          </w:p>
        </w:tc>
      </w:tr>
      <w:tr>
        <w:trPr>
          <w:trHeight w:val="392"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281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48,484,616.46</w:t>
            </w:r>
          </w:p>
        </w:tc>
        <w:tc>
          <w:tcPr>
            <w:tcW w:w="598" w:type="dxa"/>
            <w:tcBorders>
              <w:top w:val="nil" w:sz="6" w:space="0" w:color="auto"/>
              <w:left w:val="nil" w:sz="6" w:space="0" w:color="auto"/>
              <w:bottom w:val="nil" w:sz="6" w:space="0" w:color="auto"/>
              <w:right w:val="nil" w:sz="6" w:space="0" w:color="auto"/>
            </w:tcBorders>
          </w:tcPr>
          <w:p>
            <w:pPr/>
          </w:p>
        </w:tc>
        <w:tc>
          <w:tcPr>
            <w:tcW w:w="30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22,169,750.56</w:t>
            </w:r>
          </w:p>
        </w:tc>
      </w:tr>
      <w:tr>
        <w:trPr>
          <w:trHeight w:val="396"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281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12,843,337.58</w:t>
            </w:r>
          </w:p>
        </w:tc>
        <w:tc>
          <w:tcPr>
            <w:tcW w:w="598" w:type="dxa"/>
            <w:tcBorders>
              <w:top w:val="nil" w:sz="6" w:space="0" w:color="auto"/>
              <w:left w:val="nil" w:sz="6" w:space="0" w:color="auto"/>
              <w:bottom w:val="nil" w:sz="6" w:space="0" w:color="auto"/>
              <w:right w:val="nil" w:sz="6" w:space="0" w:color="auto"/>
            </w:tcBorders>
          </w:tcPr>
          <w:p>
            <w:pPr/>
          </w:p>
        </w:tc>
        <w:tc>
          <w:tcPr>
            <w:tcW w:w="301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7,260,500.49</w:t>
            </w:r>
          </w:p>
        </w:tc>
      </w:tr>
      <w:tr>
        <w:trPr>
          <w:trHeight w:val="413" w:hRule="exact"/>
        </w:trPr>
        <w:tc>
          <w:tcPr>
            <w:tcW w:w="3406" w:type="dxa"/>
            <w:tcBorders>
              <w:top w:val="nil" w:sz="6" w:space="0" w:color="auto"/>
              <w:left w:val="nil" w:sz="6" w:space="0" w:color="auto"/>
              <w:bottom w:val="nil" w:sz="6" w:space="0" w:color="auto"/>
              <w:right w:val="nil" w:sz="6" w:space="0" w:color="auto"/>
            </w:tcBorders>
          </w:tcPr>
          <w:p>
            <w:pPr/>
          </w:p>
        </w:tc>
        <w:tc>
          <w:tcPr>
            <w:tcW w:w="281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582,637,476.67</w:t>
            </w:r>
          </w:p>
        </w:tc>
        <w:tc>
          <w:tcPr>
            <w:tcW w:w="598" w:type="dxa"/>
            <w:tcBorders>
              <w:top w:val="nil" w:sz="6" w:space="0" w:color="auto"/>
              <w:left w:val="nil" w:sz="6" w:space="0" w:color="auto"/>
              <w:bottom w:val="nil" w:sz="6" w:space="0" w:color="auto"/>
              <w:right w:val="nil" w:sz="6" w:space="0" w:color="auto"/>
            </w:tcBorders>
          </w:tcPr>
          <w:p>
            <w:pPr/>
          </w:p>
        </w:tc>
        <w:tc>
          <w:tcPr>
            <w:tcW w:w="301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367,156,976.76</w:t>
            </w:r>
          </w:p>
        </w:tc>
      </w:tr>
    </w:tbl>
    <w:p>
      <w:pPr>
        <w:spacing w:line="240" w:lineRule="auto" w:before="13"/>
        <w:rPr>
          <w:rFonts w:ascii="宋体" w:hAnsi="宋体" w:cs="宋体" w:eastAsia="宋体" w:hint="default"/>
          <w:sz w:val="10"/>
          <w:szCs w:val="10"/>
        </w:rPr>
      </w:pPr>
    </w:p>
    <w:p>
      <w:pPr>
        <w:pStyle w:val="Heading4"/>
        <w:spacing w:line="240" w:lineRule="auto"/>
        <w:ind w:left="816" w:right="350"/>
        <w:jc w:val="left"/>
        <w:rPr>
          <w:b w:val="0"/>
          <w:bCs w:val="0"/>
        </w:rPr>
      </w:pPr>
      <w:r>
        <w:rPr/>
        <w:t>30、营业税金及附加</w:t>
      </w:r>
      <w:r>
        <w:rPr>
          <w:b w:val="0"/>
          <w:bCs w:val="0"/>
        </w:rPr>
      </w:r>
    </w:p>
    <w:p>
      <w:pPr>
        <w:spacing w:line="240" w:lineRule="auto" w:before="1"/>
        <w:rPr>
          <w:rFonts w:ascii="宋体" w:hAnsi="宋体" w:cs="宋体" w:eastAsia="宋体" w:hint="default"/>
          <w:b/>
          <w:bCs/>
          <w:sz w:val="20"/>
          <w:szCs w:val="20"/>
        </w:rPr>
      </w:pPr>
    </w:p>
    <w:tbl>
      <w:tblPr>
        <w:tblW w:w="0" w:type="auto"/>
        <w:jc w:val="left"/>
        <w:tblInd w:w="115" w:type="dxa"/>
        <w:tblLayout w:type="fixed"/>
        <w:tblCellMar>
          <w:top w:w="0" w:type="dxa"/>
          <w:left w:w="0" w:type="dxa"/>
          <w:bottom w:w="0" w:type="dxa"/>
          <w:right w:w="0" w:type="dxa"/>
        </w:tblCellMar>
        <w:tblLook w:val="01E0"/>
      </w:tblPr>
      <w:tblGrid>
        <w:gridCol w:w="5228"/>
        <w:gridCol w:w="1076"/>
        <w:gridCol w:w="571"/>
        <w:gridCol w:w="2982"/>
      </w:tblGrid>
      <w:tr>
        <w:trPr>
          <w:trHeight w:val="290" w:hRule="exact"/>
        </w:trPr>
        <w:tc>
          <w:tcPr>
            <w:tcW w:w="5228" w:type="dxa"/>
            <w:tcBorders>
              <w:top w:val="nil" w:sz="6" w:space="0" w:color="auto"/>
              <w:left w:val="nil" w:sz="6" w:space="0" w:color="auto"/>
              <w:bottom w:val="single" w:sz="4" w:space="0" w:color="000000"/>
              <w:right w:val="nil" w:sz="6" w:space="0" w:color="auto"/>
            </w:tcBorders>
          </w:tcPr>
          <w:p>
            <w:pPr>
              <w:pStyle w:val="TableParagraph"/>
              <w:spacing w:line="180" w:lineRule="exact"/>
              <w:ind w:right="-13"/>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076" w:type="dxa"/>
            <w:tcBorders>
              <w:top w:val="nil" w:sz="6" w:space="0" w:color="auto"/>
              <w:left w:val="nil" w:sz="6" w:space="0" w:color="auto"/>
              <w:bottom w:val="single" w:sz="4" w:space="0" w:color="000000"/>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
        </w:tc>
        <w:tc>
          <w:tcPr>
            <w:tcW w:w="2982" w:type="dxa"/>
            <w:tcBorders>
              <w:top w:val="nil" w:sz="6" w:space="0" w:color="auto"/>
              <w:left w:val="nil" w:sz="6" w:space="0" w:color="auto"/>
              <w:bottom w:val="single" w:sz="4" w:space="0" w:color="000000"/>
              <w:right w:val="nil" w:sz="6" w:space="0" w:color="auto"/>
            </w:tcBorders>
          </w:tcPr>
          <w:p>
            <w:pPr>
              <w:pStyle w:val="TableParagraph"/>
              <w:spacing w:line="180" w:lineRule="exact"/>
              <w:ind w:right="1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98" w:hRule="exact"/>
        </w:trPr>
        <w:tc>
          <w:tcPr>
            <w:tcW w:w="52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186,750.00</w:t>
            </w:r>
          </w:p>
        </w:tc>
        <w:tc>
          <w:tcPr>
            <w:tcW w:w="571" w:type="dxa"/>
            <w:tcBorders>
              <w:top w:val="nil" w:sz="6" w:space="0" w:color="auto"/>
              <w:left w:val="nil" w:sz="6" w:space="0" w:color="auto"/>
              <w:bottom w:val="nil" w:sz="6" w:space="0" w:color="auto"/>
              <w:right w:val="nil" w:sz="6" w:space="0" w:color="auto"/>
            </w:tcBorders>
          </w:tcPr>
          <w:p>
            <w:pPr/>
          </w:p>
        </w:tc>
        <w:tc>
          <w:tcPr>
            <w:tcW w:w="298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w:t>
            </w:r>
          </w:p>
        </w:tc>
      </w:tr>
      <w:tr>
        <w:trPr>
          <w:trHeight w:val="395" w:hRule="exact"/>
        </w:trPr>
        <w:tc>
          <w:tcPr>
            <w:tcW w:w="522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 w:right="0"/>
              <w:jc w:val="right"/>
              <w:rPr>
                <w:rFonts w:ascii="宋体" w:hAnsi="宋体" w:cs="宋体" w:eastAsia="宋体" w:hint="default"/>
                <w:sz w:val="18"/>
                <w:szCs w:val="18"/>
              </w:rPr>
            </w:pPr>
            <w:r>
              <w:rPr>
                <w:rFonts w:ascii="宋体"/>
                <w:sz w:val="18"/>
              </w:rPr>
              <w:t>3,281,592.10</w:t>
            </w:r>
          </w:p>
        </w:tc>
        <w:tc>
          <w:tcPr>
            <w:tcW w:w="571" w:type="dxa"/>
            <w:tcBorders>
              <w:top w:val="nil" w:sz="6" w:space="0" w:color="auto"/>
              <w:left w:val="nil" w:sz="6" w:space="0" w:color="auto"/>
              <w:bottom w:val="nil" w:sz="6" w:space="0" w:color="auto"/>
              <w:right w:val="nil" w:sz="6" w:space="0" w:color="auto"/>
            </w:tcBorders>
          </w:tcPr>
          <w:p>
            <w:pPr/>
          </w:p>
        </w:tc>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right"/>
              <w:rPr>
                <w:rFonts w:ascii="宋体" w:hAnsi="宋体" w:cs="宋体" w:eastAsia="宋体" w:hint="default"/>
                <w:sz w:val="18"/>
                <w:szCs w:val="18"/>
              </w:rPr>
            </w:pPr>
            <w:r>
              <w:rPr>
                <w:rFonts w:ascii="宋体"/>
                <w:sz w:val="18"/>
              </w:rPr>
              <w:t>2,073,082.13</w:t>
            </w:r>
          </w:p>
        </w:tc>
      </w:tr>
      <w:tr>
        <w:trPr>
          <w:trHeight w:val="392" w:hRule="exact"/>
        </w:trPr>
        <w:tc>
          <w:tcPr>
            <w:tcW w:w="5228" w:type="dxa"/>
            <w:tcBorders>
              <w:top w:val="nil" w:sz="6" w:space="0" w:color="auto"/>
              <w:left w:val="nil" w:sz="6" w:space="0" w:color="auto"/>
              <w:bottom w:val="single" w:sz="2" w:space="0" w:color="000000"/>
              <w:right w:val="nil" w:sz="6" w:space="0" w:color="auto"/>
            </w:tcBorders>
          </w:tcPr>
          <w:p>
            <w:pPr>
              <w:pStyle w:val="TableParagraph"/>
              <w:spacing w:line="240" w:lineRule="auto" w:before="47"/>
              <w:ind w:left="200"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076" w:type="dxa"/>
            <w:tcBorders>
              <w:top w:val="nil" w:sz="6" w:space="0" w:color="auto"/>
              <w:left w:val="nil" w:sz="6" w:space="0" w:color="auto"/>
              <w:bottom w:val="single" w:sz="2" w:space="0" w:color="000000"/>
              <w:right w:val="nil" w:sz="6" w:space="0" w:color="auto"/>
            </w:tcBorders>
          </w:tcPr>
          <w:p>
            <w:pPr>
              <w:pStyle w:val="TableParagraph"/>
              <w:spacing w:line="240" w:lineRule="auto" w:before="53"/>
              <w:ind w:left="-5" w:right="0"/>
              <w:jc w:val="right"/>
              <w:rPr>
                <w:rFonts w:ascii="宋体" w:hAnsi="宋体" w:cs="宋体" w:eastAsia="宋体" w:hint="default"/>
                <w:sz w:val="18"/>
                <w:szCs w:val="18"/>
              </w:rPr>
            </w:pPr>
            <w:r>
              <w:rPr>
                <w:rFonts w:ascii="宋体"/>
                <w:sz w:val="18"/>
              </w:rPr>
              <w:t>1,811,789.69</w:t>
            </w:r>
          </w:p>
        </w:tc>
        <w:tc>
          <w:tcPr>
            <w:tcW w:w="571" w:type="dxa"/>
            <w:tcBorders>
              <w:top w:val="nil" w:sz="6" w:space="0" w:color="auto"/>
              <w:left w:val="nil" w:sz="6" w:space="0" w:color="auto"/>
              <w:bottom w:val="nil" w:sz="6" w:space="0" w:color="auto"/>
              <w:right w:val="nil" w:sz="6" w:space="0" w:color="auto"/>
            </w:tcBorders>
          </w:tcPr>
          <w:p>
            <w:pPr/>
          </w:p>
        </w:tc>
        <w:tc>
          <w:tcPr>
            <w:tcW w:w="298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1,142,169.36</w:t>
            </w:r>
          </w:p>
        </w:tc>
      </w:tr>
      <w:tr>
        <w:trPr>
          <w:trHeight w:val="413" w:hRule="exact"/>
        </w:trPr>
        <w:tc>
          <w:tcPr>
            <w:tcW w:w="5228" w:type="dxa"/>
            <w:tcBorders>
              <w:top w:val="single" w:sz="2" w:space="0" w:color="000000"/>
              <w:left w:val="nil" w:sz="6" w:space="0" w:color="auto"/>
              <w:bottom w:val="single" w:sz="12" w:space="0" w:color="000000"/>
              <w:right w:val="nil" w:sz="6" w:space="0" w:color="auto"/>
            </w:tcBorders>
          </w:tcPr>
          <w:p>
            <w:pPr/>
          </w:p>
        </w:tc>
        <w:tc>
          <w:tcPr>
            <w:tcW w:w="1076" w:type="dxa"/>
            <w:tcBorders>
              <w:top w:val="single" w:sz="2" w:space="0" w:color="000000"/>
              <w:left w:val="nil" w:sz="6" w:space="0" w:color="auto"/>
              <w:bottom w:val="single" w:sz="12" w:space="0" w:color="000000"/>
              <w:right w:val="nil" w:sz="6" w:space="0" w:color="auto"/>
            </w:tcBorders>
          </w:tcPr>
          <w:p>
            <w:pPr>
              <w:pStyle w:val="TableParagraph"/>
              <w:spacing w:line="240" w:lineRule="auto" w:before="56"/>
              <w:ind w:left="-5" w:right="0"/>
              <w:jc w:val="right"/>
              <w:rPr>
                <w:rFonts w:ascii="宋体" w:hAnsi="宋体" w:cs="宋体" w:eastAsia="宋体" w:hint="default"/>
                <w:sz w:val="18"/>
                <w:szCs w:val="18"/>
              </w:rPr>
            </w:pPr>
            <w:r>
              <w:rPr>
                <w:rFonts w:ascii="宋体"/>
                <w:sz w:val="18"/>
              </w:rPr>
              <w:t>5,280,131.79</w:t>
            </w:r>
          </w:p>
        </w:tc>
        <w:tc>
          <w:tcPr>
            <w:tcW w:w="571" w:type="dxa"/>
            <w:tcBorders>
              <w:top w:val="nil" w:sz="6" w:space="0" w:color="auto"/>
              <w:left w:val="nil" w:sz="6" w:space="0" w:color="auto"/>
              <w:bottom w:val="nil" w:sz="6" w:space="0" w:color="auto"/>
              <w:right w:val="nil" w:sz="6" w:space="0" w:color="auto"/>
            </w:tcBorders>
          </w:tcPr>
          <w:p>
            <w:pPr/>
          </w:p>
        </w:tc>
        <w:tc>
          <w:tcPr>
            <w:tcW w:w="298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3,215,251.49</w:t>
            </w:r>
          </w:p>
        </w:tc>
      </w:tr>
    </w:tbl>
    <w:p>
      <w:pPr>
        <w:spacing w:line="240" w:lineRule="auto" w:before="13"/>
        <w:rPr>
          <w:rFonts w:ascii="宋体" w:hAnsi="宋体" w:cs="宋体" w:eastAsia="宋体" w:hint="default"/>
          <w:b/>
          <w:bCs/>
          <w:sz w:val="10"/>
          <w:szCs w:val="10"/>
        </w:rPr>
      </w:pPr>
    </w:p>
    <w:p>
      <w:pPr>
        <w:pStyle w:val="Heading4"/>
        <w:spacing w:line="240" w:lineRule="auto"/>
        <w:ind w:left="816" w:right="350"/>
        <w:jc w:val="left"/>
        <w:rPr>
          <w:b w:val="0"/>
          <w:bCs w:val="0"/>
        </w:rPr>
      </w:pPr>
      <w:r>
        <w:rPr/>
        <w:t>31、财务费用</w:t>
      </w:r>
      <w:r>
        <w:rPr>
          <w:b w:val="0"/>
          <w:bCs w:val="0"/>
        </w:rPr>
      </w:r>
    </w:p>
    <w:p>
      <w:pPr>
        <w:spacing w:line="240" w:lineRule="auto" w:before="2"/>
        <w:rPr>
          <w:rFonts w:ascii="宋体" w:hAnsi="宋体" w:cs="宋体" w:eastAsia="宋体" w:hint="default"/>
          <w:b/>
          <w:bCs/>
          <w:sz w:val="20"/>
          <w:szCs w:val="20"/>
        </w:rPr>
      </w:pPr>
    </w:p>
    <w:tbl>
      <w:tblPr>
        <w:tblW w:w="0" w:type="auto"/>
        <w:jc w:val="left"/>
        <w:tblInd w:w="133" w:type="dxa"/>
        <w:tblLayout w:type="fixed"/>
        <w:tblCellMar>
          <w:top w:w="0" w:type="dxa"/>
          <w:left w:w="0" w:type="dxa"/>
          <w:bottom w:w="0" w:type="dxa"/>
          <w:right w:w="0" w:type="dxa"/>
        </w:tblCellMar>
        <w:tblLook w:val="01E0"/>
      </w:tblPr>
      <w:tblGrid>
        <w:gridCol w:w="5218"/>
        <w:gridCol w:w="1067"/>
        <w:gridCol w:w="571"/>
        <w:gridCol w:w="2982"/>
      </w:tblGrid>
      <w:tr>
        <w:trPr>
          <w:trHeight w:val="289" w:hRule="exact"/>
        </w:trPr>
        <w:tc>
          <w:tcPr>
            <w:tcW w:w="5218" w:type="dxa"/>
            <w:tcBorders>
              <w:top w:val="nil" w:sz="6" w:space="0" w:color="auto"/>
              <w:left w:val="nil" w:sz="6" w:space="0" w:color="auto"/>
              <w:bottom w:val="single" w:sz="4" w:space="0" w:color="000000"/>
              <w:right w:val="nil" w:sz="6" w:space="0" w:color="auto"/>
            </w:tcBorders>
          </w:tcPr>
          <w:p>
            <w:pPr>
              <w:pStyle w:val="TableParagraph"/>
              <w:spacing w:line="180" w:lineRule="exact"/>
              <w:ind w:right="-14"/>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067" w:type="dxa"/>
            <w:tcBorders>
              <w:top w:val="nil" w:sz="6" w:space="0" w:color="auto"/>
              <w:left w:val="nil" w:sz="6" w:space="0" w:color="auto"/>
              <w:bottom w:val="single" w:sz="4" w:space="0" w:color="000000"/>
              <w:right w:val="nil" w:sz="6" w:space="0" w:color="auto"/>
            </w:tcBorders>
          </w:tcPr>
          <w:p>
            <w:pPr/>
          </w:p>
        </w:tc>
        <w:tc>
          <w:tcPr>
            <w:tcW w:w="571" w:type="dxa"/>
            <w:tcBorders>
              <w:top w:val="nil" w:sz="6" w:space="0" w:color="auto"/>
              <w:left w:val="nil" w:sz="6" w:space="0" w:color="auto"/>
              <w:bottom w:val="nil" w:sz="6" w:space="0" w:color="auto"/>
              <w:right w:val="nil" w:sz="6" w:space="0" w:color="auto"/>
            </w:tcBorders>
          </w:tcPr>
          <w:p>
            <w:pPr/>
          </w:p>
        </w:tc>
        <w:tc>
          <w:tcPr>
            <w:tcW w:w="2982"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98" w:hRule="exact"/>
        </w:trPr>
        <w:tc>
          <w:tcPr>
            <w:tcW w:w="521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2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0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4" w:right="0"/>
              <w:jc w:val="right"/>
              <w:rPr>
                <w:rFonts w:ascii="宋体" w:hAnsi="宋体" w:cs="宋体" w:eastAsia="宋体" w:hint="default"/>
                <w:sz w:val="18"/>
                <w:szCs w:val="18"/>
              </w:rPr>
            </w:pPr>
            <w:r>
              <w:rPr>
                <w:rFonts w:ascii="宋体"/>
                <w:sz w:val="18"/>
              </w:rPr>
              <w:t>5,229,335.17</w:t>
            </w:r>
          </w:p>
        </w:tc>
        <w:tc>
          <w:tcPr>
            <w:tcW w:w="571" w:type="dxa"/>
            <w:tcBorders>
              <w:top w:val="nil" w:sz="6" w:space="0" w:color="auto"/>
              <w:left w:val="nil" w:sz="6" w:space="0" w:color="auto"/>
              <w:bottom w:val="nil" w:sz="6" w:space="0" w:color="auto"/>
              <w:right w:val="nil" w:sz="6" w:space="0" w:color="auto"/>
            </w:tcBorders>
          </w:tcPr>
          <w:p>
            <w:pPr/>
          </w:p>
        </w:tc>
        <w:tc>
          <w:tcPr>
            <w:tcW w:w="298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1,020,543.62</w:t>
            </w:r>
          </w:p>
        </w:tc>
      </w:tr>
      <w:tr>
        <w:trPr>
          <w:trHeight w:val="392" w:hRule="exact"/>
        </w:trPr>
        <w:tc>
          <w:tcPr>
            <w:tcW w:w="521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4" w:right="0"/>
              <w:jc w:val="right"/>
              <w:rPr>
                <w:rFonts w:ascii="宋体" w:hAnsi="宋体" w:cs="宋体" w:eastAsia="宋体" w:hint="default"/>
                <w:sz w:val="18"/>
                <w:szCs w:val="18"/>
              </w:rPr>
            </w:pPr>
            <w:r>
              <w:rPr>
                <w:rFonts w:ascii="宋体"/>
                <w:sz w:val="18"/>
              </w:rPr>
              <w:t>5,525,521.64</w:t>
            </w:r>
          </w:p>
        </w:tc>
        <w:tc>
          <w:tcPr>
            <w:tcW w:w="571" w:type="dxa"/>
            <w:tcBorders>
              <w:top w:val="nil" w:sz="6" w:space="0" w:color="auto"/>
              <w:left w:val="nil" w:sz="6" w:space="0" w:color="auto"/>
              <w:bottom w:val="nil" w:sz="6" w:space="0" w:color="auto"/>
              <w:right w:val="nil" w:sz="6" w:space="0" w:color="auto"/>
            </w:tcBorders>
          </w:tcPr>
          <w:p>
            <w:pPr/>
          </w:p>
        </w:tc>
        <w:tc>
          <w:tcPr>
            <w:tcW w:w="298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1,964,373.89</w:t>
            </w:r>
          </w:p>
        </w:tc>
      </w:tr>
      <w:tr>
        <w:trPr>
          <w:trHeight w:val="396" w:hRule="exact"/>
        </w:trPr>
        <w:tc>
          <w:tcPr>
            <w:tcW w:w="521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62,810.22</w:t>
            </w:r>
          </w:p>
        </w:tc>
        <w:tc>
          <w:tcPr>
            <w:tcW w:w="571" w:type="dxa"/>
            <w:tcBorders>
              <w:top w:val="nil" w:sz="6" w:space="0" w:color="auto"/>
              <w:left w:val="nil" w:sz="6" w:space="0" w:color="auto"/>
              <w:bottom w:val="nil" w:sz="6" w:space="0" w:color="auto"/>
              <w:right w:val="nil" w:sz="6" w:space="0" w:color="auto"/>
            </w:tcBorders>
          </w:tcPr>
          <w:p>
            <w:pPr/>
          </w:p>
        </w:tc>
        <w:tc>
          <w:tcPr>
            <w:tcW w:w="298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229,560.65</w:t>
            </w:r>
          </w:p>
        </w:tc>
      </w:tr>
      <w:tr>
        <w:trPr>
          <w:trHeight w:val="413" w:hRule="exact"/>
        </w:trPr>
        <w:tc>
          <w:tcPr>
            <w:tcW w:w="5218" w:type="dxa"/>
            <w:tcBorders>
              <w:top w:val="single" w:sz="4" w:space="0" w:color="000000"/>
              <w:left w:val="nil" w:sz="6" w:space="0" w:color="auto"/>
              <w:bottom w:val="single" w:sz="12" w:space="0" w:color="000000"/>
              <w:right w:val="nil" w:sz="6" w:space="0" w:color="auto"/>
            </w:tcBorders>
          </w:tcPr>
          <w:p>
            <w:pPr/>
          </w:p>
        </w:tc>
        <w:tc>
          <w:tcPr>
            <w:tcW w:w="106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14" w:right="0"/>
              <w:jc w:val="right"/>
              <w:rPr>
                <w:rFonts w:ascii="宋体" w:hAnsi="宋体" w:cs="宋体" w:eastAsia="宋体" w:hint="default"/>
                <w:sz w:val="18"/>
                <w:szCs w:val="18"/>
              </w:rPr>
            </w:pPr>
            <w:r>
              <w:rPr>
                <w:rFonts w:ascii="宋体"/>
                <w:sz w:val="18"/>
              </w:rPr>
              <w:t>(233,376.25)</w:t>
            </w:r>
          </w:p>
        </w:tc>
        <w:tc>
          <w:tcPr>
            <w:tcW w:w="571" w:type="dxa"/>
            <w:tcBorders>
              <w:top w:val="nil" w:sz="6" w:space="0" w:color="auto"/>
              <w:left w:val="nil" w:sz="6" w:space="0" w:color="auto"/>
              <w:bottom w:val="nil" w:sz="6" w:space="0" w:color="auto"/>
              <w:right w:val="nil" w:sz="6" w:space="0" w:color="auto"/>
            </w:tcBorders>
          </w:tcPr>
          <w:p>
            <w:pPr/>
          </w:p>
        </w:tc>
        <w:tc>
          <w:tcPr>
            <w:tcW w:w="298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(714,269.62)</w:t>
            </w:r>
          </w:p>
        </w:tc>
      </w:tr>
    </w:tbl>
    <w:p>
      <w:pPr>
        <w:spacing w:line="240" w:lineRule="auto" w:before="13"/>
        <w:rPr>
          <w:rFonts w:ascii="宋体" w:hAnsi="宋体" w:cs="宋体" w:eastAsia="宋体" w:hint="default"/>
          <w:b/>
          <w:bCs/>
          <w:sz w:val="10"/>
          <w:szCs w:val="10"/>
        </w:rPr>
      </w:pPr>
    </w:p>
    <w:p>
      <w:pPr>
        <w:pStyle w:val="Heading4"/>
        <w:spacing w:line="240" w:lineRule="auto"/>
        <w:ind w:left="816" w:right="350"/>
        <w:jc w:val="left"/>
        <w:rPr>
          <w:b w:val="0"/>
          <w:bCs w:val="0"/>
        </w:rPr>
      </w:pPr>
      <w:r>
        <w:rPr/>
        <w:t>32、资产减值损失</w:t>
      </w:r>
      <w:r>
        <w:rPr>
          <w:b w:val="0"/>
          <w:bCs w:val="0"/>
        </w:rPr>
      </w:r>
    </w:p>
    <w:p>
      <w:pPr>
        <w:spacing w:line="240" w:lineRule="auto" w:before="1"/>
        <w:rPr>
          <w:rFonts w:ascii="宋体" w:hAnsi="宋体" w:cs="宋体" w:eastAsia="宋体" w:hint="default"/>
          <w:b/>
          <w:bCs/>
          <w:sz w:val="20"/>
          <w:szCs w:val="20"/>
        </w:rPr>
      </w:pPr>
    </w:p>
    <w:tbl>
      <w:tblPr>
        <w:tblW w:w="0" w:type="auto"/>
        <w:jc w:val="left"/>
        <w:tblInd w:w="134" w:type="dxa"/>
        <w:tblLayout w:type="fixed"/>
        <w:tblCellMar>
          <w:top w:w="0" w:type="dxa"/>
          <w:left w:w="0" w:type="dxa"/>
          <w:bottom w:w="0" w:type="dxa"/>
          <w:right w:w="0" w:type="dxa"/>
        </w:tblCellMar>
        <w:tblLook w:val="01E0"/>
      </w:tblPr>
      <w:tblGrid>
        <w:gridCol w:w="3406"/>
        <w:gridCol w:w="2879"/>
        <w:gridCol w:w="561"/>
        <w:gridCol w:w="2992"/>
      </w:tblGrid>
      <w:tr>
        <w:trPr>
          <w:trHeight w:val="290" w:hRule="exact"/>
        </w:trPr>
        <w:tc>
          <w:tcPr>
            <w:tcW w:w="3406" w:type="dxa"/>
            <w:tcBorders>
              <w:top w:val="nil" w:sz="6" w:space="0" w:color="auto"/>
              <w:left w:val="nil" w:sz="6" w:space="0" w:color="auto"/>
              <w:bottom w:val="nil" w:sz="6" w:space="0" w:color="auto"/>
              <w:right w:val="nil" w:sz="6" w:space="0" w:color="auto"/>
            </w:tcBorders>
          </w:tcPr>
          <w:p>
            <w:pPr/>
          </w:p>
        </w:tc>
        <w:tc>
          <w:tcPr>
            <w:tcW w:w="2879"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561" w:type="dxa"/>
            <w:tcBorders>
              <w:top w:val="nil" w:sz="6" w:space="0" w:color="auto"/>
              <w:left w:val="nil" w:sz="6" w:space="0" w:color="auto"/>
              <w:bottom w:val="nil" w:sz="6" w:space="0" w:color="auto"/>
              <w:right w:val="nil" w:sz="6" w:space="0" w:color="auto"/>
            </w:tcBorders>
          </w:tcPr>
          <w:p>
            <w:pPr/>
          </w:p>
        </w:tc>
        <w:tc>
          <w:tcPr>
            <w:tcW w:w="2992"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92" w:hRule="exact"/>
        </w:trPr>
        <w:tc>
          <w:tcPr>
            <w:tcW w:w="340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287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709" w:right="0"/>
              <w:jc w:val="left"/>
              <w:rPr>
                <w:rFonts w:ascii="宋体" w:hAnsi="宋体" w:cs="宋体" w:eastAsia="宋体" w:hint="default"/>
                <w:sz w:val="18"/>
                <w:szCs w:val="18"/>
              </w:rPr>
            </w:pPr>
            <w:r>
              <w:rPr>
                <w:rFonts w:ascii="宋体"/>
                <w:sz w:val="18"/>
              </w:rPr>
              <w:t>13,048,353.47</w:t>
            </w:r>
          </w:p>
        </w:tc>
        <w:tc>
          <w:tcPr>
            <w:tcW w:w="561" w:type="dxa"/>
            <w:tcBorders>
              <w:top w:val="nil" w:sz="6" w:space="0" w:color="auto"/>
              <w:left w:val="nil" w:sz="6" w:space="0" w:color="auto"/>
              <w:bottom w:val="nil" w:sz="6" w:space="0" w:color="auto"/>
              <w:right w:val="nil" w:sz="6" w:space="0" w:color="auto"/>
            </w:tcBorders>
          </w:tcPr>
          <w:p>
            <w:pPr/>
          </w:p>
        </w:tc>
        <w:tc>
          <w:tcPr>
            <w:tcW w:w="299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911" w:right="0"/>
              <w:jc w:val="left"/>
              <w:rPr>
                <w:rFonts w:ascii="宋体" w:hAnsi="宋体" w:cs="宋体" w:eastAsia="宋体" w:hint="default"/>
                <w:sz w:val="18"/>
                <w:szCs w:val="18"/>
              </w:rPr>
            </w:pPr>
            <w:r>
              <w:rPr>
                <w:rFonts w:ascii="宋体"/>
                <w:sz w:val="18"/>
              </w:rPr>
              <w:t>6,623,740.04</w:t>
            </w:r>
          </w:p>
        </w:tc>
      </w:tr>
    </w:tbl>
    <w:p>
      <w:pPr>
        <w:spacing w:line="240" w:lineRule="auto" w:before="1"/>
        <w:rPr>
          <w:rFonts w:ascii="宋体" w:hAnsi="宋体" w:cs="宋体" w:eastAsia="宋体" w:hint="default"/>
          <w:b/>
          <w:bCs/>
          <w:sz w:val="19"/>
          <w:szCs w:val="19"/>
        </w:rPr>
      </w:pPr>
    </w:p>
    <w:p>
      <w:pPr>
        <w:spacing w:line="396" w:lineRule="auto" w:before="26"/>
        <w:ind w:left="813" w:right="6156" w:firstLine="2"/>
        <w:jc w:val="left"/>
        <w:rPr>
          <w:rFonts w:ascii="宋体" w:hAnsi="宋体" w:cs="宋体" w:eastAsia="宋体" w:hint="default"/>
          <w:sz w:val="24"/>
          <w:szCs w:val="24"/>
        </w:rPr>
      </w:pPr>
      <w:r>
        <w:rPr>
          <w:rFonts w:ascii="宋体" w:hAnsi="宋体" w:cs="宋体" w:eastAsia="宋体" w:hint="default"/>
          <w:b/>
          <w:bCs/>
          <w:sz w:val="24"/>
          <w:szCs w:val="24"/>
        </w:rPr>
        <w:t>33、营业外收入及营业外支出</w:t>
      </w:r>
      <w:r>
        <w:rPr>
          <w:rFonts w:ascii="宋体" w:hAnsi="宋体" w:cs="宋体" w:eastAsia="宋体" w:hint="default"/>
          <w:b/>
          <w:bCs/>
          <w:spacing w:val="1"/>
          <w:w w:val="99"/>
          <w:sz w:val="24"/>
          <w:szCs w:val="24"/>
        </w:rPr>
        <w:t> </w:t>
      </w:r>
      <w:r>
        <w:rPr>
          <w:rFonts w:ascii="宋体" w:hAnsi="宋体" w:cs="宋体" w:eastAsia="宋体" w:hint="default"/>
          <w:sz w:val="24"/>
          <w:szCs w:val="24"/>
        </w:rPr>
        <w:t>(1)营业外收入</w:t>
      </w:r>
    </w:p>
    <w:p>
      <w:pPr>
        <w:spacing w:line="240" w:lineRule="auto" w:before="4"/>
        <w:rPr>
          <w:rFonts w:ascii="宋体" w:hAnsi="宋体" w:cs="宋体" w:eastAsia="宋体" w:hint="default"/>
          <w:sz w:val="8"/>
          <w:szCs w:val="8"/>
        </w:rPr>
      </w:pPr>
    </w:p>
    <w:tbl>
      <w:tblPr>
        <w:tblW w:w="0" w:type="auto"/>
        <w:jc w:val="left"/>
        <w:tblInd w:w="168" w:type="dxa"/>
        <w:tblLayout w:type="fixed"/>
        <w:tblCellMar>
          <w:top w:w="0" w:type="dxa"/>
          <w:left w:w="0" w:type="dxa"/>
          <w:bottom w:w="0" w:type="dxa"/>
          <w:right w:w="0" w:type="dxa"/>
        </w:tblCellMar>
        <w:tblLook w:val="01E0"/>
      </w:tblPr>
      <w:tblGrid>
        <w:gridCol w:w="3526"/>
        <w:gridCol w:w="2950"/>
        <w:gridCol w:w="472"/>
        <w:gridCol w:w="2855"/>
      </w:tblGrid>
      <w:tr>
        <w:trPr>
          <w:trHeight w:val="293" w:hRule="exact"/>
        </w:trPr>
        <w:tc>
          <w:tcPr>
            <w:tcW w:w="3526" w:type="dxa"/>
            <w:tcBorders>
              <w:top w:val="nil" w:sz="6" w:space="0" w:color="auto"/>
              <w:left w:val="nil" w:sz="6" w:space="0" w:color="auto"/>
              <w:bottom w:val="nil" w:sz="6" w:space="0" w:color="auto"/>
              <w:right w:val="nil" w:sz="6" w:space="0" w:color="auto"/>
            </w:tcBorders>
          </w:tcPr>
          <w:p>
            <w:pPr/>
          </w:p>
        </w:tc>
        <w:tc>
          <w:tcPr>
            <w:tcW w:w="2950"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472" w:type="dxa"/>
            <w:tcBorders>
              <w:top w:val="nil" w:sz="6" w:space="0" w:color="auto"/>
              <w:left w:val="nil" w:sz="6" w:space="0" w:color="auto"/>
              <w:bottom w:val="nil" w:sz="6" w:space="0" w:color="auto"/>
              <w:right w:val="nil" w:sz="6" w:space="0" w:color="auto"/>
            </w:tcBorders>
          </w:tcPr>
          <w:p>
            <w:pPr/>
          </w:p>
        </w:tc>
        <w:tc>
          <w:tcPr>
            <w:tcW w:w="2855"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03" w:hRule="exact"/>
        </w:trPr>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00" w:right="0"/>
              <w:jc w:val="left"/>
              <w:rPr>
                <w:rFonts w:ascii="宋体" w:hAnsi="宋体" w:cs="宋体" w:eastAsia="宋体" w:hint="default"/>
                <w:sz w:val="18"/>
                <w:szCs w:val="18"/>
              </w:rPr>
            </w:pPr>
            <w:r>
              <w:rPr>
                <w:rFonts w:ascii="宋体" w:hAnsi="宋体" w:cs="宋体" w:eastAsia="宋体" w:hint="default"/>
                <w:sz w:val="18"/>
                <w:szCs w:val="18"/>
              </w:rPr>
              <w:t>处置固定资产利得</w:t>
            </w:r>
          </w:p>
        </w:tc>
        <w:tc>
          <w:tcPr>
            <w:tcW w:w="295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c>
          <w:tcPr>
            <w:tcW w:w="472" w:type="dxa"/>
            <w:tcBorders>
              <w:top w:val="nil" w:sz="6" w:space="0" w:color="auto"/>
              <w:left w:val="nil" w:sz="6" w:space="0" w:color="auto"/>
              <w:bottom w:val="nil" w:sz="6" w:space="0" w:color="auto"/>
              <w:right w:val="nil" w:sz="6" w:space="0" w:color="auto"/>
            </w:tcBorders>
          </w:tcPr>
          <w:p>
            <w:pPr/>
          </w:p>
        </w:tc>
        <w:tc>
          <w:tcPr>
            <w:tcW w:w="285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749,135.97</w:t>
            </w:r>
          </w:p>
        </w:tc>
      </w:tr>
      <w:tr>
        <w:trPr>
          <w:trHeight w:val="397" w:hRule="exact"/>
        </w:trPr>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30,866,838.32</w:t>
            </w:r>
          </w:p>
        </w:tc>
        <w:tc>
          <w:tcPr>
            <w:tcW w:w="472" w:type="dxa"/>
            <w:tcBorders>
              <w:top w:val="nil" w:sz="6" w:space="0" w:color="auto"/>
              <w:left w:val="nil" w:sz="6" w:space="0" w:color="auto"/>
              <w:bottom w:val="nil" w:sz="6" w:space="0" w:color="auto"/>
              <w:right w:val="nil" w:sz="6" w:space="0" w:color="auto"/>
            </w:tcBorders>
          </w:tcPr>
          <w:p>
            <w:pP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24,246,396.65</w:t>
            </w:r>
          </w:p>
        </w:tc>
      </w:tr>
      <w:tr>
        <w:trPr>
          <w:trHeight w:val="397" w:hRule="exact"/>
        </w:trPr>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政府补贴收入**</w:t>
            </w:r>
          </w:p>
        </w:tc>
        <w:tc>
          <w:tcPr>
            <w:tcW w:w="295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15,490,554.43</w:t>
            </w:r>
          </w:p>
        </w:tc>
        <w:tc>
          <w:tcPr>
            <w:tcW w:w="472" w:type="dxa"/>
            <w:tcBorders>
              <w:top w:val="nil" w:sz="6" w:space="0" w:color="auto"/>
              <w:left w:val="nil" w:sz="6" w:space="0" w:color="auto"/>
              <w:bottom w:val="nil" w:sz="6" w:space="0" w:color="auto"/>
              <w:right w:val="nil" w:sz="6" w:space="0" w:color="auto"/>
            </w:tcBorders>
          </w:tcPr>
          <w:p>
            <w:pPr/>
          </w:p>
        </w:tc>
        <w:tc>
          <w:tcPr>
            <w:tcW w:w="28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10,235,000.00</w:t>
            </w:r>
          </w:p>
        </w:tc>
      </w:tr>
      <w:tr>
        <w:trPr>
          <w:trHeight w:val="401" w:hRule="exact"/>
        </w:trPr>
        <w:tc>
          <w:tcPr>
            <w:tcW w:w="352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50"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5,930.00</w:t>
            </w:r>
          </w:p>
        </w:tc>
        <w:tc>
          <w:tcPr>
            <w:tcW w:w="472" w:type="dxa"/>
            <w:tcBorders>
              <w:top w:val="nil" w:sz="6" w:space="0" w:color="auto"/>
              <w:left w:val="nil" w:sz="6" w:space="0" w:color="auto"/>
              <w:bottom w:val="nil" w:sz="6" w:space="0" w:color="auto"/>
              <w:right w:val="nil" w:sz="6" w:space="0" w:color="auto"/>
            </w:tcBorders>
          </w:tcPr>
          <w:p>
            <w:pPr/>
          </w:p>
        </w:tc>
        <w:tc>
          <w:tcPr>
            <w:tcW w:w="285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0"/>
              <w:jc w:val="right"/>
              <w:rPr>
                <w:rFonts w:ascii="宋体" w:hAnsi="宋体" w:cs="宋体" w:eastAsia="宋体" w:hint="default"/>
                <w:sz w:val="18"/>
                <w:szCs w:val="18"/>
              </w:rPr>
            </w:pPr>
            <w:r>
              <w:rPr>
                <w:rFonts w:ascii="宋体"/>
                <w:sz w:val="18"/>
              </w:rPr>
              <w:t>30,236.00</w:t>
            </w:r>
          </w:p>
        </w:tc>
      </w:tr>
      <w:tr>
        <w:trPr>
          <w:trHeight w:val="418" w:hRule="exact"/>
        </w:trPr>
        <w:tc>
          <w:tcPr>
            <w:tcW w:w="3526" w:type="dxa"/>
            <w:tcBorders>
              <w:top w:val="nil" w:sz="6" w:space="0" w:color="auto"/>
              <w:left w:val="nil" w:sz="6" w:space="0" w:color="auto"/>
              <w:bottom w:val="nil" w:sz="6" w:space="0" w:color="auto"/>
              <w:right w:val="nil" w:sz="6" w:space="0" w:color="auto"/>
            </w:tcBorders>
          </w:tcPr>
          <w:p>
            <w:pPr/>
          </w:p>
        </w:tc>
        <w:tc>
          <w:tcPr>
            <w:tcW w:w="2950"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46,363,322.75</w:t>
            </w:r>
          </w:p>
        </w:tc>
        <w:tc>
          <w:tcPr>
            <w:tcW w:w="472" w:type="dxa"/>
            <w:tcBorders>
              <w:top w:val="nil" w:sz="6" w:space="0" w:color="auto"/>
              <w:left w:val="nil" w:sz="6" w:space="0" w:color="auto"/>
              <w:bottom w:val="nil" w:sz="6" w:space="0" w:color="auto"/>
              <w:right w:val="nil" w:sz="6" w:space="0" w:color="auto"/>
            </w:tcBorders>
          </w:tcPr>
          <w:p>
            <w:pPr/>
          </w:p>
        </w:tc>
        <w:tc>
          <w:tcPr>
            <w:tcW w:w="2855" w:type="dxa"/>
            <w:tcBorders>
              <w:top w:val="single" w:sz="4" w:space="0" w:color="000000"/>
              <w:left w:val="nil" w:sz="6" w:space="0" w:color="auto"/>
              <w:bottom w:val="single" w:sz="12"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35,260,768.62</w:t>
            </w:r>
          </w:p>
        </w:tc>
      </w:tr>
    </w:tbl>
    <w:p>
      <w:pPr>
        <w:spacing w:line="240" w:lineRule="auto" w:before="4"/>
        <w:rPr>
          <w:rFonts w:ascii="宋体" w:hAnsi="宋体" w:cs="宋体" w:eastAsia="宋体" w:hint="default"/>
          <w:sz w:val="13"/>
          <w:szCs w:val="13"/>
        </w:rPr>
      </w:pPr>
    </w:p>
    <w:p>
      <w:pPr>
        <w:pStyle w:val="BodyText"/>
        <w:spacing w:line="240" w:lineRule="auto" w:before="26"/>
        <w:ind w:left="844" w:right="0"/>
        <w:jc w:val="left"/>
      </w:pPr>
      <w:r>
        <w:rPr/>
        <w:t>* </w:t>
      </w:r>
      <w:r>
        <w:rPr>
          <w:spacing w:val="6"/>
        </w:rPr>
        <w:t>根据财政部、国家税务总局、海关总署财税[2002]25</w:t>
      </w:r>
      <w:r>
        <w:rPr>
          <w:spacing w:val="-12"/>
        </w:rPr>
        <w:t> </w:t>
      </w:r>
      <w:r>
        <w:rPr>
          <w:spacing w:val="7"/>
        </w:rPr>
        <w:t>号文《关于&lt;鼓励软件产业和</w:t>
      </w:r>
      <w:r>
        <w:rPr/>
      </w:r>
    </w:p>
    <w:p>
      <w:pPr>
        <w:spacing w:after="0" w:line="240" w:lineRule="auto"/>
        <w:jc w:val="left"/>
        <w:sectPr>
          <w:pgSz w:w="11910" w:h="16840"/>
          <w:pgMar w:header="877" w:footer="1022" w:top="1060" w:bottom="1220" w:left="80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343" w:lineRule="auto" w:before="26"/>
        <w:ind w:left="273" w:right="228"/>
        <w:jc w:val="both"/>
      </w:pPr>
      <w:r>
        <w:rPr>
          <w:spacing w:val="5"/>
        </w:rPr>
        <w:t>集成电路产业发展有关税收政策问题&gt;的通知》,自</w:t>
      </w:r>
      <w:r>
        <w:rPr>
          <w:spacing w:val="-49"/>
        </w:rPr>
        <w:t> </w:t>
      </w:r>
      <w:r>
        <w:rPr>
          <w:spacing w:val="2"/>
        </w:rPr>
        <w:t>2000</w:t>
      </w:r>
      <w:r>
        <w:rPr>
          <w:spacing w:val="-51"/>
        </w:rPr>
        <w:t> </w:t>
      </w:r>
      <w:r>
        <w:rPr/>
        <w:t>年</w:t>
      </w:r>
      <w:r>
        <w:rPr>
          <w:spacing w:val="-48"/>
        </w:rPr>
        <w:t> </w:t>
      </w:r>
      <w:r>
        <w:rPr/>
        <w:t>6</w:t>
      </w:r>
      <w:r>
        <w:rPr>
          <w:spacing w:val="-53"/>
        </w:rPr>
        <w:t> </w:t>
      </w:r>
      <w:r>
        <w:rPr/>
        <w:t>月</w:t>
      </w:r>
      <w:r>
        <w:rPr>
          <w:spacing w:val="-49"/>
        </w:rPr>
        <w:t> </w:t>
      </w:r>
      <w:r>
        <w:rPr/>
        <w:t>24</w:t>
      </w:r>
      <w:r>
        <w:rPr>
          <w:spacing w:val="-53"/>
        </w:rPr>
        <w:t> </w:t>
      </w:r>
      <w:r>
        <w:rPr>
          <w:spacing w:val="5"/>
        </w:rPr>
        <w:t>日起至</w:t>
      </w:r>
      <w:r>
        <w:rPr>
          <w:spacing w:val="-49"/>
        </w:rPr>
        <w:t> </w:t>
      </w:r>
      <w:r>
        <w:rPr>
          <w:spacing w:val="2"/>
        </w:rPr>
        <w:t>2010</w:t>
      </w:r>
      <w:r>
        <w:rPr>
          <w:spacing w:val="-51"/>
        </w:rPr>
        <w:t> </w:t>
      </w:r>
      <w:r>
        <w:rPr>
          <w:spacing w:val="6"/>
        </w:rPr>
        <w:t>年末以前,</w:t>
      </w:r>
      <w:r>
        <w:rPr/>
        <w:t> </w:t>
      </w:r>
      <w:r>
        <w:rPr>
          <w:spacing w:val="7"/>
        </w:rPr>
        <w:t>对增值税一般纳税人销售其自行开发生产的软件产品,按</w:t>
      </w:r>
      <w:r>
        <w:rPr>
          <w:spacing w:val="-11"/>
        </w:rPr>
        <w:t> </w:t>
      </w:r>
      <w:r>
        <w:rPr>
          <w:spacing w:val="5"/>
        </w:rPr>
        <w:t>17%的法定税率征收增值税后,对</w:t>
      </w:r>
      <w:r>
        <w:rPr>
          <w:spacing w:val="-116"/>
        </w:rPr>
        <w:t> </w:t>
      </w:r>
      <w:r>
        <w:rPr>
          <w:spacing w:val="-116"/>
        </w:rPr>
      </w:r>
      <w:r>
        <w:rPr>
          <w:spacing w:val="7"/>
        </w:rPr>
        <w:t>其增值税实际税负超过</w:t>
      </w:r>
      <w:r>
        <w:rPr>
          <w:spacing w:val="-38"/>
        </w:rPr>
        <w:t> </w:t>
      </w:r>
      <w:r>
        <w:rPr>
          <w:spacing w:val="4"/>
        </w:rPr>
        <w:t>3%的部分实行即征即退政策。所退税款由企业用于研究开发软件产</w:t>
      </w:r>
      <w:r>
        <w:rPr>
          <w:spacing w:val="-118"/>
        </w:rPr>
        <w:t> </w:t>
      </w:r>
      <w:r>
        <w:rPr>
          <w:spacing w:val="-118"/>
        </w:rPr>
      </w:r>
      <w:r>
        <w:rPr>
          <w:spacing w:val="6"/>
        </w:rPr>
        <w:t>品和扩大再生产,不作为企业所得税应税收入,不予征收企业所得税。本年度本公司已收到</w:t>
      </w:r>
      <w:r>
        <w:rPr>
          <w:spacing w:val="-85"/>
        </w:rPr>
        <w:t> </w:t>
      </w:r>
      <w:r>
        <w:rPr>
          <w:spacing w:val="-85"/>
        </w:rPr>
      </w:r>
      <w:r>
        <w:rPr>
          <w:spacing w:val="6"/>
        </w:rPr>
        <w:t>返还增值税款</w:t>
      </w:r>
      <w:r>
        <w:rPr>
          <w:spacing w:val="-21"/>
        </w:rPr>
        <w:t> </w:t>
      </w:r>
      <w:r>
        <w:rPr>
          <w:spacing w:val="2"/>
        </w:rPr>
        <w:t>25,255,341.12</w:t>
      </w:r>
      <w:r>
        <w:rPr>
          <w:spacing w:val="-24"/>
        </w:rPr>
        <w:t> </w:t>
      </w:r>
      <w:r>
        <w:rPr>
          <w:spacing w:val="7"/>
        </w:rPr>
        <w:t>人民币元，荣信科技已收到返还增值税款</w:t>
      </w:r>
      <w:r>
        <w:rPr>
          <w:spacing w:val="-21"/>
        </w:rPr>
        <w:t> </w:t>
      </w:r>
      <w:r>
        <w:rPr>
          <w:spacing w:val="2"/>
        </w:rPr>
        <w:t>851,497.20</w:t>
      </w:r>
      <w:r>
        <w:rPr>
          <w:spacing w:val="-24"/>
        </w:rPr>
        <w:t> </w:t>
      </w:r>
      <w:r>
        <w:rPr>
          <w:spacing w:val="3"/>
        </w:rPr>
        <w:t>人民</w:t>
      </w:r>
    </w:p>
    <w:p>
      <w:pPr>
        <w:pStyle w:val="BodyText"/>
        <w:spacing w:line="240" w:lineRule="auto" w:before="32"/>
        <w:ind w:left="274" w:right="0"/>
        <w:jc w:val="both"/>
      </w:pPr>
      <w:r>
        <w:rPr>
          <w:spacing w:val="7"/>
        </w:rPr>
        <w:t>币元，荣信嘉时已收到返还增值税款 </w:t>
      </w:r>
      <w:r>
        <w:rPr>
          <w:spacing w:val="2"/>
        </w:rPr>
        <w:t>1,582,000.00</w:t>
      </w:r>
      <w:r>
        <w:rPr>
          <w:spacing w:val="8"/>
        </w:rPr>
        <w:t> </w:t>
      </w:r>
      <w:r>
        <w:rPr>
          <w:spacing w:val="7"/>
        </w:rPr>
        <w:t>人民币元，诚和伟业已收到返还的增</w:t>
      </w:r>
      <w:r>
        <w:rPr/>
      </w:r>
    </w:p>
    <w:p>
      <w:pPr>
        <w:pStyle w:val="BodyText"/>
        <w:spacing w:line="240" w:lineRule="auto" w:before="136"/>
        <w:ind w:left="274" w:right="0"/>
        <w:jc w:val="both"/>
      </w:pPr>
      <w:r>
        <w:rPr>
          <w:spacing w:val="5"/>
        </w:rPr>
        <w:t>值税款</w:t>
      </w:r>
      <w:r>
        <w:rPr>
          <w:spacing w:val="-46"/>
        </w:rPr>
        <w:t> </w:t>
      </w:r>
      <w:r>
        <w:rPr>
          <w:spacing w:val="3"/>
        </w:rPr>
        <w:t>3,178,000.00</w:t>
      </w:r>
      <w:r>
        <w:rPr>
          <w:spacing w:val="-48"/>
        </w:rPr>
        <w:t> </w:t>
      </w:r>
      <w:r>
        <w:rPr>
          <w:spacing w:val="7"/>
        </w:rPr>
        <w:t>人民币元。</w:t>
      </w:r>
      <w:r>
        <w:rPr/>
      </w:r>
    </w:p>
    <w:p>
      <w:pPr>
        <w:spacing w:line="240" w:lineRule="auto" w:before="6"/>
        <w:rPr>
          <w:rFonts w:ascii="宋体" w:hAnsi="宋体" w:cs="宋体" w:eastAsia="宋体" w:hint="default"/>
          <w:sz w:val="19"/>
          <w:szCs w:val="19"/>
        </w:rPr>
      </w:pPr>
    </w:p>
    <w:p>
      <w:pPr>
        <w:pStyle w:val="BodyText"/>
        <w:spacing w:line="240" w:lineRule="auto"/>
        <w:ind w:left="784" w:right="90"/>
        <w:jc w:val="left"/>
      </w:pPr>
      <w:r>
        <w:rPr>
          <w:spacing w:val="7"/>
        </w:rPr>
        <w:t>**政府补贴收入主要明细如下:</w:t>
      </w:r>
      <w:r>
        <w:rPr/>
      </w:r>
    </w:p>
    <w:p>
      <w:pPr>
        <w:spacing w:line="240" w:lineRule="auto" w:before="9"/>
        <w:rPr>
          <w:rFonts w:ascii="宋体" w:hAnsi="宋体" w:cs="宋体" w:eastAsia="宋体" w:hint="default"/>
          <w:sz w:val="19"/>
          <w:szCs w:val="19"/>
        </w:rPr>
      </w:pPr>
    </w:p>
    <w:p>
      <w:pPr>
        <w:pStyle w:val="BodyText"/>
        <w:spacing w:line="343" w:lineRule="auto"/>
        <w:ind w:left="273" w:right="90" w:firstLine="510"/>
        <w:jc w:val="left"/>
      </w:pPr>
      <w:r>
        <w:rPr>
          <w:spacing w:val="5"/>
        </w:rPr>
        <w:t>根据鞍财指流[2007]675</w:t>
      </w:r>
      <w:r>
        <w:rPr>
          <w:spacing w:val="35"/>
        </w:rPr>
        <w:t> </w:t>
      </w:r>
      <w:r>
        <w:rPr>
          <w:spacing w:val="9"/>
        </w:rPr>
        <w:t>号文件,收到鞍山市财政局拨付机电高新技术出口产品研发</w:t>
      </w:r>
      <w:r>
        <w:rPr>
          <w:spacing w:val="10"/>
        </w:rPr>
        <w:t> </w:t>
      </w:r>
      <w:r>
        <w:rPr>
          <w:spacing w:val="7"/>
        </w:rPr>
        <w:t>开发项目资金(外贸发展基金) </w:t>
      </w:r>
      <w:r>
        <w:rPr>
          <w:spacing w:val="2"/>
        </w:rPr>
        <w:t>200,000.00</w:t>
      </w:r>
      <w:r>
        <w:rPr>
          <w:spacing w:val="-46"/>
        </w:rPr>
        <w:t> </w:t>
      </w:r>
      <w:r>
        <w:rPr>
          <w:spacing w:val="6"/>
        </w:rPr>
        <w:t>人民币元。</w:t>
      </w:r>
    </w:p>
    <w:p>
      <w:pPr>
        <w:pStyle w:val="BodyText"/>
        <w:spacing w:line="343" w:lineRule="auto" w:before="152"/>
        <w:ind w:left="273" w:right="90" w:firstLine="510"/>
        <w:jc w:val="left"/>
      </w:pPr>
      <w:r>
        <w:rPr>
          <w:spacing w:val="3"/>
        </w:rPr>
        <w:t>收到</w:t>
      </w:r>
      <w:r>
        <w:rPr>
          <w:spacing w:val="-45"/>
        </w:rPr>
        <w:t> </w:t>
      </w:r>
      <w:r>
        <w:rPr>
          <w:spacing w:val="2"/>
        </w:rPr>
        <w:t>2008</w:t>
      </w:r>
      <w:r>
        <w:rPr>
          <w:spacing w:val="-48"/>
        </w:rPr>
        <w:t> </w:t>
      </w:r>
      <w:r>
        <w:rPr>
          <w:spacing w:val="6"/>
        </w:rPr>
        <w:t>年度国际科技合作与交流专项经费</w:t>
      </w:r>
      <w:r>
        <w:rPr>
          <w:spacing w:val="-45"/>
        </w:rPr>
        <w:t> </w:t>
      </w:r>
      <w:r>
        <w:rPr>
          <w:spacing w:val="2"/>
        </w:rPr>
        <w:t>1,280,000.00</w:t>
      </w:r>
      <w:r>
        <w:rPr>
          <w:spacing w:val="-48"/>
        </w:rPr>
        <w:t> </w:t>
      </w:r>
      <w:r>
        <w:rPr>
          <w:spacing w:val="2"/>
        </w:rPr>
        <w:t>人民币元，专项用于“采</w:t>
      </w:r>
      <w:r>
        <w:rPr/>
        <w:t> 用</w:t>
      </w:r>
      <w:r>
        <w:rPr>
          <w:spacing w:val="-48"/>
        </w:rPr>
        <w:t> </w:t>
      </w:r>
      <w:r>
        <w:rPr/>
        <w:t>LTT</w:t>
      </w:r>
      <w:r>
        <w:rPr>
          <w:spacing w:val="-50"/>
        </w:rPr>
        <w:t> </w:t>
      </w:r>
      <w:r>
        <w:rPr>
          <w:spacing w:val="4"/>
        </w:rPr>
        <w:t>技术的</w:t>
      </w:r>
      <w:r>
        <w:rPr>
          <w:spacing w:val="-48"/>
        </w:rPr>
        <w:t> </w:t>
      </w:r>
      <w:r>
        <w:rPr>
          <w:spacing w:val="2"/>
        </w:rPr>
        <w:t>66KV</w:t>
      </w:r>
      <w:r>
        <w:rPr>
          <w:spacing w:val="-50"/>
        </w:rPr>
        <w:t> </w:t>
      </w:r>
      <w:r>
        <w:rPr>
          <w:spacing w:val="3"/>
        </w:rPr>
        <w:t>直挂</w:t>
      </w:r>
      <w:r>
        <w:rPr>
          <w:spacing w:val="-48"/>
        </w:rPr>
        <w:t> </w:t>
      </w:r>
      <w:r>
        <w:rPr>
          <w:spacing w:val="2"/>
        </w:rPr>
        <w:t>SVC</w:t>
      </w:r>
      <w:r>
        <w:rPr>
          <w:spacing w:val="-50"/>
        </w:rPr>
        <w:t> </w:t>
      </w:r>
      <w:r>
        <w:rPr>
          <w:spacing w:val="2"/>
        </w:rPr>
        <w:t>研制”项目。本年度该项经费已全部用于该项目的研发。</w:t>
      </w:r>
    </w:p>
    <w:p>
      <w:pPr>
        <w:pStyle w:val="BodyText"/>
        <w:spacing w:line="343" w:lineRule="auto" w:before="152"/>
        <w:ind w:left="273" w:right="228" w:firstLine="510"/>
        <w:jc w:val="both"/>
      </w:pPr>
      <w:r>
        <w:rPr/>
        <w:t>收到国家科技支撑计划专项经费</w:t>
      </w:r>
      <w:r>
        <w:rPr>
          <w:spacing w:val="-58"/>
        </w:rPr>
        <w:t> </w:t>
      </w:r>
      <w:r>
        <w:rPr/>
        <w:t>23,910,000.00</w:t>
      </w:r>
      <w:r>
        <w:rPr>
          <w:spacing w:val="-58"/>
        </w:rPr>
        <w:t> </w:t>
      </w:r>
      <w:r>
        <w:rPr/>
        <w:t>人民币元，专项用于中高压、百</w:t>
      </w:r>
      <w:r>
        <w:rPr>
          <w:spacing w:val="-58"/>
        </w:rPr>
        <w:t> </w:t>
      </w:r>
      <w:r>
        <w:rPr/>
        <w:t>MVA</w:t>
      </w:r>
      <w:r>
        <w:rPr>
          <w:spacing w:val="-58"/>
        </w:rPr>
        <w:t> </w:t>
      </w:r>
      <w:r>
        <w:rPr/>
        <w:t>级</w:t>
      </w:r>
      <w:r>
        <w:rPr/>
        <w:t> </w:t>
      </w:r>
      <w:r>
        <w:rPr>
          <w:spacing w:val="2"/>
        </w:rPr>
        <w:t>链式及多电平变流器与静止补偿器研制。将本年度发生该项目的研发费用</w:t>
      </w:r>
      <w:r>
        <w:rPr>
          <w:spacing w:val="-9"/>
        </w:rPr>
        <w:t> </w:t>
      </w:r>
      <w:r>
        <w:rPr/>
        <w:t>7,110,554.43</w:t>
      </w:r>
      <w:r>
        <w:rPr>
          <w:spacing w:val="-22"/>
        </w:rPr>
        <w:t> </w:t>
      </w:r>
      <w:r>
        <w:rPr/>
        <w:t>人</w:t>
      </w:r>
      <w:r>
        <w:rPr>
          <w:spacing w:val="-118"/>
        </w:rPr>
        <w:t> </w:t>
      </w:r>
      <w:r>
        <w:rPr>
          <w:spacing w:val="-118"/>
        </w:rPr>
      </w:r>
      <w:r>
        <w:rPr/>
        <w:t>民币元，转入补贴收入。</w:t>
      </w:r>
    </w:p>
    <w:p>
      <w:pPr>
        <w:pStyle w:val="BodyText"/>
        <w:spacing w:line="343" w:lineRule="auto" w:before="152"/>
        <w:ind w:left="273" w:right="222" w:firstLine="510"/>
        <w:jc w:val="left"/>
      </w:pPr>
      <w:r>
        <w:rPr/>
        <w:t>根据鞍山市财务局以鞍财指债[2008]337</w:t>
      </w:r>
      <w:r>
        <w:rPr>
          <w:spacing w:val="-1"/>
        </w:rPr>
        <w:t> </w:t>
      </w:r>
      <w:r>
        <w:rPr/>
        <w:t>号《关于下达企业上市奖励资金预算指标的通</w:t>
      </w:r>
      <w:r>
        <w:rPr/>
        <w:t> </w:t>
      </w:r>
      <w:r>
        <w:rPr>
          <w:spacing w:val="-5"/>
        </w:rPr>
        <w:t>知》，收到鞍山市财政局拨付给本公司上市工作奖励资金</w:t>
      </w:r>
      <w:r>
        <w:rPr>
          <w:spacing w:val="-58"/>
        </w:rPr>
        <w:t> </w:t>
      </w:r>
      <w:r>
        <w:rPr/>
        <w:t>1,000,000.00</w:t>
      </w:r>
      <w:r>
        <w:rPr>
          <w:spacing w:val="-58"/>
        </w:rPr>
        <w:t> </w:t>
      </w:r>
      <w:r>
        <w:rPr/>
        <w:t>人民币元。</w:t>
      </w:r>
    </w:p>
    <w:p>
      <w:pPr>
        <w:pStyle w:val="BodyText"/>
        <w:spacing w:line="343" w:lineRule="auto" w:before="152"/>
        <w:ind w:left="273" w:right="90" w:firstLine="510"/>
        <w:jc w:val="left"/>
      </w:pPr>
      <w:r>
        <w:rPr>
          <w:spacing w:val="7"/>
        </w:rPr>
        <w:t>本年度本公司收到中压高性能变频调速技术及装置研发经费</w:t>
      </w:r>
      <w:r>
        <w:rPr>
          <w:spacing w:val="-68"/>
        </w:rPr>
        <w:t> </w:t>
      </w:r>
      <w:r>
        <w:rPr>
          <w:spacing w:val="3"/>
        </w:rPr>
        <w:t>4,500,000.00</w:t>
      </w:r>
      <w:r>
        <w:rPr>
          <w:spacing w:val="-70"/>
        </w:rPr>
        <w:t> </w:t>
      </w:r>
      <w:r>
        <w:rPr>
          <w:spacing w:val="5"/>
        </w:rPr>
        <w:t>人民币元，</w:t>
      </w:r>
      <w:r>
        <w:rPr/>
        <w:t> </w:t>
      </w:r>
      <w:r>
        <w:rPr>
          <w:spacing w:val="2"/>
        </w:rPr>
        <w:t>全部用于该项目的研发费用。</w:t>
      </w:r>
    </w:p>
    <w:p>
      <w:pPr>
        <w:pStyle w:val="BodyText"/>
        <w:spacing w:line="240" w:lineRule="auto" w:before="152"/>
        <w:ind w:left="753" w:right="90"/>
        <w:jc w:val="left"/>
      </w:pPr>
      <w:r>
        <w:rPr/>
        <w:t>(2)营业外支出</w:t>
      </w:r>
    </w:p>
    <w:p>
      <w:pPr>
        <w:spacing w:line="240" w:lineRule="auto" w:before="4"/>
        <w:rPr>
          <w:rFonts w:ascii="宋体" w:hAnsi="宋体" w:cs="宋体" w:eastAsia="宋体"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5647"/>
        <w:gridCol w:w="891"/>
        <w:gridCol w:w="515"/>
        <w:gridCol w:w="2750"/>
      </w:tblGrid>
      <w:tr>
        <w:trPr>
          <w:trHeight w:val="307" w:hRule="exact"/>
        </w:trPr>
        <w:tc>
          <w:tcPr>
            <w:tcW w:w="5647" w:type="dxa"/>
            <w:tcBorders>
              <w:top w:val="nil" w:sz="6" w:space="0" w:color="auto"/>
              <w:left w:val="nil" w:sz="6" w:space="0" w:color="auto"/>
              <w:bottom w:val="single" w:sz="4" w:space="0" w:color="000000"/>
              <w:right w:val="nil" w:sz="6" w:space="0" w:color="auto"/>
            </w:tcBorders>
          </w:tcPr>
          <w:p>
            <w:pPr>
              <w:pStyle w:val="TableParagraph"/>
              <w:spacing w:line="180" w:lineRule="exact"/>
              <w:ind w:right="-10"/>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891" w:type="dxa"/>
            <w:tcBorders>
              <w:top w:val="nil" w:sz="6" w:space="0" w:color="auto"/>
              <w:left w:val="nil" w:sz="6" w:space="0" w:color="auto"/>
              <w:bottom w:val="single" w:sz="4" w:space="0" w:color="000000"/>
              <w:right w:val="nil" w:sz="6" w:space="0" w:color="auto"/>
            </w:tcBorders>
          </w:tcPr>
          <w:p>
            <w:pPr/>
          </w:p>
        </w:tc>
        <w:tc>
          <w:tcPr>
            <w:tcW w:w="515"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31" w:hRule="exact"/>
        </w:trPr>
        <w:tc>
          <w:tcPr>
            <w:tcW w:w="5647"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left="200"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c>
          <w:tcPr>
            <w:tcW w:w="891"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64,453.65</w:t>
            </w:r>
          </w:p>
        </w:tc>
        <w:tc>
          <w:tcPr>
            <w:tcW w:w="515" w:type="dxa"/>
            <w:tcBorders>
              <w:top w:val="nil" w:sz="6" w:space="0" w:color="auto"/>
              <w:left w:val="nil" w:sz="6" w:space="0" w:color="auto"/>
              <w:bottom w:val="nil" w:sz="6" w:space="0" w:color="auto"/>
              <w:right w:val="nil" w:sz="6" w:space="0" w:color="auto"/>
            </w:tcBorders>
          </w:tcPr>
          <w:p>
            <w:pPr/>
          </w:p>
        </w:tc>
        <w:tc>
          <w:tcPr>
            <w:tcW w:w="2750"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118,194.11</w:t>
            </w:r>
          </w:p>
        </w:tc>
      </w:tr>
      <w:tr>
        <w:trPr>
          <w:trHeight w:val="425" w:hRule="exact"/>
        </w:trPr>
        <w:tc>
          <w:tcPr>
            <w:tcW w:w="5647"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00"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0" w:right="0"/>
              <w:jc w:val="right"/>
              <w:rPr>
                <w:rFonts w:ascii="宋体" w:hAnsi="宋体" w:cs="宋体" w:eastAsia="宋体" w:hint="default"/>
                <w:sz w:val="18"/>
                <w:szCs w:val="18"/>
              </w:rPr>
            </w:pPr>
            <w:r>
              <w:rPr>
                <w:rFonts w:ascii="宋体"/>
                <w:sz w:val="18"/>
              </w:rPr>
              <w:t>103,565.00</w:t>
            </w:r>
          </w:p>
        </w:tc>
        <w:tc>
          <w:tcPr>
            <w:tcW w:w="515"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w:t>
            </w:r>
          </w:p>
        </w:tc>
      </w:tr>
      <w:tr>
        <w:trPr>
          <w:trHeight w:val="429" w:hRule="exact"/>
        </w:trPr>
        <w:tc>
          <w:tcPr>
            <w:tcW w:w="5647"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1"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3,464.50</w:t>
            </w:r>
          </w:p>
        </w:tc>
        <w:tc>
          <w:tcPr>
            <w:tcW w:w="515"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5,177.87</w:t>
            </w:r>
          </w:p>
        </w:tc>
      </w:tr>
      <w:tr>
        <w:trPr>
          <w:trHeight w:val="446" w:hRule="exact"/>
        </w:trPr>
        <w:tc>
          <w:tcPr>
            <w:tcW w:w="5647" w:type="dxa"/>
            <w:tcBorders>
              <w:top w:val="single" w:sz="4" w:space="0" w:color="000000"/>
              <w:left w:val="nil" w:sz="6" w:space="0" w:color="auto"/>
              <w:bottom w:val="single" w:sz="12" w:space="0" w:color="000000"/>
              <w:right w:val="nil" w:sz="6" w:space="0" w:color="auto"/>
            </w:tcBorders>
          </w:tcPr>
          <w:p>
            <w:pPr/>
          </w:p>
        </w:tc>
        <w:tc>
          <w:tcPr>
            <w:tcW w:w="891"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left="-10" w:right="0"/>
              <w:jc w:val="right"/>
              <w:rPr>
                <w:rFonts w:ascii="宋体" w:hAnsi="宋体" w:cs="宋体" w:eastAsia="宋体" w:hint="default"/>
                <w:sz w:val="18"/>
                <w:szCs w:val="18"/>
              </w:rPr>
            </w:pPr>
            <w:r>
              <w:rPr>
                <w:rFonts w:ascii="宋体"/>
                <w:sz w:val="18"/>
              </w:rPr>
              <w:t>171,483.15</w:t>
            </w:r>
          </w:p>
        </w:tc>
        <w:tc>
          <w:tcPr>
            <w:tcW w:w="515" w:type="dxa"/>
            <w:tcBorders>
              <w:top w:val="nil" w:sz="6" w:space="0" w:color="auto"/>
              <w:left w:val="nil" w:sz="6" w:space="0" w:color="auto"/>
              <w:bottom w:val="nil" w:sz="6" w:space="0" w:color="auto"/>
              <w:right w:val="nil" w:sz="6" w:space="0" w:color="auto"/>
            </w:tcBorders>
          </w:tcPr>
          <w:p>
            <w:pPr/>
          </w:p>
        </w:tc>
        <w:tc>
          <w:tcPr>
            <w:tcW w:w="2750" w:type="dxa"/>
            <w:tcBorders>
              <w:top w:val="single" w:sz="4" w:space="0" w:color="000000"/>
              <w:left w:val="nil" w:sz="6" w:space="0" w:color="auto"/>
              <w:bottom w:val="single" w:sz="12" w:space="0" w:color="000000"/>
              <w:right w:val="nil" w:sz="6" w:space="0" w:color="auto"/>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123,371.98</w:t>
            </w:r>
          </w:p>
        </w:tc>
      </w:tr>
    </w:tbl>
    <w:p>
      <w:pPr>
        <w:spacing w:line="240" w:lineRule="auto" w:before="13"/>
        <w:rPr>
          <w:rFonts w:ascii="宋体" w:hAnsi="宋体" w:cs="宋体" w:eastAsia="宋体" w:hint="default"/>
          <w:sz w:val="10"/>
          <w:szCs w:val="10"/>
        </w:rPr>
      </w:pPr>
    </w:p>
    <w:p>
      <w:pPr>
        <w:pStyle w:val="Heading4"/>
        <w:spacing w:line="240" w:lineRule="auto"/>
        <w:ind w:left="756" w:right="90"/>
        <w:jc w:val="left"/>
        <w:rPr>
          <w:b w:val="0"/>
          <w:bCs w:val="0"/>
        </w:rPr>
      </w:pPr>
      <w:r>
        <w:rPr/>
        <w:t>34、所得税费用</w:t>
      </w:r>
      <w:r>
        <w:rPr>
          <w:b w:val="0"/>
          <w:bCs w:val="0"/>
        </w:rPr>
      </w:r>
    </w:p>
    <w:p>
      <w:pPr>
        <w:spacing w:line="240" w:lineRule="auto" w:before="1"/>
        <w:rPr>
          <w:rFonts w:ascii="宋体" w:hAnsi="宋体" w:cs="宋体" w:eastAsia="宋体" w:hint="default"/>
          <w:b/>
          <w:bCs/>
          <w:sz w:val="20"/>
          <w:szCs w:val="20"/>
        </w:rPr>
      </w:pPr>
    </w:p>
    <w:tbl>
      <w:tblPr>
        <w:tblW w:w="0" w:type="auto"/>
        <w:jc w:val="left"/>
        <w:tblInd w:w="108" w:type="dxa"/>
        <w:tblLayout w:type="fixed"/>
        <w:tblCellMar>
          <w:top w:w="0" w:type="dxa"/>
          <w:left w:w="0" w:type="dxa"/>
          <w:bottom w:w="0" w:type="dxa"/>
          <w:right w:w="0" w:type="dxa"/>
        </w:tblCellMar>
        <w:tblLook w:val="01E0"/>
      </w:tblPr>
      <w:tblGrid>
        <w:gridCol w:w="4004"/>
        <w:gridCol w:w="2534"/>
        <w:gridCol w:w="515"/>
        <w:gridCol w:w="2750"/>
      </w:tblGrid>
      <w:tr>
        <w:trPr>
          <w:trHeight w:val="289" w:hRule="exact"/>
        </w:trPr>
        <w:tc>
          <w:tcPr>
            <w:tcW w:w="4004" w:type="dxa"/>
            <w:tcBorders>
              <w:top w:val="nil" w:sz="6" w:space="0" w:color="auto"/>
              <w:left w:val="nil" w:sz="6" w:space="0" w:color="auto"/>
              <w:bottom w:val="nil" w:sz="6" w:space="0" w:color="auto"/>
              <w:right w:val="nil" w:sz="6" w:space="0" w:color="auto"/>
            </w:tcBorders>
          </w:tcPr>
          <w:p>
            <w:pPr/>
          </w:p>
        </w:tc>
        <w:tc>
          <w:tcPr>
            <w:tcW w:w="2534"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515"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92" w:hRule="exact"/>
        </w:trPr>
        <w:tc>
          <w:tcPr>
            <w:tcW w:w="4004"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当期所得税</w:t>
            </w:r>
          </w:p>
        </w:tc>
        <w:tc>
          <w:tcPr>
            <w:tcW w:w="253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364" w:right="0"/>
              <w:jc w:val="left"/>
              <w:rPr>
                <w:rFonts w:ascii="宋体" w:hAnsi="宋体" w:cs="宋体" w:eastAsia="宋体" w:hint="default"/>
                <w:sz w:val="18"/>
                <w:szCs w:val="18"/>
              </w:rPr>
            </w:pPr>
            <w:r>
              <w:rPr>
                <w:rFonts w:ascii="宋体"/>
                <w:sz w:val="18"/>
              </w:rPr>
              <w:t>11,025,961.89</w:t>
            </w:r>
          </w:p>
        </w:tc>
        <w:tc>
          <w:tcPr>
            <w:tcW w:w="515" w:type="dxa"/>
            <w:tcBorders>
              <w:top w:val="nil" w:sz="6" w:space="0" w:color="auto"/>
              <w:left w:val="nil" w:sz="6" w:space="0" w:color="auto"/>
              <w:bottom w:val="nil" w:sz="6" w:space="0" w:color="auto"/>
              <w:right w:val="nil" w:sz="6" w:space="0" w:color="auto"/>
            </w:tcBorders>
          </w:tcPr>
          <w:p>
            <w:pPr/>
          </w:p>
        </w:tc>
        <w:tc>
          <w:tcPr>
            <w:tcW w:w="275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670" w:right="0"/>
              <w:jc w:val="left"/>
              <w:rPr>
                <w:rFonts w:ascii="宋体" w:hAnsi="宋体" w:cs="宋体" w:eastAsia="宋体" w:hint="default"/>
                <w:sz w:val="18"/>
                <w:szCs w:val="18"/>
              </w:rPr>
            </w:pPr>
            <w:r>
              <w:rPr>
                <w:rFonts w:ascii="宋体"/>
                <w:sz w:val="18"/>
              </w:rPr>
              <w:t>3,162,809.82</w:t>
            </w:r>
          </w:p>
        </w:tc>
      </w:tr>
    </w:tbl>
    <w:p>
      <w:pPr>
        <w:spacing w:after="0" w:line="240" w:lineRule="auto"/>
        <w:jc w:val="left"/>
        <w:rPr>
          <w:rFonts w:ascii="宋体" w:hAnsi="宋体" w:cs="宋体" w:eastAsia="宋体" w:hint="default"/>
          <w:sz w:val="18"/>
          <w:szCs w:val="18"/>
        </w:rPr>
        <w:sectPr>
          <w:pgSz w:w="11910" w:h="16840"/>
          <w:pgMar w:header="877" w:footer="1022" w:top="1060" w:bottom="1220" w:left="860" w:right="900"/>
        </w:sect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tbl>
      <w:tblPr>
        <w:tblW w:w="0" w:type="auto"/>
        <w:jc w:val="left"/>
        <w:tblInd w:w="148" w:type="dxa"/>
        <w:tblLayout w:type="fixed"/>
        <w:tblCellMar>
          <w:top w:w="0" w:type="dxa"/>
          <w:left w:w="0" w:type="dxa"/>
          <w:bottom w:w="0" w:type="dxa"/>
          <w:right w:w="0" w:type="dxa"/>
        </w:tblCellMar>
        <w:tblLook w:val="01E0"/>
      </w:tblPr>
      <w:tblGrid>
        <w:gridCol w:w="4004"/>
        <w:gridCol w:w="2534"/>
        <w:gridCol w:w="515"/>
        <w:gridCol w:w="2750"/>
      </w:tblGrid>
      <w:tr>
        <w:trPr>
          <w:trHeight w:val="290" w:hRule="exact"/>
        </w:trPr>
        <w:tc>
          <w:tcPr>
            <w:tcW w:w="4004"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递延所得税</w:t>
            </w:r>
          </w:p>
        </w:tc>
        <w:tc>
          <w:tcPr>
            <w:tcW w:w="2534"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(1,436,119.56)</w:t>
            </w:r>
          </w:p>
        </w:tc>
        <w:tc>
          <w:tcPr>
            <w:tcW w:w="515" w:type="dxa"/>
            <w:tcBorders>
              <w:top w:val="nil" w:sz="6" w:space="0" w:color="auto"/>
              <w:left w:val="nil" w:sz="6" w:space="0" w:color="auto"/>
              <w:bottom w:val="nil" w:sz="6" w:space="0" w:color="auto"/>
              <w:right w:val="nil" w:sz="6" w:space="0" w:color="auto"/>
            </w:tcBorders>
          </w:tcPr>
          <w:p>
            <w:pPr/>
          </w:p>
        </w:tc>
        <w:tc>
          <w:tcPr>
            <w:tcW w:w="275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(235,057.57)</w:t>
            </w:r>
          </w:p>
        </w:tc>
      </w:tr>
      <w:tr>
        <w:trPr>
          <w:trHeight w:val="413" w:hRule="exact"/>
        </w:trPr>
        <w:tc>
          <w:tcPr>
            <w:tcW w:w="4004" w:type="dxa"/>
            <w:tcBorders>
              <w:top w:val="nil" w:sz="6" w:space="0" w:color="auto"/>
              <w:left w:val="nil" w:sz="6" w:space="0" w:color="auto"/>
              <w:bottom w:val="nil" w:sz="6" w:space="0" w:color="auto"/>
              <w:right w:val="nil" w:sz="6" w:space="0" w:color="auto"/>
            </w:tcBorders>
          </w:tcPr>
          <w:p>
            <w:pPr/>
          </w:p>
        </w:tc>
        <w:tc>
          <w:tcPr>
            <w:tcW w:w="253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9,589,842.33</w:t>
            </w:r>
          </w:p>
        </w:tc>
        <w:tc>
          <w:tcPr>
            <w:tcW w:w="515" w:type="dxa"/>
            <w:tcBorders>
              <w:top w:val="nil" w:sz="6" w:space="0" w:color="auto"/>
              <w:left w:val="nil" w:sz="6" w:space="0" w:color="auto"/>
              <w:bottom w:val="nil" w:sz="6" w:space="0" w:color="auto"/>
              <w:right w:val="nil" w:sz="6" w:space="0" w:color="auto"/>
            </w:tcBorders>
          </w:tcPr>
          <w:p>
            <w:pPr/>
          </w:p>
        </w:tc>
        <w:tc>
          <w:tcPr>
            <w:tcW w:w="275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2,927,752.25</w:t>
            </w:r>
          </w:p>
        </w:tc>
      </w:tr>
    </w:tbl>
    <w:p>
      <w:pPr>
        <w:spacing w:line="240" w:lineRule="auto" w:before="13"/>
        <w:rPr>
          <w:rFonts w:ascii="宋体" w:hAnsi="宋体" w:cs="宋体" w:eastAsia="宋体" w:hint="default"/>
          <w:b/>
          <w:bCs/>
          <w:sz w:val="10"/>
          <w:szCs w:val="10"/>
        </w:rPr>
      </w:pPr>
    </w:p>
    <w:p>
      <w:pPr>
        <w:spacing w:line="367" w:lineRule="auto" w:before="26"/>
        <w:ind w:left="794" w:right="7490" w:firstLine="2"/>
        <w:jc w:val="left"/>
        <w:rPr>
          <w:rFonts w:ascii="宋体" w:hAnsi="宋体" w:cs="宋体" w:eastAsia="宋体" w:hint="default"/>
          <w:sz w:val="24"/>
          <w:szCs w:val="24"/>
        </w:rPr>
      </w:pPr>
      <w:r>
        <w:rPr>
          <w:rFonts w:ascii="宋体" w:hAnsi="宋体" w:cs="宋体" w:eastAsia="宋体" w:hint="default"/>
          <w:b/>
          <w:bCs/>
          <w:sz w:val="24"/>
          <w:szCs w:val="24"/>
        </w:rPr>
        <w:t>35、每股收益</w:t>
      </w:r>
      <w:r>
        <w:rPr>
          <w:rFonts w:ascii="宋体" w:hAnsi="宋体" w:cs="宋体" w:eastAsia="宋体" w:hint="default"/>
          <w:b/>
          <w:bCs/>
          <w:spacing w:val="1"/>
          <w:w w:val="99"/>
          <w:sz w:val="24"/>
          <w:szCs w:val="24"/>
        </w:rPr>
        <w:t> </w:t>
      </w:r>
      <w:r>
        <w:rPr>
          <w:rFonts w:ascii="宋体" w:hAnsi="宋体" w:cs="宋体" w:eastAsia="宋体" w:hint="default"/>
          <w:sz w:val="24"/>
          <w:szCs w:val="24"/>
        </w:rPr>
        <w:t>(1)基本每股收益</w:t>
      </w:r>
    </w:p>
    <w:p>
      <w:pPr>
        <w:pStyle w:val="BodyText"/>
        <w:spacing w:line="276" w:lineRule="auto" w:before="38"/>
        <w:ind w:left="313" w:right="92" w:firstLine="480"/>
        <w:jc w:val="left"/>
      </w:pPr>
      <w:r>
        <w:rPr/>
        <w:t>基本每股收益以归属于母公司普通股股东的合并净利润除以母公司发行在外普通股的加</w:t>
      </w:r>
      <w:r>
        <w:rPr>
          <w:spacing w:val="1"/>
        </w:rPr>
        <w:t> </w:t>
      </w:r>
      <w:r>
        <w:rPr/>
        <w:t>权平均数计算：</w:t>
      </w:r>
    </w:p>
    <w:p>
      <w:pPr>
        <w:spacing w:line="240" w:lineRule="auto" w:before="4"/>
        <w:rPr>
          <w:rFonts w:ascii="宋体" w:hAnsi="宋体" w:cs="宋体" w:eastAsia="宋体"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4010"/>
        <w:gridCol w:w="2617"/>
        <w:gridCol w:w="544"/>
        <w:gridCol w:w="2668"/>
      </w:tblGrid>
      <w:tr>
        <w:trPr>
          <w:trHeight w:val="290" w:hRule="exact"/>
        </w:trPr>
        <w:tc>
          <w:tcPr>
            <w:tcW w:w="4010" w:type="dxa"/>
            <w:tcBorders>
              <w:top w:val="nil" w:sz="6" w:space="0" w:color="auto"/>
              <w:left w:val="nil" w:sz="6" w:space="0" w:color="auto"/>
              <w:bottom w:val="nil" w:sz="6" w:space="0" w:color="auto"/>
              <w:right w:val="nil" w:sz="6" w:space="0" w:color="auto"/>
            </w:tcBorders>
          </w:tcPr>
          <w:p>
            <w:pPr/>
          </w:p>
        </w:tc>
        <w:tc>
          <w:tcPr>
            <w:tcW w:w="2617"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544" w:type="dxa"/>
            <w:tcBorders>
              <w:top w:val="nil" w:sz="6" w:space="0" w:color="auto"/>
              <w:left w:val="nil" w:sz="6" w:space="0" w:color="auto"/>
              <w:bottom w:val="nil" w:sz="6" w:space="0" w:color="auto"/>
              <w:right w:val="nil" w:sz="6" w:space="0" w:color="auto"/>
            </w:tcBorders>
          </w:tcPr>
          <w:p>
            <w:pPr/>
          </w:p>
        </w:tc>
        <w:tc>
          <w:tcPr>
            <w:tcW w:w="2668"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98" w:hRule="exact"/>
        </w:trPr>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34" w:right="0"/>
              <w:jc w:val="left"/>
              <w:rPr>
                <w:rFonts w:ascii="宋体" w:hAnsi="宋体" w:cs="宋体" w:eastAsia="宋体" w:hint="default"/>
                <w:sz w:val="18"/>
                <w:szCs w:val="18"/>
              </w:rPr>
            </w:pPr>
            <w:r>
              <w:rPr>
                <w:rFonts w:ascii="宋体" w:hAnsi="宋体" w:cs="宋体" w:eastAsia="宋体" w:hint="default"/>
                <w:sz w:val="18"/>
                <w:szCs w:val="18"/>
              </w:rPr>
              <w:t>归属于母公司普通股股东的合并净利润</w:t>
            </w:r>
          </w:p>
        </w:tc>
        <w:tc>
          <w:tcPr>
            <w:tcW w:w="261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130,222,796.59</w:t>
            </w:r>
          </w:p>
        </w:tc>
        <w:tc>
          <w:tcPr>
            <w:tcW w:w="544" w:type="dxa"/>
            <w:tcBorders>
              <w:top w:val="nil" w:sz="6" w:space="0" w:color="auto"/>
              <w:left w:val="nil" w:sz="6" w:space="0" w:color="auto"/>
              <w:bottom w:val="nil" w:sz="6" w:space="0" w:color="auto"/>
              <w:right w:val="nil" w:sz="6" w:space="0" w:color="auto"/>
            </w:tcBorders>
          </w:tcPr>
          <w:p>
            <w:pPr/>
          </w:p>
        </w:tc>
        <w:tc>
          <w:tcPr>
            <w:tcW w:w="26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83,321,753.39</w:t>
            </w:r>
          </w:p>
        </w:tc>
      </w:tr>
      <w:tr>
        <w:trPr>
          <w:trHeight w:val="392" w:hRule="exact"/>
        </w:trPr>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34" w:right="0"/>
              <w:jc w:val="left"/>
              <w:rPr>
                <w:rFonts w:ascii="宋体" w:hAnsi="宋体" w:cs="宋体" w:eastAsia="宋体" w:hint="default"/>
                <w:sz w:val="18"/>
                <w:szCs w:val="18"/>
              </w:rPr>
            </w:pPr>
            <w:r>
              <w:rPr>
                <w:rFonts w:ascii="宋体" w:hAnsi="宋体" w:cs="宋体" w:eastAsia="宋体" w:hint="default"/>
                <w:sz w:val="18"/>
                <w:szCs w:val="18"/>
              </w:rPr>
              <w:t>发行在外普通股的加权平均数</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128,000,000.00</w:t>
            </w:r>
          </w:p>
        </w:tc>
        <w:tc>
          <w:tcPr>
            <w:tcW w:w="544" w:type="dxa"/>
            <w:tcBorders>
              <w:top w:val="nil" w:sz="6" w:space="0" w:color="auto"/>
              <w:left w:val="nil" w:sz="6" w:space="0" w:color="auto"/>
              <w:bottom w:val="nil" w:sz="6" w:space="0" w:color="auto"/>
              <w:right w:val="nil" w:sz="6" w:space="0" w:color="auto"/>
            </w:tcBorders>
          </w:tcPr>
          <w:p>
            <w:pP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120,000,000.00</w:t>
            </w:r>
          </w:p>
        </w:tc>
      </w:tr>
      <w:tr>
        <w:trPr>
          <w:trHeight w:val="286" w:hRule="exact"/>
        </w:trPr>
        <w:tc>
          <w:tcPr>
            <w:tcW w:w="401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1.02</w:t>
            </w:r>
          </w:p>
        </w:tc>
        <w:tc>
          <w:tcPr>
            <w:tcW w:w="544" w:type="dxa"/>
            <w:tcBorders>
              <w:top w:val="nil" w:sz="6" w:space="0" w:color="auto"/>
              <w:left w:val="nil" w:sz="6" w:space="0" w:color="auto"/>
              <w:bottom w:val="nil" w:sz="6" w:space="0" w:color="auto"/>
              <w:right w:val="nil" w:sz="6" w:space="0" w:color="auto"/>
            </w:tcBorders>
          </w:tcPr>
          <w:p>
            <w:pPr/>
          </w:p>
        </w:tc>
        <w:tc>
          <w:tcPr>
            <w:tcW w:w="26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0.69</w:t>
            </w:r>
          </w:p>
        </w:tc>
      </w:tr>
    </w:tbl>
    <w:p>
      <w:pPr>
        <w:spacing w:line="240" w:lineRule="auto" w:before="6"/>
        <w:rPr>
          <w:rFonts w:ascii="宋体" w:hAnsi="宋体" w:cs="宋体" w:eastAsia="宋体" w:hint="default"/>
          <w:sz w:val="17"/>
          <w:szCs w:val="17"/>
        </w:rPr>
      </w:pPr>
    </w:p>
    <w:p>
      <w:pPr>
        <w:pStyle w:val="BodyText"/>
        <w:spacing w:line="381" w:lineRule="auto" w:before="26"/>
        <w:ind w:left="794" w:right="92"/>
        <w:jc w:val="left"/>
      </w:pPr>
      <w:r>
        <w:rPr/>
        <w:t>(2)稀释每股收益 稀释每股收益以根据稀释性潜在普通股调整后的归属于母公司普通股股东的合并净利润</w:t>
      </w:r>
    </w:p>
    <w:p>
      <w:pPr>
        <w:pStyle w:val="BodyText"/>
        <w:spacing w:line="238" w:lineRule="exact"/>
        <w:ind w:left="313" w:right="92"/>
        <w:jc w:val="left"/>
      </w:pPr>
      <w:r>
        <w:rPr/>
        <w:t>除以调整后的母公司发行在外普通股的加权平均数计算。本公司无稀释性的潜在普通股，故</w:t>
      </w:r>
    </w:p>
    <w:p>
      <w:pPr>
        <w:pStyle w:val="BodyText"/>
        <w:spacing w:line="240" w:lineRule="auto" w:before="66"/>
        <w:ind w:left="313" w:right="1890"/>
        <w:jc w:val="left"/>
      </w:pPr>
      <w:r>
        <w:rPr/>
        <w:t>稀释每股收益与基本每股收益一致。</w:t>
      </w:r>
    </w:p>
    <w:p>
      <w:pPr>
        <w:pStyle w:val="BodyText"/>
        <w:spacing w:line="240" w:lineRule="auto" w:before="186"/>
        <w:ind w:left="793" w:right="92"/>
        <w:jc w:val="left"/>
      </w:pPr>
      <w:r>
        <w:rPr/>
        <w:t>2008</w:t>
      </w:r>
      <w:r>
        <w:rPr>
          <w:spacing w:val="-65"/>
        </w:rPr>
        <w:t> </w:t>
      </w:r>
      <w:r>
        <w:rPr/>
        <w:t>年度本公司执行</w:t>
      </w:r>
      <w:r>
        <w:rPr>
          <w:spacing w:val="-65"/>
        </w:rPr>
        <w:t> </w:t>
      </w:r>
      <w:r>
        <w:rPr/>
        <w:t>2007</w:t>
      </w:r>
      <w:r>
        <w:rPr>
          <w:spacing w:val="-65"/>
        </w:rPr>
        <w:t> </w:t>
      </w:r>
      <w:r>
        <w:rPr/>
        <w:t>年度的利润分配方案：向全体股东每</w:t>
      </w:r>
      <w:r>
        <w:rPr>
          <w:spacing w:val="-65"/>
        </w:rPr>
        <w:t> </w:t>
      </w:r>
      <w:r>
        <w:rPr/>
        <w:t>10</w:t>
      </w:r>
      <w:r>
        <w:rPr>
          <w:spacing w:val="-65"/>
        </w:rPr>
        <w:t> </w:t>
      </w:r>
      <w:r>
        <w:rPr/>
        <w:t>股以未分配利润派送</w:t>
      </w:r>
    </w:p>
    <w:p>
      <w:pPr>
        <w:pStyle w:val="BodyText"/>
        <w:spacing w:line="240" w:lineRule="auto" w:before="65"/>
        <w:ind w:left="313" w:right="92"/>
        <w:jc w:val="left"/>
      </w:pPr>
      <w:r>
        <w:rPr/>
        <w:t>4</w:t>
      </w:r>
      <w:r>
        <w:rPr>
          <w:spacing w:val="-65"/>
        </w:rPr>
        <w:t> </w:t>
      </w:r>
      <w:r>
        <w:rPr/>
        <w:t>股红股；以资本公积金转增股本方式，向全体股东每</w:t>
      </w:r>
      <w:r>
        <w:rPr>
          <w:spacing w:val="-65"/>
        </w:rPr>
        <w:t> </w:t>
      </w:r>
      <w:r>
        <w:rPr/>
        <w:t>10</w:t>
      </w:r>
      <w:r>
        <w:rPr>
          <w:spacing w:val="-65"/>
        </w:rPr>
        <w:t> </w:t>
      </w:r>
      <w:r>
        <w:rPr/>
        <w:t>股转增</w:t>
      </w:r>
      <w:r>
        <w:rPr>
          <w:spacing w:val="-65"/>
        </w:rPr>
        <w:t> </w:t>
      </w:r>
      <w:r>
        <w:rPr/>
        <w:t>6</w:t>
      </w:r>
      <w:r>
        <w:rPr>
          <w:spacing w:val="-65"/>
        </w:rPr>
        <w:t> </w:t>
      </w:r>
      <w:r>
        <w:rPr/>
        <w:t>股。已按调整后的股数重</w:t>
      </w:r>
    </w:p>
    <w:p>
      <w:pPr>
        <w:spacing w:line="381" w:lineRule="auto" w:before="66"/>
        <w:ind w:left="793" w:right="5091" w:hanging="480"/>
        <w:jc w:val="left"/>
        <w:rPr>
          <w:rFonts w:ascii="宋体" w:hAnsi="宋体" w:cs="宋体" w:eastAsia="宋体" w:hint="default"/>
          <w:sz w:val="24"/>
          <w:szCs w:val="24"/>
        </w:rPr>
      </w:pPr>
      <w:r>
        <w:rPr>
          <w:rFonts w:ascii="宋体" w:hAnsi="宋体" w:cs="宋体" w:eastAsia="宋体" w:hint="default"/>
          <w:sz w:val="24"/>
          <w:szCs w:val="24"/>
        </w:rPr>
        <w:t>新计算</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年度加权平均股数及每股收益。</w:t>
      </w:r>
      <w:r>
        <w:rPr>
          <w:rFonts w:ascii="宋体" w:hAnsi="宋体" w:cs="宋体" w:eastAsia="宋体" w:hint="default"/>
          <w:sz w:val="24"/>
          <w:szCs w:val="24"/>
        </w:rPr>
        <w:t> </w:t>
      </w:r>
      <w:r>
        <w:rPr>
          <w:rFonts w:ascii="宋体" w:hAnsi="宋体" w:cs="宋体" w:eastAsia="宋体" w:hint="default"/>
          <w:b/>
          <w:bCs/>
          <w:sz w:val="24"/>
          <w:szCs w:val="24"/>
        </w:rPr>
        <w:t>36、现金流量表附注</w:t>
      </w:r>
      <w:r>
        <w:rPr>
          <w:rFonts w:ascii="宋体" w:hAnsi="宋体" w:cs="宋体" w:eastAsia="宋体" w:hint="default"/>
          <w:b/>
          <w:bCs/>
          <w:spacing w:val="1"/>
          <w:w w:val="99"/>
          <w:sz w:val="24"/>
          <w:szCs w:val="24"/>
        </w:rPr>
        <w:t> </w:t>
      </w:r>
      <w:r>
        <w:rPr>
          <w:rFonts w:ascii="宋体" w:hAnsi="宋体" w:cs="宋体" w:eastAsia="宋体" w:hint="default"/>
          <w:sz w:val="24"/>
          <w:szCs w:val="24"/>
        </w:rPr>
        <w:t>(1)将净利润调节为经营活动现金流量</w:t>
      </w:r>
    </w:p>
    <w:p>
      <w:pPr>
        <w:spacing w:line="240" w:lineRule="auto" w:before="5"/>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4948"/>
        <w:gridCol w:w="2197"/>
        <w:gridCol w:w="425"/>
        <w:gridCol w:w="2268"/>
      </w:tblGrid>
      <w:tr>
        <w:trPr>
          <w:trHeight w:val="290" w:hRule="exact"/>
        </w:trPr>
        <w:tc>
          <w:tcPr>
            <w:tcW w:w="4948"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single" w:sz="4" w:space="0" w:color="000000"/>
              <w:right w:val="nil" w:sz="6" w:space="0" w:color="auto"/>
            </w:tcBorders>
          </w:tcPr>
          <w:p>
            <w:pPr>
              <w:pStyle w:val="TableParagraph"/>
              <w:spacing w:line="180" w:lineRule="exact"/>
              <w:ind w:left="72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180" w:lineRule="exact"/>
              <w:ind w:left="75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98"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9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131,283,134.20</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83,321,753.39</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13,048,353.47</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6,623,740.04</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7,824,285.30</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3,943,607.53</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1,647,454.48</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902,899.79</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65,157.00</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64,453.65</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(630,941.86)</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公允价值变动损失</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6,036,588.12</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1,020,543.62</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投资损失</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递延所得税资产减少</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(1,526,553.75)</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(611,694.02)</w:t>
            </w:r>
          </w:p>
        </w:tc>
      </w:tr>
      <w:tr>
        <w:trPr>
          <w:trHeight w:val="286"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存货的减少</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(71,726,657.96)</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(48,751,894.65)</w:t>
            </w:r>
          </w:p>
        </w:tc>
      </w:tr>
    </w:tbl>
    <w:p>
      <w:pPr>
        <w:spacing w:after="0" w:line="240" w:lineRule="auto"/>
        <w:jc w:val="right"/>
        <w:rPr>
          <w:rFonts w:ascii="宋体" w:hAnsi="宋体" w:cs="宋体" w:eastAsia="宋体" w:hint="default"/>
          <w:sz w:val="18"/>
          <w:szCs w:val="18"/>
        </w:rPr>
        <w:sectPr>
          <w:pgSz w:w="11910" w:h="16840"/>
          <w:pgMar w:header="877" w:footer="1022" w:top="1060" w:bottom="1220" w:left="820" w:right="980"/>
        </w:sectPr>
      </w:pPr>
    </w:p>
    <w:p>
      <w:pPr>
        <w:spacing w:line="240" w:lineRule="auto" w:before="0"/>
        <w:rPr>
          <w:rFonts w:ascii="宋体" w:hAnsi="宋体" w:cs="宋体" w:eastAsia="宋体" w:hint="default"/>
          <w:sz w:val="29"/>
          <w:szCs w:val="29"/>
        </w:rPr>
      </w:pPr>
    </w:p>
    <w:p>
      <w:pPr>
        <w:tabs>
          <w:tab w:pos="8439" w:val="left" w:leader="none"/>
        </w:tabs>
        <w:spacing w:before="44"/>
        <w:ind w:left="5782" w:right="92" w:firstLine="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tab/>
        <w:t>2007</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line="240" w:lineRule="auto" w:before="1"/>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4948"/>
        <w:gridCol w:w="2197"/>
        <w:gridCol w:w="425"/>
        <w:gridCol w:w="2268"/>
      </w:tblGrid>
      <w:tr>
        <w:trPr>
          <w:trHeight w:val="398"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经营性应收项目的减少</w:t>
            </w:r>
          </w:p>
        </w:tc>
        <w:tc>
          <w:tcPr>
            <w:tcW w:w="219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(144,723,584.89)</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(144,149,466.00)</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经营性应付项目的增加</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62,750,450.55</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111,053,101.10</w:t>
            </w:r>
          </w:p>
        </w:tc>
      </w:tr>
      <w:tr>
        <w:trPr>
          <w:trHeight w:val="396"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9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413"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9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4,743,080.17</w:t>
            </w:r>
          </w:p>
        </w:tc>
        <w:tc>
          <w:tcPr>
            <w:tcW w:w="425"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12,721,648.94</w:t>
            </w:r>
          </w:p>
        </w:tc>
      </w:tr>
    </w:tbl>
    <w:p>
      <w:pPr>
        <w:spacing w:line="240" w:lineRule="auto" w:before="5"/>
        <w:rPr>
          <w:rFonts w:ascii="宋体" w:hAnsi="宋体" w:cs="宋体" w:eastAsia="宋体" w:hint="default"/>
          <w:sz w:val="6"/>
          <w:szCs w:val="6"/>
        </w:rPr>
      </w:pPr>
    </w:p>
    <w:p>
      <w:pPr>
        <w:pStyle w:val="BodyText"/>
        <w:spacing w:line="240" w:lineRule="auto" w:before="26"/>
        <w:ind w:left="794" w:right="1890"/>
        <w:jc w:val="left"/>
      </w:pPr>
      <w:r>
        <w:rPr/>
        <w:t>(2)现金等价物净变动情况</w:t>
      </w:r>
    </w:p>
    <w:p>
      <w:pPr>
        <w:spacing w:line="240" w:lineRule="auto" w:before="8"/>
        <w:rPr>
          <w:rFonts w:ascii="宋体" w:hAnsi="宋体" w:cs="宋体" w:eastAsia="宋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4948"/>
        <w:gridCol w:w="2197"/>
        <w:gridCol w:w="409"/>
        <w:gridCol w:w="2284"/>
      </w:tblGrid>
      <w:tr>
        <w:trPr>
          <w:trHeight w:val="289" w:hRule="exact"/>
        </w:trPr>
        <w:tc>
          <w:tcPr>
            <w:tcW w:w="4948"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single" w:sz="4" w:space="0" w:color="000000"/>
              <w:right w:val="nil" w:sz="6" w:space="0" w:color="auto"/>
            </w:tcBorders>
          </w:tcPr>
          <w:p>
            <w:pPr>
              <w:pStyle w:val="TableParagraph"/>
              <w:spacing w:line="180" w:lineRule="exact"/>
              <w:ind w:left="72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409"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single" w:sz="4" w:space="0" w:color="000000"/>
              <w:right w:val="nil" w:sz="6" w:space="0" w:color="auto"/>
            </w:tcBorders>
          </w:tcPr>
          <w:p>
            <w:pPr>
              <w:pStyle w:val="TableParagraph"/>
              <w:spacing w:line="180" w:lineRule="exact"/>
              <w:ind w:left="76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98"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19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157,355,474.07</w:t>
            </w:r>
          </w:p>
        </w:tc>
        <w:tc>
          <w:tcPr>
            <w:tcW w:w="409" w:type="dxa"/>
            <w:tcBorders>
              <w:top w:val="nil" w:sz="6" w:space="0" w:color="auto"/>
              <w:left w:val="nil" w:sz="6" w:space="0" w:color="auto"/>
              <w:bottom w:val="nil" w:sz="6" w:space="0" w:color="auto"/>
              <w:right w:val="nil" w:sz="6" w:space="0" w:color="auto"/>
            </w:tcBorders>
          </w:tcPr>
          <w:p>
            <w:pPr/>
          </w:p>
        </w:tc>
        <w:tc>
          <w:tcPr>
            <w:tcW w:w="228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293,940,873.56</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293,940,873.56</w:t>
            </w:r>
          </w:p>
        </w:tc>
        <w:tc>
          <w:tcPr>
            <w:tcW w:w="409"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50,231,007.85</w:t>
            </w:r>
          </w:p>
        </w:tc>
      </w:tr>
      <w:tr>
        <w:trPr>
          <w:trHeight w:val="392"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c>
          <w:tcPr>
            <w:tcW w:w="409"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395"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19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c>
          <w:tcPr>
            <w:tcW w:w="409" w:type="dxa"/>
            <w:tcBorders>
              <w:top w:val="nil" w:sz="6" w:space="0" w:color="auto"/>
              <w:left w:val="nil" w:sz="6" w:space="0" w:color="auto"/>
              <w:bottom w:val="nil" w:sz="6" w:space="0" w:color="auto"/>
              <w:right w:val="nil" w:sz="6" w:space="0" w:color="auto"/>
            </w:tcBorders>
          </w:tcPr>
          <w:p>
            <w:pPr/>
          </w:p>
        </w:tc>
        <w:tc>
          <w:tcPr>
            <w:tcW w:w="228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413" w:hRule="exact"/>
        </w:trPr>
        <w:tc>
          <w:tcPr>
            <w:tcW w:w="49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9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(136,585,399.49)</w:t>
            </w:r>
          </w:p>
        </w:tc>
        <w:tc>
          <w:tcPr>
            <w:tcW w:w="409" w:type="dxa"/>
            <w:tcBorders>
              <w:top w:val="nil" w:sz="6" w:space="0" w:color="auto"/>
              <w:left w:val="nil" w:sz="6" w:space="0" w:color="auto"/>
              <w:bottom w:val="nil" w:sz="6" w:space="0" w:color="auto"/>
              <w:right w:val="nil" w:sz="6" w:space="0" w:color="auto"/>
            </w:tcBorders>
          </w:tcPr>
          <w:p>
            <w:pPr/>
          </w:p>
        </w:tc>
        <w:tc>
          <w:tcPr>
            <w:tcW w:w="228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243,709,865.71</w:t>
            </w:r>
          </w:p>
        </w:tc>
      </w:tr>
    </w:tbl>
    <w:p>
      <w:pPr>
        <w:spacing w:line="240" w:lineRule="auto" w:before="5"/>
        <w:rPr>
          <w:rFonts w:ascii="宋体" w:hAnsi="宋体" w:cs="宋体" w:eastAsia="宋体" w:hint="default"/>
          <w:sz w:val="6"/>
          <w:szCs w:val="6"/>
        </w:rPr>
      </w:pPr>
    </w:p>
    <w:p>
      <w:pPr>
        <w:pStyle w:val="BodyText"/>
        <w:spacing w:line="240" w:lineRule="auto" w:before="26"/>
        <w:ind w:left="794" w:right="1890"/>
        <w:jc w:val="left"/>
      </w:pPr>
      <w:r>
        <w:rPr/>
        <w:t>(3)现金及现金等价物</w:t>
      </w:r>
    </w:p>
    <w:p>
      <w:pPr>
        <w:spacing w:line="240" w:lineRule="auto" w:before="8"/>
        <w:rPr>
          <w:rFonts w:ascii="宋体" w:hAnsi="宋体" w:cs="宋体" w:eastAsia="宋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4937"/>
        <w:gridCol w:w="2197"/>
        <w:gridCol w:w="434"/>
        <w:gridCol w:w="2270"/>
      </w:tblGrid>
      <w:tr>
        <w:trPr>
          <w:trHeight w:val="290" w:hRule="exact"/>
        </w:trPr>
        <w:tc>
          <w:tcPr>
            <w:tcW w:w="4937" w:type="dxa"/>
            <w:tcBorders>
              <w:top w:val="nil" w:sz="6" w:space="0" w:color="auto"/>
              <w:left w:val="nil" w:sz="6" w:space="0" w:color="auto"/>
              <w:bottom w:val="nil" w:sz="6" w:space="0" w:color="auto"/>
              <w:right w:val="nil" w:sz="6" w:space="0" w:color="auto"/>
            </w:tcBorders>
          </w:tcPr>
          <w:p>
            <w:pPr/>
          </w:p>
        </w:tc>
        <w:tc>
          <w:tcPr>
            <w:tcW w:w="2197" w:type="dxa"/>
            <w:tcBorders>
              <w:top w:val="nil" w:sz="6" w:space="0" w:color="auto"/>
              <w:left w:val="nil" w:sz="6" w:space="0" w:color="auto"/>
              <w:bottom w:val="single" w:sz="4" w:space="0" w:color="000000"/>
              <w:right w:val="nil" w:sz="6" w:space="0" w:color="auto"/>
            </w:tcBorders>
          </w:tcPr>
          <w:p>
            <w:pPr>
              <w:pStyle w:val="TableParagraph"/>
              <w:spacing w:line="180" w:lineRule="exact"/>
              <w:ind w:left="34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34"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4" w:space="0" w:color="000000"/>
              <w:right w:val="nil" w:sz="6" w:space="0" w:color="auto"/>
            </w:tcBorders>
          </w:tcPr>
          <w:p>
            <w:pPr>
              <w:pStyle w:val="TableParagraph"/>
              <w:spacing w:line="180" w:lineRule="exact"/>
              <w:ind w:left="38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8" w:hRule="exact"/>
        </w:trPr>
        <w:tc>
          <w:tcPr>
            <w:tcW w:w="49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97" w:type="dxa"/>
            <w:tcBorders>
              <w:top w:val="single" w:sz="4" w:space="0" w:color="000000"/>
              <w:left w:val="nil" w:sz="6" w:space="0" w:color="auto"/>
              <w:bottom w:val="nil" w:sz="6" w:space="0" w:color="auto"/>
              <w:right w:val="nil" w:sz="6" w:space="0" w:color="auto"/>
            </w:tcBorders>
          </w:tcPr>
          <w:p>
            <w:pPr/>
          </w:p>
        </w:tc>
        <w:tc>
          <w:tcPr>
            <w:tcW w:w="434"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nil" w:sz="6" w:space="0" w:color="auto"/>
              <w:right w:val="nil" w:sz="6" w:space="0" w:color="auto"/>
            </w:tcBorders>
          </w:tcPr>
          <w:p>
            <w:pPr/>
          </w:p>
        </w:tc>
      </w:tr>
      <w:tr>
        <w:trPr>
          <w:trHeight w:val="392" w:hRule="exact"/>
        </w:trPr>
        <w:tc>
          <w:tcPr>
            <w:tcW w:w="49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127,389.20</w:t>
            </w:r>
          </w:p>
        </w:tc>
        <w:tc>
          <w:tcPr>
            <w:tcW w:w="434"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
              <w:jc w:val="right"/>
              <w:rPr>
                <w:rFonts w:ascii="宋体" w:hAnsi="宋体" w:cs="宋体" w:eastAsia="宋体" w:hint="default"/>
                <w:sz w:val="18"/>
                <w:szCs w:val="18"/>
              </w:rPr>
            </w:pPr>
            <w:r>
              <w:rPr>
                <w:rFonts w:ascii="宋体"/>
                <w:sz w:val="18"/>
              </w:rPr>
              <w:t>62,221.29</w:t>
            </w:r>
          </w:p>
        </w:tc>
      </w:tr>
      <w:tr>
        <w:trPr>
          <w:trHeight w:val="392" w:hRule="exact"/>
        </w:trPr>
        <w:tc>
          <w:tcPr>
            <w:tcW w:w="49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113,458,692.56</w:t>
            </w:r>
          </w:p>
        </w:tc>
        <w:tc>
          <w:tcPr>
            <w:tcW w:w="434"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
              <w:jc w:val="right"/>
              <w:rPr>
                <w:rFonts w:ascii="宋体" w:hAnsi="宋体" w:cs="宋体" w:eastAsia="宋体" w:hint="default"/>
                <w:sz w:val="18"/>
                <w:szCs w:val="18"/>
              </w:rPr>
            </w:pPr>
            <w:r>
              <w:rPr>
                <w:rFonts w:ascii="宋体"/>
                <w:sz w:val="18"/>
              </w:rPr>
              <w:t>99,965,913.43</w:t>
            </w:r>
          </w:p>
        </w:tc>
      </w:tr>
      <w:tr>
        <w:trPr>
          <w:trHeight w:val="392" w:hRule="exact"/>
        </w:trPr>
        <w:tc>
          <w:tcPr>
            <w:tcW w:w="49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21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43,769,392.31</w:t>
            </w:r>
          </w:p>
        </w:tc>
        <w:tc>
          <w:tcPr>
            <w:tcW w:w="434"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
              <w:jc w:val="right"/>
              <w:rPr>
                <w:rFonts w:ascii="宋体" w:hAnsi="宋体" w:cs="宋体" w:eastAsia="宋体" w:hint="default"/>
                <w:sz w:val="18"/>
                <w:szCs w:val="18"/>
              </w:rPr>
            </w:pPr>
            <w:r>
              <w:rPr>
                <w:rFonts w:ascii="宋体"/>
                <w:sz w:val="18"/>
              </w:rPr>
              <w:t>193,912,738.84</w:t>
            </w:r>
          </w:p>
        </w:tc>
      </w:tr>
      <w:tr>
        <w:trPr>
          <w:trHeight w:val="392" w:hRule="exact"/>
        </w:trPr>
        <w:tc>
          <w:tcPr>
            <w:tcW w:w="49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减：受到限制的存款</w:t>
            </w:r>
          </w:p>
        </w:tc>
        <w:tc>
          <w:tcPr>
            <w:tcW w:w="2197" w:type="dxa"/>
            <w:tcBorders>
              <w:top w:val="nil" w:sz="6" w:space="0" w:color="auto"/>
              <w:left w:val="nil" w:sz="6" w:space="0" w:color="auto"/>
              <w:bottom w:val="nil" w:sz="6" w:space="0" w:color="auto"/>
              <w:right w:val="nil" w:sz="6" w:space="0" w:color="auto"/>
            </w:tcBorders>
          </w:tcPr>
          <w:p>
            <w:pPr/>
          </w:p>
        </w:tc>
        <w:tc>
          <w:tcPr>
            <w:tcW w:w="434"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nil" w:sz="6" w:space="0" w:color="auto"/>
              <w:right w:val="nil" w:sz="6" w:space="0" w:color="auto"/>
            </w:tcBorders>
          </w:tcPr>
          <w:p>
            <w:pPr/>
          </w:p>
        </w:tc>
      </w:tr>
      <w:tr>
        <w:trPr>
          <w:trHeight w:val="396" w:hRule="exact"/>
        </w:trPr>
        <w:tc>
          <w:tcPr>
            <w:tcW w:w="49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48" w:right="0"/>
              <w:jc w:val="left"/>
              <w:rPr>
                <w:rFonts w:ascii="宋体" w:hAnsi="宋体" w:cs="宋体" w:eastAsia="宋体" w:hint="default"/>
                <w:sz w:val="18"/>
                <w:szCs w:val="18"/>
              </w:rPr>
            </w:pPr>
            <w:r>
              <w:rPr>
                <w:rFonts w:ascii="宋体" w:hAnsi="宋体" w:cs="宋体" w:eastAsia="宋体" w:hint="default"/>
                <w:sz w:val="18"/>
                <w:szCs w:val="18"/>
              </w:rPr>
              <w:t>受到限制的其他货币资金</w:t>
            </w:r>
          </w:p>
        </w:tc>
        <w:tc>
          <w:tcPr>
            <w:tcW w:w="219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c>
          <w:tcPr>
            <w:tcW w:w="434" w:type="dxa"/>
            <w:tcBorders>
              <w:top w:val="nil" w:sz="6" w:space="0" w:color="auto"/>
              <w:left w:val="nil" w:sz="6" w:space="0" w:color="auto"/>
              <w:bottom w:val="nil" w:sz="6" w:space="0" w:color="auto"/>
              <w:right w:val="nil" w:sz="6" w:space="0" w:color="auto"/>
            </w:tcBorders>
          </w:tcPr>
          <w:p>
            <w:pPr/>
          </w:p>
        </w:tc>
        <w:tc>
          <w:tcPr>
            <w:tcW w:w="227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4"/>
              <w:jc w:val="right"/>
              <w:rPr>
                <w:rFonts w:ascii="宋体" w:hAnsi="宋体" w:cs="宋体" w:eastAsia="宋体" w:hint="default"/>
                <w:sz w:val="18"/>
                <w:szCs w:val="18"/>
              </w:rPr>
            </w:pPr>
            <w:r>
              <w:rPr>
                <w:rFonts w:ascii="宋体"/>
                <w:sz w:val="18"/>
              </w:rPr>
              <w:t>-</w:t>
            </w:r>
          </w:p>
        </w:tc>
      </w:tr>
      <w:tr>
        <w:trPr>
          <w:trHeight w:val="413" w:hRule="exact"/>
        </w:trPr>
        <w:tc>
          <w:tcPr>
            <w:tcW w:w="49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现金及现金等价物年末余额</w:t>
            </w:r>
          </w:p>
        </w:tc>
        <w:tc>
          <w:tcPr>
            <w:tcW w:w="219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157,355,474.07</w:t>
            </w:r>
          </w:p>
        </w:tc>
        <w:tc>
          <w:tcPr>
            <w:tcW w:w="434" w:type="dxa"/>
            <w:tcBorders>
              <w:top w:val="nil" w:sz="6" w:space="0" w:color="auto"/>
              <w:left w:val="nil" w:sz="6" w:space="0" w:color="auto"/>
              <w:bottom w:val="nil" w:sz="6" w:space="0" w:color="auto"/>
              <w:right w:val="nil" w:sz="6" w:space="0" w:color="auto"/>
            </w:tcBorders>
          </w:tcPr>
          <w:p>
            <w:pPr/>
          </w:p>
        </w:tc>
        <w:tc>
          <w:tcPr>
            <w:tcW w:w="2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24"/>
              <w:jc w:val="right"/>
              <w:rPr>
                <w:rFonts w:ascii="宋体" w:hAnsi="宋体" w:cs="宋体" w:eastAsia="宋体" w:hint="default"/>
                <w:sz w:val="18"/>
                <w:szCs w:val="18"/>
              </w:rPr>
            </w:pPr>
            <w:r>
              <w:rPr>
                <w:rFonts w:ascii="宋体"/>
                <w:sz w:val="18"/>
              </w:rPr>
              <w:t>293,940,873.56</w:t>
            </w:r>
          </w:p>
        </w:tc>
      </w:tr>
    </w:tbl>
    <w:p>
      <w:pPr>
        <w:spacing w:line="240" w:lineRule="auto" w:before="5"/>
        <w:rPr>
          <w:rFonts w:ascii="宋体" w:hAnsi="宋体" w:cs="宋体" w:eastAsia="宋体" w:hint="default"/>
          <w:sz w:val="6"/>
          <w:szCs w:val="6"/>
        </w:rPr>
      </w:pPr>
    </w:p>
    <w:p>
      <w:pPr>
        <w:pStyle w:val="BodyText"/>
        <w:spacing w:line="352" w:lineRule="auto" w:before="26"/>
        <w:ind w:left="793" w:right="3291"/>
        <w:jc w:val="left"/>
      </w:pPr>
      <w:r>
        <w:rPr/>
        <w:t>(4)其他与经营活动有关的现金 现金流量表中收到其他与经营活动有关的现金主要包括：</w:t>
      </w:r>
    </w:p>
    <w:p>
      <w:pPr>
        <w:spacing w:line="240" w:lineRule="auto" w:before="6"/>
        <w:rPr>
          <w:rFonts w:ascii="宋体" w:hAnsi="宋体" w:cs="宋体" w:eastAsia="宋体" w:hint="default"/>
          <w:sz w:val="9"/>
          <w:szCs w:val="9"/>
        </w:rPr>
      </w:pPr>
    </w:p>
    <w:tbl>
      <w:tblPr>
        <w:tblW w:w="0" w:type="auto"/>
        <w:jc w:val="left"/>
        <w:tblInd w:w="313" w:type="dxa"/>
        <w:tblLayout w:type="fixed"/>
        <w:tblCellMar>
          <w:top w:w="0" w:type="dxa"/>
          <w:left w:w="0" w:type="dxa"/>
          <w:bottom w:w="0" w:type="dxa"/>
          <w:right w:w="0" w:type="dxa"/>
        </w:tblCellMar>
        <w:tblLook w:val="01E0"/>
      </w:tblPr>
      <w:tblGrid>
        <w:gridCol w:w="2609"/>
        <w:gridCol w:w="1236"/>
        <w:gridCol w:w="2214"/>
        <w:gridCol w:w="956"/>
        <w:gridCol w:w="2623"/>
      </w:tblGrid>
      <w:tr>
        <w:trPr>
          <w:trHeight w:val="272" w:hRule="exact"/>
        </w:trPr>
        <w:tc>
          <w:tcPr>
            <w:tcW w:w="2609" w:type="dxa"/>
            <w:tcBorders>
              <w:top w:val="nil" w:sz="6" w:space="0" w:color="auto"/>
              <w:left w:val="nil" w:sz="6" w:space="0" w:color="auto"/>
              <w:bottom w:val="single" w:sz="6" w:space="0" w:color="000000"/>
              <w:right w:val="nil" w:sz="6" w:space="0" w:color="auto"/>
            </w:tcBorders>
          </w:tcPr>
          <w:p>
            <w:pPr>
              <w:pStyle w:val="TableParagraph"/>
              <w:spacing w:line="186" w:lineRule="exact"/>
              <w:ind w:left="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236"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180" w:lineRule="exact"/>
              <w:ind w:left="72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956"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15" w:hRule="exact"/>
        </w:trPr>
        <w:tc>
          <w:tcPr>
            <w:tcW w:w="2609" w:type="dxa"/>
            <w:tcBorders>
              <w:top w:val="single" w:sz="6" w:space="0" w:color="000000"/>
              <w:left w:val="nil" w:sz="6" w:space="0" w:color="auto"/>
              <w:bottom w:val="nil" w:sz="6" w:space="0" w:color="auto"/>
              <w:right w:val="nil" w:sz="6" w:space="0" w:color="auto"/>
            </w:tcBorders>
          </w:tcPr>
          <w:p>
            <w:pPr>
              <w:pStyle w:val="TableParagraph"/>
              <w:spacing w:line="240" w:lineRule="auto" w:before="63"/>
              <w:ind w:right="0"/>
              <w:jc w:val="left"/>
              <w:rPr>
                <w:rFonts w:ascii="宋体" w:hAnsi="宋体" w:cs="宋体" w:eastAsia="宋体" w:hint="default"/>
                <w:sz w:val="18"/>
                <w:szCs w:val="18"/>
              </w:rPr>
            </w:pPr>
            <w:r>
              <w:rPr>
                <w:rFonts w:ascii="宋体" w:hAnsi="宋体" w:cs="宋体" w:eastAsia="宋体" w:hint="default"/>
                <w:sz w:val="18"/>
                <w:szCs w:val="18"/>
              </w:rPr>
              <w:t>科技拨款</w:t>
            </w:r>
          </w:p>
        </w:tc>
        <w:tc>
          <w:tcPr>
            <w:tcW w:w="1236"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19,490,000.00</w:t>
            </w:r>
          </w:p>
        </w:tc>
        <w:tc>
          <w:tcPr>
            <w:tcW w:w="956" w:type="dxa"/>
            <w:tcBorders>
              <w:top w:val="nil" w:sz="6" w:space="0" w:color="auto"/>
              <w:left w:val="nil" w:sz="6" w:space="0" w:color="auto"/>
              <w:bottom w:val="nil" w:sz="6" w:space="0" w:color="auto"/>
              <w:right w:val="nil" w:sz="6" w:space="0" w:color="auto"/>
            </w:tcBorders>
          </w:tcPr>
          <w:p>
            <w:pPr/>
          </w:p>
        </w:tc>
        <w:tc>
          <w:tcPr>
            <w:tcW w:w="2623" w:type="dxa"/>
            <w:tcBorders>
              <w:top w:val="single" w:sz="4" w:space="0" w:color="000000"/>
              <w:left w:val="nil" w:sz="6" w:space="0" w:color="auto"/>
              <w:bottom w:val="nil" w:sz="6" w:space="0" w:color="auto"/>
              <w:right w:val="nil" w:sz="6" w:space="0" w:color="auto"/>
            </w:tcBorders>
          </w:tcPr>
          <w:p>
            <w:pPr>
              <w:pStyle w:val="TableParagraph"/>
              <w:spacing w:line="240" w:lineRule="auto" w:before="68"/>
              <w:ind w:right="0"/>
              <w:jc w:val="right"/>
              <w:rPr>
                <w:rFonts w:ascii="宋体" w:hAnsi="宋体" w:cs="宋体" w:eastAsia="宋体" w:hint="default"/>
                <w:sz w:val="18"/>
                <w:szCs w:val="18"/>
              </w:rPr>
            </w:pPr>
            <w:r>
              <w:rPr>
                <w:rFonts w:ascii="宋体"/>
                <w:sz w:val="18"/>
              </w:rPr>
              <w:t>13,477,600.00</w:t>
            </w:r>
          </w:p>
        </w:tc>
      </w:tr>
      <w:tr>
        <w:trPr>
          <w:trHeight w:val="386"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236"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5,525,521.64</w:t>
            </w:r>
          </w:p>
        </w:tc>
        <w:tc>
          <w:tcPr>
            <w:tcW w:w="956"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1,964,373.89</w:t>
            </w:r>
          </w:p>
        </w:tc>
      </w:tr>
      <w:tr>
        <w:trPr>
          <w:trHeight w:val="367"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36"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7,499,521.40</w:t>
            </w:r>
          </w:p>
        </w:tc>
        <w:tc>
          <w:tcPr>
            <w:tcW w:w="956"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574,373.17</w:t>
            </w:r>
          </w:p>
        </w:tc>
      </w:tr>
      <w:tr>
        <w:trPr>
          <w:trHeight w:val="390" w:hRule="exact"/>
        </w:trPr>
        <w:tc>
          <w:tcPr>
            <w:tcW w:w="260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32,515,043.04</w:t>
            </w:r>
          </w:p>
        </w:tc>
        <w:tc>
          <w:tcPr>
            <w:tcW w:w="956" w:type="dxa"/>
            <w:tcBorders>
              <w:top w:val="nil" w:sz="6" w:space="0" w:color="auto"/>
              <w:left w:val="nil" w:sz="6" w:space="0" w:color="auto"/>
              <w:bottom w:val="nil" w:sz="6" w:space="0" w:color="auto"/>
              <w:right w:val="nil" w:sz="6" w:space="0" w:color="auto"/>
            </w:tcBorders>
          </w:tcPr>
          <w:p>
            <w:pPr/>
          </w:p>
        </w:tc>
        <w:tc>
          <w:tcPr>
            <w:tcW w:w="262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16,016,347.06</w:t>
            </w:r>
          </w:p>
        </w:tc>
      </w:tr>
    </w:tbl>
    <w:p>
      <w:pPr>
        <w:spacing w:line="240" w:lineRule="auto" w:before="5"/>
        <w:rPr>
          <w:rFonts w:ascii="宋体" w:hAnsi="宋体" w:cs="宋体" w:eastAsia="宋体" w:hint="default"/>
          <w:sz w:val="6"/>
          <w:szCs w:val="6"/>
        </w:rPr>
      </w:pPr>
    </w:p>
    <w:p>
      <w:pPr>
        <w:pStyle w:val="BodyText"/>
        <w:spacing w:line="240" w:lineRule="auto" w:before="26"/>
        <w:ind w:left="794" w:right="1890"/>
        <w:jc w:val="left"/>
      </w:pPr>
      <w:r>
        <w:rPr/>
        <w:t>现金流量表中支付其他与经营活动有关的现金主要包括：</w:t>
      </w:r>
    </w:p>
    <w:p>
      <w:pPr>
        <w:spacing w:line="240" w:lineRule="auto" w:before="13"/>
        <w:rPr>
          <w:rFonts w:ascii="宋体" w:hAnsi="宋体" w:cs="宋体" w:eastAsia="宋体" w:hint="default"/>
          <w:sz w:val="16"/>
          <w:szCs w:val="16"/>
        </w:rPr>
      </w:pPr>
    </w:p>
    <w:tbl>
      <w:tblPr>
        <w:tblW w:w="0" w:type="auto"/>
        <w:jc w:val="left"/>
        <w:tblInd w:w="313" w:type="dxa"/>
        <w:tblLayout w:type="fixed"/>
        <w:tblCellMar>
          <w:top w:w="0" w:type="dxa"/>
          <w:left w:w="0" w:type="dxa"/>
          <w:bottom w:w="0" w:type="dxa"/>
          <w:right w:w="0" w:type="dxa"/>
        </w:tblCellMar>
        <w:tblLook w:val="01E0"/>
      </w:tblPr>
      <w:tblGrid>
        <w:gridCol w:w="2609"/>
        <w:gridCol w:w="1240"/>
        <w:gridCol w:w="2211"/>
        <w:gridCol w:w="956"/>
        <w:gridCol w:w="2623"/>
      </w:tblGrid>
      <w:tr>
        <w:trPr>
          <w:trHeight w:val="259" w:hRule="exact"/>
        </w:trPr>
        <w:tc>
          <w:tcPr>
            <w:tcW w:w="2609" w:type="dxa"/>
            <w:tcBorders>
              <w:top w:val="nil" w:sz="6" w:space="0" w:color="auto"/>
              <w:left w:val="nil" w:sz="6" w:space="0" w:color="auto"/>
              <w:bottom w:val="single" w:sz="6" w:space="0" w:color="000000"/>
              <w:right w:val="nil" w:sz="6" w:space="0" w:color="auto"/>
            </w:tcBorders>
          </w:tcPr>
          <w:p>
            <w:pPr>
              <w:pStyle w:val="TableParagraph"/>
              <w:spacing w:line="186" w:lineRule="exact"/>
              <w:ind w:left="7"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240"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single" w:sz="4" w:space="0" w:color="000000"/>
              <w:right w:val="nil" w:sz="6" w:space="0" w:color="auto"/>
            </w:tcBorders>
          </w:tcPr>
          <w:p>
            <w:pPr>
              <w:pStyle w:val="TableParagraph"/>
              <w:spacing w:line="180" w:lineRule="exact"/>
              <w:ind w:left="72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956"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63" w:hRule="exact"/>
        </w:trPr>
        <w:tc>
          <w:tcPr>
            <w:tcW w:w="2609" w:type="dxa"/>
            <w:tcBorders>
              <w:top w:val="single" w:sz="6" w:space="0" w:color="000000"/>
              <w:left w:val="nil" w:sz="6" w:space="0" w:color="auto"/>
              <w:bottom w:val="nil" w:sz="6" w:space="0" w:color="auto"/>
              <w:right w:val="nil" w:sz="6" w:space="0" w:color="auto"/>
            </w:tcBorders>
          </w:tcPr>
          <w:p>
            <w:pPr>
              <w:pStyle w:val="TableParagraph"/>
              <w:spacing w:line="240" w:lineRule="auto" w:before="38"/>
              <w:ind w:right="0"/>
              <w:jc w:val="left"/>
              <w:rPr>
                <w:rFonts w:ascii="宋体" w:hAnsi="宋体" w:cs="宋体" w:eastAsia="宋体" w:hint="default"/>
                <w:sz w:val="18"/>
                <w:szCs w:val="18"/>
              </w:rPr>
            </w:pPr>
            <w:r>
              <w:rPr>
                <w:rFonts w:ascii="宋体" w:hAnsi="宋体" w:cs="宋体" w:eastAsia="宋体" w:hint="default"/>
                <w:sz w:val="18"/>
                <w:szCs w:val="18"/>
              </w:rPr>
              <w:t>销售费</w:t>
            </w:r>
          </w:p>
        </w:tc>
        <w:tc>
          <w:tcPr>
            <w:tcW w:w="1240" w:type="dxa"/>
            <w:tcBorders>
              <w:top w:val="nil" w:sz="6" w:space="0" w:color="auto"/>
              <w:left w:val="nil" w:sz="6" w:space="0" w:color="auto"/>
              <w:bottom w:val="nil" w:sz="6" w:space="0" w:color="auto"/>
              <w:right w:val="nil" w:sz="6" w:space="0" w:color="auto"/>
            </w:tcBorders>
          </w:tcPr>
          <w:p>
            <w:pPr/>
          </w:p>
        </w:tc>
        <w:tc>
          <w:tcPr>
            <w:tcW w:w="2211"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19,345,323.90</w:t>
            </w:r>
          </w:p>
        </w:tc>
        <w:tc>
          <w:tcPr>
            <w:tcW w:w="956" w:type="dxa"/>
            <w:tcBorders>
              <w:top w:val="nil" w:sz="6" w:space="0" w:color="auto"/>
              <w:left w:val="nil" w:sz="6" w:space="0" w:color="auto"/>
              <w:bottom w:val="nil" w:sz="6" w:space="0" w:color="auto"/>
              <w:right w:val="nil" w:sz="6" w:space="0" w:color="auto"/>
            </w:tcBorders>
          </w:tcPr>
          <w:p>
            <w:pPr/>
          </w:p>
        </w:tc>
        <w:tc>
          <w:tcPr>
            <w:tcW w:w="2623" w:type="dxa"/>
            <w:tcBorders>
              <w:top w:val="single" w:sz="4" w:space="0" w:color="000000"/>
              <w:left w:val="nil" w:sz="6" w:space="0" w:color="auto"/>
              <w:bottom w:val="nil" w:sz="6" w:space="0" w:color="auto"/>
              <w:right w:val="nil" w:sz="6" w:space="0" w:color="auto"/>
            </w:tcBorders>
          </w:tcPr>
          <w:p>
            <w:pPr>
              <w:pStyle w:val="TableParagraph"/>
              <w:spacing w:line="240" w:lineRule="auto" w:before="43"/>
              <w:ind w:right="0"/>
              <w:jc w:val="right"/>
              <w:rPr>
                <w:rFonts w:ascii="宋体" w:hAnsi="宋体" w:cs="宋体" w:eastAsia="宋体" w:hint="default"/>
                <w:sz w:val="18"/>
                <w:szCs w:val="18"/>
              </w:rPr>
            </w:pPr>
            <w:r>
              <w:rPr>
                <w:rFonts w:ascii="宋体"/>
                <w:sz w:val="18"/>
              </w:rPr>
              <w:t>13,146,090.92</w:t>
            </w:r>
          </w:p>
        </w:tc>
      </w:tr>
      <w:tr>
        <w:trPr>
          <w:trHeight w:val="34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技术开发费等支出</w:t>
            </w:r>
          </w:p>
        </w:tc>
        <w:tc>
          <w:tcPr>
            <w:tcW w:w="1240"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z w:val="18"/>
              </w:rPr>
              <w:t>41,172,276.29</w:t>
            </w:r>
          </w:p>
        </w:tc>
        <w:tc>
          <w:tcPr>
            <w:tcW w:w="956"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宋体" w:hAnsi="宋体" w:cs="宋体" w:eastAsia="宋体" w:hint="default"/>
                <w:sz w:val="18"/>
                <w:szCs w:val="18"/>
              </w:rPr>
            </w:pPr>
            <w:r>
              <w:rPr>
                <w:rFonts w:ascii="宋体"/>
                <w:sz w:val="18"/>
              </w:rPr>
              <w:t>27,151,197.15</w:t>
            </w:r>
          </w:p>
        </w:tc>
      </w:tr>
      <w:tr>
        <w:trPr>
          <w:trHeight w:val="260" w:hRule="exact"/>
        </w:trPr>
        <w:tc>
          <w:tcPr>
            <w:tcW w:w="260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1240" w:type="dxa"/>
            <w:tcBorders>
              <w:top w:val="nil" w:sz="6" w:space="0" w:color="auto"/>
              <w:left w:val="nil" w:sz="6" w:space="0" w:color="auto"/>
              <w:bottom w:val="nil" w:sz="6" w:space="0" w:color="auto"/>
              <w:right w:val="nil" w:sz="6" w:space="0" w:color="auto"/>
            </w:tcBorders>
          </w:tcPr>
          <w:p>
            <w:pP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z w:val="18"/>
              </w:rPr>
              <w:t>10,665,380.11</w:t>
            </w:r>
          </w:p>
        </w:tc>
        <w:tc>
          <w:tcPr>
            <w:tcW w:w="956" w:type="dxa"/>
            <w:tcBorders>
              <w:top w:val="nil" w:sz="6" w:space="0" w:color="auto"/>
              <w:left w:val="nil" w:sz="6" w:space="0" w:color="auto"/>
              <w:bottom w:val="nil" w:sz="6" w:space="0" w:color="auto"/>
              <w:right w:val="nil" w:sz="6" w:space="0" w:color="auto"/>
            </w:tcBorders>
          </w:tcPr>
          <w:p>
            <w:pPr/>
          </w:p>
        </w:tc>
        <w:tc>
          <w:tcPr>
            <w:tcW w:w="262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z w:val="18"/>
              </w:rPr>
              <w:t>8,287,981.69</w:t>
            </w:r>
          </w:p>
        </w:tc>
      </w:tr>
    </w:tbl>
    <w:p>
      <w:pPr>
        <w:spacing w:after="0" w:line="240" w:lineRule="auto"/>
        <w:jc w:val="right"/>
        <w:rPr>
          <w:rFonts w:ascii="宋体" w:hAnsi="宋体" w:cs="宋体" w:eastAsia="宋体" w:hint="default"/>
          <w:sz w:val="18"/>
          <w:szCs w:val="18"/>
        </w:rPr>
        <w:sectPr>
          <w:pgSz w:w="11910" w:h="16840"/>
          <w:pgMar w:header="877" w:footer="1022" w:top="1060" w:bottom="1220" w:left="820" w:right="980"/>
        </w:sectPr>
      </w:pPr>
    </w:p>
    <w:p>
      <w:pPr>
        <w:spacing w:line="240" w:lineRule="auto" w:before="12"/>
        <w:rPr>
          <w:rFonts w:ascii="宋体" w:hAnsi="宋体" w:cs="宋体" w:eastAsia="宋体" w:hint="default"/>
          <w:sz w:val="2"/>
          <w:szCs w:val="2"/>
        </w:rPr>
      </w:pPr>
    </w:p>
    <w:tbl>
      <w:tblPr>
        <w:tblW w:w="0" w:type="auto"/>
        <w:jc w:val="left"/>
        <w:tblInd w:w="283" w:type="dxa"/>
        <w:tblLayout w:type="fixed"/>
        <w:tblCellMar>
          <w:top w:w="0" w:type="dxa"/>
          <w:left w:w="0" w:type="dxa"/>
          <w:bottom w:w="0" w:type="dxa"/>
          <w:right w:w="0" w:type="dxa"/>
        </w:tblCellMar>
        <w:tblLook w:val="01E0"/>
      </w:tblPr>
      <w:tblGrid>
        <w:gridCol w:w="3878"/>
        <w:gridCol w:w="2210"/>
        <w:gridCol w:w="956"/>
        <w:gridCol w:w="2653"/>
      </w:tblGrid>
      <w:tr>
        <w:trPr>
          <w:trHeight w:val="680" w:hRule="exact"/>
        </w:trPr>
        <w:tc>
          <w:tcPr>
            <w:tcW w:w="387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0"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21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right"/>
              <w:rPr>
                <w:rFonts w:ascii="宋体" w:hAnsi="宋体" w:cs="宋体" w:eastAsia="宋体" w:hint="default"/>
                <w:sz w:val="18"/>
                <w:szCs w:val="18"/>
              </w:rPr>
            </w:pPr>
            <w:r>
              <w:rPr>
                <w:rFonts w:ascii="宋体"/>
                <w:sz w:val="18"/>
              </w:rPr>
              <w:t>8,522,779.80</w:t>
            </w:r>
          </w:p>
        </w:tc>
        <w:tc>
          <w:tcPr>
            <w:tcW w:w="956" w:type="dxa"/>
            <w:tcBorders>
              <w:top w:val="single" w:sz="6" w:space="0" w:color="000000"/>
              <w:left w:val="nil" w:sz="6" w:space="0" w:color="auto"/>
              <w:bottom w:val="nil" w:sz="6" w:space="0" w:color="auto"/>
              <w:right w:val="nil" w:sz="6" w:space="0" w:color="auto"/>
            </w:tcBorders>
          </w:tcPr>
          <w:p>
            <w:pPr/>
          </w:p>
        </w:tc>
        <w:tc>
          <w:tcPr>
            <w:tcW w:w="265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7"/>
              <w:jc w:val="right"/>
              <w:rPr>
                <w:rFonts w:ascii="宋体" w:hAnsi="宋体" w:cs="宋体" w:eastAsia="宋体" w:hint="default"/>
                <w:sz w:val="18"/>
                <w:szCs w:val="18"/>
              </w:rPr>
            </w:pPr>
            <w:r>
              <w:rPr>
                <w:rFonts w:ascii="宋体"/>
                <w:sz w:val="18"/>
              </w:rPr>
              <w:t>17,917,496.09</w:t>
            </w:r>
          </w:p>
        </w:tc>
      </w:tr>
      <w:tr>
        <w:trPr>
          <w:trHeight w:val="340"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8"/>
                <w:szCs w:val="18"/>
              </w:rPr>
            </w:pPr>
            <w:r>
              <w:rPr>
                <w:rFonts w:ascii="宋体"/>
                <w:sz w:val="18"/>
              </w:rPr>
              <w:t>14,363,582.40</w:t>
            </w:r>
          </w:p>
        </w:tc>
        <w:tc>
          <w:tcPr>
            <w:tcW w:w="956" w:type="dxa"/>
            <w:tcBorders>
              <w:top w:val="nil" w:sz="6" w:space="0" w:color="auto"/>
              <w:left w:val="nil" w:sz="6" w:space="0" w:color="auto"/>
              <w:bottom w:val="nil" w:sz="6" w:space="0" w:color="auto"/>
              <w:right w:val="nil" w:sz="6" w:space="0" w:color="auto"/>
            </w:tcBorders>
          </w:tcPr>
          <w:p>
            <w:pP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7"/>
              <w:jc w:val="right"/>
              <w:rPr>
                <w:rFonts w:ascii="宋体" w:hAnsi="宋体" w:cs="宋体" w:eastAsia="宋体" w:hint="default"/>
                <w:sz w:val="18"/>
                <w:szCs w:val="18"/>
              </w:rPr>
            </w:pPr>
            <w:r>
              <w:rPr>
                <w:rFonts w:ascii="宋体"/>
                <w:sz w:val="18"/>
              </w:rPr>
              <w:t>407,368.44</w:t>
            </w:r>
          </w:p>
        </w:tc>
      </w:tr>
      <w:tr>
        <w:trPr>
          <w:trHeight w:val="340"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z w:val="18"/>
              </w:rPr>
              <w:t>6,767,596.15</w:t>
            </w:r>
          </w:p>
        </w:tc>
        <w:tc>
          <w:tcPr>
            <w:tcW w:w="956" w:type="dxa"/>
            <w:tcBorders>
              <w:top w:val="nil" w:sz="6" w:space="0" w:color="auto"/>
              <w:left w:val="nil" w:sz="6" w:space="0" w:color="auto"/>
              <w:bottom w:val="nil" w:sz="6" w:space="0" w:color="auto"/>
              <w:right w:val="nil" w:sz="6" w:space="0" w:color="auto"/>
            </w:tcBorders>
          </w:tcPr>
          <w:p>
            <w:pP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z w:val="18"/>
              </w:rPr>
              <w:t>663,539.70</w:t>
            </w:r>
          </w:p>
        </w:tc>
      </w:tr>
      <w:tr>
        <w:trPr>
          <w:trHeight w:val="340"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18"/>
                <w:szCs w:val="18"/>
              </w:rPr>
            </w:pPr>
            <w:r>
              <w:rPr>
                <w:rFonts w:ascii="宋体" w:hAnsi="宋体" w:cs="宋体" w:eastAsia="宋体" w:hint="default"/>
                <w:sz w:val="18"/>
                <w:szCs w:val="18"/>
              </w:rPr>
              <w:t>顾问咨询费</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8"/>
                <w:szCs w:val="18"/>
              </w:rPr>
            </w:pPr>
            <w:r>
              <w:rPr>
                <w:rFonts w:ascii="宋体"/>
                <w:sz w:val="18"/>
              </w:rPr>
              <w:t>6,454,885.00</w:t>
            </w:r>
          </w:p>
        </w:tc>
        <w:tc>
          <w:tcPr>
            <w:tcW w:w="956" w:type="dxa"/>
            <w:tcBorders>
              <w:top w:val="nil" w:sz="6" w:space="0" w:color="auto"/>
              <w:left w:val="nil" w:sz="6" w:space="0" w:color="auto"/>
              <w:bottom w:val="nil" w:sz="6" w:space="0" w:color="auto"/>
              <w:right w:val="nil" w:sz="6" w:space="0" w:color="auto"/>
            </w:tcBorders>
          </w:tcPr>
          <w:p>
            <w:pP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7"/>
              <w:jc w:val="right"/>
              <w:rPr>
                <w:rFonts w:ascii="宋体" w:hAnsi="宋体" w:cs="宋体" w:eastAsia="宋体" w:hint="default"/>
                <w:sz w:val="18"/>
                <w:szCs w:val="18"/>
              </w:rPr>
            </w:pPr>
            <w:r>
              <w:rPr>
                <w:rFonts w:ascii="宋体"/>
                <w:sz w:val="18"/>
              </w:rPr>
              <w:t>528,263.80</w:t>
            </w:r>
          </w:p>
        </w:tc>
      </w:tr>
      <w:tr>
        <w:trPr>
          <w:trHeight w:val="340"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0"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8"/>
                <w:szCs w:val="18"/>
              </w:rPr>
            </w:pPr>
            <w:r>
              <w:rPr>
                <w:rFonts w:ascii="宋体"/>
                <w:sz w:val="18"/>
              </w:rPr>
              <w:t>1,790,403.28</w:t>
            </w:r>
          </w:p>
        </w:tc>
        <w:tc>
          <w:tcPr>
            <w:tcW w:w="956" w:type="dxa"/>
            <w:tcBorders>
              <w:top w:val="nil" w:sz="6" w:space="0" w:color="auto"/>
              <w:left w:val="nil" w:sz="6" w:space="0" w:color="auto"/>
              <w:bottom w:val="nil" w:sz="6" w:space="0" w:color="auto"/>
              <w:right w:val="nil" w:sz="6" w:space="0" w:color="auto"/>
            </w:tcBorders>
          </w:tcPr>
          <w:p>
            <w:pP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7"/>
              <w:jc w:val="right"/>
              <w:rPr>
                <w:rFonts w:ascii="宋体" w:hAnsi="宋体" w:cs="宋体" w:eastAsia="宋体" w:hint="default"/>
                <w:sz w:val="18"/>
                <w:szCs w:val="18"/>
              </w:rPr>
            </w:pPr>
            <w:r>
              <w:rPr>
                <w:rFonts w:ascii="宋体"/>
                <w:sz w:val="18"/>
              </w:rPr>
              <w:t>1,302,372.85</w:t>
            </w:r>
          </w:p>
        </w:tc>
      </w:tr>
      <w:tr>
        <w:trPr>
          <w:trHeight w:val="353"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0"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8"/>
                <w:szCs w:val="18"/>
              </w:rPr>
            </w:pPr>
            <w:r>
              <w:rPr>
                <w:rFonts w:ascii="宋体"/>
                <w:sz w:val="18"/>
              </w:rPr>
              <w:t>2,023,581.72</w:t>
            </w:r>
          </w:p>
        </w:tc>
        <w:tc>
          <w:tcPr>
            <w:tcW w:w="956" w:type="dxa"/>
            <w:tcBorders>
              <w:top w:val="nil" w:sz="6" w:space="0" w:color="auto"/>
              <w:left w:val="nil" w:sz="6" w:space="0" w:color="auto"/>
              <w:bottom w:val="nil" w:sz="6" w:space="0" w:color="auto"/>
              <w:right w:val="nil" w:sz="6" w:space="0" w:color="auto"/>
            </w:tcBorders>
          </w:tcPr>
          <w:p>
            <w:pP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宋体" w:hAnsi="宋体" w:cs="宋体" w:eastAsia="宋体" w:hint="default"/>
                <w:sz w:val="18"/>
                <w:szCs w:val="18"/>
              </w:rPr>
            </w:pPr>
            <w:r>
              <w:rPr>
                <w:rFonts w:ascii="宋体"/>
                <w:sz w:val="18"/>
              </w:rPr>
              <w:t>1,191,636.16</w:t>
            </w:r>
          </w:p>
        </w:tc>
      </w:tr>
      <w:tr>
        <w:trPr>
          <w:trHeight w:val="379"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招投标保证金费用等支出</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宋体" w:hAnsi="宋体" w:cs="宋体" w:eastAsia="宋体" w:hint="default"/>
                <w:sz w:val="18"/>
                <w:szCs w:val="18"/>
              </w:rPr>
            </w:pPr>
            <w:r>
              <w:rPr>
                <w:rFonts w:ascii="宋体"/>
                <w:sz w:val="18"/>
              </w:rPr>
              <w:t>5,904,022.09</w:t>
            </w:r>
          </w:p>
        </w:tc>
        <w:tc>
          <w:tcPr>
            <w:tcW w:w="956" w:type="dxa"/>
            <w:tcBorders>
              <w:top w:val="nil" w:sz="6" w:space="0" w:color="auto"/>
              <w:left w:val="nil" w:sz="6" w:space="0" w:color="auto"/>
              <w:bottom w:val="nil" w:sz="6" w:space="0" w:color="auto"/>
              <w:right w:val="nil" w:sz="6" w:space="0" w:color="auto"/>
            </w:tcBorders>
          </w:tcPr>
          <w:p>
            <w:pP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
              <w:jc w:val="right"/>
              <w:rPr>
                <w:rFonts w:ascii="宋体" w:hAnsi="宋体" w:cs="宋体" w:eastAsia="宋体" w:hint="default"/>
                <w:sz w:val="18"/>
                <w:szCs w:val="18"/>
              </w:rPr>
            </w:pPr>
            <w:r>
              <w:rPr>
                <w:rFonts w:ascii="宋体"/>
                <w:sz w:val="18"/>
              </w:rPr>
              <w:t>4,962,965.00</w:t>
            </w:r>
          </w:p>
        </w:tc>
      </w:tr>
      <w:tr>
        <w:trPr>
          <w:trHeight w:val="379"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网络及广告服务费</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6,396,925.61</w:t>
            </w:r>
          </w:p>
        </w:tc>
        <w:tc>
          <w:tcPr>
            <w:tcW w:w="956" w:type="dxa"/>
            <w:tcBorders>
              <w:top w:val="nil" w:sz="6" w:space="0" w:color="auto"/>
              <w:left w:val="nil" w:sz="6" w:space="0" w:color="auto"/>
              <w:bottom w:val="nil" w:sz="6" w:space="0" w:color="auto"/>
              <w:right w:val="nil" w:sz="6" w:space="0" w:color="auto"/>
            </w:tcBorders>
          </w:tcPr>
          <w:p>
            <w:pPr/>
          </w:p>
        </w:tc>
        <w:tc>
          <w:tcPr>
            <w:tcW w:w="265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z w:val="18"/>
              </w:rPr>
              <w:t>6,522,417.28</w:t>
            </w:r>
          </w:p>
        </w:tc>
      </w:tr>
      <w:tr>
        <w:trPr>
          <w:trHeight w:val="345"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1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0"/>
              <w:jc w:val="right"/>
              <w:rPr>
                <w:rFonts w:ascii="宋体" w:hAnsi="宋体" w:cs="宋体" w:eastAsia="宋体" w:hint="default"/>
                <w:sz w:val="18"/>
                <w:szCs w:val="18"/>
              </w:rPr>
            </w:pPr>
            <w:r>
              <w:rPr>
                <w:rFonts w:ascii="宋体"/>
                <w:sz w:val="18"/>
              </w:rPr>
              <w:t>6,490,402.27</w:t>
            </w:r>
          </w:p>
        </w:tc>
        <w:tc>
          <w:tcPr>
            <w:tcW w:w="956" w:type="dxa"/>
            <w:tcBorders>
              <w:top w:val="nil" w:sz="6" w:space="0" w:color="auto"/>
              <w:left w:val="nil" w:sz="6" w:space="0" w:color="auto"/>
              <w:bottom w:val="nil" w:sz="6" w:space="0" w:color="auto"/>
              <w:right w:val="nil" w:sz="6" w:space="0" w:color="auto"/>
            </w:tcBorders>
          </w:tcPr>
          <w:p>
            <w:pPr/>
          </w:p>
        </w:tc>
        <w:tc>
          <w:tcPr>
            <w:tcW w:w="265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27"/>
              <w:jc w:val="right"/>
              <w:rPr>
                <w:rFonts w:ascii="宋体" w:hAnsi="宋体" w:cs="宋体" w:eastAsia="宋体" w:hint="default"/>
                <w:sz w:val="18"/>
                <w:szCs w:val="18"/>
              </w:rPr>
            </w:pPr>
            <w:r>
              <w:rPr>
                <w:rFonts w:ascii="宋体"/>
                <w:sz w:val="18"/>
              </w:rPr>
              <w:t>10,980,430.35</w:t>
            </w:r>
          </w:p>
        </w:tc>
      </w:tr>
      <w:tr>
        <w:trPr>
          <w:trHeight w:val="360" w:hRule="exact"/>
        </w:trPr>
        <w:tc>
          <w:tcPr>
            <w:tcW w:w="3878" w:type="dxa"/>
            <w:tcBorders>
              <w:top w:val="nil" w:sz="6" w:space="0" w:color="auto"/>
              <w:left w:val="nil" w:sz="6" w:space="0" w:color="auto"/>
              <w:bottom w:val="nil" w:sz="6" w:space="0" w:color="auto"/>
              <w:right w:val="nil" w:sz="6" w:space="0" w:color="auto"/>
            </w:tcBorders>
          </w:tcPr>
          <w:p>
            <w:pPr/>
          </w:p>
        </w:tc>
        <w:tc>
          <w:tcPr>
            <w:tcW w:w="2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
              <w:jc w:val="right"/>
              <w:rPr>
                <w:rFonts w:ascii="宋体" w:hAnsi="宋体" w:cs="宋体" w:eastAsia="宋体" w:hint="default"/>
                <w:sz w:val="18"/>
                <w:szCs w:val="18"/>
              </w:rPr>
            </w:pPr>
            <w:r>
              <w:rPr>
                <w:rFonts w:ascii="宋体"/>
                <w:sz w:val="18"/>
              </w:rPr>
              <w:t>129,897,158.62</w:t>
            </w:r>
          </w:p>
        </w:tc>
        <w:tc>
          <w:tcPr>
            <w:tcW w:w="956" w:type="dxa"/>
            <w:tcBorders>
              <w:top w:val="nil" w:sz="6" w:space="0" w:color="auto"/>
              <w:left w:val="nil" w:sz="6" w:space="0" w:color="auto"/>
              <w:bottom w:val="nil" w:sz="6" w:space="0" w:color="auto"/>
              <w:right w:val="nil" w:sz="6" w:space="0" w:color="auto"/>
            </w:tcBorders>
          </w:tcPr>
          <w:p>
            <w:pPr/>
          </w:p>
        </w:tc>
        <w:tc>
          <w:tcPr>
            <w:tcW w:w="2653"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27"/>
              <w:jc w:val="right"/>
              <w:rPr>
                <w:rFonts w:ascii="宋体" w:hAnsi="宋体" w:cs="宋体" w:eastAsia="宋体" w:hint="default"/>
                <w:sz w:val="18"/>
                <w:szCs w:val="18"/>
              </w:rPr>
            </w:pPr>
            <w:r>
              <w:rPr>
                <w:rFonts w:ascii="宋体"/>
                <w:sz w:val="18"/>
              </w:rPr>
              <w:t>93,061,759.43</w:t>
            </w:r>
          </w:p>
        </w:tc>
      </w:tr>
    </w:tbl>
    <w:p>
      <w:pPr>
        <w:spacing w:line="240" w:lineRule="auto" w:before="13"/>
        <w:rPr>
          <w:rFonts w:ascii="宋体" w:hAnsi="宋体" w:cs="宋体" w:eastAsia="宋体" w:hint="default"/>
          <w:sz w:val="10"/>
          <w:szCs w:val="10"/>
        </w:rPr>
      </w:pPr>
    </w:p>
    <w:p>
      <w:pPr>
        <w:pStyle w:val="Heading4"/>
        <w:spacing w:line="427" w:lineRule="auto"/>
        <w:ind w:right="6157" w:hanging="483"/>
        <w:jc w:val="left"/>
        <w:rPr>
          <w:b w:val="0"/>
          <w:bCs w:val="0"/>
        </w:rPr>
      </w:pPr>
      <w:r>
        <w:rPr/>
        <w:t>八、</w:t>
      </w:r>
      <w:r>
        <w:rPr>
          <w:rFonts w:ascii="黑体" w:hAnsi="黑体" w:cs="黑体" w:eastAsia="黑体" w:hint="default"/>
        </w:rPr>
        <w:t>母公司财务报表主要项目附注</w:t>
      </w:r>
      <w:r>
        <w:rPr>
          <w:rFonts w:ascii="黑体" w:hAnsi="黑体" w:cs="黑体" w:eastAsia="黑体" w:hint="default"/>
          <w:w w:val="99"/>
        </w:rPr>
        <w:t> </w:t>
      </w:r>
      <w:r>
        <w:rPr/>
        <w:t>1、应收账款</w:t>
      </w:r>
      <w:r>
        <w:rPr>
          <w:b w:val="0"/>
          <w:bCs w:val="0"/>
        </w:rPr>
      </w:r>
    </w:p>
    <w:p>
      <w:pPr>
        <w:spacing w:line="240" w:lineRule="auto" w:before="10"/>
        <w:rPr>
          <w:rFonts w:ascii="宋体" w:hAnsi="宋体" w:cs="宋体" w:eastAsia="宋体" w:hint="default"/>
          <w:b/>
          <w:bCs/>
          <w:sz w:val="5"/>
          <w:szCs w:val="5"/>
        </w:rPr>
      </w:pPr>
    </w:p>
    <w:tbl>
      <w:tblPr>
        <w:tblW w:w="0" w:type="auto"/>
        <w:jc w:val="left"/>
        <w:tblInd w:w="113" w:type="dxa"/>
        <w:tblLayout w:type="fixed"/>
        <w:tblCellMar>
          <w:top w:w="0" w:type="dxa"/>
          <w:left w:w="0" w:type="dxa"/>
          <w:bottom w:w="0" w:type="dxa"/>
          <w:right w:w="0" w:type="dxa"/>
        </w:tblCellMar>
        <w:tblLook w:val="01E0"/>
      </w:tblPr>
      <w:tblGrid>
        <w:gridCol w:w="4413"/>
        <w:gridCol w:w="1816"/>
        <w:gridCol w:w="1798"/>
        <w:gridCol w:w="1812"/>
      </w:tblGrid>
      <w:tr>
        <w:trPr>
          <w:trHeight w:val="290" w:hRule="exact"/>
        </w:trPr>
        <w:tc>
          <w:tcPr>
            <w:tcW w:w="4413"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single" w:sz="4" w:space="0" w:color="000000"/>
              <w:right w:val="nil" w:sz="6" w:space="0" w:color="auto"/>
            </w:tcBorders>
          </w:tcPr>
          <w:p>
            <w:pPr>
              <w:pStyle w:val="TableParagraph"/>
              <w:spacing w:line="180" w:lineRule="exact"/>
              <w:ind w:left="16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9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180" w:lineRule="exact"/>
              <w:ind w:left="16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8" w:hRule="exact"/>
        </w:trPr>
        <w:tc>
          <w:tcPr>
            <w:tcW w:w="441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357,516,209.16</w:t>
            </w:r>
          </w:p>
        </w:tc>
        <w:tc>
          <w:tcPr>
            <w:tcW w:w="1798"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216,400,864.50</w:t>
            </w:r>
          </w:p>
        </w:tc>
      </w:tr>
      <w:tr>
        <w:trPr>
          <w:trHeight w:val="397" w:hRule="exact"/>
        </w:trPr>
        <w:tc>
          <w:tcPr>
            <w:tcW w:w="441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181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26,890,870.26</w:t>
            </w:r>
          </w:p>
        </w:tc>
        <w:tc>
          <w:tcPr>
            <w:tcW w:w="1798"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14,137,688.52</w:t>
            </w:r>
          </w:p>
        </w:tc>
      </w:tr>
      <w:tr>
        <w:trPr>
          <w:trHeight w:val="413" w:hRule="exact"/>
        </w:trPr>
        <w:tc>
          <w:tcPr>
            <w:tcW w:w="4413" w:type="dxa"/>
            <w:tcBorders>
              <w:top w:val="nil" w:sz="6" w:space="0" w:color="auto"/>
              <w:left w:val="nil" w:sz="6" w:space="0" w:color="auto"/>
              <w:bottom w:val="nil" w:sz="6" w:space="0" w:color="auto"/>
              <w:right w:val="nil" w:sz="6" w:space="0" w:color="auto"/>
            </w:tcBorders>
          </w:tcPr>
          <w:p>
            <w:pPr/>
          </w:p>
        </w:tc>
        <w:tc>
          <w:tcPr>
            <w:tcW w:w="181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330,625,338.90</w:t>
            </w:r>
          </w:p>
        </w:tc>
        <w:tc>
          <w:tcPr>
            <w:tcW w:w="1798" w:type="dxa"/>
            <w:tcBorders>
              <w:top w:val="nil" w:sz="6" w:space="0" w:color="auto"/>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
              <w:jc w:val="right"/>
              <w:rPr>
                <w:rFonts w:ascii="宋体" w:hAnsi="宋体" w:cs="宋体" w:eastAsia="宋体" w:hint="default"/>
                <w:sz w:val="18"/>
                <w:szCs w:val="18"/>
              </w:rPr>
            </w:pPr>
            <w:r>
              <w:rPr>
                <w:rFonts w:ascii="宋体"/>
                <w:sz w:val="18"/>
              </w:rPr>
              <w:t>202,263,175.98</w:t>
            </w:r>
          </w:p>
        </w:tc>
      </w:tr>
    </w:tbl>
    <w:p>
      <w:pPr>
        <w:spacing w:line="240" w:lineRule="auto" w:before="0"/>
        <w:rPr>
          <w:rFonts w:ascii="宋体" w:hAnsi="宋体" w:cs="宋体" w:eastAsia="宋体" w:hint="default"/>
          <w:b/>
          <w:bCs/>
          <w:sz w:val="14"/>
          <w:szCs w:val="14"/>
        </w:rPr>
      </w:pPr>
    </w:p>
    <w:p>
      <w:pPr>
        <w:pStyle w:val="BodyText"/>
        <w:spacing w:line="240" w:lineRule="auto" w:before="26"/>
        <w:ind w:left="794" w:right="1890"/>
        <w:jc w:val="left"/>
      </w:pPr>
      <w:r>
        <w:rPr/>
        <w:t>(1)应收账款账龄及相应的坏账准备分析如下：</w:t>
      </w:r>
    </w:p>
    <w:p>
      <w:pPr>
        <w:spacing w:line="240" w:lineRule="auto" w:before="6"/>
        <w:rPr>
          <w:rFonts w:ascii="宋体" w:hAnsi="宋体" w:cs="宋体" w:eastAsia="宋体" w:hint="default"/>
          <w:sz w:val="12"/>
          <w:szCs w:val="12"/>
        </w:rPr>
      </w:pPr>
    </w:p>
    <w:p>
      <w:pPr>
        <w:tabs>
          <w:tab w:pos="5549" w:val="left" w:leader="none"/>
        </w:tabs>
        <w:spacing w:line="218" w:lineRule="exact" w:before="44"/>
        <w:ind w:left="1206" w:right="0" w:firstLine="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tab/>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line="201" w:lineRule="exact" w:before="0"/>
        <w:ind w:left="538" w:right="1890" w:firstLine="0"/>
        <w:jc w:val="left"/>
        <w:rPr>
          <w:rFonts w:ascii="宋体" w:hAnsi="宋体" w:cs="宋体" w:eastAsia="宋体" w:hint="default"/>
          <w:sz w:val="18"/>
          <w:szCs w:val="18"/>
        </w:rPr>
      </w:pPr>
      <w:r>
        <w:rPr/>
        <w:pict>
          <v:group style="position:absolute;margin-left:106.440002pt;margin-top:6.154849pt;width:432.1pt;height:.5pt;mso-position-horizontal-relative:page;mso-position-vertical-relative:paragraph;z-index:2848" coordorigin="2129,123" coordsize="8642,10">
            <v:group style="position:absolute;left:2134;top:128;width:4329;height:2" coordorigin="2134,128" coordsize="4329,2">
              <v:shape style="position:absolute;left:2134;top:128;width:4329;height:2" coordorigin="2134,128" coordsize="4329,0" path="m2134,128l6462,128e" filled="false" stroked="true" strokeweight=".48pt" strokecolor="#000000">
                <v:path arrowok="t"/>
              </v:shape>
            </v:group>
            <v:group style="position:absolute;left:6516;top:128;width:4250;height:2" coordorigin="6516,128" coordsize="4250,2">
              <v:shape style="position:absolute;left:6516;top:128;width:4250;height:2" coordorigin="6516,128" coordsize="4250,0" path="m6516,128l10765,128e" filled="false" stroked="true" strokeweight=".48pt" strokecolor="#000000">
                <v:path arrowok="t"/>
              </v:shape>
            </v:group>
            <w10:wrap type="none"/>
          </v:group>
        </w:pict>
      </w:r>
      <w:r>
        <w:rPr>
          <w:rFonts w:ascii="宋体" w:hAnsi="宋体" w:cs="宋体" w:eastAsia="宋体" w:hint="default"/>
          <w:sz w:val="18"/>
          <w:szCs w:val="18"/>
        </w:rPr>
        <w:t>账龄</w:t>
      </w:r>
    </w:p>
    <w:p>
      <w:pPr>
        <w:tabs>
          <w:tab w:pos="2588" w:val="left" w:leader="none"/>
          <w:tab w:pos="4117" w:val="left" w:leader="none"/>
          <w:tab w:pos="5742" w:val="left" w:leader="none"/>
          <w:tab w:pos="6922" w:val="left" w:leader="none"/>
          <w:tab w:pos="8381" w:val="left" w:leader="none"/>
        </w:tabs>
        <w:spacing w:line="219" w:lineRule="exact" w:before="0"/>
        <w:ind w:left="1348" w:right="0" w:firstLine="0"/>
        <w:jc w:val="center"/>
        <w:rPr>
          <w:rFonts w:ascii="宋体" w:hAnsi="宋体" w:cs="宋体" w:eastAsia="宋体" w:hint="default"/>
          <w:sz w:val="18"/>
          <w:szCs w:val="18"/>
        </w:rPr>
      </w:pPr>
      <w:r>
        <w:rPr>
          <w:rFonts w:ascii="宋体" w:hAnsi="宋体" w:cs="宋体" w:eastAsia="宋体" w:hint="default"/>
          <w:sz w:val="18"/>
          <w:szCs w:val="18"/>
        </w:rPr>
        <w:t>金额</w:t>
        <w:tab/>
        <w:t>占总额比例</w:t>
        <w:tab/>
        <w:t>坏账准备</w:t>
        <w:tab/>
        <w:t>金额</w:t>
        <w:tab/>
        <w:t>占总额比例</w:t>
        <w:tab/>
        <w:t>坏账准备</w:t>
      </w:r>
    </w:p>
    <w:p>
      <w:pPr>
        <w:spacing w:line="240" w:lineRule="auto" w:before="1"/>
        <w:rPr>
          <w:rFonts w:ascii="宋体" w:hAnsi="宋体" w:cs="宋体" w:eastAsia="宋体" w:hint="default"/>
          <w:sz w:val="8"/>
          <w:szCs w:val="8"/>
        </w:rPr>
      </w:pPr>
    </w:p>
    <w:p>
      <w:pPr>
        <w:spacing w:line="20" w:lineRule="exact"/>
        <w:ind w:left="309" w:right="0" w:firstLine="0"/>
        <w:rPr>
          <w:rFonts w:ascii="宋体" w:hAnsi="宋体" w:cs="宋体" w:eastAsia="宋体" w:hint="default"/>
          <w:sz w:val="2"/>
          <w:szCs w:val="2"/>
        </w:rPr>
      </w:pPr>
      <w:r>
        <w:rPr>
          <w:rFonts w:ascii="宋体"/>
          <w:sz w:val="2"/>
        </w:rPr>
        <w:pict>
          <v:group style="width:40.7pt;height:.5pt;mso-position-horizontal-relative:char;mso-position-vertical-relative:line" coordorigin="0,0" coordsize="814,10">
            <v:group style="position:absolute;left:5;top:5;width:804;height:2" coordorigin="5,5" coordsize="804,2">
              <v:shape style="position:absolute;left:5;top:5;width:804;height:2" coordorigin="5,5" coordsize="804,0" path="m5,5l809,5e" filled="false" stroked="true" strokeweight=".48pt" strokecolor="#000000">
                <v:path arrowok="t"/>
              </v:shape>
            </v:group>
          </v:group>
        </w:pict>
      </w:r>
      <w:r>
        <w:rPr>
          <w:rFonts w:ascii="宋体"/>
          <w:sz w:val="2"/>
        </w:rPr>
      </w:r>
      <w:r>
        <w:rPr>
          <w:rFonts w:ascii="Times New Roman"/>
          <w:spacing w:val="175"/>
          <w:sz w:val="2"/>
        </w:rPr>
        <w:t> </w:t>
      </w:r>
      <w:r>
        <w:rPr>
          <w:rFonts w:ascii="宋体"/>
          <w:spacing w:val="175"/>
          <w:sz w:val="2"/>
        </w:rPr>
        <w:pict>
          <v:group style="width:71.5pt;height:.5pt;mso-position-horizontal-relative:char;mso-position-vertical-relative:line" coordorigin="0,0" coordsize="1430,10">
            <v:group style="position:absolute;left:5;top:5;width:1420;height:2" coordorigin="5,5" coordsize="1420,2">
              <v:shape style="position:absolute;left:5;top:5;width:1420;height:2" coordorigin="5,5" coordsize="1420,0" path="m5,5l1424,5e" filled="false" stroked="true" strokeweight=".48pt" strokecolor="#000000">
                <v:path arrowok="t"/>
              </v:shape>
            </v:group>
          </v:group>
        </w:pict>
      </w:r>
      <w:r>
        <w:rPr>
          <w:rFonts w:ascii="宋体"/>
          <w:spacing w:val="175"/>
          <w:sz w:val="2"/>
        </w:rPr>
      </w:r>
      <w:r>
        <w:rPr>
          <w:rFonts w:ascii="Times New Roman"/>
          <w:spacing w:val="162"/>
          <w:sz w:val="2"/>
        </w:rPr>
        <w:t> </w:t>
      </w:r>
      <w:r>
        <w:rPr>
          <w:rFonts w:ascii="宋体"/>
          <w:spacing w:val="162"/>
          <w:sz w:val="2"/>
        </w:rPr>
        <w:pict>
          <v:group style="width:62.25pt;height:.5pt;mso-position-horizontal-relative:char;mso-position-vertical-relative:line" coordorigin="0,0" coordsize="1245,10">
            <v:group style="position:absolute;left:5;top:5;width:1235;height:2" coordorigin="5,5" coordsize="1235,2">
              <v:shape style="position:absolute;left:5;top:5;width:1235;height:2" coordorigin="5,5" coordsize="1235,0" path="m5,5l1240,5e" filled="false" stroked="true" strokeweight=".48pt" strokecolor="#000000">
                <v:path arrowok="t"/>
              </v:shape>
            </v:group>
          </v:group>
        </w:pict>
      </w:r>
      <w:r>
        <w:rPr>
          <w:rFonts w:ascii="宋体"/>
          <w:spacing w:val="162"/>
          <w:sz w:val="2"/>
        </w:rPr>
      </w:r>
      <w:r>
        <w:rPr>
          <w:rFonts w:ascii="Times New Roman"/>
          <w:spacing w:val="131"/>
          <w:sz w:val="2"/>
        </w:rPr>
        <w:t> </w:t>
      </w:r>
      <w:r>
        <w:rPr>
          <w:rFonts w:ascii="宋体"/>
          <w:spacing w:val="131"/>
          <w:sz w:val="2"/>
        </w:rPr>
        <w:pict>
          <v:group style="width:142.35pt;height:.5pt;mso-position-horizontal-relative:char;mso-position-vertical-relative:line" coordorigin="0,0" coordsize="2847,10">
            <v:group style="position:absolute;left:5;top:5;width:1341;height:2" coordorigin="5,5" coordsize="1341,2">
              <v:shape style="position:absolute;left:5;top:5;width:1341;height:2" coordorigin="5,5" coordsize="1341,0" path="m5,5l1345,5e" filled="false" stroked="true" strokeweight=".48pt" strokecolor="#000000">
                <v:path arrowok="t"/>
              </v:shape>
            </v:group>
            <v:group style="position:absolute;left:1399;top:5;width:1443;height:2" coordorigin="1399,5" coordsize="1443,2">
              <v:shape style="position:absolute;left:1399;top:5;width:1443;height:2" coordorigin="1399,5" coordsize="1443,0" path="m1399,5l2842,5e" filled="false" stroked="true" strokeweight=".48pt" strokecolor="#000000">
                <v:path arrowok="t"/>
              </v:shape>
            </v:group>
          </v:group>
        </w:pict>
      </w:r>
      <w:r>
        <w:rPr>
          <w:rFonts w:ascii="宋体"/>
          <w:spacing w:val="131"/>
          <w:sz w:val="2"/>
        </w:rPr>
      </w:r>
      <w:r>
        <w:rPr>
          <w:rFonts w:ascii="Times New Roman"/>
          <w:spacing w:val="162"/>
          <w:sz w:val="2"/>
        </w:rPr>
        <w:t> </w:t>
      </w:r>
      <w:r>
        <w:rPr>
          <w:rFonts w:ascii="宋体"/>
          <w:spacing w:val="162"/>
          <w:sz w:val="2"/>
        </w:rPr>
        <w:pict>
          <v:group style="width:55.15pt;height:.5pt;mso-position-horizontal-relative:char;mso-position-vertical-relative:line" coordorigin="0,0" coordsize="1103,10">
            <v:group style="position:absolute;left:5;top:5;width:1094;height:2" coordorigin="5,5" coordsize="1094,2">
              <v:shape style="position:absolute;left:5;top:5;width:1094;height:2" coordorigin="5,5" coordsize="1094,0" path="m5,5l1098,5e" filled="false" stroked="true" strokeweight=".48pt" strokecolor="#000000">
                <v:path arrowok="t"/>
              </v:shape>
            </v:group>
          </v:group>
        </w:pict>
      </w:r>
      <w:r>
        <w:rPr>
          <w:rFonts w:ascii="宋体"/>
          <w:spacing w:val="162"/>
          <w:sz w:val="2"/>
        </w:rPr>
      </w:r>
      <w:r>
        <w:rPr>
          <w:rFonts w:ascii="Times New Roman"/>
          <w:spacing w:val="94"/>
          <w:sz w:val="2"/>
        </w:rPr>
        <w:t> </w:t>
      </w:r>
      <w:r>
        <w:rPr>
          <w:rFonts w:ascii="宋体"/>
          <w:spacing w:val="94"/>
          <w:sz w:val="2"/>
        </w:rPr>
        <w:pict>
          <v:group style="width:71.350pt;height:.5pt;mso-position-horizontal-relative:char;mso-position-vertical-relative:line" coordorigin="0,0" coordsize="1427,10">
            <v:group style="position:absolute;left:5;top:5;width:1418;height:2" coordorigin="5,5" coordsize="1418,2">
              <v:shape style="position:absolute;left:5;top:5;width:1418;height:2" coordorigin="5,5" coordsize="1418,0" path="m5,5l1422,5e" filled="false" stroked="true" strokeweight=".48pt" strokecolor="#000000">
                <v:path arrowok="t"/>
              </v:shape>
            </v:group>
          </v:group>
        </w:pict>
      </w:r>
      <w:r>
        <w:rPr>
          <w:rFonts w:ascii="宋体"/>
          <w:spacing w:val="94"/>
          <w:sz w:val="2"/>
        </w:rPr>
      </w:r>
    </w:p>
    <w:tbl>
      <w:tblPr>
        <w:tblW w:w="0" w:type="auto"/>
        <w:jc w:val="left"/>
        <w:tblInd w:w="278" w:type="dxa"/>
        <w:tblLayout w:type="fixed"/>
        <w:tblCellMar>
          <w:top w:w="0" w:type="dxa"/>
          <w:left w:w="0" w:type="dxa"/>
          <w:bottom w:w="0" w:type="dxa"/>
          <w:right w:w="0" w:type="dxa"/>
        </w:tblCellMar>
        <w:tblLook w:val="01E0"/>
      </w:tblPr>
      <w:tblGrid>
        <w:gridCol w:w="1035"/>
        <w:gridCol w:w="1426"/>
        <w:gridCol w:w="176"/>
        <w:gridCol w:w="1235"/>
        <w:gridCol w:w="151"/>
        <w:gridCol w:w="1448"/>
        <w:gridCol w:w="1389"/>
        <w:gridCol w:w="182"/>
        <w:gridCol w:w="1093"/>
        <w:gridCol w:w="114"/>
        <w:gridCol w:w="1459"/>
      </w:tblGrid>
      <w:tr>
        <w:trPr>
          <w:trHeight w:val="386"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sz w:val="18"/>
              </w:rPr>
              <w:t>254,146,404.84</w:t>
            </w:r>
          </w:p>
        </w:tc>
        <w:tc>
          <w:tcPr>
            <w:tcW w:w="176"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
              <w:jc w:val="right"/>
              <w:rPr>
                <w:rFonts w:ascii="宋体" w:hAnsi="宋体" w:cs="宋体" w:eastAsia="宋体" w:hint="default"/>
                <w:sz w:val="18"/>
                <w:szCs w:val="18"/>
              </w:rPr>
            </w:pPr>
            <w:r>
              <w:rPr>
                <w:rFonts w:ascii="宋体"/>
                <w:sz w:val="18"/>
              </w:rPr>
              <w:t>71.09%</w:t>
            </w:r>
          </w:p>
        </w:tc>
        <w:tc>
          <w:tcPr>
            <w:tcW w:w="151"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6"/>
              <w:jc w:val="right"/>
              <w:rPr>
                <w:rFonts w:ascii="宋体" w:hAnsi="宋体" w:cs="宋体" w:eastAsia="宋体" w:hint="default"/>
                <w:sz w:val="18"/>
                <w:szCs w:val="18"/>
              </w:rPr>
            </w:pPr>
            <w:r>
              <w:rPr>
                <w:rFonts w:ascii="宋体"/>
                <w:sz w:val="18"/>
              </w:rPr>
              <w:t>12,707,320.24</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
              <w:jc w:val="right"/>
              <w:rPr>
                <w:rFonts w:ascii="宋体" w:hAnsi="宋体" w:cs="宋体" w:eastAsia="宋体" w:hint="default"/>
                <w:sz w:val="18"/>
                <w:szCs w:val="18"/>
              </w:rPr>
            </w:pPr>
            <w:r>
              <w:rPr>
                <w:rFonts w:ascii="宋体"/>
                <w:sz w:val="18"/>
              </w:rPr>
              <w:t>179,529,764.19</w:t>
            </w:r>
          </w:p>
        </w:tc>
        <w:tc>
          <w:tcPr>
            <w:tcW w:w="182"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
              <w:jc w:val="right"/>
              <w:rPr>
                <w:rFonts w:ascii="宋体" w:hAnsi="宋体" w:cs="宋体" w:eastAsia="宋体" w:hint="default"/>
                <w:sz w:val="18"/>
                <w:szCs w:val="18"/>
              </w:rPr>
            </w:pPr>
            <w:r>
              <w:rPr>
                <w:rFonts w:ascii="宋体"/>
                <w:sz w:val="18"/>
              </w:rPr>
              <w:t>82.96%</w:t>
            </w:r>
          </w:p>
        </w:tc>
        <w:tc>
          <w:tcPr>
            <w:tcW w:w="114"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8,976,488.21</w:t>
            </w:r>
          </w:p>
        </w:tc>
      </w:tr>
      <w:tr>
        <w:trPr>
          <w:trHeight w:val="392"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73,785,426.65</w:t>
            </w:r>
          </w:p>
        </w:tc>
        <w:tc>
          <w:tcPr>
            <w:tcW w:w="176"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
              <w:jc w:val="right"/>
              <w:rPr>
                <w:rFonts w:ascii="宋体" w:hAnsi="宋体" w:cs="宋体" w:eastAsia="宋体" w:hint="default"/>
                <w:sz w:val="18"/>
                <w:szCs w:val="18"/>
              </w:rPr>
            </w:pPr>
            <w:r>
              <w:rPr>
                <w:rFonts w:ascii="宋体"/>
                <w:sz w:val="18"/>
              </w:rPr>
              <w:t>20.64%</w:t>
            </w:r>
          </w:p>
        </w:tc>
        <w:tc>
          <w:tcPr>
            <w:tcW w:w="151"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
              <w:jc w:val="right"/>
              <w:rPr>
                <w:rFonts w:ascii="宋体" w:hAnsi="宋体" w:cs="宋体" w:eastAsia="宋体" w:hint="default"/>
                <w:sz w:val="18"/>
                <w:szCs w:val="18"/>
              </w:rPr>
            </w:pPr>
            <w:r>
              <w:rPr>
                <w:rFonts w:ascii="宋体"/>
                <w:sz w:val="18"/>
              </w:rPr>
              <w:t>7,378,542.66</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28,009,219.27</w:t>
            </w:r>
          </w:p>
        </w:tc>
        <w:tc>
          <w:tcPr>
            <w:tcW w:w="182"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12.94%</w:t>
            </w:r>
          </w:p>
        </w:tc>
        <w:tc>
          <w:tcPr>
            <w:tcW w:w="114"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sz w:val="18"/>
              </w:rPr>
              <w:t>2,800,921.93</w:t>
            </w:r>
          </w:p>
        </w:tc>
      </w:tr>
      <w:tr>
        <w:trPr>
          <w:trHeight w:val="392"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20,703,059.44</w:t>
            </w:r>
          </w:p>
        </w:tc>
        <w:tc>
          <w:tcPr>
            <w:tcW w:w="176"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
              <w:jc w:val="right"/>
              <w:rPr>
                <w:rFonts w:ascii="宋体" w:hAnsi="宋体" w:cs="宋体" w:eastAsia="宋体" w:hint="default"/>
                <w:sz w:val="18"/>
                <w:szCs w:val="18"/>
              </w:rPr>
            </w:pPr>
            <w:r>
              <w:rPr>
                <w:rFonts w:ascii="宋体"/>
                <w:sz w:val="18"/>
              </w:rPr>
              <w:t>5.79%</w:t>
            </w:r>
          </w:p>
        </w:tc>
        <w:tc>
          <w:tcPr>
            <w:tcW w:w="151"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16"/>
              <w:jc w:val="right"/>
              <w:rPr>
                <w:rFonts w:ascii="宋体" w:hAnsi="宋体" w:cs="宋体" w:eastAsia="宋体" w:hint="default"/>
                <w:sz w:val="18"/>
                <w:szCs w:val="18"/>
              </w:rPr>
            </w:pPr>
            <w:r>
              <w:rPr>
                <w:rFonts w:ascii="宋体"/>
                <w:sz w:val="18"/>
              </w:rPr>
              <w:t>4,140,611.89</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2,982,859.24</w:t>
            </w:r>
          </w:p>
        </w:tc>
        <w:tc>
          <w:tcPr>
            <w:tcW w:w="182"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1.38%</w:t>
            </w:r>
          </w:p>
        </w:tc>
        <w:tc>
          <w:tcPr>
            <w:tcW w:w="114"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sz w:val="18"/>
              </w:rPr>
              <w:t>596,571.85</w:t>
            </w:r>
          </w:p>
        </w:tc>
      </w:tr>
      <w:tr>
        <w:trPr>
          <w:trHeight w:val="396"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8,881,318.23</w:t>
            </w:r>
          </w:p>
        </w:tc>
        <w:tc>
          <w:tcPr>
            <w:tcW w:w="176" w:type="dxa"/>
            <w:tcBorders>
              <w:top w:val="nil" w:sz="6" w:space="0" w:color="auto"/>
              <w:left w:val="nil" w:sz="6" w:space="0" w:color="auto"/>
              <w:bottom w:val="nil" w:sz="6" w:space="0" w:color="auto"/>
              <w:right w:val="nil" w:sz="6" w:space="0" w:color="auto"/>
            </w:tcBorders>
          </w:tcPr>
          <w:p>
            <w:pPr/>
          </w:p>
        </w:tc>
        <w:tc>
          <w:tcPr>
            <w:tcW w:w="123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
              <w:jc w:val="right"/>
              <w:rPr>
                <w:rFonts w:ascii="宋体" w:hAnsi="宋体" w:cs="宋体" w:eastAsia="宋体" w:hint="default"/>
                <w:sz w:val="18"/>
                <w:szCs w:val="18"/>
              </w:rPr>
            </w:pPr>
            <w:r>
              <w:rPr>
                <w:rFonts w:ascii="宋体"/>
                <w:sz w:val="18"/>
              </w:rPr>
              <w:t>2.48%</w:t>
            </w:r>
          </w:p>
        </w:tc>
        <w:tc>
          <w:tcPr>
            <w:tcW w:w="151" w:type="dxa"/>
            <w:tcBorders>
              <w:top w:val="nil" w:sz="6" w:space="0" w:color="auto"/>
              <w:left w:val="nil" w:sz="6" w:space="0" w:color="auto"/>
              <w:bottom w:val="nil" w:sz="6" w:space="0" w:color="auto"/>
              <w:right w:val="nil" w:sz="6" w:space="0" w:color="auto"/>
            </w:tcBorders>
          </w:tcPr>
          <w:p>
            <w:pPr/>
          </w:p>
        </w:tc>
        <w:tc>
          <w:tcPr>
            <w:tcW w:w="144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16"/>
              <w:jc w:val="right"/>
              <w:rPr>
                <w:rFonts w:ascii="宋体" w:hAnsi="宋体" w:cs="宋体" w:eastAsia="宋体" w:hint="default"/>
                <w:sz w:val="18"/>
                <w:szCs w:val="18"/>
              </w:rPr>
            </w:pPr>
            <w:r>
              <w:rPr>
                <w:rFonts w:ascii="宋体"/>
                <w:sz w:val="18"/>
              </w:rPr>
              <w:t>2,664,395.47</w:t>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5,879,021.80</w:t>
            </w:r>
          </w:p>
        </w:tc>
        <w:tc>
          <w:tcPr>
            <w:tcW w:w="182"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8"/>
              <w:jc w:val="right"/>
              <w:rPr>
                <w:rFonts w:ascii="宋体" w:hAnsi="宋体" w:cs="宋体" w:eastAsia="宋体" w:hint="default"/>
                <w:sz w:val="18"/>
                <w:szCs w:val="18"/>
              </w:rPr>
            </w:pPr>
            <w:r>
              <w:rPr>
                <w:rFonts w:ascii="宋体"/>
                <w:sz w:val="18"/>
              </w:rPr>
              <w:t>2.72%</w:t>
            </w:r>
          </w:p>
        </w:tc>
        <w:tc>
          <w:tcPr>
            <w:tcW w:w="114" w:type="dxa"/>
            <w:tcBorders>
              <w:top w:val="nil" w:sz="6" w:space="0" w:color="auto"/>
              <w:left w:val="nil" w:sz="6" w:space="0" w:color="auto"/>
              <w:bottom w:val="nil" w:sz="6" w:space="0" w:color="auto"/>
              <w:right w:val="nil" w:sz="6" w:space="0" w:color="auto"/>
            </w:tcBorders>
          </w:tcPr>
          <w:p>
            <w:pPr/>
          </w:p>
        </w:tc>
        <w:tc>
          <w:tcPr>
            <w:tcW w:w="145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3"/>
              <w:jc w:val="right"/>
              <w:rPr>
                <w:rFonts w:ascii="宋体" w:hAnsi="宋体" w:cs="宋体" w:eastAsia="宋体" w:hint="default"/>
                <w:sz w:val="18"/>
                <w:szCs w:val="18"/>
              </w:rPr>
            </w:pPr>
            <w:r>
              <w:rPr>
                <w:rFonts w:ascii="宋体"/>
                <w:sz w:val="18"/>
              </w:rPr>
              <w:t>1,763,706.53</w:t>
            </w:r>
          </w:p>
        </w:tc>
      </w:tr>
      <w:tr>
        <w:trPr>
          <w:trHeight w:val="392" w:hRule="exact"/>
        </w:trPr>
        <w:tc>
          <w:tcPr>
            <w:tcW w:w="1035"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357,516,209.16</w:t>
            </w:r>
          </w:p>
        </w:tc>
        <w:tc>
          <w:tcPr>
            <w:tcW w:w="176" w:type="dxa"/>
            <w:tcBorders>
              <w:top w:val="nil" w:sz="6" w:space="0" w:color="auto"/>
              <w:left w:val="nil" w:sz="6" w:space="0" w:color="auto"/>
              <w:bottom w:val="nil" w:sz="6" w:space="0" w:color="auto"/>
              <w:right w:val="nil" w:sz="6" w:space="0" w:color="auto"/>
            </w:tcBorders>
          </w:tcPr>
          <w:p>
            <w:pPr/>
          </w:p>
        </w:tc>
        <w:tc>
          <w:tcPr>
            <w:tcW w:w="12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
              <w:jc w:val="right"/>
              <w:rPr>
                <w:rFonts w:ascii="宋体" w:hAnsi="宋体" w:cs="宋体" w:eastAsia="宋体" w:hint="default"/>
                <w:sz w:val="18"/>
                <w:szCs w:val="18"/>
              </w:rPr>
            </w:pPr>
            <w:r>
              <w:rPr>
                <w:rFonts w:ascii="宋体"/>
                <w:sz w:val="18"/>
              </w:rPr>
              <w:t>100.00%</w:t>
            </w:r>
          </w:p>
        </w:tc>
        <w:tc>
          <w:tcPr>
            <w:tcW w:w="151" w:type="dxa"/>
            <w:tcBorders>
              <w:top w:val="nil" w:sz="6" w:space="0" w:color="auto"/>
              <w:left w:val="nil" w:sz="6" w:space="0" w:color="auto"/>
              <w:bottom w:val="nil" w:sz="6" w:space="0" w:color="auto"/>
              <w:right w:val="nil" w:sz="6" w:space="0" w:color="auto"/>
            </w:tcBorders>
          </w:tcPr>
          <w:p>
            <w:pPr/>
          </w:p>
        </w:tc>
        <w:tc>
          <w:tcPr>
            <w:tcW w:w="144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6"/>
              <w:jc w:val="right"/>
              <w:rPr>
                <w:rFonts w:ascii="宋体" w:hAnsi="宋体" w:cs="宋体" w:eastAsia="宋体" w:hint="default"/>
                <w:sz w:val="18"/>
                <w:szCs w:val="18"/>
              </w:rPr>
            </w:pPr>
            <w:r>
              <w:rPr>
                <w:rFonts w:ascii="宋体"/>
                <w:sz w:val="18"/>
              </w:rPr>
              <w:t>26,890,870.26</w:t>
            </w:r>
          </w:p>
        </w:tc>
        <w:tc>
          <w:tcPr>
            <w:tcW w:w="138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216,400,864.50</w:t>
            </w:r>
          </w:p>
        </w:tc>
        <w:tc>
          <w:tcPr>
            <w:tcW w:w="182" w:type="dxa"/>
            <w:tcBorders>
              <w:top w:val="nil" w:sz="6" w:space="0" w:color="auto"/>
              <w:left w:val="nil" w:sz="6" w:space="0" w:color="auto"/>
              <w:bottom w:val="nil" w:sz="6" w:space="0" w:color="auto"/>
              <w:right w:val="nil" w:sz="6" w:space="0" w:color="auto"/>
            </w:tcBorders>
          </w:tcPr>
          <w:p>
            <w:pPr/>
          </w:p>
        </w:tc>
        <w:tc>
          <w:tcPr>
            <w:tcW w:w="109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100.00%</w:t>
            </w:r>
          </w:p>
        </w:tc>
        <w:tc>
          <w:tcPr>
            <w:tcW w:w="114" w:type="dxa"/>
            <w:tcBorders>
              <w:top w:val="nil" w:sz="6" w:space="0" w:color="auto"/>
              <w:left w:val="nil" w:sz="6" w:space="0" w:color="auto"/>
              <w:bottom w:val="nil" w:sz="6" w:space="0" w:color="auto"/>
              <w:right w:val="nil" w:sz="6" w:space="0" w:color="auto"/>
            </w:tcBorders>
          </w:tcPr>
          <w:p>
            <w:pPr/>
          </w:p>
        </w:tc>
        <w:tc>
          <w:tcPr>
            <w:tcW w:w="14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2"/>
              <w:jc w:val="right"/>
              <w:rPr>
                <w:rFonts w:ascii="宋体" w:hAnsi="宋体" w:cs="宋体" w:eastAsia="宋体" w:hint="default"/>
                <w:sz w:val="18"/>
                <w:szCs w:val="18"/>
              </w:rPr>
            </w:pPr>
            <w:r>
              <w:rPr>
                <w:rFonts w:ascii="宋体"/>
                <w:sz w:val="18"/>
              </w:rPr>
              <w:t>14,137,688.52</w:t>
            </w:r>
          </w:p>
        </w:tc>
      </w:tr>
    </w:tbl>
    <w:p>
      <w:pPr>
        <w:spacing w:line="28" w:lineRule="exact"/>
        <w:ind w:left="1301" w:right="0" w:firstLine="0"/>
        <w:rPr>
          <w:rFonts w:ascii="宋体" w:hAnsi="宋体" w:cs="宋体" w:eastAsia="宋体" w:hint="default"/>
          <w:sz w:val="2"/>
          <w:szCs w:val="2"/>
        </w:rPr>
      </w:pPr>
      <w:r>
        <w:rPr>
          <w:rFonts w:ascii="宋体"/>
          <w:position w:val="0"/>
          <w:sz w:val="2"/>
        </w:rPr>
        <w:pict>
          <v:group style="width:72.2pt;height:1.45pt;mso-position-horizontal-relative:char;mso-position-vertical-relative:line" coordorigin="0,0" coordsize="1444,29">
            <v:group style="position:absolute;left:5;top:24;width:1434;height:2" coordorigin="5,24" coordsize="1434,2">
              <v:shape style="position:absolute;left:5;top:24;width:1434;height:2" coordorigin="5,24" coordsize="1434,0" path="m5,24l1439,24e" filled="false" stroked="true" strokeweight=".48pt" strokecolor="#000000">
                <v:path arrowok="t"/>
              </v:shape>
            </v:group>
            <v:group style="position:absolute;left:5;top:5;width:1434;height:2" coordorigin="5,5" coordsize="1434,2">
              <v:shape style="position:absolute;left:5;top:5;width:1434;height:2" coordorigin="5,5" coordsize="1434,0" path="m5,5l1439,5e" filled="false" stroked="true" strokeweight=".48pt" strokecolor="#000000">
                <v:path arrowok="t"/>
              </v:shape>
            </v:group>
          </v:group>
        </w:pict>
      </w:r>
      <w:r>
        <w:rPr>
          <w:rFonts w:ascii="宋体"/>
          <w:position w:val="0"/>
          <w:sz w:val="2"/>
        </w:rPr>
      </w:r>
      <w:r>
        <w:rPr>
          <w:rFonts w:ascii="Times New Roman"/>
          <w:spacing w:val="143"/>
          <w:position w:val="0"/>
          <w:sz w:val="2"/>
        </w:rPr>
        <w:t> </w:t>
      </w:r>
      <w:r>
        <w:rPr>
          <w:rFonts w:ascii="宋体"/>
          <w:spacing w:val="143"/>
          <w:position w:val="0"/>
          <w:sz w:val="2"/>
        </w:rPr>
        <w:pict>
          <v:group style="width:62.95pt;height:1.45pt;mso-position-horizontal-relative:char;mso-position-vertical-relative:line" coordorigin="0,0" coordsize="1259,29">
            <v:group style="position:absolute;left:5;top:24;width:1250;height:2" coordorigin="5,24" coordsize="1250,2">
              <v:shape style="position:absolute;left:5;top:24;width:1250;height:2" coordorigin="5,24" coordsize="1250,0" path="m5,24l1254,24e" filled="false" stroked="true" strokeweight=".48pt" strokecolor="#000000">
                <v:path arrowok="t"/>
              </v:shape>
            </v:group>
            <v:group style="position:absolute;left:5;top:5;width:1250;height:2" coordorigin="5,5" coordsize="1250,2">
              <v:shape style="position:absolute;left:5;top:5;width:1250;height:2" coordorigin="5,5" coordsize="1250,0" path="m5,5l1254,5e" filled="false" stroked="true" strokeweight=".48pt" strokecolor="#000000">
                <v:path arrowok="t"/>
              </v:shape>
            </v:group>
          </v:group>
        </w:pict>
      </w:r>
      <w:r>
        <w:rPr>
          <w:rFonts w:ascii="宋体"/>
          <w:spacing w:val="143"/>
          <w:position w:val="0"/>
          <w:sz w:val="2"/>
        </w:rPr>
      </w:r>
      <w:r>
        <w:rPr>
          <w:rFonts w:ascii="Times New Roman"/>
          <w:spacing w:val="112"/>
          <w:position w:val="0"/>
          <w:sz w:val="2"/>
        </w:rPr>
        <w:t> </w:t>
      </w:r>
      <w:r>
        <w:rPr>
          <w:rFonts w:ascii="宋体"/>
          <w:spacing w:val="112"/>
          <w:position w:val="0"/>
          <w:sz w:val="2"/>
        </w:rPr>
        <w:pict>
          <v:group style="width:143.050pt;height:1.45pt;mso-position-horizontal-relative:char;mso-position-vertical-relative:line" coordorigin="0,0" coordsize="2861,29">
            <v:group style="position:absolute;left:5;top:24;width:1355;height:2" coordorigin="5,24" coordsize="1355,2">
              <v:shape style="position:absolute;left:5;top:24;width:1355;height:2" coordorigin="5,24" coordsize="1355,0" path="m5,24l1360,24e" filled="false" stroked="true" strokeweight=".48pt" strokecolor="#000000">
                <v:path arrowok="t"/>
              </v:shape>
            </v:group>
            <v:group style="position:absolute;left:5;top:5;width:1355;height:2" coordorigin="5,5" coordsize="1355,2">
              <v:shape style="position:absolute;left:5;top:5;width:1355;height:2" coordorigin="5,5" coordsize="1355,0" path="m5,5l1360,5e" filled="false" stroked="true" strokeweight=".48pt" strokecolor="#000000">
                <v:path arrowok="t"/>
              </v:shape>
            </v:group>
            <v:group style="position:absolute;left:1399;top:24;width:1457;height:2" coordorigin="1399,24" coordsize="1457,2">
              <v:shape style="position:absolute;left:1399;top:24;width:1457;height:2" coordorigin="1399,24" coordsize="1457,0" path="m1399,24l2856,24e" filled="false" stroked="true" strokeweight=".48pt" strokecolor="#000000">
                <v:path arrowok="t"/>
              </v:shape>
            </v:group>
            <v:group style="position:absolute;left:1399;top:5;width:1457;height:2" coordorigin="1399,5" coordsize="1457,2">
              <v:shape style="position:absolute;left:1399;top:5;width:1457;height:2" coordorigin="1399,5" coordsize="1457,0" path="m1399,5l2856,5e" filled="false" stroked="true" strokeweight=".48pt" strokecolor="#000000">
                <v:path arrowok="t"/>
              </v:shape>
            </v:group>
          </v:group>
        </w:pict>
      </w:r>
      <w:r>
        <w:rPr>
          <w:rFonts w:ascii="宋体"/>
          <w:spacing w:val="112"/>
          <w:position w:val="0"/>
          <w:sz w:val="2"/>
        </w:rPr>
      </w:r>
      <w:r>
        <w:rPr>
          <w:rFonts w:ascii="Times New Roman"/>
          <w:spacing w:val="143"/>
          <w:position w:val="0"/>
          <w:sz w:val="2"/>
        </w:rPr>
        <w:t> </w:t>
      </w:r>
      <w:r>
        <w:rPr>
          <w:rFonts w:ascii="宋体"/>
          <w:spacing w:val="143"/>
          <w:position w:val="0"/>
          <w:sz w:val="2"/>
        </w:rPr>
        <w:pict>
          <v:group style="width:55.9pt;height:1.45pt;mso-position-horizontal-relative:char;mso-position-vertical-relative:line" coordorigin="0,0" coordsize="1118,29">
            <v:group style="position:absolute;left:5;top:24;width:1108;height:2" coordorigin="5,24" coordsize="1108,2">
              <v:shape style="position:absolute;left:5;top:24;width:1108;height:2" coordorigin="5,24" coordsize="1108,0" path="m5,24l1112,24e" filled="false" stroked="true" strokeweight=".48pt" strokecolor="#000000">
                <v:path arrowok="t"/>
              </v:shape>
            </v:group>
            <v:group style="position:absolute;left:5;top:5;width:1108;height:2" coordorigin="5,5" coordsize="1108,2">
              <v:shape style="position:absolute;left:5;top:5;width:1108;height:2" coordorigin="5,5" coordsize="1108,0" path="m5,5l1112,5e" filled="false" stroked="true" strokeweight=".48pt" strokecolor="#000000">
                <v:path arrowok="t"/>
              </v:shape>
            </v:group>
          </v:group>
        </w:pict>
      </w:r>
      <w:r>
        <w:rPr>
          <w:rFonts w:ascii="宋体"/>
          <w:spacing w:val="143"/>
          <w:position w:val="0"/>
          <w:sz w:val="2"/>
        </w:rPr>
      </w:r>
      <w:r>
        <w:rPr>
          <w:rFonts w:ascii="Times New Roman"/>
          <w:spacing w:val="74"/>
          <w:position w:val="0"/>
          <w:sz w:val="2"/>
        </w:rPr>
        <w:t> </w:t>
      </w:r>
      <w:r>
        <w:rPr>
          <w:rFonts w:ascii="宋体"/>
          <w:spacing w:val="74"/>
          <w:position w:val="0"/>
          <w:sz w:val="2"/>
        </w:rPr>
        <w:pict>
          <v:group style="width:72.1pt;height:1.45pt;mso-position-horizontal-relative:char;mso-position-vertical-relative:line" coordorigin="0,0" coordsize="1442,29">
            <v:group style="position:absolute;left:5;top:24;width:1432;height:2" coordorigin="5,24" coordsize="1432,2">
              <v:shape style="position:absolute;left:5;top:24;width:1432;height:2" coordorigin="5,24" coordsize="1432,0" path="m5,24l1436,24e" filled="false" stroked="true" strokeweight=".48pt" strokecolor="#000000">
                <v:path arrowok="t"/>
              </v:shape>
            </v:group>
            <v:group style="position:absolute;left:5;top:5;width:1432;height:2" coordorigin="5,5" coordsize="1432,2">
              <v:shape style="position:absolute;left:5;top:5;width:1432;height:2" coordorigin="5,5" coordsize="1432,0" path="m5,5l1436,5e" filled="false" stroked="true" strokeweight=".48pt" strokecolor="#000000">
                <v:path arrowok="t"/>
              </v:shape>
            </v:group>
          </v:group>
        </w:pict>
      </w:r>
      <w:r>
        <w:rPr>
          <w:rFonts w:ascii="宋体"/>
          <w:spacing w:val="74"/>
          <w:position w:val="0"/>
          <w:sz w:val="2"/>
        </w:rPr>
      </w:r>
    </w:p>
    <w:p>
      <w:pPr>
        <w:spacing w:line="240" w:lineRule="auto" w:before="8"/>
        <w:rPr>
          <w:rFonts w:ascii="宋体" w:hAnsi="宋体" w:cs="宋体" w:eastAsia="宋体" w:hint="default"/>
          <w:sz w:val="14"/>
          <w:szCs w:val="14"/>
        </w:rPr>
      </w:pPr>
    </w:p>
    <w:p>
      <w:pPr>
        <w:pStyle w:val="BodyText"/>
        <w:spacing w:line="240" w:lineRule="auto" w:before="26"/>
        <w:ind w:left="794" w:right="1890"/>
        <w:jc w:val="left"/>
      </w:pPr>
      <w:r>
        <w:rPr/>
        <w:t>(2)应收账款按类别分析如下：</w:t>
      </w:r>
    </w:p>
    <w:p>
      <w:pPr>
        <w:spacing w:line="240" w:lineRule="auto" w:before="5"/>
        <w:rPr>
          <w:rFonts w:ascii="宋体" w:hAnsi="宋体" w:cs="宋体" w:eastAsia="宋体" w:hint="default"/>
          <w:sz w:val="21"/>
          <w:szCs w:val="21"/>
        </w:rPr>
      </w:pPr>
    </w:p>
    <w:tbl>
      <w:tblPr>
        <w:tblW w:w="0" w:type="auto"/>
        <w:jc w:val="left"/>
        <w:tblInd w:w="113" w:type="dxa"/>
        <w:tblLayout w:type="fixed"/>
        <w:tblCellMar>
          <w:top w:w="0" w:type="dxa"/>
          <w:left w:w="0" w:type="dxa"/>
          <w:bottom w:w="0" w:type="dxa"/>
          <w:right w:w="0" w:type="dxa"/>
        </w:tblCellMar>
        <w:tblLook w:val="01E0"/>
      </w:tblPr>
      <w:tblGrid>
        <w:gridCol w:w="2359"/>
        <w:gridCol w:w="1220"/>
        <w:gridCol w:w="845"/>
        <w:gridCol w:w="1054"/>
        <w:gridCol w:w="728"/>
        <w:gridCol w:w="1099"/>
        <w:gridCol w:w="851"/>
        <w:gridCol w:w="998"/>
        <w:gridCol w:w="678"/>
      </w:tblGrid>
      <w:tr>
        <w:trPr>
          <w:trHeight w:val="278" w:hRule="exact"/>
        </w:trPr>
        <w:tc>
          <w:tcPr>
            <w:tcW w:w="5478" w:type="dxa"/>
            <w:gridSpan w:val="4"/>
            <w:tcBorders>
              <w:top w:val="nil" w:sz="6" w:space="0" w:color="auto"/>
              <w:left w:val="nil" w:sz="6" w:space="0" w:color="auto"/>
              <w:bottom w:val="nil" w:sz="6" w:space="0" w:color="auto"/>
              <w:right w:val="nil" w:sz="6" w:space="0" w:color="auto"/>
            </w:tcBorders>
          </w:tcPr>
          <w:p>
            <w:pPr>
              <w:pStyle w:val="TableParagraph"/>
              <w:spacing w:line="150" w:lineRule="exact"/>
              <w:ind w:left="3623" w:right="0"/>
              <w:jc w:val="left"/>
              <w:rPr>
                <w:rFonts w:ascii="宋体" w:hAnsi="宋体" w:cs="宋体" w:eastAsia="宋体" w:hint="default"/>
                <w:sz w:val="15"/>
                <w:szCs w:val="15"/>
              </w:rPr>
            </w:pPr>
            <w:r>
              <w:rPr>
                <w:rFonts w:ascii="宋体" w:hAnsi="宋体" w:cs="宋体" w:eastAsia="宋体" w:hint="default"/>
                <w:sz w:val="15"/>
                <w:szCs w:val="15"/>
              </w:rPr>
              <w:t>2008</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31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728" w:type="dxa"/>
            <w:tcBorders>
              <w:top w:val="nil" w:sz="6" w:space="0" w:color="auto"/>
              <w:left w:val="nil" w:sz="6" w:space="0" w:color="auto"/>
              <w:bottom w:val="single" w:sz="4" w:space="0" w:color="000000"/>
              <w:right w:val="nil" w:sz="6" w:space="0" w:color="auto"/>
            </w:tcBorders>
          </w:tcPr>
          <w:p>
            <w:pPr/>
          </w:p>
        </w:tc>
        <w:tc>
          <w:tcPr>
            <w:tcW w:w="1099" w:type="dxa"/>
            <w:tcBorders>
              <w:top w:val="nil" w:sz="6" w:space="0" w:color="auto"/>
              <w:left w:val="nil" w:sz="6" w:space="0" w:color="auto"/>
              <w:bottom w:val="single" w:sz="4" w:space="0" w:color="000000"/>
              <w:right w:val="nil" w:sz="6" w:space="0" w:color="auto"/>
            </w:tcBorders>
          </w:tcPr>
          <w:p>
            <w:pPr/>
          </w:p>
        </w:tc>
        <w:tc>
          <w:tcPr>
            <w:tcW w:w="1849" w:type="dxa"/>
            <w:gridSpan w:val="2"/>
            <w:tcBorders>
              <w:top w:val="nil" w:sz="6" w:space="0" w:color="auto"/>
              <w:left w:val="nil" w:sz="6" w:space="0" w:color="auto"/>
              <w:bottom w:val="single" w:sz="4" w:space="0" w:color="000000"/>
              <w:right w:val="nil" w:sz="6" w:space="0" w:color="auto"/>
            </w:tcBorders>
          </w:tcPr>
          <w:p>
            <w:pPr>
              <w:pStyle w:val="TableParagraph"/>
              <w:spacing w:line="150" w:lineRule="exact"/>
              <w:ind w:left="67" w:right="0"/>
              <w:jc w:val="left"/>
              <w:rPr>
                <w:rFonts w:ascii="宋体" w:hAnsi="宋体" w:cs="宋体" w:eastAsia="宋体" w:hint="default"/>
                <w:sz w:val="15"/>
                <w:szCs w:val="15"/>
              </w:rPr>
            </w:pPr>
            <w:r>
              <w:rPr>
                <w:rFonts w:ascii="宋体" w:hAnsi="宋体" w:cs="宋体" w:eastAsia="宋体" w:hint="default"/>
                <w:sz w:val="15"/>
                <w:szCs w:val="15"/>
              </w:rPr>
              <w:t>2007</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40"/>
                <w:sz w:val="15"/>
                <w:szCs w:val="15"/>
              </w:rPr>
              <w:t> </w:t>
            </w:r>
            <w:r>
              <w:rPr>
                <w:rFonts w:ascii="宋体" w:hAnsi="宋体" w:cs="宋体" w:eastAsia="宋体" w:hint="default"/>
                <w:sz w:val="15"/>
                <w:szCs w:val="15"/>
              </w:rPr>
              <w:t>31</w:t>
            </w:r>
            <w:r>
              <w:rPr>
                <w:rFonts w:ascii="宋体" w:hAnsi="宋体" w:cs="宋体" w:eastAsia="宋体" w:hint="default"/>
                <w:spacing w:val="-40"/>
                <w:sz w:val="15"/>
                <w:szCs w:val="15"/>
              </w:rPr>
              <w:t> </w:t>
            </w:r>
            <w:r>
              <w:rPr>
                <w:rFonts w:ascii="宋体" w:hAnsi="宋体" w:cs="宋体" w:eastAsia="宋体" w:hint="default"/>
                <w:sz w:val="15"/>
                <w:szCs w:val="15"/>
              </w:rPr>
              <w:t>日</w:t>
            </w:r>
          </w:p>
        </w:tc>
        <w:tc>
          <w:tcPr>
            <w:tcW w:w="678" w:type="dxa"/>
            <w:tcBorders>
              <w:top w:val="nil" w:sz="6" w:space="0" w:color="auto"/>
              <w:left w:val="nil" w:sz="6" w:space="0" w:color="auto"/>
              <w:bottom w:val="single" w:sz="4" w:space="0" w:color="000000"/>
              <w:right w:val="nil" w:sz="6" w:space="0" w:color="auto"/>
            </w:tcBorders>
          </w:tcPr>
          <w:p>
            <w:pPr/>
          </w:p>
        </w:tc>
      </w:tr>
      <w:tr>
        <w:trPr>
          <w:trHeight w:val="408" w:hRule="exact"/>
        </w:trPr>
        <w:tc>
          <w:tcPr>
            <w:tcW w:w="2359" w:type="dxa"/>
            <w:tcBorders>
              <w:top w:val="nil" w:sz="6" w:space="0" w:color="auto"/>
              <w:left w:val="nil" w:sz="6" w:space="0" w:color="auto"/>
              <w:bottom w:val="nil" w:sz="6" w:space="0" w:color="auto"/>
              <w:right w:val="nil" w:sz="6" w:space="0" w:color="auto"/>
            </w:tcBorders>
          </w:tcPr>
          <w:p>
            <w:pPr/>
          </w:p>
        </w:tc>
        <w:tc>
          <w:tcPr>
            <w:tcW w:w="1220"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20"/>
              <w:jc w:val="center"/>
              <w:rPr>
                <w:rFonts w:ascii="宋体" w:hAnsi="宋体" w:cs="宋体" w:eastAsia="宋体" w:hint="default"/>
                <w:sz w:val="15"/>
                <w:szCs w:val="15"/>
              </w:rPr>
            </w:pPr>
            <w:r>
              <w:rPr>
                <w:rFonts w:ascii="宋体" w:hAnsi="宋体" w:cs="宋体" w:eastAsia="宋体" w:hint="default"/>
                <w:sz w:val="15"/>
                <w:szCs w:val="15"/>
              </w:rPr>
              <w:t>金额</w:t>
            </w:r>
          </w:p>
        </w:tc>
        <w:tc>
          <w:tcPr>
            <w:tcW w:w="845"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65"/>
              <w:jc w:val="right"/>
              <w:rPr>
                <w:rFonts w:ascii="宋体" w:hAnsi="宋体" w:cs="宋体" w:eastAsia="宋体" w:hint="default"/>
                <w:sz w:val="15"/>
                <w:szCs w:val="15"/>
              </w:rPr>
            </w:pPr>
            <w:r>
              <w:rPr>
                <w:rFonts w:ascii="宋体" w:hAnsi="宋体" w:cs="宋体" w:eastAsia="宋体" w:hint="default"/>
                <w:sz w:val="15"/>
                <w:szCs w:val="15"/>
              </w:rPr>
              <w:t>占总额比例</w:t>
            </w:r>
          </w:p>
        </w:tc>
        <w:tc>
          <w:tcPr>
            <w:tcW w:w="1054"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225"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72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5"/>
              <w:jc w:val="center"/>
              <w:rPr>
                <w:rFonts w:ascii="宋体" w:hAnsi="宋体" w:cs="宋体" w:eastAsia="宋体" w:hint="default"/>
                <w:sz w:val="15"/>
                <w:szCs w:val="15"/>
              </w:rPr>
            </w:pPr>
            <w:r>
              <w:rPr>
                <w:rFonts w:ascii="宋体" w:hAnsi="宋体" w:cs="宋体" w:eastAsia="宋体" w:hint="default"/>
                <w:sz w:val="15"/>
                <w:szCs w:val="15"/>
              </w:rPr>
              <w:t>计提比例</w:t>
            </w:r>
          </w:p>
        </w:tc>
        <w:tc>
          <w:tcPr>
            <w:tcW w:w="1099"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341"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851"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61"/>
              <w:jc w:val="right"/>
              <w:rPr>
                <w:rFonts w:ascii="宋体" w:hAnsi="宋体" w:cs="宋体" w:eastAsia="宋体" w:hint="default"/>
                <w:sz w:val="15"/>
                <w:szCs w:val="15"/>
              </w:rPr>
            </w:pPr>
            <w:r>
              <w:rPr>
                <w:rFonts w:ascii="宋体" w:hAnsi="宋体" w:cs="宋体" w:eastAsia="宋体" w:hint="default"/>
                <w:sz w:val="15"/>
                <w:szCs w:val="15"/>
              </w:rPr>
              <w:t>占总额比例</w:t>
            </w:r>
          </w:p>
        </w:tc>
        <w:tc>
          <w:tcPr>
            <w:tcW w:w="99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left="199" w:right="0"/>
              <w:jc w:val="left"/>
              <w:rPr>
                <w:rFonts w:ascii="宋体" w:hAnsi="宋体" w:cs="宋体" w:eastAsia="宋体" w:hint="default"/>
                <w:sz w:val="15"/>
                <w:szCs w:val="15"/>
              </w:rPr>
            </w:pPr>
            <w:r>
              <w:rPr>
                <w:rFonts w:ascii="宋体" w:hAnsi="宋体" w:cs="宋体" w:eastAsia="宋体" w:hint="default"/>
                <w:sz w:val="15"/>
                <w:szCs w:val="15"/>
              </w:rPr>
              <w:t>坏账准备</w:t>
            </w:r>
          </w:p>
        </w:tc>
        <w:tc>
          <w:tcPr>
            <w:tcW w:w="678" w:type="dxa"/>
            <w:tcBorders>
              <w:top w:val="single" w:sz="4" w:space="0" w:color="000000"/>
              <w:left w:val="nil" w:sz="6" w:space="0" w:color="auto"/>
              <w:bottom w:val="single" w:sz="4" w:space="0" w:color="000000"/>
              <w:right w:val="nil" w:sz="6" w:space="0" w:color="auto"/>
            </w:tcBorders>
          </w:tcPr>
          <w:p>
            <w:pPr>
              <w:pStyle w:val="TableParagraph"/>
              <w:spacing w:line="240" w:lineRule="auto" w:before="76"/>
              <w:ind w:right="18"/>
              <w:jc w:val="right"/>
              <w:rPr>
                <w:rFonts w:ascii="宋体" w:hAnsi="宋体" w:cs="宋体" w:eastAsia="宋体" w:hint="default"/>
                <w:sz w:val="15"/>
                <w:szCs w:val="15"/>
              </w:rPr>
            </w:pPr>
            <w:r>
              <w:rPr>
                <w:rFonts w:ascii="宋体" w:hAnsi="宋体" w:cs="宋体" w:eastAsia="宋体" w:hint="default"/>
                <w:sz w:val="15"/>
                <w:szCs w:val="15"/>
              </w:rPr>
              <w:t>计提比例</w:t>
            </w:r>
          </w:p>
        </w:tc>
      </w:tr>
      <w:tr>
        <w:trPr>
          <w:trHeight w:val="401"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left"/>
              <w:rPr>
                <w:rFonts w:ascii="宋体" w:hAnsi="宋体" w:cs="宋体" w:eastAsia="宋体" w:hint="default"/>
                <w:sz w:val="15"/>
                <w:szCs w:val="15"/>
              </w:rPr>
            </w:pPr>
            <w:r>
              <w:rPr>
                <w:rFonts w:ascii="宋体" w:hAnsi="宋体" w:cs="宋体" w:eastAsia="宋体" w:hint="default"/>
                <w:sz w:val="15"/>
                <w:szCs w:val="15"/>
              </w:rPr>
              <w:t>单项金额重大的外部应收款</w:t>
            </w:r>
          </w:p>
        </w:tc>
        <w:tc>
          <w:tcPr>
            <w:tcW w:w="122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25"/>
              <w:jc w:val="right"/>
              <w:rPr>
                <w:rFonts w:ascii="宋体" w:hAnsi="宋体" w:cs="宋体" w:eastAsia="宋体" w:hint="default"/>
                <w:sz w:val="15"/>
                <w:szCs w:val="15"/>
              </w:rPr>
            </w:pPr>
            <w:r>
              <w:rPr>
                <w:rFonts w:ascii="宋体"/>
                <w:spacing w:val="-1"/>
                <w:sz w:val="15"/>
              </w:rPr>
              <w:t>297,767,755.12</w:t>
            </w:r>
          </w:p>
        </w:tc>
        <w:tc>
          <w:tcPr>
            <w:tcW w:w="845"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98"/>
              <w:jc w:val="right"/>
              <w:rPr>
                <w:rFonts w:ascii="宋体" w:hAnsi="宋体" w:cs="宋体" w:eastAsia="宋体" w:hint="default"/>
                <w:sz w:val="15"/>
                <w:szCs w:val="15"/>
              </w:rPr>
            </w:pPr>
            <w:r>
              <w:rPr>
                <w:rFonts w:ascii="宋体"/>
                <w:sz w:val="15"/>
              </w:rPr>
              <w:t>83.29%</w:t>
            </w: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9"/>
              <w:jc w:val="right"/>
              <w:rPr>
                <w:rFonts w:ascii="宋体" w:hAnsi="宋体" w:cs="宋体" w:eastAsia="宋体" w:hint="default"/>
                <w:sz w:val="15"/>
                <w:szCs w:val="15"/>
              </w:rPr>
            </w:pPr>
            <w:r>
              <w:rPr>
                <w:rFonts w:ascii="宋体"/>
                <w:spacing w:val="-1"/>
                <w:sz w:val="15"/>
              </w:rPr>
              <w:t>20,814,440.63</w:t>
            </w:r>
            <w:r>
              <w:rPr>
                <w:rFonts w:ascii="宋体"/>
                <w:sz w:val="15"/>
              </w:rPr>
            </w:r>
          </w:p>
        </w:tc>
        <w:tc>
          <w:tcPr>
            <w:tcW w:w="728"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41" w:right="0"/>
              <w:jc w:val="center"/>
              <w:rPr>
                <w:rFonts w:ascii="宋体" w:hAnsi="宋体" w:cs="宋体" w:eastAsia="宋体" w:hint="default"/>
                <w:sz w:val="15"/>
                <w:szCs w:val="15"/>
              </w:rPr>
            </w:pPr>
            <w:r>
              <w:rPr>
                <w:rFonts w:ascii="宋体"/>
                <w:sz w:val="15"/>
              </w:rPr>
              <w:t>6.99%</w:t>
            </w:r>
          </w:p>
        </w:tc>
        <w:tc>
          <w:tcPr>
            <w:tcW w:w="1099"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35"/>
              <w:jc w:val="right"/>
              <w:rPr>
                <w:rFonts w:ascii="宋体" w:hAnsi="宋体" w:cs="宋体" w:eastAsia="宋体" w:hint="default"/>
                <w:sz w:val="15"/>
                <w:szCs w:val="15"/>
              </w:rPr>
            </w:pPr>
            <w:r>
              <w:rPr>
                <w:rFonts w:ascii="宋体"/>
                <w:spacing w:val="-5"/>
                <w:sz w:val="15"/>
              </w:rPr>
              <w:t>171,401,775.17</w:t>
            </w:r>
            <w:r>
              <w:rPr>
                <w:rFonts w:ascii="宋体"/>
                <w:sz w:val="15"/>
              </w:rPr>
            </w: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97"/>
              <w:jc w:val="right"/>
              <w:rPr>
                <w:rFonts w:ascii="宋体" w:hAnsi="宋体" w:cs="宋体" w:eastAsia="宋体" w:hint="default"/>
                <w:sz w:val="15"/>
                <w:szCs w:val="15"/>
              </w:rPr>
            </w:pPr>
            <w:r>
              <w:rPr>
                <w:rFonts w:ascii="宋体"/>
                <w:spacing w:val="-5"/>
                <w:sz w:val="15"/>
              </w:rPr>
              <w:t>79.21%</w:t>
            </w:r>
            <w:r>
              <w:rPr>
                <w:rFonts w:ascii="宋体"/>
                <w:sz w:val="15"/>
              </w:rPr>
            </w:r>
          </w:p>
        </w:tc>
        <w:tc>
          <w:tcPr>
            <w:tcW w:w="998"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1"/>
              <w:jc w:val="right"/>
              <w:rPr>
                <w:rFonts w:ascii="宋体" w:hAnsi="宋体" w:cs="宋体" w:eastAsia="宋体" w:hint="default"/>
                <w:sz w:val="15"/>
                <w:szCs w:val="15"/>
              </w:rPr>
            </w:pPr>
            <w:r>
              <w:rPr>
                <w:rFonts w:ascii="宋体"/>
                <w:spacing w:val="-5"/>
                <w:sz w:val="15"/>
              </w:rPr>
              <w:t>10,279,388.76</w:t>
            </w:r>
            <w:r>
              <w:rPr>
                <w:rFonts w:ascii="宋体"/>
                <w:sz w:val="15"/>
              </w:rPr>
            </w:r>
          </w:p>
        </w:tc>
        <w:tc>
          <w:tcPr>
            <w:tcW w:w="678"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1"/>
              <w:jc w:val="right"/>
              <w:rPr>
                <w:rFonts w:ascii="宋体" w:hAnsi="宋体" w:cs="宋体" w:eastAsia="宋体" w:hint="default"/>
                <w:sz w:val="15"/>
                <w:szCs w:val="15"/>
              </w:rPr>
            </w:pPr>
            <w:r>
              <w:rPr>
                <w:rFonts w:ascii="宋体"/>
                <w:spacing w:val="-5"/>
                <w:sz w:val="15"/>
              </w:rPr>
              <w:t>6.00%</w:t>
            </w:r>
            <w:r>
              <w:rPr>
                <w:rFonts w:ascii="宋体"/>
                <w:sz w:val="15"/>
              </w:rPr>
            </w:r>
          </w:p>
        </w:tc>
      </w:tr>
      <w:tr>
        <w:trPr>
          <w:trHeight w:val="397"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15"/>
                <w:szCs w:val="15"/>
              </w:rPr>
            </w:pPr>
            <w:r>
              <w:rPr>
                <w:rFonts w:ascii="宋体" w:hAnsi="宋体" w:cs="宋体" w:eastAsia="宋体" w:hint="default"/>
                <w:sz w:val="15"/>
                <w:szCs w:val="15"/>
              </w:rPr>
              <w:t>单项金额不重大但组合风险较大</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7"/>
              <w:jc w:val="right"/>
              <w:rPr>
                <w:rFonts w:ascii="宋体" w:hAnsi="宋体" w:cs="宋体" w:eastAsia="宋体" w:hint="default"/>
                <w:sz w:val="15"/>
                <w:szCs w:val="15"/>
              </w:rPr>
            </w:pPr>
            <w:r>
              <w:rPr>
                <w:rFonts w:ascii="宋体"/>
                <w:spacing w:val="-1"/>
                <w:sz w:val="15"/>
              </w:rPr>
              <w:t>5,234,318.23</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宋体" w:hAnsi="宋体" w:cs="宋体" w:eastAsia="宋体" w:hint="default"/>
                <w:sz w:val="15"/>
                <w:szCs w:val="15"/>
              </w:rPr>
            </w:pPr>
            <w:r>
              <w:rPr>
                <w:rFonts w:ascii="宋体"/>
                <w:sz w:val="15"/>
              </w:rPr>
              <w:t>1.46%</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
              <w:jc w:val="right"/>
              <w:rPr>
                <w:rFonts w:ascii="宋体" w:hAnsi="宋体" w:cs="宋体" w:eastAsia="宋体" w:hint="default"/>
                <w:sz w:val="15"/>
                <w:szCs w:val="15"/>
              </w:rPr>
            </w:pPr>
            <w:r>
              <w:rPr>
                <w:rFonts w:ascii="宋体"/>
                <w:spacing w:val="-1"/>
                <w:sz w:val="15"/>
              </w:rPr>
              <w:t>1,570,295.47</w:t>
            </w:r>
          </w:p>
        </w:tc>
        <w:tc>
          <w:tcPr>
            <w:tcW w:w="72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67" w:right="0"/>
              <w:jc w:val="center"/>
              <w:rPr>
                <w:rFonts w:ascii="宋体" w:hAnsi="宋体" w:cs="宋体" w:eastAsia="宋体" w:hint="default"/>
                <w:sz w:val="15"/>
                <w:szCs w:val="15"/>
              </w:rPr>
            </w:pPr>
            <w:r>
              <w:rPr>
                <w:rFonts w:ascii="宋体"/>
                <w:sz w:val="15"/>
              </w:rPr>
              <w:t>30.00%</w:t>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
              <w:jc w:val="right"/>
              <w:rPr>
                <w:rFonts w:ascii="宋体" w:hAnsi="宋体" w:cs="宋体" w:eastAsia="宋体" w:hint="default"/>
                <w:sz w:val="15"/>
                <w:szCs w:val="15"/>
              </w:rPr>
            </w:pPr>
            <w:r>
              <w:rPr>
                <w:rFonts w:ascii="宋体"/>
                <w:spacing w:val="-5"/>
                <w:sz w:val="15"/>
              </w:rPr>
              <w:t>2,177,021.80</w:t>
            </w:r>
            <w:r>
              <w:rPr>
                <w:rFonts w:ascii="宋体"/>
                <w:sz w:val="15"/>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宋体" w:hAnsi="宋体" w:cs="宋体" w:eastAsia="宋体" w:hint="default"/>
                <w:sz w:val="15"/>
                <w:szCs w:val="15"/>
              </w:rPr>
            </w:pPr>
            <w:r>
              <w:rPr>
                <w:rFonts w:ascii="宋体"/>
                <w:spacing w:val="-5"/>
                <w:sz w:val="15"/>
              </w:rPr>
              <w:t>1.01%</w:t>
            </w:r>
            <w:r>
              <w:rPr>
                <w:rFonts w:ascii="宋体"/>
                <w:sz w:val="15"/>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5"/>
              <w:jc w:val="right"/>
              <w:rPr>
                <w:rFonts w:ascii="宋体" w:hAnsi="宋体" w:cs="宋体" w:eastAsia="宋体" w:hint="default"/>
                <w:sz w:val="15"/>
                <w:szCs w:val="15"/>
              </w:rPr>
            </w:pPr>
            <w:r>
              <w:rPr>
                <w:rFonts w:ascii="宋体"/>
                <w:spacing w:val="-5"/>
                <w:sz w:val="15"/>
              </w:rPr>
              <w:t>653,106.54</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
              <w:jc w:val="right"/>
              <w:rPr>
                <w:rFonts w:ascii="宋体" w:hAnsi="宋体" w:cs="宋体" w:eastAsia="宋体" w:hint="default"/>
                <w:sz w:val="15"/>
                <w:szCs w:val="15"/>
              </w:rPr>
            </w:pPr>
            <w:r>
              <w:rPr>
                <w:rFonts w:ascii="宋体"/>
                <w:spacing w:val="-5"/>
                <w:sz w:val="15"/>
              </w:rPr>
              <w:t>30.00%</w:t>
            </w:r>
            <w:r>
              <w:rPr>
                <w:rFonts w:ascii="宋体"/>
                <w:sz w:val="15"/>
              </w:rPr>
            </w:r>
          </w:p>
        </w:tc>
      </w:tr>
      <w:tr>
        <w:trPr>
          <w:trHeight w:val="401" w:hRule="exact"/>
        </w:trPr>
        <w:tc>
          <w:tcPr>
            <w:tcW w:w="235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20"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27"/>
              <w:jc w:val="right"/>
              <w:rPr>
                <w:rFonts w:ascii="宋体" w:hAnsi="宋体" w:cs="宋体" w:eastAsia="宋体" w:hint="default"/>
                <w:sz w:val="15"/>
                <w:szCs w:val="15"/>
              </w:rPr>
            </w:pPr>
            <w:r>
              <w:rPr>
                <w:rFonts w:ascii="宋体"/>
                <w:spacing w:val="-1"/>
                <w:sz w:val="15"/>
              </w:rPr>
              <w:t>54,514,135.81</w:t>
            </w:r>
          </w:p>
        </w:tc>
        <w:tc>
          <w:tcPr>
            <w:tcW w:w="845"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98"/>
              <w:jc w:val="right"/>
              <w:rPr>
                <w:rFonts w:ascii="宋体" w:hAnsi="宋体" w:cs="宋体" w:eastAsia="宋体" w:hint="default"/>
                <w:sz w:val="15"/>
                <w:szCs w:val="15"/>
              </w:rPr>
            </w:pPr>
            <w:r>
              <w:rPr>
                <w:rFonts w:ascii="宋体"/>
                <w:spacing w:val="-1"/>
                <w:sz w:val="15"/>
              </w:rPr>
              <w:t>15.25%</w:t>
            </w:r>
          </w:p>
        </w:tc>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9"/>
              <w:jc w:val="right"/>
              <w:rPr>
                <w:rFonts w:ascii="宋体" w:hAnsi="宋体" w:cs="宋体" w:eastAsia="宋体" w:hint="default"/>
                <w:sz w:val="15"/>
                <w:szCs w:val="15"/>
              </w:rPr>
            </w:pPr>
            <w:r>
              <w:rPr>
                <w:rFonts w:ascii="宋体"/>
                <w:spacing w:val="-1"/>
                <w:sz w:val="15"/>
              </w:rPr>
              <w:t>4,506,134.16</w:t>
            </w:r>
          </w:p>
        </w:tc>
        <w:tc>
          <w:tcPr>
            <w:tcW w:w="728"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left="141" w:right="0"/>
              <w:jc w:val="center"/>
              <w:rPr>
                <w:rFonts w:ascii="宋体" w:hAnsi="宋体" w:cs="宋体" w:eastAsia="宋体" w:hint="default"/>
                <w:sz w:val="15"/>
                <w:szCs w:val="15"/>
              </w:rPr>
            </w:pPr>
            <w:r>
              <w:rPr>
                <w:rFonts w:ascii="宋体"/>
                <w:sz w:val="15"/>
              </w:rPr>
              <w:t>8.27%</w:t>
            </w:r>
          </w:p>
        </w:tc>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35"/>
              <w:jc w:val="right"/>
              <w:rPr>
                <w:rFonts w:ascii="宋体" w:hAnsi="宋体" w:cs="宋体" w:eastAsia="宋体" w:hint="default"/>
                <w:sz w:val="15"/>
                <w:szCs w:val="15"/>
              </w:rPr>
            </w:pPr>
            <w:r>
              <w:rPr>
                <w:rFonts w:ascii="宋体"/>
                <w:spacing w:val="-5"/>
                <w:sz w:val="15"/>
              </w:rPr>
              <w:t>42,822,067.53</w:t>
            </w:r>
            <w:r>
              <w:rPr>
                <w:rFonts w:ascii="宋体"/>
                <w:sz w:val="15"/>
              </w:rPr>
            </w: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97"/>
              <w:jc w:val="right"/>
              <w:rPr>
                <w:rFonts w:ascii="宋体" w:hAnsi="宋体" w:cs="宋体" w:eastAsia="宋体" w:hint="default"/>
                <w:sz w:val="15"/>
                <w:szCs w:val="15"/>
              </w:rPr>
            </w:pPr>
            <w:r>
              <w:rPr>
                <w:rFonts w:ascii="宋体"/>
                <w:spacing w:val="-5"/>
                <w:sz w:val="15"/>
              </w:rPr>
              <w:t>19.78%</w:t>
            </w:r>
            <w:r>
              <w:rPr>
                <w:rFonts w:ascii="宋体"/>
                <w:sz w:val="15"/>
              </w:rPr>
            </w:r>
          </w:p>
        </w:tc>
        <w:tc>
          <w:tcPr>
            <w:tcW w:w="998"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11"/>
              <w:jc w:val="right"/>
              <w:rPr>
                <w:rFonts w:ascii="宋体" w:hAnsi="宋体" w:cs="宋体" w:eastAsia="宋体" w:hint="default"/>
                <w:sz w:val="15"/>
                <w:szCs w:val="15"/>
              </w:rPr>
            </w:pPr>
            <w:r>
              <w:rPr>
                <w:rFonts w:ascii="宋体"/>
                <w:spacing w:val="-5"/>
                <w:sz w:val="15"/>
              </w:rPr>
              <w:t>3,205,193.22</w:t>
            </w:r>
            <w:r>
              <w:rPr>
                <w:rFonts w:ascii="宋体"/>
                <w:sz w:val="15"/>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
              <w:jc w:val="right"/>
              <w:rPr>
                <w:rFonts w:ascii="宋体" w:hAnsi="宋体" w:cs="宋体" w:eastAsia="宋体" w:hint="default"/>
                <w:sz w:val="15"/>
                <w:szCs w:val="15"/>
              </w:rPr>
            </w:pPr>
            <w:r>
              <w:rPr>
                <w:rFonts w:ascii="宋体"/>
                <w:spacing w:val="-1"/>
                <w:sz w:val="15"/>
              </w:rPr>
              <w:t>7.48%</w:t>
            </w:r>
          </w:p>
        </w:tc>
      </w:tr>
      <w:tr>
        <w:trPr>
          <w:trHeight w:val="419" w:hRule="exact"/>
        </w:trPr>
        <w:tc>
          <w:tcPr>
            <w:tcW w:w="2359" w:type="dxa"/>
            <w:tcBorders>
              <w:top w:val="nil" w:sz="6" w:space="0" w:color="auto"/>
              <w:left w:val="nil" w:sz="6" w:space="0" w:color="auto"/>
              <w:bottom w:val="nil" w:sz="6" w:space="0" w:color="auto"/>
              <w:right w:val="nil" w:sz="6" w:space="0" w:color="auto"/>
            </w:tcBorders>
          </w:tcPr>
          <w:p>
            <w:pPr/>
          </w:p>
        </w:tc>
        <w:tc>
          <w:tcPr>
            <w:tcW w:w="1220"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27"/>
              <w:jc w:val="right"/>
              <w:rPr>
                <w:rFonts w:ascii="宋体" w:hAnsi="宋体" w:cs="宋体" w:eastAsia="宋体" w:hint="default"/>
                <w:sz w:val="15"/>
                <w:szCs w:val="15"/>
              </w:rPr>
            </w:pPr>
            <w:r>
              <w:rPr>
                <w:rFonts w:ascii="宋体"/>
                <w:spacing w:val="-1"/>
                <w:sz w:val="15"/>
              </w:rPr>
              <w:t>357,516,209.16</w:t>
            </w:r>
          </w:p>
        </w:tc>
        <w:tc>
          <w:tcPr>
            <w:tcW w:w="845"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98"/>
              <w:jc w:val="right"/>
              <w:rPr>
                <w:rFonts w:ascii="宋体" w:hAnsi="宋体" w:cs="宋体" w:eastAsia="宋体" w:hint="default"/>
                <w:sz w:val="15"/>
                <w:szCs w:val="15"/>
              </w:rPr>
            </w:pPr>
            <w:r>
              <w:rPr>
                <w:rFonts w:ascii="宋体"/>
                <w:spacing w:val="-1"/>
                <w:sz w:val="15"/>
              </w:rPr>
              <w:t>100.00%</w:t>
            </w:r>
          </w:p>
        </w:tc>
        <w:tc>
          <w:tcPr>
            <w:tcW w:w="1054"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9"/>
              <w:jc w:val="right"/>
              <w:rPr>
                <w:rFonts w:ascii="宋体" w:hAnsi="宋体" w:cs="宋体" w:eastAsia="宋体" w:hint="default"/>
                <w:sz w:val="15"/>
                <w:szCs w:val="15"/>
              </w:rPr>
            </w:pPr>
            <w:r>
              <w:rPr>
                <w:rFonts w:ascii="宋体"/>
                <w:spacing w:val="-1"/>
                <w:sz w:val="15"/>
              </w:rPr>
              <w:t>26,890,870.26</w:t>
            </w:r>
          </w:p>
        </w:tc>
        <w:tc>
          <w:tcPr>
            <w:tcW w:w="728" w:type="dxa"/>
            <w:tcBorders>
              <w:top w:val="single" w:sz="4" w:space="0" w:color="000000"/>
              <w:left w:val="nil" w:sz="6" w:space="0" w:color="auto"/>
              <w:bottom w:val="single" w:sz="12" w:space="0" w:color="000000"/>
              <w:right w:val="nil" w:sz="6" w:space="0" w:color="auto"/>
            </w:tcBorders>
          </w:tcPr>
          <w:p>
            <w:pPr/>
          </w:p>
        </w:tc>
        <w:tc>
          <w:tcPr>
            <w:tcW w:w="1099"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35"/>
              <w:jc w:val="right"/>
              <w:rPr>
                <w:rFonts w:ascii="宋体" w:hAnsi="宋体" w:cs="宋体" w:eastAsia="宋体" w:hint="default"/>
                <w:sz w:val="15"/>
                <w:szCs w:val="15"/>
              </w:rPr>
            </w:pPr>
            <w:r>
              <w:rPr>
                <w:rFonts w:ascii="宋体"/>
                <w:spacing w:val="-5"/>
                <w:sz w:val="15"/>
              </w:rPr>
              <w:t>216,400,864.50</w:t>
            </w:r>
            <w:r>
              <w:rPr>
                <w:rFonts w:ascii="宋体"/>
                <w:sz w:val="15"/>
              </w:rPr>
            </w:r>
          </w:p>
        </w:tc>
        <w:tc>
          <w:tcPr>
            <w:tcW w:w="851"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97"/>
              <w:jc w:val="right"/>
              <w:rPr>
                <w:rFonts w:ascii="宋体" w:hAnsi="宋体" w:cs="宋体" w:eastAsia="宋体" w:hint="default"/>
                <w:sz w:val="15"/>
                <w:szCs w:val="15"/>
              </w:rPr>
            </w:pPr>
            <w:r>
              <w:rPr>
                <w:rFonts w:ascii="宋体"/>
                <w:spacing w:val="-5"/>
                <w:sz w:val="15"/>
              </w:rPr>
              <w:t>100.00%</w:t>
            </w:r>
            <w:r>
              <w:rPr>
                <w:rFonts w:ascii="宋体"/>
                <w:sz w:val="15"/>
              </w:rPr>
            </w:r>
          </w:p>
        </w:tc>
        <w:tc>
          <w:tcPr>
            <w:tcW w:w="998" w:type="dxa"/>
            <w:tcBorders>
              <w:top w:val="single" w:sz="4" w:space="0" w:color="000000"/>
              <w:left w:val="nil" w:sz="6" w:space="0" w:color="auto"/>
              <w:bottom w:val="single" w:sz="12" w:space="0" w:color="000000"/>
              <w:right w:val="nil" w:sz="6" w:space="0" w:color="auto"/>
            </w:tcBorders>
          </w:tcPr>
          <w:p>
            <w:pPr>
              <w:pStyle w:val="TableParagraph"/>
              <w:spacing w:line="240" w:lineRule="auto" w:before="76"/>
              <w:ind w:right="11"/>
              <w:jc w:val="right"/>
              <w:rPr>
                <w:rFonts w:ascii="宋体" w:hAnsi="宋体" w:cs="宋体" w:eastAsia="宋体" w:hint="default"/>
                <w:sz w:val="15"/>
                <w:szCs w:val="15"/>
              </w:rPr>
            </w:pPr>
            <w:r>
              <w:rPr>
                <w:rFonts w:ascii="宋体"/>
                <w:spacing w:val="-5"/>
                <w:sz w:val="15"/>
              </w:rPr>
              <w:t>14,137,688.52</w:t>
            </w:r>
            <w:r>
              <w:rPr>
                <w:rFonts w:ascii="宋体"/>
                <w:sz w:val="15"/>
              </w:rPr>
            </w:r>
          </w:p>
        </w:tc>
        <w:tc>
          <w:tcPr>
            <w:tcW w:w="67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4"/>
          <w:szCs w:val="14"/>
        </w:rPr>
      </w:pPr>
    </w:p>
    <w:p>
      <w:pPr>
        <w:pStyle w:val="BodyText"/>
        <w:spacing w:line="240" w:lineRule="auto" w:before="26"/>
        <w:ind w:left="794" w:right="92"/>
        <w:jc w:val="left"/>
      </w:pPr>
      <w:r>
        <w:rPr/>
        <w:t>a、单项金额重大的外部应收款项，是指金额</w:t>
      </w:r>
      <w:r>
        <w:rPr>
          <w:spacing w:val="-60"/>
        </w:rPr>
        <w:t> </w:t>
      </w:r>
      <w:r>
        <w:rPr/>
        <w:t>100</w:t>
      </w:r>
      <w:r>
        <w:rPr>
          <w:spacing w:val="-60"/>
        </w:rPr>
        <w:t> </w:t>
      </w:r>
      <w:r>
        <w:rPr/>
        <w:t>万元及以上的应收款项；</w:t>
      </w:r>
    </w:p>
    <w:p>
      <w:pPr>
        <w:spacing w:after="0" w:line="240" w:lineRule="auto"/>
        <w:jc w:val="left"/>
        <w:sectPr>
          <w:pgSz w:w="11910" w:h="16840"/>
          <w:pgMar w:header="877" w:footer="1022" w:top="1060" w:bottom="1220" w:left="820" w:right="980"/>
        </w:sectPr>
      </w:pPr>
    </w:p>
    <w:p>
      <w:pPr>
        <w:spacing w:line="240" w:lineRule="auto" w:before="12"/>
        <w:rPr>
          <w:rFonts w:ascii="宋体" w:hAnsi="宋体" w:cs="宋体" w:eastAsia="宋体" w:hint="default"/>
          <w:sz w:val="2"/>
          <w:szCs w:val="2"/>
        </w:rPr>
      </w:pPr>
    </w:p>
    <w:p>
      <w:pPr>
        <w:spacing w:line="20" w:lineRule="exact"/>
        <w:ind w:left="27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8"/>
          <w:szCs w:val="28"/>
        </w:rPr>
      </w:pPr>
    </w:p>
    <w:p>
      <w:pPr>
        <w:pStyle w:val="BodyText"/>
        <w:spacing w:line="336" w:lineRule="auto" w:before="26"/>
        <w:ind w:left="314" w:right="90" w:firstLine="480"/>
        <w:jc w:val="left"/>
      </w:pPr>
      <w:r>
        <w:rPr>
          <w:spacing w:val="-3"/>
        </w:rPr>
        <w:t>b、单项金额不重大但按信用风险特征组合后该组合的风险较大的应收款项，是指单项金</w:t>
      </w:r>
      <w:r>
        <w:rPr/>
        <w:t> 额不重大但账龄</w:t>
      </w:r>
      <w:r>
        <w:rPr>
          <w:spacing w:val="-60"/>
        </w:rPr>
        <w:t> </w:t>
      </w:r>
      <w:r>
        <w:rPr/>
        <w:t>3</w:t>
      </w:r>
      <w:r>
        <w:rPr>
          <w:spacing w:val="-60"/>
        </w:rPr>
        <w:t> </w:t>
      </w:r>
      <w:r>
        <w:rPr/>
        <w:t>年及以上的应收款项；</w:t>
      </w:r>
    </w:p>
    <w:p>
      <w:pPr>
        <w:pStyle w:val="BodyText"/>
        <w:spacing w:line="336" w:lineRule="auto" w:before="149"/>
        <w:ind w:left="314" w:right="90" w:firstLine="480"/>
        <w:jc w:val="left"/>
      </w:pPr>
      <w:r>
        <w:rPr/>
        <w:t>c、年末应收账款前五名债务人欠款金额合计为</w:t>
      </w:r>
      <w:r>
        <w:rPr>
          <w:spacing w:val="-60"/>
        </w:rPr>
        <w:t> </w:t>
      </w:r>
      <w:r>
        <w:rPr/>
        <w:t>67,852,241.39</w:t>
      </w:r>
      <w:r>
        <w:rPr>
          <w:spacing w:val="-60"/>
        </w:rPr>
        <w:t> </w:t>
      </w:r>
      <w:r>
        <w:rPr/>
        <w:t>元，账龄均为一年以内，</w:t>
      </w:r>
      <w:r>
        <w:rPr/>
        <w:t> 占应收账款总额的</w:t>
      </w:r>
      <w:r>
        <w:rPr>
          <w:spacing w:val="-60"/>
        </w:rPr>
        <w:t> </w:t>
      </w:r>
      <w:r>
        <w:rPr/>
        <w:t>18.99%，明细如下：</w:t>
      </w:r>
    </w:p>
    <w:p>
      <w:pPr>
        <w:spacing w:line="240" w:lineRule="auto" w:before="0"/>
        <w:rPr>
          <w:rFonts w:ascii="宋体" w:hAnsi="宋体" w:cs="宋体" w:eastAsia="宋体" w:hint="default"/>
          <w:sz w:val="13"/>
          <w:szCs w:val="13"/>
        </w:rPr>
      </w:pPr>
    </w:p>
    <w:tbl>
      <w:tblPr>
        <w:tblW w:w="0" w:type="auto"/>
        <w:jc w:val="left"/>
        <w:tblInd w:w="313" w:type="dxa"/>
        <w:tblLayout w:type="fixed"/>
        <w:tblCellMar>
          <w:top w:w="0" w:type="dxa"/>
          <w:left w:w="0" w:type="dxa"/>
          <w:bottom w:w="0" w:type="dxa"/>
          <w:right w:w="0" w:type="dxa"/>
        </w:tblCellMar>
        <w:tblLook w:val="01E0"/>
      </w:tblPr>
      <w:tblGrid>
        <w:gridCol w:w="3209"/>
        <w:gridCol w:w="848"/>
        <w:gridCol w:w="1975"/>
        <w:gridCol w:w="578"/>
        <w:gridCol w:w="1673"/>
        <w:gridCol w:w="604"/>
        <w:gridCol w:w="751"/>
      </w:tblGrid>
      <w:tr>
        <w:trPr>
          <w:trHeight w:val="293" w:hRule="exact"/>
        </w:trPr>
        <w:tc>
          <w:tcPr>
            <w:tcW w:w="3209"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848"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single" w:sz="4" w:space="0" w:color="000000"/>
              <w:right w:val="nil" w:sz="6" w:space="0" w:color="auto"/>
            </w:tcBorders>
          </w:tcPr>
          <w:p>
            <w:pPr>
              <w:pStyle w:val="TableParagraph"/>
              <w:spacing w:line="180" w:lineRule="exact"/>
              <w:ind w:left="8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60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single" w:sz="4" w:space="0" w:color="000000"/>
              <w:right w:val="nil" w:sz="6" w:space="0" w:color="auto"/>
            </w:tcBorders>
          </w:tcPr>
          <w:p>
            <w:pPr>
              <w:pStyle w:val="TableParagraph"/>
              <w:spacing w:line="180" w:lineRule="exact"/>
              <w:ind w:right="53"/>
              <w:jc w:val="right"/>
              <w:rPr>
                <w:rFonts w:ascii="宋体" w:hAnsi="宋体" w:cs="宋体" w:eastAsia="宋体" w:hint="default"/>
                <w:sz w:val="18"/>
                <w:szCs w:val="18"/>
              </w:rPr>
            </w:pPr>
            <w:r>
              <w:rPr>
                <w:rFonts w:ascii="宋体" w:hAnsi="宋体" w:cs="宋体" w:eastAsia="宋体" w:hint="default"/>
                <w:sz w:val="18"/>
                <w:szCs w:val="18"/>
              </w:rPr>
              <w:t>占总额%</w:t>
            </w:r>
          </w:p>
        </w:tc>
      </w:tr>
      <w:tr>
        <w:trPr>
          <w:trHeight w:val="396" w:hRule="exact"/>
        </w:trPr>
        <w:tc>
          <w:tcPr>
            <w:tcW w:w="320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阳泉煤业(集团)有限责任公司</w:t>
            </w:r>
          </w:p>
        </w:tc>
        <w:tc>
          <w:tcPr>
            <w:tcW w:w="848" w:type="dxa"/>
            <w:tcBorders>
              <w:top w:val="nil" w:sz="6" w:space="0" w:color="auto"/>
              <w:left w:val="nil" w:sz="6" w:space="0" w:color="auto"/>
              <w:bottom w:val="nil" w:sz="6" w:space="0" w:color="auto"/>
              <w:right w:val="nil" w:sz="6" w:space="0" w:color="auto"/>
            </w:tcBorders>
          </w:tcPr>
          <w:p>
            <w:pPr/>
          </w:p>
        </w:tc>
        <w:tc>
          <w:tcPr>
            <w:tcW w:w="197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794" w:right="0"/>
              <w:jc w:val="left"/>
              <w:rPr>
                <w:rFonts w:ascii="宋体" w:hAnsi="宋体" w:cs="宋体" w:eastAsia="宋体" w:hint="default"/>
                <w:sz w:val="18"/>
                <w:szCs w:val="18"/>
              </w:rPr>
            </w:pPr>
            <w:r>
              <w:rPr>
                <w:rFonts w:ascii="宋体"/>
                <w:sz w:val="18"/>
              </w:rPr>
              <w:t>17,219,628.00</w:t>
            </w:r>
          </w:p>
        </w:tc>
        <w:tc>
          <w:tcPr>
            <w:tcW w:w="578" w:type="dxa"/>
            <w:tcBorders>
              <w:top w:val="nil" w:sz="6" w:space="0" w:color="auto"/>
              <w:left w:val="nil" w:sz="6" w:space="0" w:color="auto"/>
              <w:bottom w:val="nil" w:sz="6" w:space="0" w:color="auto"/>
              <w:right w:val="nil" w:sz="6" w:space="0" w:color="auto"/>
            </w:tcBorders>
          </w:tcPr>
          <w:p>
            <w:pP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604" w:type="dxa"/>
            <w:tcBorders>
              <w:top w:val="nil" w:sz="6" w:space="0" w:color="auto"/>
              <w:left w:val="nil" w:sz="6" w:space="0" w:color="auto"/>
              <w:bottom w:val="nil" w:sz="6" w:space="0" w:color="auto"/>
              <w:right w:val="nil" w:sz="6" w:space="0" w:color="auto"/>
            </w:tcBorders>
          </w:tcPr>
          <w:p>
            <w:pPr/>
          </w:p>
        </w:tc>
        <w:tc>
          <w:tcPr>
            <w:tcW w:w="7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3"/>
              <w:jc w:val="right"/>
              <w:rPr>
                <w:rFonts w:ascii="宋体" w:hAnsi="宋体" w:cs="宋体" w:eastAsia="宋体" w:hint="default"/>
                <w:sz w:val="18"/>
                <w:szCs w:val="18"/>
              </w:rPr>
            </w:pPr>
            <w:r>
              <w:rPr>
                <w:rFonts w:ascii="宋体"/>
                <w:sz w:val="18"/>
              </w:rPr>
              <w:t>4.82%</w:t>
            </w:r>
          </w:p>
        </w:tc>
      </w:tr>
      <w:tr>
        <w:trPr>
          <w:trHeight w:val="393"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sz w:val="18"/>
                <w:szCs w:val="18"/>
              </w:rPr>
              <w:t>陕西国华锦界能源有限责任公司</w:t>
            </w:r>
          </w:p>
        </w:tc>
        <w:tc>
          <w:tcPr>
            <w:tcW w:w="848"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94" w:right="0"/>
              <w:jc w:val="left"/>
              <w:rPr>
                <w:rFonts w:ascii="宋体" w:hAnsi="宋体" w:cs="宋体" w:eastAsia="宋体" w:hint="default"/>
                <w:sz w:val="18"/>
                <w:szCs w:val="18"/>
              </w:rPr>
            </w:pPr>
            <w:r>
              <w:rPr>
                <w:rFonts w:ascii="宋体"/>
                <w:sz w:val="18"/>
              </w:rPr>
              <w:t>15,076,201.40</w:t>
            </w:r>
          </w:p>
        </w:tc>
        <w:tc>
          <w:tcPr>
            <w:tcW w:w="57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60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3"/>
              <w:jc w:val="right"/>
              <w:rPr>
                <w:rFonts w:ascii="宋体" w:hAnsi="宋体" w:cs="宋体" w:eastAsia="宋体" w:hint="default"/>
                <w:sz w:val="18"/>
                <w:szCs w:val="18"/>
              </w:rPr>
            </w:pPr>
            <w:r>
              <w:rPr>
                <w:rFonts w:ascii="宋体"/>
                <w:sz w:val="18"/>
              </w:rPr>
              <w:t>4.22%</w:t>
            </w:r>
          </w:p>
        </w:tc>
      </w:tr>
      <w:tr>
        <w:trPr>
          <w:trHeight w:val="397"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天津钢铁有限公司</w:t>
            </w:r>
          </w:p>
        </w:tc>
        <w:tc>
          <w:tcPr>
            <w:tcW w:w="848"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94" w:right="0"/>
              <w:jc w:val="left"/>
              <w:rPr>
                <w:rFonts w:ascii="宋体" w:hAnsi="宋体" w:cs="宋体" w:eastAsia="宋体" w:hint="default"/>
                <w:sz w:val="18"/>
                <w:szCs w:val="18"/>
              </w:rPr>
            </w:pPr>
            <w:r>
              <w:rPr>
                <w:rFonts w:ascii="宋体"/>
                <w:sz w:val="18"/>
              </w:rPr>
              <w:t>13,925,412.00</w:t>
            </w:r>
          </w:p>
        </w:tc>
        <w:tc>
          <w:tcPr>
            <w:tcW w:w="57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60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宋体" w:hAnsi="宋体" w:cs="宋体" w:eastAsia="宋体" w:hint="default"/>
                <w:sz w:val="18"/>
                <w:szCs w:val="18"/>
              </w:rPr>
            </w:pPr>
            <w:r>
              <w:rPr>
                <w:rFonts w:ascii="宋体"/>
                <w:sz w:val="18"/>
              </w:rPr>
              <w:t>3.90%</w:t>
            </w:r>
          </w:p>
        </w:tc>
      </w:tr>
      <w:tr>
        <w:trPr>
          <w:trHeight w:val="397"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中铁电气化局集团有限公司物资处</w:t>
            </w:r>
          </w:p>
        </w:tc>
        <w:tc>
          <w:tcPr>
            <w:tcW w:w="848"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93" w:right="0"/>
              <w:jc w:val="left"/>
              <w:rPr>
                <w:rFonts w:ascii="宋体" w:hAnsi="宋体" w:cs="宋体" w:eastAsia="宋体" w:hint="default"/>
                <w:sz w:val="18"/>
                <w:szCs w:val="18"/>
              </w:rPr>
            </w:pPr>
            <w:r>
              <w:rPr>
                <w:rFonts w:ascii="宋体"/>
                <w:sz w:val="18"/>
              </w:rPr>
              <w:t>10,890,000.00</w:t>
            </w:r>
          </w:p>
        </w:tc>
        <w:tc>
          <w:tcPr>
            <w:tcW w:w="57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60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3"/>
              <w:jc w:val="right"/>
              <w:rPr>
                <w:rFonts w:ascii="宋体" w:hAnsi="宋体" w:cs="宋体" w:eastAsia="宋体" w:hint="default"/>
                <w:sz w:val="18"/>
                <w:szCs w:val="18"/>
              </w:rPr>
            </w:pPr>
            <w:r>
              <w:rPr>
                <w:rFonts w:ascii="宋体"/>
                <w:sz w:val="18"/>
              </w:rPr>
              <w:t>3.05%</w:t>
            </w:r>
          </w:p>
        </w:tc>
      </w:tr>
      <w:tr>
        <w:trPr>
          <w:trHeight w:val="401"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舞阳钢铁有限责任公司</w:t>
            </w:r>
          </w:p>
        </w:tc>
        <w:tc>
          <w:tcPr>
            <w:tcW w:w="848" w:type="dxa"/>
            <w:tcBorders>
              <w:top w:val="nil" w:sz="6" w:space="0" w:color="auto"/>
              <w:left w:val="nil" w:sz="6" w:space="0" w:color="auto"/>
              <w:bottom w:val="nil" w:sz="6" w:space="0" w:color="auto"/>
              <w:right w:val="nil" w:sz="6" w:space="0" w:color="auto"/>
            </w:tcBorders>
          </w:tcPr>
          <w:p>
            <w:pPr/>
          </w:p>
        </w:tc>
        <w:tc>
          <w:tcPr>
            <w:tcW w:w="1975"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793" w:right="0"/>
              <w:jc w:val="left"/>
              <w:rPr>
                <w:rFonts w:ascii="宋体" w:hAnsi="宋体" w:cs="宋体" w:eastAsia="宋体" w:hint="default"/>
                <w:sz w:val="18"/>
                <w:szCs w:val="18"/>
              </w:rPr>
            </w:pPr>
            <w:r>
              <w:rPr>
                <w:rFonts w:ascii="宋体"/>
                <w:sz w:val="18"/>
              </w:rPr>
              <w:t>10,740,999.99</w:t>
            </w:r>
          </w:p>
        </w:tc>
        <w:tc>
          <w:tcPr>
            <w:tcW w:w="57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3"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604" w:type="dxa"/>
            <w:tcBorders>
              <w:top w:val="nil" w:sz="6" w:space="0" w:color="auto"/>
              <w:left w:val="nil" w:sz="6" w:space="0" w:color="auto"/>
              <w:bottom w:val="nil" w:sz="6" w:space="0" w:color="auto"/>
              <w:right w:val="nil" w:sz="6" w:space="0" w:color="auto"/>
            </w:tcBorders>
          </w:tcPr>
          <w:p>
            <w:pPr/>
          </w:p>
        </w:tc>
        <w:tc>
          <w:tcPr>
            <w:tcW w:w="75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43"/>
              <w:jc w:val="right"/>
              <w:rPr>
                <w:rFonts w:ascii="宋体" w:hAnsi="宋体" w:cs="宋体" w:eastAsia="宋体" w:hint="default"/>
                <w:sz w:val="18"/>
                <w:szCs w:val="18"/>
              </w:rPr>
            </w:pPr>
            <w:r>
              <w:rPr>
                <w:rFonts w:ascii="宋体"/>
                <w:sz w:val="18"/>
              </w:rPr>
              <w:t>3.00%</w:t>
            </w:r>
          </w:p>
        </w:tc>
      </w:tr>
      <w:tr>
        <w:trPr>
          <w:trHeight w:val="408" w:hRule="exact"/>
        </w:trPr>
        <w:tc>
          <w:tcPr>
            <w:tcW w:w="320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848" w:type="dxa"/>
            <w:tcBorders>
              <w:top w:val="nil" w:sz="6" w:space="0" w:color="auto"/>
              <w:left w:val="nil" w:sz="6" w:space="0" w:color="auto"/>
              <w:bottom w:val="nil" w:sz="6" w:space="0" w:color="auto"/>
              <w:right w:val="nil" w:sz="6" w:space="0" w:color="auto"/>
            </w:tcBorders>
          </w:tcPr>
          <w:p>
            <w:pPr/>
          </w:p>
        </w:tc>
        <w:tc>
          <w:tcPr>
            <w:tcW w:w="1975"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793" w:right="0"/>
              <w:jc w:val="left"/>
              <w:rPr>
                <w:rFonts w:ascii="宋体" w:hAnsi="宋体" w:cs="宋体" w:eastAsia="宋体" w:hint="default"/>
                <w:sz w:val="18"/>
                <w:szCs w:val="18"/>
              </w:rPr>
            </w:pPr>
            <w:r>
              <w:rPr>
                <w:rFonts w:ascii="宋体"/>
                <w:sz w:val="18"/>
              </w:rPr>
              <w:t>67,852,241.39</w:t>
            </w:r>
          </w:p>
        </w:tc>
        <w:tc>
          <w:tcPr>
            <w:tcW w:w="578"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c>
          <w:tcPr>
            <w:tcW w:w="75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9"/>
              <w:jc w:val="right"/>
              <w:rPr>
                <w:rFonts w:ascii="宋体" w:hAnsi="宋体" w:cs="宋体" w:eastAsia="宋体" w:hint="default"/>
                <w:sz w:val="18"/>
                <w:szCs w:val="18"/>
              </w:rPr>
            </w:pPr>
            <w:r>
              <w:rPr>
                <w:rFonts w:ascii="宋体"/>
                <w:sz w:val="18"/>
              </w:rPr>
              <w:t>18.99%</w:t>
            </w:r>
          </w:p>
        </w:tc>
      </w:tr>
    </w:tbl>
    <w:p>
      <w:pPr>
        <w:spacing w:line="240" w:lineRule="auto" w:before="13"/>
        <w:rPr>
          <w:rFonts w:ascii="宋体" w:hAnsi="宋体" w:cs="宋体" w:eastAsia="宋体" w:hint="default"/>
          <w:sz w:val="10"/>
          <w:szCs w:val="10"/>
        </w:rPr>
      </w:pPr>
    </w:p>
    <w:p>
      <w:pPr>
        <w:pStyle w:val="Heading4"/>
        <w:spacing w:line="240" w:lineRule="auto"/>
        <w:ind w:right="90"/>
        <w:jc w:val="left"/>
        <w:rPr>
          <w:b w:val="0"/>
          <w:bCs w:val="0"/>
        </w:rPr>
      </w:pPr>
      <w:r>
        <w:rPr/>
        <w:t>2、其他应收款</w:t>
      </w:r>
      <w:r>
        <w:rPr>
          <w:b w:val="0"/>
          <w:bCs w:val="0"/>
        </w:rPr>
      </w:r>
    </w:p>
    <w:p>
      <w:pPr>
        <w:spacing w:line="240" w:lineRule="auto" w:before="1"/>
        <w:rPr>
          <w:rFonts w:ascii="宋体" w:hAnsi="宋体" w:cs="宋体" w:eastAsia="宋体" w:hint="default"/>
          <w:b/>
          <w:bCs/>
          <w:sz w:val="20"/>
          <w:szCs w:val="20"/>
        </w:rPr>
      </w:pPr>
    </w:p>
    <w:tbl>
      <w:tblPr>
        <w:tblW w:w="0" w:type="auto"/>
        <w:jc w:val="left"/>
        <w:tblInd w:w="222" w:type="dxa"/>
        <w:tblLayout w:type="fixed"/>
        <w:tblCellMar>
          <w:top w:w="0" w:type="dxa"/>
          <w:left w:w="0" w:type="dxa"/>
          <w:bottom w:w="0" w:type="dxa"/>
          <w:right w:w="0" w:type="dxa"/>
        </w:tblCellMar>
        <w:tblLook w:val="01E0"/>
      </w:tblPr>
      <w:tblGrid>
        <w:gridCol w:w="4303"/>
        <w:gridCol w:w="1808"/>
        <w:gridCol w:w="1807"/>
        <w:gridCol w:w="1805"/>
      </w:tblGrid>
      <w:tr>
        <w:trPr>
          <w:trHeight w:val="290" w:hRule="exact"/>
        </w:trPr>
        <w:tc>
          <w:tcPr>
            <w:tcW w:w="4303"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single" w:sz="4" w:space="0" w:color="000000"/>
              <w:right w:val="nil" w:sz="6" w:space="0" w:color="auto"/>
            </w:tcBorders>
          </w:tcPr>
          <w:p>
            <w:pPr>
              <w:pStyle w:val="TableParagraph"/>
              <w:spacing w:line="180" w:lineRule="exact"/>
              <w:ind w:left="169"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7"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single" w:sz="4" w:space="0" w:color="000000"/>
              <w:right w:val="nil" w:sz="6" w:space="0" w:color="auto"/>
            </w:tcBorders>
          </w:tcPr>
          <w:p>
            <w:pPr>
              <w:pStyle w:val="TableParagraph"/>
              <w:spacing w:line="180" w:lineRule="exact"/>
              <w:ind w:right="151"/>
              <w:jc w:val="righ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8"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0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8"/>
              <w:jc w:val="right"/>
              <w:rPr>
                <w:rFonts w:ascii="宋体" w:hAnsi="宋体" w:cs="宋体" w:eastAsia="宋体" w:hint="default"/>
                <w:sz w:val="18"/>
                <w:szCs w:val="18"/>
              </w:rPr>
            </w:pPr>
            <w:r>
              <w:rPr>
                <w:rFonts w:ascii="宋体"/>
                <w:sz w:val="18"/>
              </w:rPr>
              <w:t>11,521,672.29</w:t>
            </w:r>
          </w:p>
        </w:tc>
        <w:tc>
          <w:tcPr>
            <w:tcW w:w="1807" w:type="dxa"/>
            <w:tcBorders>
              <w:top w:val="nil" w:sz="6" w:space="0" w:color="auto"/>
              <w:left w:val="nil" w:sz="6" w:space="0" w:color="auto"/>
              <w:bottom w:val="nil" w:sz="6" w:space="0" w:color="auto"/>
              <w:right w:val="nil" w:sz="6" w:space="0" w:color="auto"/>
            </w:tcBorders>
          </w:tcPr>
          <w:p>
            <w:pP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9"/>
              <w:jc w:val="right"/>
              <w:rPr>
                <w:rFonts w:ascii="宋体" w:hAnsi="宋体" w:cs="宋体" w:eastAsia="宋体" w:hint="default"/>
                <w:sz w:val="18"/>
                <w:szCs w:val="18"/>
              </w:rPr>
            </w:pPr>
            <w:r>
              <w:rPr>
                <w:rFonts w:ascii="宋体"/>
                <w:sz w:val="18"/>
              </w:rPr>
              <w:t>4,640,707.90</w:t>
            </w:r>
          </w:p>
        </w:tc>
      </w:tr>
      <w:tr>
        <w:trPr>
          <w:trHeight w:val="392" w:hRule="exact"/>
        </w:trPr>
        <w:tc>
          <w:tcPr>
            <w:tcW w:w="430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8"/>
                <w:szCs w:val="18"/>
              </w:rPr>
            </w:pPr>
            <w:r>
              <w:rPr>
                <w:rFonts w:ascii="宋体"/>
                <w:sz w:val="18"/>
              </w:rPr>
              <w:t>600,340.42</w:t>
            </w:r>
          </w:p>
        </w:tc>
        <w:tc>
          <w:tcPr>
            <w:tcW w:w="1807"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334,600.84</w:t>
            </w:r>
          </w:p>
        </w:tc>
      </w:tr>
      <w:tr>
        <w:trPr>
          <w:trHeight w:val="286" w:hRule="exact"/>
        </w:trPr>
        <w:tc>
          <w:tcPr>
            <w:tcW w:w="4303"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8"/>
              <w:jc w:val="right"/>
              <w:rPr>
                <w:rFonts w:ascii="宋体" w:hAnsi="宋体" w:cs="宋体" w:eastAsia="宋体" w:hint="default"/>
                <w:sz w:val="18"/>
                <w:szCs w:val="18"/>
              </w:rPr>
            </w:pPr>
            <w:r>
              <w:rPr>
                <w:rFonts w:ascii="宋体"/>
                <w:sz w:val="18"/>
              </w:rPr>
              <w:t>10,921,331.87</w:t>
            </w:r>
          </w:p>
        </w:tc>
        <w:tc>
          <w:tcPr>
            <w:tcW w:w="1807" w:type="dxa"/>
            <w:tcBorders>
              <w:top w:val="nil" w:sz="6" w:space="0" w:color="auto"/>
              <w:left w:val="nil" w:sz="6" w:space="0" w:color="auto"/>
              <w:bottom w:val="nil" w:sz="6" w:space="0" w:color="auto"/>
              <w:right w:val="nil" w:sz="6" w:space="0" w:color="auto"/>
            </w:tcBorders>
          </w:tcPr>
          <w:p>
            <w:pP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1"/>
              <w:jc w:val="right"/>
              <w:rPr>
                <w:rFonts w:ascii="宋体" w:hAnsi="宋体" w:cs="宋体" w:eastAsia="宋体" w:hint="default"/>
                <w:sz w:val="18"/>
                <w:szCs w:val="18"/>
              </w:rPr>
            </w:pPr>
            <w:r>
              <w:rPr>
                <w:rFonts w:ascii="宋体"/>
                <w:sz w:val="18"/>
              </w:rPr>
              <w:t>4,306,107.06</w:t>
            </w:r>
          </w:p>
        </w:tc>
      </w:tr>
    </w:tbl>
    <w:p>
      <w:pPr>
        <w:spacing w:line="240" w:lineRule="auto" w:before="1"/>
        <w:rPr>
          <w:rFonts w:ascii="宋体" w:hAnsi="宋体" w:cs="宋体" w:eastAsia="宋体" w:hint="default"/>
          <w:b/>
          <w:bCs/>
          <w:sz w:val="19"/>
          <w:szCs w:val="19"/>
        </w:rPr>
      </w:pPr>
    </w:p>
    <w:p>
      <w:pPr>
        <w:pStyle w:val="BodyText"/>
        <w:spacing w:line="240" w:lineRule="auto" w:before="26"/>
        <w:ind w:left="794" w:right="90"/>
        <w:jc w:val="left"/>
      </w:pPr>
      <w:r>
        <w:rPr/>
        <w:pict>
          <v:group style="position:absolute;margin-left:128.759995pt;margin-top:44.895916pt;width:206.25pt;height:.1pt;mso-position-horizontal-relative:page;mso-position-vertical-relative:paragraph;z-index:-525256" coordorigin="2575,898" coordsize="4125,2">
            <v:shape style="position:absolute;left:2575;top:898;width:4125;height:2" coordorigin="2575,898" coordsize="4125,0" path="m2575,898l6700,898e" filled="false" stroked="true" strokeweight=".48pt" strokecolor="#000000">
              <v:path arrowok="t"/>
            </v:shape>
            <w10:wrap type="none"/>
          </v:group>
        </w:pict>
      </w:r>
      <w:r>
        <w:rPr/>
        <w:pict>
          <v:group style="position:absolute;margin-left:341.220001pt;margin-top:44.895916pt;width:197.05pt;height:.1pt;mso-position-horizontal-relative:page;mso-position-vertical-relative:paragraph;z-index:-525232" coordorigin="6824,898" coordsize="3941,2">
            <v:shape style="position:absolute;left:6824;top:898;width:3941;height:2" coordorigin="6824,898" coordsize="3941,0" path="m6824,898l10765,898e" filled="false" stroked="true" strokeweight=".48pt" strokecolor="#000000">
              <v:path arrowok="t"/>
            </v:shape>
            <w10:wrap type="none"/>
          </v:group>
        </w:pict>
      </w:r>
      <w:r>
        <w:rPr/>
        <w:t>(1)其他应收款账龄及相应的坏账准备分析如下：</w:t>
      </w:r>
    </w:p>
    <w:p>
      <w:pPr>
        <w:spacing w:line="240" w:lineRule="auto" w:before="8"/>
        <w:rPr>
          <w:rFonts w:ascii="宋体" w:hAnsi="宋体" w:cs="宋体" w:eastAsia="宋体" w:hint="default"/>
          <w:sz w:val="12"/>
          <w:szCs w:val="12"/>
        </w:rPr>
      </w:pPr>
    </w:p>
    <w:tbl>
      <w:tblPr>
        <w:tblW w:w="0" w:type="auto"/>
        <w:jc w:val="left"/>
        <w:tblInd w:w="278" w:type="dxa"/>
        <w:tblLayout w:type="fixed"/>
        <w:tblCellMar>
          <w:top w:w="0" w:type="dxa"/>
          <w:left w:w="0" w:type="dxa"/>
          <w:bottom w:w="0" w:type="dxa"/>
          <w:right w:w="0" w:type="dxa"/>
        </w:tblCellMar>
        <w:tblLook w:val="01E0"/>
      </w:tblPr>
      <w:tblGrid>
        <w:gridCol w:w="1043"/>
        <w:gridCol w:w="434"/>
        <w:gridCol w:w="1326"/>
        <w:gridCol w:w="1552"/>
        <w:gridCol w:w="1254"/>
        <w:gridCol w:w="118"/>
        <w:gridCol w:w="1231"/>
        <w:gridCol w:w="1489"/>
        <w:gridCol w:w="1262"/>
      </w:tblGrid>
      <w:tr>
        <w:trPr>
          <w:trHeight w:val="799" w:hRule="exact"/>
        </w:trPr>
        <w:tc>
          <w:tcPr>
            <w:tcW w:w="1043" w:type="dxa"/>
            <w:tcBorders>
              <w:top w:val="nil" w:sz="6" w:space="0" w:color="auto"/>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18"/>
              <w:jc w:val="right"/>
              <w:rPr>
                <w:rFonts w:ascii="宋体" w:hAnsi="宋体" w:cs="宋体" w:eastAsia="宋体" w:hint="default"/>
                <w:sz w:val="18"/>
                <w:szCs w:val="18"/>
              </w:rPr>
            </w:pPr>
            <w:r>
              <w:rPr>
                <w:rFonts w:ascii="宋体" w:hAnsi="宋体" w:cs="宋体" w:eastAsia="宋体" w:hint="default"/>
                <w:sz w:val="18"/>
                <w:szCs w:val="18"/>
              </w:rPr>
              <w:t>账龄</w:t>
            </w:r>
          </w:p>
        </w:tc>
        <w:tc>
          <w:tcPr>
            <w:tcW w:w="43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2"/>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 w:right="0"/>
              <w:jc w:val="center"/>
              <w:rPr>
                <w:rFonts w:ascii="宋体" w:hAnsi="宋体" w:cs="宋体" w:eastAsia="宋体" w:hint="default"/>
                <w:sz w:val="18"/>
                <w:szCs w:val="18"/>
              </w:rPr>
            </w:pPr>
            <w:r>
              <w:rPr>
                <w:rFonts w:ascii="宋体" w:hAnsi="宋体" w:cs="宋体" w:eastAsia="宋体" w:hint="default"/>
                <w:sz w:val="18"/>
                <w:szCs w:val="18"/>
              </w:rPr>
              <w:t>占总额比例</w:t>
            </w:r>
          </w:p>
        </w:tc>
        <w:tc>
          <w:tcPr>
            <w:tcW w:w="125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占总额比例</w:t>
            </w: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6" w:hRule="exact"/>
        </w:trPr>
        <w:tc>
          <w:tcPr>
            <w:tcW w:w="104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84"/>
              <w:jc w:val="right"/>
              <w:rPr>
                <w:rFonts w:ascii="宋体" w:hAnsi="宋体" w:cs="宋体" w:eastAsia="宋体" w:hint="default"/>
                <w:sz w:val="18"/>
                <w:szCs w:val="18"/>
              </w:rPr>
            </w:pPr>
            <w:r>
              <w:rPr>
                <w:rFonts w:ascii="宋体" w:hAnsi="宋体" w:cs="宋体" w:eastAsia="宋体" w:hint="default"/>
                <w:sz w:val="18"/>
                <w:szCs w:val="18"/>
              </w:rPr>
              <w:t>一年以内</w:t>
            </w:r>
          </w:p>
        </w:tc>
        <w:tc>
          <w:tcPr>
            <w:tcW w:w="434" w:type="dxa"/>
            <w:tcBorders>
              <w:top w:val="nil" w:sz="6" w:space="0" w:color="auto"/>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8"/>
                <w:szCs w:val="18"/>
              </w:rPr>
            </w:pPr>
            <w:r>
              <w:rPr>
                <w:rFonts w:ascii="宋体"/>
                <w:sz w:val="18"/>
              </w:rPr>
              <w:t>10,875,112.29</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34"/>
              <w:jc w:val="right"/>
              <w:rPr>
                <w:rFonts w:ascii="宋体" w:hAnsi="宋体" w:cs="宋体" w:eastAsia="宋体" w:hint="default"/>
                <w:sz w:val="18"/>
                <w:szCs w:val="18"/>
              </w:rPr>
            </w:pPr>
            <w:r>
              <w:rPr>
                <w:rFonts w:ascii="宋体"/>
                <w:sz w:val="18"/>
              </w:rPr>
              <w:t>94.39%</w:t>
            </w:r>
          </w:p>
        </w:tc>
        <w:tc>
          <w:tcPr>
            <w:tcW w:w="125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463,664.02</w:t>
            </w:r>
          </w:p>
        </w:tc>
        <w:tc>
          <w:tcPr>
            <w:tcW w:w="118" w:type="dxa"/>
            <w:tcBorders>
              <w:top w:val="nil" w:sz="6" w:space="0" w:color="auto"/>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
              <w:jc w:val="right"/>
              <w:rPr>
                <w:rFonts w:ascii="宋体" w:hAnsi="宋体" w:cs="宋体" w:eastAsia="宋体" w:hint="default"/>
                <w:sz w:val="18"/>
                <w:szCs w:val="18"/>
              </w:rPr>
            </w:pPr>
            <w:r>
              <w:rPr>
                <w:rFonts w:ascii="宋体"/>
                <w:sz w:val="18"/>
              </w:rPr>
              <w:t>3,968,678.98</w:t>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91"/>
              <w:jc w:val="right"/>
              <w:rPr>
                <w:rFonts w:ascii="宋体" w:hAnsi="宋体" w:cs="宋体" w:eastAsia="宋体" w:hint="default"/>
                <w:sz w:val="18"/>
                <w:szCs w:val="18"/>
              </w:rPr>
            </w:pPr>
            <w:r>
              <w:rPr>
                <w:rFonts w:ascii="宋体"/>
                <w:sz w:val="18"/>
              </w:rPr>
              <w:t>85.52%</w:t>
            </w: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52"/>
              <w:jc w:val="right"/>
              <w:rPr>
                <w:rFonts w:ascii="宋体" w:hAnsi="宋体" w:cs="宋体" w:eastAsia="宋体" w:hint="default"/>
                <w:sz w:val="18"/>
                <w:szCs w:val="18"/>
              </w:rPr>
            </w:pPr>
            <w:r>
              <w:rPr>
                <w:rFonts w:ascii="宋体"/>
                <w:sz w:val="18"/>
              </w:rPr>
              <w:t>198,433.95</w:t>
            </w:r>
          </w:p>
        </w:tc>
      </w:tr>
      <w:tr>
        <w:trPr>
          <w:trHeight w:val="397"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4"/>
              <w:jc w:val="right"/>
              <w:rPr>
                <w:rFonts w:ascii="宋体" w:hAnsi="宋体" w:cs="宋体" w:eastAsia="宋体" w:hint="default"/>
                <w:sz w:val="18"/>
                <w:szCs w:val="18"/>
              </w:rPr>
            </w:pPr>
            <w:r>
              <w:rPr>
                <w:rFonts w:ascii="宋体" w:hAnsi="宋体" w:cs="宋体" w:eastAsia="宋体" w:hint="default"/>
                <w:sz w:val="18"/>
                <w:szCs w:val="18"/>
              </w:rPr>
              <w:t>一到二年</w:t>
            </w:r>
          </w:p>
        </w:tc>
        <w:tc>
          <w:tcPr>
            <w:tcW w:w="43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257,458.00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4"/>
              <w:jc w:val="right"/>
              <w:rPr>
                <w:rFonts w:ascii="宋体" w:hAnsi="宋体" w:cs="宋体" w:eastAsia="宋体" w:hint="default"/>
                <w:sz w:val="18"/>
                <w:szCs w:val="18"/>
              </w:rPr>
            </w:pPr>
            <w:r>
              <w:rPr>
                <w:rFonts w:ascii="宋体"/>
                <w:sz w:val="18"/>
              </w:rPr>
              <w:t>2.23%</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25,745.80</w:t>
            </w:r>
          </w:p>
        </w:tc>
        <w:tc>
          <w:tcPr>
            <w:tcW w:w="11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
              <w:jc w:val="right"/>
              <w:rPr>
                <w:rFonts w:ascii="宋体" w:hAnsi="宋体" w:cs="宋体" w:eastAsia="宋体" w:hint="default"/>
                <w:sz w:val="18"/>
                <w:szCs w:val="18"/>
              </w:rPr>
            </w:pPr>
            <w:r>
              <w:rPr>
                <w:rFonts w:ascii="宋体"/>
                <w:sz w:val="18"/>
              </w:rPr>
              <w:t>289,708.92</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91"/>
              <w:jc w:val="right"/>
              <w:rPr>
                <w:rFonts w:ascii="宋体" w:hAnsi="宋体" w:cs="宋体" w:eastAsia="宋体" w:hint="default"/>
                <w:sz w:val="18"/>
                <w:szCs w:val="18"/>
              </w:rPr>
            </w:pPr>
            <w:r>
              <w:rPr>
                <w:rFonts w:ascii="宋体"/>
                <w:sz w:val="18"/>
              </w:rPr>
              <w:t>6.24%</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宋体" w:hAnsi="宋体" w:cs="宋体" w:eastAsia="宋体" w:hint="default"/>
                <w:sz w:val="18"/>
                <w:szCs w:val="18"/>
              </w:rPr>
            </w:pPr>
            <w:r>
              <w:rPr>
                <w:rFonts w:ascii="宋体"/>
                <w:sz w:val="18"/>
              </w:rPr>
              <w:t>28,970.89</w:t>
            </w:r>
          </w:p>
        </w:tc>
      </w:tr>
      <w:tr>
        <w:trPr>
          <w:trHeight w:val="397"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5"/>
              <w:jc w:val="right"/>
              <w:rPr>
                <w:rFonts w:ascii="宋体" w:hAnsi="宋体" w:cs="宋体" w:eastAsia="宋体" w:hint="default"/>
                <w:sz w:val="18"/>
                <w:szCs w:val="18"/>
              </w:rPr>
            </w:pPr>
            <w:r>
              <w:rPr>
                <w:rFonts w:ascii="宋体" w:hAnsi="宋体" w:cs="宋体" w:eastAsia="宋体" w:hint="default"/>
                <w:sz w:val="18"/>
                <w:szCs w:val="18"/>
              </w:rPr>
              <w:t>二到三年</w:t>
            </w:r>
          </w:p>
        </w:tc>
        <w:tc>
          <w:tcPr>
            <w:tcW w:w="43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宋体" w:hAnsi="宋体" w:cs="宋体" w:eastAsia="宋体" w:hint="default"/>
                <w:sz w:val="18"/>
                <w:szCs w:val="18"/>
              </w:rPr>
            </w:pPr>
            <w:r>
              <w:rPr>
                <w:rFonts w:ascii="宋体"/>
                <w:sz w:val="18"/>
              </w:rPr>
              <w:t>58,000.00</w:t>
            </w:r>
          </w:p>
        </w:tc>
        <w:tc>
          <w:tcPr>
            <w:tcW w:w="15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4"/>
              <w:jc w:val="right"/>
              <w:rPr>
                <w:rFonts w:ascii="宋体" w:hAnsi="宋体" w:cs="宋体" w:eastAsia="宋体" w:hint="default"/>
                <w:sz w:val="18"/>
                <w:szCs w:val="18"/>
              </w:rPr>
            </w:pPr>
            <w:r>
              <w:rPr>
                <w:rFonts w:ascii="宋体"/>
                <w:sz w:val="18"/>
              </w:rPr>
              <w:t>0.50%</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11,600.00</w:t>
            </w:r>
          </w:p>
        </w:tc>
        <w:tc>
          <w:tcPr>
            <w:tcW w:w="11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
              <w:jc w:val="right"/>
              <w:rPr>
                <w:rFonts w:ascii="宋体" w:hAnsi="宋体" w:cs="宋体" w:eastAsia="宋体" w:hint="default"/>
                <w:sz w:val="18"/>
                <w:szCs w:val="18"/>
              </w:rPr>
            </w:pPr>
            <w:r>
              <w:rPr>
                <w:rFonts w:ascii="宋体"/>
                <w:sz w:val="18"/>
              </w:rPr>
              <w:t>75,000.00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91"/>
              <w:jc w:val="right"/>
              <w:rPr>
                <w:rFonts w:ascii="宋体" w:hAnsi="宋体" w:cs="宋体" w:eastAsia="宋体" w:hint="default"/>
                <w:sz w:val="18"/>
                <w:szCs w:val="18"/>
              </w:rPr>
            </w:pPr>
            <w:r>
              <w:rPr>
                <w:rFonts w:ascii="宋体"/>
                <w:sz w:val="18"/>
              </w:rPr>
              <w:t>1.62%</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宋体" w:hAnsi="宋体" w:cs="宋体" w:eastAsia="宋体" w:hint="default"/>
                <w:sz w:val="18"/>
                <w:szCs w:val="18"/>
              </w:rPr>
            </w:pPr>
            <w:r>
              <w:rPr>
                <w:rFonts w:ascii="宋体"/>
                <w:sz w:val="18"/>
              </w:rPr>
              <w:t>15,000.00</w:t>
            </w:r>
          </w:p>
        </w:tc>
      </w:tr>
      <w:tr>
        <w:trPr>
          <w:trHeight w:val="399" w:hRule="exact"/>
        </w:trPr>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5"/>
              <w:jc w:val="right"/>
              <w:rPr>
                <w:rFonts w:ascii="宋体" w:hAnsi="宋体" w:cs="宋体" w:eastAsia="宋体" w:hint="default"/>
                <w:sz w:val="18"/>
                <w:szCs w:val="18"/>
              </w:rPr>
            </w:pPr>
            <w:r>
              <w:rPr>
                <w:rFonts w:ascii="宋体" w:hAnsi="宋体" w:cs="宋体" w:eastAsia="宋体" w:hint="default"/>
                <w:sz w:val="18"/>
                <w:szCs w:val="18"/>
              </w:rPr>
              <w:t>三年以上</w:t>
            </w:r>
          </w:p>
        </w:tc>
        <w:tc>
          <w:tcPr>
            <w:tcW w:w="43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331,102.00</w:t>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35"/>
              <w:jc w:val="right"/>
              <w:rPr>
                <w:rFonts w:ascii="宋体" w:hAnsi="宋体" w:cs="宋体" w:eastAsia="宋体" w:hint="default"/>
                <w:sz w:val="18"/>
                <w:szCs w:val="18"/>
              </w:rPr>
            </w:pPr>
            <w:r>
              <w:rPr>
                <w:rFonts w:ascii="宋体"/>
                <w:sz w:val="18"/>
              </w:rPr>
              <w:t>2.88%</w:t>
            </w:r>
          </w:p>
        </w:tc>
        <w:tc>
          <w:tcPr>
            <w:tcW w:w="125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99,330.60</w:t>
            </w:r>
          </w:p>
        </w:tc>
        <w:tc>
          <w:tcPr>
            <w:tcW w:w="118"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2"/>
              <w:jc w:val="right"/>
              <w:rPr>
                <w:rFonts w:ascii="宋体" w:hAnsi="宋体" w:cs="宋体" w:eastAsia="宋体" w:hint="default"/>
                <w:sz w:val="18"/>
                <w:szCs w:val="18"/>
              </w:rPr>
            </w:pPr>
            <w:r>
              <w:rPr>
                <w:rFonts w:ascii="宋体"/>
                <w:sz w:val="18"/>
              </w:rPr>
              <w:t>307,320.00</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192"/>
              <w:jc w:val="right"/>
              <w:rPr>
                <w:rFonts w:ascii="宋体" w:hAnsi="宋体" w:cs="宋体" w:eastAsia="宋体" w:hint="default"/>
                <w:sz w:val="18"/>
                <w:szCs w:val="18"/>
              </w:rPr>
            </w:pPr>
            <w:r>
              <w:rPr>
                <w:rFonts w:ascii="宋体"/>
                <w:sz w:val="18"/>
              </w:rPr>
              <w:t>6.62%</w:t>
            </w: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56"/>
              <w:ind w:right="33"/>
              <w:jc w:val="right"/>
              <w:rPr>
                <w:rFonts w:ascii="宋体" w:hAnsi="宋体" w:cs="宋体" w:eastAsia="宋体" w:hint="default"/>
                <w:sz w:val="18"/>
                <w:szCs w:val="18"/>
              </w:rPr>
            </w:pPr>
            <w:r>
              <w:rPr>
                <w:rFonts w:ascii="宋体"/>
                <w:sz w:val="18"/>
              </w:rPr>
              <w:t>92,196.00</w:t>
            </w:r>
          </w:p>
        </w:tc>
      </w:tr>
      <w:tr>
        <w:trPr>
          <w:trHeight w:val="400" w:hRule="exact"/>
        </w:trPr>
        <w:tc>
          <w:tcPr>
            <w:tcW w:w="1043" w:type="dxa"/>
            <w:tcBorders>
              <w:top w:val="nil" w:sz="6" w:space="0" w:color="auto"/>
              <w:left w:val="nil" w:sz="6" w:space="0" w:color="auto"/>
              <w:bottom w:val="nil" w:sz="6" w:space="0" w:color="auto"/>
              <w:right w:val="nil" w:sz="6" w:space="0" w:color="auto"/>
            </w:tcBorders>
          </w:tcPr>
          <w:p>
            <w:pPr/>
          </w:p>
        </w:tc>
        <w:tc>
          <w:tcPr>
            <w:tcW w:w="434" w:type="dxa"/>
            <w:tcBorders>
              <w:top w:val="nil" w:sz="6" w:space="0" w:color="auto"/>
              <w:left w:val="nil" w:sz="6" w:space="0" w:color="auto"/>
              <w:bottom w:val="nil" w:sz="6" w:space="0" w:color="auto"/>
              <w:right w:val="nil" w:sz="6" w:space="0" w:color="auto"/>
            </w:tcBorders>
          </w:tcPr>
          <w:p>
            <w:pP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11,521,672.29</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35"/>
              <w:jc w:val="right"/>
              <w:rPr>
                <w:rFonts w:ascii="宋体" w:hAnsi="宋体" w:cs="宋体" w:eastAsia="宋体" w:hint="default"/>
                <w:sz w:val="18"/>
                <w:szCs w:val="18"/>
              </w:rPr>
            </w:pPr>
            <w:r>
              <w:rPr>
                <w:rFonts w:ascii="宋体"/>
                <w:sz w:val="18"/>
              </w:rPr>
              <w:t>100.00%</w:t>
            </w:r>
          </w:p>
        </w:tc>
        <w:tc>
          <w:tcPr>
            <w:tcW w:w="125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600,340.42</w:t>
            </w:r>
          </w:p>
        </w:tc>
        <w:tc>
          <w:tcPr>
            <w:tcW w:w="118" w:type="dxa"/>
            <w:tcBorders>
              <w:top w:val="nil" w:sz="6" w:space="0" w:color="auto"/>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2"/>
              <w:jc w:val="right"/>
              <w:rPr>
                <w:rFonts w:ascii="宋体" w:hAnsi="宋体" w:cs="宋体" w:eastAsia="宋体" w:hint="default"/>
                <w:sz w:val="18"/>
                <w:szCs w:val="18"/>
              </w:rPr>
            </w:pPr>
            <w:r>
              <w:rPr>
                <w:rFonts w:ascii="宋体"/>
                <w:sz w:val="18"/>
              </w:rPr>
              <w:t>4,640,707.90</w:t>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192"/>
              <w:jc w:val="right"/>
              <w:rPr>
                <w:rFonts w:ascii="宋体" w:hAnsi="宋体" w:cs="宋体" w:eastAsia="宋体" w:hint="default"/>
                <w:sz w:val="18"/>
                <w:szCs w:val="18"/>
              </w:rPr>
            </w:pPr>
            <w:r>
              <w:rPr>
                <w:rFonts w:ascii="宋体"/>
                <w:sz w:val="18"/>
              </w:rPr>
              <w:t>100.00%</w:t>
            </w:r>
          </w:p>
        </w:tc>
        <w:tc>
          <w:tcPr>
            <w:tcW w:w="1262"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51"/>
              <w:jc w:val="right"/>
              <w:rPr>
                <w:rFonts w:ascii="宋体" w:hAnsi="宋体" w:cs="宋体" w:eastAsia="宋体" w:hint="default"/>
                <w:sz w:val="18"/>
                <w:szCs w:val="18"/>
              </w:rPr>
            </w:pPr>
            <w:r>
              <w:rPr>
                <w:rFonts w:ascii="宋体"/>
                <w:sz w:val="18"/>
              </w:rPr>
              <w:t>334,600.84</w:t>
            </w:r>
          </w:p>
        </w:tc>
      </w:tr>
    </w:tbl>
    <w:p>
      <w:pPr>
        <w:tabs>
          <w:tab w:pos="3316" w:val="left" w:leader="none"/>
          <w:tab w:pos="7485" w:val="left" w:leader="none"/>
        </w:tabs>
        <w:spacing w:line="28" w:lineRule="exact"/>
        <w:ind w:left="1743" w:right="0" w:firstLine="0"/>
        <w:rPr>
          <w:rFonts w:ascii="宋体" w:hAnsi="宋体" w:cs="宋体" w:eastAsia="宋体" w:hint="default"/>
          <w:sz w:val="2"/>
          <w:szCs w:val="2"/>
        </w:rPr>
      </w:pPr>
      <w:r>
        <w:rPr>
          <w:rFonts w:ascii="宋体"/>
          <w:position w:val="0"/>
          <w:sz w:val="2"/>
        </w:rPr>
        <w:pict>
          <v:group style="width:67.05pt;height:1.45pt;mso-position-horizontal-relative:char;mso-position-vertical-relative:line" coordorigin="0,0" coordsize="1341,29">
            <v:group style="position:absolute;left:5;top:24;width:1331;height:2" coordorigin="5,24" coordsize="1331,2">
              <v:shape style="position:absolute;left:5;top:24;width:1331;height:2" coordorigin="5,24" coordsize="1331,0" path="m5,24l1336,24e" filled="false" stroked="true" strokeweight=".48pt" strokecolor="#000000">
                <v:path arrowok="t"/>
              </v:shape>
            </v:group>
            <v:group style="position:absolute;left:5;top:5;width:1331;height:2" coordorigin="5,5" coordsize="1331,2">
              <v:shape style="position:absolute;left:5;top:5;width:1331;height:2" coordorigin="5,5" coordsize="1331,0" path="m5,5l1336,5e" filled="false" stroked="true" strokeweight=".4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55.15pt;height:1.45pt;mso-position-horizontal-relative:char;mso-position-vertical-relative:line" coordorigin="0,0" coordsize="1103,29">
            <v:group style="position:absolute;left:5;top:24;width:1094;height:2" coordorigin="5,24" coordsize="1094,2">
              <v:shape style="position:absolute;left:5;top:24;width:1094;height:2" coordorigin="5,24" coordsize="1094,0" path="m5,24l1098,24e" filled="false" stroked="true" strokeweight=".48pt" strokecolor="#000000">
                <v:path arrowok="t"/>
              </v:shape>
            </v:group>
            <v:group style="position:absolute;left:5;top:5;width:1094;height:2" coordorigin="5,5" coordsize="1094,2">
              <v:shape style="position:absolute;left:5;top:5;width:1094;height:2" coordorigin="5,5" coordsize="1094,0" path="m5,5l1098,5e" filled="false" stroked="true" strokeweight=".48pt" strokecolor="#000000">
                <v:path arrowok="t"/>
              </v:shape>
            </v:group>
          </v:group>
        </w:pict>
      </w:r>
      <w:r>
        <w:rPr>
          <w:rFonts w:ascii="宋体"/>
          <w:position w:val="0"/>
          <w:sz w:val="2"/>
        </w:rPr>
      </w:r>
      <w:r>
        <w:rPr>
          <w:rFonts w:ascii="Times New Roman"/>
          <w:spacing w:val="186"/>
          <w:position w:val="0"/>
          <w:sz w:val="2"/>
        </w:rPr>
        <w:t> </w:t>
      </w:r>
      <w:r>
        <w:rPr>
          <w:rFonts w:ascii="宋体"/>
          <w:spacing w:val="186"/>
          <w:position w:val="0"/>
          <w:sz w:val="2"/>
        </w:rPr>
        <w:pict>
          <v:group style="width:63.55pt;height:1.45pt;mso-position-horizontal-relative:char;mso-position-vertical-relative:line" coordorigin="0,0" coordsize="1271,29">
            <v:group style="position:absolute;left:5;top:24;width:1262;height:2" coordorigin="5,24" coordsize="1262,2">
              <v:shape style="position:absolute;left:5;top:24;width:1262;height:2" coordorigin="5,24" coordsize="1262,0" path="m5,24l1266,24e" filled="false" stroked="true" strokeweight=".48pt" strokecolor="#000000">
                <v:path arrowok="t"/>
              </v:shape>
            </v:group>
            <v:group style="position:absolute;left:5;top:5;width:1262;height:2" coordorigin="5,5" coordsize="1262,2">
              <v:shape style="position:absolute;left:5;top:5;width:1262;height:2" coordorigin="5,5" coordsize="1262,0" path="m5,5l1266,5e" filled="false" stroked="true" strokeweight=".48pt" strokecolor="#000000">
                <v:path arrowok="t"/>
              </v:shape>
            </v:group>
          </v:group>
        </w:pict>
      </w:r>
      <w:r>
        <w:rPr>
          <w:rFonts w:ascii="宋体"/>
          <w:spacing w:val="186"/>
          <w:position w:val="0"/>
          <w:sz w:val="2"/>
        </w:rPr>
      </w:r>
      <w:r>
        <w:rPr>
          <w:rFonts w:ascii="Times New Roman"/>
          <w:spacing w:val="85"/>
          <w:position w:val="0"/>
          <w:sz w:val="2"/>
        </w:rPr>
        <w:t> </w:t>
      </w:r>
      <w:r>
        <w:rPr>
          <w:rFonts w:ascii="宋体"/>
          <w:spacing w:val="85"/>
          <w:position w:val="0"/>
          <w:sz w:val="2"/>
        </w:rPr>
        <w:pict>
          <v:group style="width:63.15pt;height:1.45pt;mso-position-horizontal-relative:char;mso-position-vertical-relative:line" coordorigin="0,0" coordsize="1263,29">
            <v:group style="position:absolute;left:5;top:24;width:1253;height:2" coordorigin="5,24" coordsize="1253,2">
              <v:shape style="position:absolute;left:5;top:24;width:1253;height:2" coordorigin="5,24" coordsize="1253,0" path="m5,24l1258,24e" filled="false" stroked="true" strokeweight=".48pt" strokecolor="#000000">
                <v:path arrowok="t"/>
              </v:shape>
            </v:group>
            <v:group style="position:absolute;left:5;top:5;width:1253;height:2" coordorigin="5,5" coordsize="1253,2">
              <v:shape style="position:absolute;left:5;top:5;width:1253;height:2" coordorigin="5,5" coordsize="1253,0" path="m5,5l1258,5e" filled="false" stroked="true" strokeweight=".48pt" strokecolor="#000000">
                <v:path arrowok="t"/>
              </v:shape>
            </v:group>
          </v:group>
        </w:pict>
      </w:r>
      <w:r>
        <w:rPr>
          <w:rFonts w:ascii="宋体"/>
          <w:spacing w:val="85"/>
          <w:position w:val="0"/>
          <w:sz w:val="2"/>
        </w:rPr>
      </w:r>
      <w:r>
        <w:rPr>
          <w:rFonts w:ascii="宋体"/>
          <w:spacing w:val="85"/>
          <w:position w:val="0"/>
          <w:sz w:val="2"/>
        </w:rPr>
        <w:tab/>
      </w:r>
      <w:r>
        <w:rPr>
          <w:rFonts w:ascii="宋体"/>
          <w:spacing w:val="85"/>
          <w:position w:val="0"/>
          <w:sz w:val="2"/>
        </w:rPr>
        <w:pict>
          <v:group style="width:53.5pt;height:1.45pt;mso-position-horizontal-relative:char;mso-position-vertical-relative:line" coordorigin="0,0" coordsize="1070,29">
            <v:group style="position:absolute;left:5;top:24;width:1060;height:2" coordorigin="5,24" coordsize="1060,2">
              <v:shape style="position:absolute;left:5;top:24;width:1060;height:2" coordorigin="5,24" coordsize="1060,0" path="m5,24l1064,24e" filled="false" stroked="true" strokeweight=".48pt" strokecolor="#000000">
                <v:path arrowok="t"/>
              </v:shape>
            </v:group>
            <v:group style="position:absolute;left:5;top:5;width:1060;height:2" coordorigin="5,5" coordsize="1060,2">
              <v:shape style="position:absolute;left:5;top:5;width:1060;height:2" coordorigin="5,5" coordsize="1060,0" path="m5,5l1064,5e" filled="false" stroked="true" strokeweight=".48pt" strokecolor="#000000">
                <v:path arrowok="t"/>
              </v:shape>
            </v:group>
          </v:group>
        </w:pict>
      </w:r>
      <w:r>
        <w:rPr>
          <w:rFonts w:ascii="宋体"/>
          <w:spacing w:val="85"/>
          <w:position w:val="0"/>
          <w:sz w:val="2"/>
        </w:rPr>
      </w:r>
      <w:r>
        <w:rPr>
          <w:rFonts w:ascii="Times New Roman"/>
          <w:spacing w:val="142"/>
          <w:position w:val="0"/>
          <w:sz w:val="2"/>
        </w:rPr>
        <w:t> </w:t>
      </w:r>
      <w:r>
        <w:rPr>
          <w:rFonts w:ascii="宋体"/>
          <w:spacing w:val="142"/>
          <w:position w:val="0"/>
          <w:sz w:val="2"/>
        </w:rPr>
        <w:pict>
          <v:group style="width:62.25pt;height:1.45pt;mso-position-horizontal-relative:char;mso-position-vertical-relative:line" coordorigin="0,0" coordsize="1245,29">
            <v:group style="position:absolute;left:5;top:24;width:1235;height:2" coordorigin="5,24" coordsize="1235,2">
              <v:shape style="position:absolute;left:5;top:24;width:1235;height:2" coordorigin="5,24" coordsize="1235,0" path="m5,24l1240,24e" filled="false" stroked="true" strokeweight=".48pt" strokecolor="#000000">
                <v:path arrowok="t"/>
              </v:shape>
            </v:group>
            <v:group style="position:absolute;left:5;top:5;width:1235;height:2" coordorigin="5,5" coordsize="1235,2">
              <v:shape style="position:absolute;left:5;top:5;width:1235;height:2" coordorigin="5,5" coordsize="1235,0" path="m5,5l1240,5e" filled="false" stroked="true" strokeweight=".48pt" strokecolor="#000000">
                <v:path arrowok="t"/>
              </v:shape>
            </v:group>
          </v:group>
        </w:pict>
      </w:r>
      <w:r>
        <w:rPr>
          <w:rFonts w:ascii="宋体"/>
          <w:spacing w:val="142"/>
          <w:position w:val="0"/>
          <w:sz w:val="2"/>
        </w:rPr>
      </w:r>
    </w:p>
    <w:p>
      <w:pPr>
        <w:spacing w:line="240" w:lineRule="auto" w:before="4"/>
        <w:rPr>
          <w:rFonts w:ascii="宋体" w:hAnsi="宋体" w:cs="宋体" w:eastAsia="宋体" w:hint="default"/>
          <w:sz w:val="11"/>
          <w:szCs w:val="11"/>
        </w:rPr>
      </w:pPr>
    </w:p>
    <w:p>
      <w:pPr>
        <w:pStyle w:val="BodyText"/>
        <w:spacing w:line="240" w:lineRule="auto" w:before="26"/>
        <w:ind w:left="794" w:right="90"/>
        <w:jc w:val="left"/>
      </w:pPr>
      <w:r>
        <w:rPr/>
        <w:t>(2)其他应收款按类别分析如下：</w:t>
      </w:r>
    </w:p>
    <w:p>
      <w:pPr>
        <w:spacing w:line="240" w:lineRule="auto" w:before="1"/>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1802"/>
        <w:gridCol w:w="1411"/>
        <w:gridCol w:w="992"/>
        <w:gridCol w:w="994"/>
        <w:gridCol w:w="857"/>
        <w:gridCol w:w="1157"/>
        <w:gridCol w:w="1032"/>
        <w:gridCol w:w="964"/>
        <w:gridCol w:w="632"/>
      </w:tblGrid>
      <w:tr>
        <w:trPr>
          <w:trHeight w:val="290" w:hRule="exact"/>
        </w:trPr>
        <w:tc>
          <w:tcPr>
            <w:tcW w:w="5200"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314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857" w:type="dxa"/>
            <w:tcBorders>
              <w:top w:val="nil" w:sz="6" w:space="0" w:color="auto"/>
              <w:left w:val="nil" w:sz="6" w:space="0" w:color="auto"/>
              <w:bottom w:val="single" w:sz="4" w:space="0" w:color="000000"/>
              <w:right w:val="nil" w:sz="6" w:space="0" w:color="auto"/>
            </w:tcBorders>
          </w:tcPr>
          <w:p>
            <w:pPr/>
          </w:p>
        </w:tc>
        <w:tc>
          <w:tcPr>
            <w:tcW w:w="1157" w:type="dxa"/>
            <w:tcBorders>
              <w:top w:val="nil" w:sz="6" w:space="0" w:color="auto"/>
              <w:left w:val="nil" w:sz="6" w:space="0" w:color="auto"/>
              <w:bottom w:val="single" w:sz="4" w:space="0" w:color="000000"/>
              <w:right w:val="nil" w:sz="6" w:space="0" w:color="auto"/>
            </w:tcBorders>
          </w:tcPr>
          <w:p>
            <w:pPr/>
          </w:p>
        </w:tc>
        <w:tc>
          <w:tcPr>
            <w:tcW w:w="1996"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left="-3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32" w:type="dxa"/>
            <w:tcBorders>
              <w:top w:val="nil" w:sz="6" w:space="0" w:color="auto"/>
              <w:left w:val="nil" w:sz="6" w:space="0" w:color="auto"/>
              <w:bottom w:val="single" w:sz="4" w:space="0" w:color="000000"/>
              <w:right w:val="nil" w:sz="6" w:space="0" w:color="auto"/>
            </w:tcBorders>
          </w:tcPr>
          <w:p>
            <w:pPr/>
          </w:p>
        </w:tc>
      </w:tr>
      <w:tr>
        <w:trPr>
          <w:trHeight w:val="714" w:hRule="exact"/>
        </w:trPr>
        <w:tc>
          <w:tcPr>
            <w:tcW w:w="1802"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6"/>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99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57"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1157"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32"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964" w:type="dxa"/>
            <w:tcBorders>
              <w:top w:val="single" w:sz="4"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32" w:type="dxa"/>
            <w:tcBorders>
              <w:top w:val="single" w:sz="4" w:space="0" w:color="000000"/>
              <w:left w:val="nil" w:sz="6" w:space="0" w:color="auto"/>
              <w:bottom w:val="single" w:sz="4" w:space="0" w:color="000000"/>
              <w:right w:val="nil" w:sz="6" w:space="0" w:color="auto"/>
            </w:tcBorders>
          </w:tcPr>
          <w:p>
            <w:pPr>
              <w:pStyle w:val="TableParagraph"/>
              <w:spacing w:line="316" w:lineRule="auto" w:before="51"/>
              <w:ind w:left="215" w:right="54" w:hanging="180"/>
              <w:jc w:val="left"/>
              <w:rPr>
                <w:rFonts w:ascii="宋体" w:hAnsi="宋体" w:cs="宋体" w:eastAsia="宋体" w:hint="default"/>
                <w:sz w:val="18"/>
                <w:szCs w:val="18"/>
              </w:rPr>
            </w:pPr>
            <w:r>
              <w:rPr>
                <w:rFonts w:ascii="宋体" w:hAnsi="宋体" w:cs="宋体" w:eastAsia="宋体" w:hint="default"/>
                <w:sz w:val="18"/>
                <w:szCs w:val="18"/>
              </w:rPr>
              <w:t>计提比 例</w:t>
            </w:r>
          </w:p>
        </w:tc>
      </w:tr>
      <w:tr>
        <w:trPr>
          <w:trHeight w:val="710"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316" w:lineRule="auto" w:before="56"/>
              <w:ind w:left="200" w:right="79"/>
              <w:jc w:val="left"/>
              <w:rPr>
                <w:rFonts w:ascii="宋体" w:hAnsi="宋体" w:cs="宋体" w:eastAsia="宋体" w:hint="default"/>
                <w:sz w:val="18"/>
                <w:szCs w:val="18"/>
              </w:rPr>
            </w:pPr>
            <w:r>
              <w:rPr>
                <w:rFonts w:ascii="宋体" w:hAnsi="宋体" w:cs="宋体" w:eastAsia="宋体" w:hint="default"/>
                <w:spacing w:val="9"/>
                <w:sz w:val="18"/>
                <w:szCs w:val="18"/>
              </w:rPr>
              <w:t>单项金额重大的外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部应收款</w:t>
            </w: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z w:val="18"/>
              </w:rPr>
              <w:t>8,700,841.88</w:t>
            </w: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z w:val="18"/>
              </w:rPr>
              <w:t>75.52%</w:t>
            </w:r>
          </w:p>
        </w:tc>
        <w:tc>
          <w:tcPr>
            <w:tcW w:w="99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sz w:val="18"/>
              </w:rPr>
              <w:t>510,042.09</w:t>
            </w:r>
          </w:p>
        </w:tc>
        <w:tc>
          <w:tcPr>
            <w:tcW w:w="857"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z w:val="18"/>
              </w:rPr>
              <w:t>5.86%</w:t>
            </w: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8"/>
                <w:szCs w:val="18"/>
              </w:rPr>
            </w:pPr>
            <w:r>
              <w:rPr>
                <w:rFonts w:ascii="宋体"/>
                <w:spacing w:val="-5"/>
                <w:sz w:val="18"/>
              </w:rPr>
              <w:t>1,937,600.00</w:t>
            </w:r>
            <w:r>
              <w:rPr>
                <w:rFonts w:ascii="宋体"/>
                <w:sz w:val="18"/>
              </w:rPr>
            </w:r>
          </w:p>
        </w:tc>
        <w:tc>
          <w:tcPr>
            <w:tcW w:w="103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1"/>
              <w:jc w:val="right"/>
              <w:rPr>
                <w:rFonts w:ascii="宋体" w:hAnsi="宋体" w:cs="宋体" w:eastAsia="宋体" w:hint="default"/>
                <w:sz w:val="18"/>
                <w:szCs w:val="18"/>
              </w:rPr>
            </w:pPr>
            <w:r>
              <w:rPr>
                <w:rFonts w:ascii="宋体"/>
                <w:spacing w:val="-4"/>
                <w:sz w:val="18"/>
              </w:rPr>
              <w:t>41.75%</w:t>
            </w:r>
          </w:p>
        </w:tc>
        <w:tc>
          <w:tcPr>
            <w:tcW w:w="96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spacing w:val="-5"/>
                <w:sz w:val="18"/>
              </w:rPr>
              <w:t>171,880.00</w:t>
            </w:r>
            <w:r>
              <w:rPr>
                <w:rFonts w:ascii="宋体"/>
                <w:sz w:val="18"/>
              </w:rPr>
            </w:r>
          </w:p>
        </w:tc>
        <w:tc>
          <w:tcPr>
            <w:tcW w:w="63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pacing w:val="-4"/>
                <w:sz w:val="18"/>
              </w:rPr>
              <w:t>8.87%</w:t>
            </w:r>
          </w:p>
        </w:tc>
      </w:tr>
      <w:tr>
        <w:trPr>
          <w:trHeight w:val="598"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312" w:lineRule="exact" w:before="11"/>
              <w:ind w:left="200" w:right="79"/>
              <w:jc w:val="left"/>
              <w:rPr>
                <w:rFonts w:ascii="宋体" w:hAnsi="宋体" w:cs="宋体" w:eastAsia="宋体" w:hint="default"/>
                <w:sz w:val="18"/>
                <w:szCs w:val="18"/>
              </w:rPr>
            </w:pPr>
            <w:r>
              <w:rPr>
                <w:rFonts w:ascii="宋体" w:hAnsi="宋体" w:cs="宋体" w:eastAsia="宋体" w:hint="default"/>
                <w:spacing w:val="9"/>
                <w:sz w:val="18"/>
                <w:szCs w:val="18"/>
              </w:rPr>
              <w:t>单项金额不重大但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组合风险较大</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z w:val="18"/>
              </w:rPr>
              <w:t>31,102.00</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7"/>
              <w:jc w:val="right"/>
              <w:rPr>
                <w:rFonts w:ascii="宋体" w:hAnsi="宋体" w:cs="宋体" w:eastAsia="宋体" w:hint="default"/>
                <w:sz w:val="18"/>
                <w:szCs w:val="18"/>
              </w:rPr>
            </w:pPr>
            <w:r>
              <w:rPr>
                <w:rFonts w:ascii="宋体"/>
                <w:sz w:val="18"/>
              </w:rPr>
              <w:t>0.27%</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9" w:right="0"/>
              <w:jc w:val="left"/>
              <w:rPr>
                <w:rFonts w:ascii="宋体" w:hAnsi="宋体" w:cs="宋体" w:eastAsia="宋体" w:hint="default"/>
                <w:sz w:val="18"/>
                <w:szCs w:val="18"/>
              </w:rPr>
            </w:pPr>
            <w:r>
              <w:rPr>
                <w:rFonts w:ascii="宋体"/>
                <w:sz w:val="18"/>
              </w:rPr>
              <w:t>9,330.60</w:t>
            </w: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84"/>
              <w:jc w:val="right"/>
              <w:rPr>
                <w:rFonts w:ascii="宋体" w:hAnsi="宋体" w:cs="宋体" w:eastAsia="宋体" w:hint="default"/>
                <w:sz w:val="18"/>
                <w:szCs w:val="18"/>
              </w:rPr>
            </w:pPr>
            <w:r>
              <w:rPr>
                <w:rFonts w:ascii="宋体"/>
                <w:sz w:val="18"/>
              </w:rPr>
              <w:t>30.00%</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spacing w:val="-4"/>
                <w:sz w:val="18"/>
              </w:rPr>
              <w:t>7,320.00</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61"/>
              <w:jc w:val="right"/>
              <w:rPr>
                <w:rFonts w:ascii="宋体" w:hAnsi="宋体" w:cs="宋体" w:eastAsia="宋体" w:hint="default"/>
                <w:sz w:val="18"/>
                <w:szCs w:val="18"/>
              </w:rPr>
            </w:pPr>
            <w:r>
              <w:rPr>
                <w:rFonts w:ascii="宋体"/>
                <w:spacing w:val="-4"/>
                <w:sz w:val="18"/>
              </w:rPr>
              <w:t>0.16%</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spacing w:val="-4"/>
                <w:sz w:val="18"/>
              </w:rPr>
              <w:t>2,196.00</w:t>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pacing w:val="-5"/>
                <w:sz w:val="18"/>
              </w:rPr>
              <w:t>30.00%</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877" w:footer="1022" w:top="1060" w:bottom="1220" w:left="820" w:right="94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tbl>
      <w:tblPr>
        <w:tblW w:w="0" w:type="auto"/>
        <w:jc w:val="left"/>
        <w:tblInd w:w="114" w:type="dxa"/>
        <w:tblLayout w:type="fixed"/>
        <w:tblCellMar>
          <w:top w:w="0" w:type="dxa"/>
          <w:left w:w="0" w:type="dxa"/>
          <w:bottom w:w="0" w:type="dxa"/>
          <w:right w:w="0" w:type="dxa"/>
        </w:tblCellMar>
        <w:tblLook w:val="01E0"/>
      </w:tblPr>
      <w:tblGrid>
        <w:gridCol w:w="1802"/>
        <w:gridCol w:w="1411"/>
        <w:gridCol w:w="992"/>
        <w:gridCol w:w="970"/>
        <w:gridCol w:w="833"/>
        <w:gridCol w:w="1368"/>
        <w:gridCol w:w="870"/>
        <w:gridCol w:w="925"/>
        <w:gridCol w:w="871"/>
      </w:tblGrid>
      <w:tr>
        <w:trPr>
          <w:trHeight w:val="292" w:hRule="exact"/>
        </w:trPr>
        <w:tc>
          <w:tcPr>
            <w:tcW w:w="1802" w:type="dxa"/>
            <w:tcBorders>
              <w:top w:val="nil" w:sz="6" w:space="0" w:color="auto"/>
              <w:left w:val="nil" w:sz="6" w:space="0" w:color="auto"/>
              <w:bottom w:val="nil" w:sz="6" w:space="0" w:color="auto"/>
              <w:right w:val="nil" w:sz="6" w:space="0" w:color="auto"/>
            </w:tcBorders>
          </w:tcPr>
          <w:p>
            <w:pPr>
              <w:pStyle w:val="TableParagraph"/>
              <w:spacing w:line="181" w:lineRule="exact"/>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1" w:type="dxa"/>
            <w:tcBorders>
              <w:top w:val="nil" w:sz="6" w:space="0" w:color="auto"/>
              <w:left w:val="nil" w:sz="6" w:space="0" w:color="auto"/>
              <w:bottom w:val="single" w:sz="4" w:space="0" w:color="000000"/>
              <w:right w:val="nil" w:sz="6" w:space="0" w:color="auto"/>
            </w:tcBorders>
          </w:tcPr>
          <w:p>
            <w:pPr>
              <w:pStyle w:val="TableParagraph"/>
              <w:spacing w:line="181" w:lineRule="exact"/>
              <w:ind w:right="84"/>
              <w:jc w:val="right"/>
              <w:rPr>
                <w:rFonts w:ascii="宋体" w:hAnsi="宋体" w:cs="宋体" w:eastAsia="宋体" w:hint="default"/>
                <w:sz w:val="18"/>
                <w:szCs w:val="18"/>
              </w:rPr>
            </w:pPr>
            <w:r>
              <w:rPr>
                <w:rFonts w:ascii="宋体"/>
                <w:sz w:val="18"/>
              </w:rPr>
              <w:t>2,789,728.41</w:t>
            </w:r>
          </w:p>
        </w:tc>
        <w:tc>
          <w:tcPr>
            <w:tcW w:w="992" w:type="dxa"/>
            <w:tcBorders>
              <w:top w:val="nil" w:sz="6" w:space="0" w:color="auto"/>
              <w:left w:val="nil" w:sz="6" w:space="0" w:color="auto"/>
              <w:bottom w:val="single" w:sz="4" w:space="0" w:color="000000"/>
              <w:right w:val="nil" w:sz="6" w:space="0" w:color="auto"/>
            </w:tcBorders>
          </w:tcPr>
          <w:p>
            <w:pPr>
              <w:pStyle w:val="TableParagraph"/>
              <w:spacing w:line="181" w:lineRule="exact"/>
              <w:ind w:right="67"/>
              <w:jc w:val="right"/>
              <w:rPr>
                <w:rFonts w:ascii="宋体" w:hAnsi="宋体" w:cs="宋体" w:eastAsia="宋体" w:hint="default"/>
                <w:sz w:val="18"/>
                <w:szCs w:val="18"/>
              </w:rPr>
            </w:pPr>
            <w:r>
              <w:rPr>
                <w:rFonts w:ascii="宋体"/>
                <w:sz w:val="18"/>
              </w:rPr>
              <w:t>24.21%</w:t>
            </w:r>
          </w:p>
        </w:tc>
        <w:tc>
          <w:tcPr>
            <w:tcW w:w="970" w:type="dxa"/>
            <w:tcBorders>
              <w:top w:val="nil" w:sz="6" w:space="0" w:color="auto"/>
              <w:left w:val="nil" w:sz="6" w:space="0" w:color="auto"/>
              <w:bottom w:val="single" w:sz="4" w:space="0" w:color="000000"/>
              <w:right w:val="nil" w:sz="6" w:space="0" w:color="auto"/>
            </w:tcBorders>
          </w:tcPr>
          <w:p>
            <w:pPr>
              <w:pStyle w:val="TableParagraph"/>
              <w:spacing w:line="181" w:lineRule="exact"/>
              <w:ind w:right="0"/>
              <w:jc w:val="right"/>
              <w:rPr>
                <w:rFonts w:ascii="宋体" w:hAnsi="宋体" w:cs="宋体" w:eastAsia="宋体" w:hint="default"/>
                <w:sz w:val="18"/>
                <w:szCs w:val="18"/>
              </w:rPr>
            </w:pPr>
            <w:r>
              <w:rPr>
                <w:rFonts w:ascii="宋体"/>
                <w:sz w:val="18"/>
              </w:rPr>
              <w:t>80,967.73</w:t>
            </w:r>
          </w:p>
        </w:tc>
        <w:tc>
          <w:tcPr>
            <w:tcW w:w="833" w:type="dxa"/>
            <w:tcBorders>
              <w:top w:val="nil" w:sz="6" w:space="0" w:color="auto"/>
              <w:left w:val="nil" w:sz="6" w:space="0" w:color="auto"/>
              <w:bottom w:val="nil" w:sz="6" w:space="0" w:color="auto"/>
              <w:right w:val="nil" w:sz="6" w:space="0" w:color="auto"/>
            </w:tcBorders>
          </w:tcPr>
          <w:p>
            <w:pPr>
              <w:pStyle w:val="TableParagraph"/>
              <w:spacing w:line="181" w:lineRule="exact"/>
              <w:ind w:left="345" w:right="0"/>
              <w:jc w:val="left"/>
              <w:rPr>
                <w:rFonts w:ascii="宋体" w:hAnsi="宋体" w:cs="宋体" w:eastAsia="宋体" w:hint="default"/>
                <w:sz w:val="18"/>
                <w:szCs w:val="18"/>
              </w:rPr>
            </w:pPr>
            <w:r>
              <w:rPr>
                <w:rFonts w:ascii="宋体"/>
                <w:sz w:val="18"/>
              </w:rPr>
              <w:t>2.90%</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180" w:lineRule="exact"/>
              <w:ind w:left="135" w:right="0"/>
              <w:jc w:val="left"/>
              <w:rPr>
                <w:rFonts w:ascii="宋体" w:hAnsi="宋体" w:cs="宋体" w:eastAsia="宋体" w:hint="default"/>
                <w:sz w:val="18"/>
                <w:szCs w:val="18"/>
              </w:rPr>
            </w:pPr>
            <w:r>
              <w:rPr>
                <w:rFonts w:ascii="宋体"/>
                <w:spacing w:val="-5"/>
                <w:sz w:val="18"/>
              </w:rPr>
              <w:t>2,695,787.90</w:t>
            </w:r>
            <w:r>
              <w:rPr>
                <w:rFonts w:ascii="宋体"/>
                <w:sz w:val="18"/>
              </w:rPr>
            </w:r>
          </w:p>
        </w:tc>
        <w:tc>
          <w:tcPr>
            <w:tcW w:w="870" w:type="dxa"/>
            <w:tcBorders>
              <w:top w:val="nil" w:sz="6" w:space="0" w:color="auto"/>
              <w:left w:val="nil" w:sz="6" w:space="0" w:color="auto"/>
              <w:bottom w:val="single" w:sz="4" w:space="0" w:color="000000"/>
              <w:right w:val="nil" w:sz="6" w:space="0" w:color="auto"/>
            </w:tcBorders>
          </w:tcPr>
          <w:p>
            <w:pPr>
              <w:pStyle w:val="TableParagraph"/>
              <w:spacing w:line="181" w:lineRule="exact"/>
              <w:ind w:right="61"/>
              <w:jc w:val="right"/>
              <w:rPr>
                <w:rFonts w:ascii="宋体" w:hAnsi="宋体" w:cs="宋体" w:eastAsia="宋体" w:hint="default"/>
                <w:sz w:val="18"/>
                <w:szCs w:val="18"/>
              </w:rPr>
            </w:pPr>
            <w:r>
              <w:rPr>
                <w:rFonts w:ascii="宋体"/>
                <w:spacing w:val="-4"/>
                <w:sz w:val="18"/>
              </w:rPr>
              <w:t>58.09%</w:t>
            </w:r>
          </w:p>
        </w:tc>
        <w:tc>
          <w:tcPr>
            <w:tcW w:w="925"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pacing w:val="-5"/>
                <w:sz w:val="18"/>
              </w:rPr>
              <w:t>160,524.84</w:t>
            </w:r>
            <w:r>
              <w:rPr>
                <w:rFonts w:ascii="宋体"/>
                <w:sz w:val="18"/>
              </w:rPr>
            </w:r>
          </w:p>
        </w:tc>
        <w:tc>
          <w:tcPr>
            <w:tcW w:w="871" w:type="dxa"/>
            <w:tcBorders>
              <w:top w:val="nil" w:sz="6" w:space="0" w:color="auto"/>
              <w:left w:val="nil" w:sz="6" w:space="0" w:color="auto"/>
              <w:bottom w:val="nil" w:sz="6" w:space="0" w:color="auto"/>
              <w:right w:val="nil" w:sz="6" w:space="0" w:color="auto"/>
            </w:tcBorders>
          </w:tcPr>
          <w:p>
            <w:pPr>
              <w:pStyle w:val="TableParagraph"/>
              <w:spacing w:line="181" w:lineRule="exact"/>
              <w:ind w:left="236" w:right="0"/>
              <w:jc w:val="left"/>
              <w:rPr>
                <w:rFonts w:ascii="宋体" w:hAnsi="宋体" w:cs="宋体" w:eastAsia="宋体" w:hint="default"/>
                <w:sz w:val="18"/>
                <w:szCs w:val="18"/>
              </w:rPr>
            </w:pPr>
            <w:r>
              <w:rPr>
                <w:rFonts w:ascii="宋体"/>
                <w:spacing w:val="-4"/>
                <w:sz w:val="18"/>
              </w:rPr>
              <w:t>5.95%</w:t>
            </w:r>
          </w:p>
        </w:tc>
      </w:tr>
      <w:tr>
        <w:trPr>
          <w:trHeight w:val="413" w:hRule="exact"/>
        </w:trPr>
        <w:tc>
          <w:tcPr>
            <w:tcW w:w="1802" w:type="dxa"/>
            <w:tcBorders>
              <w:top w:val="nil" w:sz="6" w:space="0" w:color="auto"/>
              <w:left w:val="nil" w:sz="6" w:space="0" w:color="auto"/>
              <w:bottom w:val="nil" w:sz="6" w:space="0" w:color="auto"/>
              <w:right w:val="nil" w:sz="6" w:space="0" w:color="auto"/>
            </w:tcBorders>
          </w:tcPr>
          <w:p>
            <w:pPr/>
          </w:p>
        </w:tc>
        <w:tc>
          <w:tcPr>
            <w:tcW w:w="141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84"/>
              <w:jc w:val="right"/>
              <w:rPr>
                <w:rFonts w:ascii="宋体" w:hAnsi="宋体" w:cs="宋体" w:eastAsia="宋体" w:hint="default"/>
                <w:sz w:val="18"/>
                <w:szCs w:val="18"/>
              </w:rPr>
            </w:pPr>
            <w:r>
              <w:rPr>
                <w:rFonts w:ascii="宋体"/>
                <w:sz w:val="18"/>
              </w:rPr>
              <w:t>11,521,672.29</w:t>
            </w:r>
          </w:p>
        </w:tc>
        <w:tc>
          <w:tcPr>
            <w:tcW w:w="99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67"/>
              <w:jc w:val="right"/>
              <w:rPr>
                <w:rFonts w:ascii="宋体" w:hAnsi="宋体" w:cs="宋体" w:eastAsia="宋体" w:hint="default"/>
                <w:sz w:val="18"/>
                <w:szCs w:val="18"/>
              </w:rPr>
            </w:pPr>
            <w:r>
              <w:rPr>
                <w:rFonts w:ascii="宋体"/>
                <w:sz w:val="18"/>
              </w:rPr>
              <w:t>100.00%</w:t>
            </w:r>
          </w:p>
        </w:tc>
        <w:tc>
          <w:tcPr>
            <w:tcW w:w="97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600,340.42</w:t>
            </w:r>
          </w:p>
        </w:tc>
        <w:tc>
          <w:tcPr>
            <w:tcW w:w="833"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135" w:right="0"/>
              <w:jc w:val="left"/>
              <w:rPr>
                <w:rFonts w:ascii="宋体" w:hAnsi="宋体" w:cs="宋体" w:eastAsia="宋体" w:hint="default"/>
                <w:sz w:val="18"/>
                <w:szCs w:val="18"/>
              </w:rPr>
            </w:pPr>
            <w:r>
              <w:rPr>
                <w:rFonts w:ascii="宋体"/>
                <w:spacing w:val="-5"/>
                <w:sz w:val="18"/>
              </w:rPr>
              <w:t>4,640,707.90</w:t>
            </w:r>
            <w:r>
              <w:rPr>
                <w:rFonts w:ascii="宋体"/>
                <w:sz w:val="18"/>
              </w:rPr>
            </w:r>
          </w:p>
        </w:tc>
        <w:tc>
          <w:tcPr>
            <w:tcW w:w="87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61"/>
              <w:jc w:val="right"/>
              <w:rPr>
                <w:rFonts w:ascii="宋体" w:hAnsi="宋体" w:cs="宋体" w:eastAsia="宋体" w:hint="default"/>
                <w:sz w:val="18"/>
                <w:szCs w:val="18"/>
              </w:rPr>
            </w:pPr>
            <w:r>
              <w:rPr>
                <w:rFonts w:ascii="宋体"/>
                <w:spacing w:val="-4"/>
                <w:sz w:val="18"/>
              </w:rPr>
              <w:t>100.00%</w:t>
            </w:r>
          </w:p>
        </w:tc>
        <w:tc>
          <w:tcPr>
            <w:tcW w:w="925"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pacing w:val="-5"/>
                <w:sz w:val="18"/>
              </w:rPr>
              <w:t>334,600.84</w:t>
            </w:r>
            <w:r>
              <w:rPr>
                <w:rFonts w:ascii="宋体"/>
                <w:sz w:val="18"/>
              </w:rPr>
            </w:r>
          </w:p>
        </w:tc>
        <w:tc>
          <w:tcPr>
            <w:tcW w:w="871"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7"/>
          <w:szCs w:val="7"/>
        </w:rPr>
      </w:pPr>
    </w:p>
    <w:p>
      <w:pPr>
        <w:pStyle w:val="BodyText"/>
        <w:spacing w:line="364" w:lineRule="auto" w:before="26"/>
        <w:ind w:left="914" w:right="298" w:hanging="60"/>
        <w:jc w:val="left"/>
      </w:pPr>
      <w:r>
        <w:rPr/>
        <w:t>a、单项金额重大的外部应收款项，是指金额</w:t>
      </w:r>
      <w:r>
        <w:rPr>
          <w:spacing w:val="-60"/>
        </w:rPr>
        <w:t> </w:t>
      </w:r>
      <w:r>
        <w:rPr/>
        <w:t>20</w:t>
      </w:r>
      <w:r>
        <w:rPr>
          <w:spacing w:val="-60"/>
        </w:rPr>
        <w:t> </w:t>
      </w:r>
      <w:r>
        <w:rPr/>
        <w:t>万元及以上的应收款项；</w:t>
      </w:r>
      <w:r>
        <w:rPr/>
        <w:t> b、单项金额不重大但按信用风险特征组合后该组合的风险较大的应收款项，是指单项</w:t>
      </w:r>
    </w:p>
    <w:p>
      <w:pPr>
        <w:pStyle w:val="BodyText"/>
        <w:spacing w:line="240" w:lineRule="auto" w:before="2"/>
        <w:ind w:left="313" w:right="3871"/>
        <w:jc w:val="left"/>
      </w:pPr>
      <w:r>
        <w:rPr/>
        <w:t>金额不重大但账龄</w:t>
      </w:r>
      <w:r>
        <w:rPr>
          <w:spacing w:val="-60"/>
        </w:rPr>
        <w:t> </w:t>
      </w:r>
      <w:r>
        <w:rPr/>
        <w:t>3</w:t>
      </w:r>
      <w:r>
        <w:rPr>
          <w:spacing w:val="-60"/>
        </w:rPr>
        <w:t> </w:t>
      </w:r>
      <w:r>
        <w:rPr/>
        <w:t>年及以上的应收款项；</w:t>
      </w:r>
    </w:p>
    <w:p>
      <w:pPr>
        <w:pStyle w:val="BodyText"/>
        <w:spacing w:line="336" w:lineRule="auto" w:before="164"/>
        <w:ind w:left="313" w:right="292" w:firstLine="600"/>
        <w:jc w:val="left"/>
      </w:pPr>
      <w:r>
        <w:rPr/>
        <w:t>c、年末其他应收账款前五名债务人欠款金额合计为</w:t>
      </w:r>
      <w:r>
        <w:rPr>
          <w:spacing w:val="-78"/>
        </w:rPr>
        <w:t> </w:t>
      </w:r>
      <w:r>
        <w:rPr/>
        <w:t>4,432,000.00</w:t>
      </w:r>
      <w:r>
        <w:rPr>
          <w:spacing w:val="-78"/>
        </w:rPr>
        <w:t> </w:t>
      </w:r>
      <w:r>
        <w:rPr>
          <w:spacing w:val="-5"/>
        </w:rPr>
        <w:t>元，主要系投标保证</w:t>
      </w:r>
      <w:r>
        <w:rPr/>
        <w:t> 金，占其他应收款总额的</w:t>
      </w:r>
      <w:r>
        <w:rPr>
          <w:spacing w:val="-60"/>
        </w:rPr>
        <w:t> </w:t>
      </w:r>
      <w:r>
        <w:rPr/>
        <w:t>38.47%。明细如下：</w:t>
      </w:r>
    </w:p>
    <w:p>
      <w:pPr>
        <w:spacing w:line="240" w:lineRule="auto" w:before="10"/>
        <w:rPr>
          <w:rFonts w:ascii="宋体" w:hAnsi="宋体" w:cs="宋体" w:eastAsia="宋体" w:hint="default"/>
          <w:sz w:val="6"/>
          <w:szCs w:val="6"/>
        </w:rPr>
      </w:pPr>
    </w:p>
    <w:tbl>
      <w:tblPr>
        <w:tblW w:w="0" w:type="auto"/>
        <w:jc w:val="left"/>
        <w:tblInd w:w="313" w:type="dxa"/>
        <w:tblLayout w:type="fixed"/>
        <w:tblCellMar>
          <w:top w:w="0" w:type="dxa"/>
          <w:left w:w="0" w:type="dxa"/>
          <w:bottom w:w="0" w:type="dxa"/>
          <w:right w:w="0" w:type="dxa"/>
        </w:tblCellMar>
        <w:tblLook w:val="01E0"/>
      </w:tblPr>
      <w:tblGrid>
        <w:gridCol w:w="3420"/>
        <w:gridCol w:w="304"/>
        <w:gridCol w:w="2249"/>
        <w:gridCol w:w="211"/>
        <w:gridCol w:w="1795"/>
        <w:gridCol w:w="304"/>
        <w:gridCol w:w="1356"/>
      </w:tblGrid>
      <w:tr>
        <w:trPr>
          <w:trHeight w:val="293" w:hRule="exact"/>
        </w:trPr>
        <w:tc>
          <w:tcPr>
            <w:tcW w:w="3420"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04"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1"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Style w:val="TableParagraph"/>
              <w:spacing w:line="180" w:lineRule="exact"/>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04"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180" w:lineRule="exact"/>
              <w:ind w:left="10" w:right="0"/>
              <w:jc w:val="center"/>
              <w:rPr>
                <w:rFonts w:ascii="宋体" w:hAnsi="宋体" w:cs="宋体" w:eastAsia="宋体" w:hint="default"/>
                <w:sz w:val="18"/>
                <w:szCs w:val="18"/>
              </w:rPr>
            </w:pPr>
            <w:r>
              <w:rPr>
                <w:rFonts w:ascii="宋体" w:hAnsi="宋体" w:cs="宋体" w:eastAsia="宋体" w:hint="default"/>
                <w:sz w:val="18"/>
                <w:szCs w:val="18"/>
              </w:rPr>
              <w:t>占总额%</w:t>
            </w:r>
          </w:p>
        </w:tc>
      </w:tr>
      <w:tr>
        <w:trPr>
          <w:trHeight w:val="397" w:hRule="exact"/>
        </w:trPr>
        <w:tc>
          <w:tcPr>
            <w:tcW w:w="342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left"/>
              <w:rPr>
                <w:rFonts w:ascii="宋体" w:hAnsi="宋体" w:cs="宋体" w:eastAsia="宋体" w:hint="default"/>
                <w:sz w:val="18"/>
                <w:szCs w:val="18"/>
              </w:rPr>
            </w:pPr>
            <w:r>
              <w:rPr>
                <w:rFonts w:ascii="宋体" w:hAnsi="宋体" w:cs="宋体" w:eastAsia="宋体" w:hint="default"/>
                <w:sz w:val="18"/>
                <w:szCs w:val="18"/>
              </w:rPr>
              <w:t>青海黄河水电再生铝业有限公司</w:t>
            </w:r>
          </w:p>
        </w:tc>
        <w:tc>
          <w:tcPr>
            <w:tcW w:w="304"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1,653,000.00</w:t>
            </w:r>
          </w:p>
        </w:tc>
        <w:tc>
          <w:tcPr>
            <w:tcW w:w="211"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5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04"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9" w:right="0"/>
              <w:jc w:val="center"/>
              <w:rPr>
                <w:rFonts w:ascii="宋体" w:hAnsi="宋体" w:cs="宋体" w:eastAsia="宋体" w:hint="default"/>
                <w:sz w:val="18"/>
                <w:szCs w:val="18"/>
              </w:rPr>
            </w:pPr>
            <w:r>
              <w:rPr>
                <w:rFonts w:ascii="宋体"/>
                <w:sz w:val="18"/>
              </w:rPr>
              <w:t>14.35%</w:t>
            </w:r>
          </w:p>
        </w:tc>
      </w:tr>
      <w:tr>
        <w:trPr>
          <w:trHeight w:val="394"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left"/>
              <w:rPr>
                <w:rFonts w:ascii="宋体" w:hAnsi="宋体" w:cs="宋体" w:eastAsia="宋体" w:hint="default"/>
                <w:sz w:val="18"/>
                <w:szCs w:val="18"/>
              </w:rPr>
            </w:pPr>
            <w:r>
              <w:rPr>
                <w:rFonts w:ascii="宋体" w:hAnsi="宋体" w:cs="宋体" w:eastAsia="宋体" w:hint="default"/>
                <w:w w:val="95"/>
                <w:sz w:val="18"/>
                <w:szCs w:val="18"/>
              </w:rPr>
              <w:t>广铁集团焦柳铁路洛张电改工程建设指挥部</w:t>
            </w:r>
          </w:p>
        </w:tc>
        <w:tc>
          <w:tcPr>
            <w:tcW w:w="304"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18"/>
                <w:szCs w:val="18"/>
              </w:rPr>
            </w:pPr>
            <w:r>
              <w:rPr>
                <w:rFonts w:ascii="宋体"/>
                <w:sz w:val="18"/>
              </w:rPr>
              <w:t>899,000.00</w:t>
            </w:r>
          </w:p>
        </w:tc>
        <w:tc>
          <w:tcPr>
            <w:tcW w:w="211"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04"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 w:right="0"/>
              <w:jc w:val="center"/>
              <w:rPr>
                <w:rFonts w:ascii="宋体" w:hAnsi="宋体" w:cs="宋体" w:eastAsia="宋体" w:hint="default"/>
                <w:sz w:val="18"/>
                <w:szCs w:val="18"/>
              </w:rPr>
            </w:pPr>
            <w:r>
              <w:rPr>
                <w:rFonts w:ascii="宋体"/>
                <w:sz w:val="18"/>
              </w:rPr>
              <w:t>7.80%</w:t>
            </w:r>
          </w:p>
        </w:tc>
      </w:tr>
      <w:tr>
        <w:trPr>
          <w:trHeight w:val="397"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广东南电物资有限公司</w:t>
            </w:r>
          </w:p>
        </w:tc>
        <w:tc>
          <w:tcPr>
            <w:tcW w:w="304"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800,000.00</w:t>
            </w:r>
          </w:p>
        </w:tc>
        <w:tc>
          <w:tcPr>
            <w:tcW w:w="211"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04"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 w:right="0"/>
              <w:jc w:val="center"/>
              <w:rPr>
                <w:rFonts w:ascii="宋体" w:hAnsi="宋体" w:cs="宋体" w:eastAsia="宋体" w:hint="default"/>
                <w:sz w:val="18"/>
                <w:szCs w:val="18"/>
              </w:rPr>
            </w:pPr>
            <w:r>
              <w:rPr>
                <w:rFonts w:ascii="宋体"/>
                <w:sz w:val="18"/>
              </w:rPr>
              <w:t>6.94%</w:t>
            </w:r>
          </w:p>
        </w:tc>
      </w:tr>
      <w:tr>
        <w:trPr>
          <w:trHeight w:val="397"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山西嘉盛招标代理有限公司</w:t>
            </w:r>
          </w:p>
        </w:tc>
        <w:tc>
          <w:tcPr>
            <w:tcW w:w="304"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600,000.00</w:t>
            </w:r>
          </w:p>
        </w:tc>
        <w:tc>
          <w:tcPr>
            <w:tcW w:w="211"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67"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304"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 w:right="0"/>
              <w:jc w:val="center"/>
              <w:rPr>
                <w:rFonts w:ascii="宋体" w:hAnsi="宋体" w:cs="宋体" w:eastAsia="宋体" w:hint="default"/>
                <w:sz w:val="18"/>
                <w:szCs w:val="18"/>
              </w:rPr>
            </w:pPr>
            <w:r>
              <w:rPr>
                <w:rFonts w:ascii="宋体"/>
                <w:sz w:val="18"/>
              </w:rPr>
              <w:t>5.21%</w:t>
            </w:r>
          </w:p>
        </w:tc>
      </w:tr>
      <w:tr>
        <w:trPr>
          <w:trHeight w:val="400"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left"/>
              <w:rPr>
                <w:rFonts w:ascii="宋体" w:hAnsi="宋体" w:cs="宋体" w:eastAsia="宋体" w:hint="default"/>
                <w:sz w:val="18"/>
                <w:szCs w:val="18"/>
              </w:rPr>
            </w:pPr>
            <w:r>
              <w:rPr>
                <w:rFonts w:ascii="宋体" w:hAnsi="宋体" w:cs="宋体" w:eastAsia="宋体" w:hint="default"/>
                <w:sz w:val="18"/>
                <w:szCs w:val="18"/>
              </w:rPr>
              <w:t>黄陵矿业集团有限责任公司</w:t>
            </w:r>
          </w:p>
        </w:tc>
        <w:tc>
          <w:tcPr>
            <w:tcW w:w="304" w:type="dxa"/>
            <w:tcBorders>
              <w:top w:val="nil" w:sz="6" w:space="0" w:color="auto"/>
              <w:left w:val="nil" w:sz="6" w:space="0" w:color="auto"/>
              <w:bottom w:val="nil" w:sz="6" w:space="0" w:color="auto"/>
              <w:right w:val="nil" w:sz="6" w:space="0" w:color="auto"/>
            </w:tcBorders>
          </w:tcPr>
          <w:p>
            <w:pPr/>
          </w:p>
        </w:tc>
        <w:tc>
          <w:tcPr>
            <w:tcW w:w="224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480,000.00</w:t>
            </w:r>
          </w:p>
        </w:tc>
        <w:tc>
          <w:tcPr>
            <w:tcW w:w="211"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56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304"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 w:right="0"/>
              <w:jc w:val="center"/>
              <w:rPr>
                <w:rFonts w:ascii="宋体" w:hAnsi="宋体" w:cs="宋体" w:eastAsia="宋体" w:hint="default"/>
                <w:sz w:val="18"/>
                <w:szCs w:val="18"/>
              </w:rPr>
            </w:pPr>
            <w:r>
              <w:rPr>
                <w:rFonts w:ascii="宋体"/>
                <w:sz w:val="18"/>
              </w:rPr>
              <w:t>4.17%</w:t>
            </w:r>
          </w:p>
        </w:tc>
      </w:tr>
      <w:tr>
        <w:trPr>
          <w:trHeight w:val="408" w:hRule="exact"/>
        </w:trPr>
        <w:tc>
          <w:tcPr>
            <w:tcW w:w="342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304" w:type="dxa"/>
            <w:tcBorders>
              <w:top w:val="nil" w:sz="6" w:space="0" w:color="auto"/>
              <w:left w:val="nil" w:sz="6" w:space="0" w:color="auto"/>
              <w:bottom w:val="nil" w:sz="6" w:space="0" w:color="auto"/>
              <w:right w:val="nil" w:sz="6" w:space="0" w:color="auto"/>
            </w:tcBorders>
          </w:tcPr>
          <w:p>
            <w:pPr/>
          </w:p>
        </w:tc>
        <w:tc>
          <w:tcPr>
            <w:tcW w:w="224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4,432,000.00</w:t>
            </w:r>
          </w:p>
        </w:tc>
        <w:tc>
          <w:tcPr>
            <w:tcW w:w="211"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
        </w:tc>
        <w:tc>
          <w:tcPr>
            <w:tcW w:w="304"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9" w:right="0"/>
              <w:jc w:val="center"/>
              <w:rPr>
                <w:rFonts w:ascii="宋体" w:hAnsi="宋体" w:cs="宋体" w:eastAsia="宋体" w:hint="default"/>
                <w:sz w:val="18"/>
                <w:szCs w:val="18"/>
              </w:rPr>
            </w:pPr>
            <w:r>
              <w:rPr>
                <w:rFonts w:ascii="宋体"/>
                <w:sz w:val="18"/>
              </w:rPr>
              <w:t>38.47%</w:t>
            </w:r>
          </w:p>
        </w:tc>
      </w:tr>
    </w:tbl>
    <w:p>
      <w:pPr>
        <w:spacing w:line="240" w:lineRule="auto" w:before="13"/>
        <w:rPr>
          <w:rFonts w:ascii="宋体" w:hAnsi="宋体" w:cs="宋体" w:eastAsia="宋体" w:hint="default"/>
          <w:sz w:val="10"/>
          <w:szCs w:val="10"/>
        </w:rPr>
      </w:pPr>
    </w:p>
    <w:p>
      <w:pPr>
        <w:pStyle w:val="Heading4"/>
        <w:spacing w:line="240" w:lineRule="auto"/>
        <w:ind w:right="3871"/>
        <w:jc w:val="left"/>
        <w:rPr>
          <w:b w:val="0"/>
          <w:bCs w:val="0"/>
        </w:rPr>
      </w:pPr>
      <w:r>
        <w:rPr/>
        <w:t>3、长期股权投资</w:t>
      </w:r>
      <w:r>
        <w:rPr>
          <w:b w:val="0"/>
          <w:bCs w:val="0"/>
        </w:rPr>
      </w:r>
    </w:p>
    <w:p>
      <w:pPr>
        <w:spacing w:line="240" w:lineRule="auto" w:before="2"/>
        <w:rPr>
          <w:rFonts w:ascii="宋体" w:hAnsi="宋体" w:cs="宋体" w:eastAsia="宋体" w:hint="default"/>
          <w:b/>
          <w:bCs/>
          <w:sz w:val="20"/>
          <w:szCs w:val="20"/>
        </w:rPr>
      </w:pPr>
    </w:p>
    <w:tbl>
      <w:tblPr>
        <w:tblW w:w="0" w:type="auto"/>
        <w:jc w:val="left"/>
        <w:tblInd w:w="113" w:type="dxa"/>
        <w:tblLayout w:type="fixed"/>
        <w:tblCellMar>
          <w:top w:w="0" w:type="dxa"/>
          <w:left w:w="0" w:type="dxa"/>
          <w:bottom w:w="0" w:type="dxa"/>
          <w:right w:w="0" w:type="dxa"/>
        </w:tblCellMar>
        <w:tblLook w:val="01E0"/>
      </w:tblPr>
      <w:tblGrid>
        <w:gridCol w:w="4177"/>
        <w:gridCol w:w="2503"/>
        <w:gridCol w:w="555"/>
        <w:gridCol w:w="2603"/>
      </w:tblGrid>
      <w:tr>
        <w:trPr>
          <w:trHeight w:val="289" w:hRule="exact"/>
        </w:trPr>
        <w:tc>
          <w:tcPr>
            <w:tcW w:w="4177" w:type="dxa"/>
            <w:tcBorders>
              <w:top w:val="nil" w:sz="6" w:space="0" w:color="auto"/>
              <w:left w:val="nil" w:sz="6" w:space="0" w:color="auto"/>
              <w:bottom w:val="nil" w:sz="6" w:space="0" w:color="auto"/>
              <w:right w:val="nil" w:sz="6" w:space="0" w:color="auto"/>
            </w:tcBorders>
          </w:tcPr>
          <w:p>
            <w:pPr/>
          </w:p>
        </w:tc>
        <w:tc>
          <w:tcPr>
            <w:tcW w:w="2503" w:type="dxa"/>
            <w:tcBorders>
              <w:top w:val="nil" w:sz="6" w:space="0" w:color="auto"/>
              <w:left w:val="nil" w:sz="6" w:space="0" w:color="auto"/>
              <w:bottom w:val="single" w:sz="4" w:space="0" w:color="000000"/>
              <w:right w:val="nil" w:sz="6" w:space="0" w:color="auto"/>
            </w:tcBorders>
          </w:tcPr>
          <w:p>
            <w:pPr>
              <w:pStyle w:val="TableParagraph"/>
              <w:spacing w:line="180" w:lineRule="exact"/>
              <w:ind w:left="51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55" w:type="dxa"/>
            <w:tcBorders>
              <w:top w:val="nil" w:sz="6" w:space="0" w:color="auto"/>
              <w:left w:val="nil" w:sz="6" w:space="0" w:color="auto"/>
              <w:bottom w:val="nil" w:sz="6" w:space="0" w:color="auto"/>
              <w:right w:val="nil" w:sz="6" w:space="0" w:color="auto"/>
            </w:tcBorders>
          </w:tcPr>
          <w:p>
            <w:pPr/>
          </w:p>
        </w:tc>
        <w:tc>
          <w:tcPr>
            <w:tcW w:w="2603" w:type="dxa"/>
            <w:tcBorders>
              <w:top w:val="nil" w:sz="6" w:space="0" w:color="auto"/>
              <w:left w:val="nil" w:sz="6" w:space="0" w:color="auto"/>
              <w:bottom w:val="single" w:sz="4" w:space="0" w:color="000000"/>
              <w:right w:val="nil" w:sz="6" w:space="0" w:color="auto"/>
            </w:tcBorders>
          </w:tcPr>
          <w:p>
            <w:pPr>
              <w:pStyle w:val="TableParagraph"/>
              <w:spacing w:line="180" w:lineRule="exact"/>
              <w:ind w:left="56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8"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5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31,500,000.00</w:t>
            </w:r>
          </w:p>
        </w:tc>
        <w:tc>
          <w:tcPr>
            <w:tcW w:w="555" w:type="dxa"/>
            <w:tcBorders>
              <w:top w:val="nil" w:sz="6" w:space="0" w:color="auto"/>
              <w:left w:val="nil" w:sz="6" w:space="0" w:color="auto"/>
              <w:bottom w:val="nil" w:sz="6" w:space="0" w:color="auto"/>
              <w:right w:val="nil" w:sz="6" w:space="0" w:color="auto"/>
            </w:tcBorders>
          </w:tcPr>
          <w:p>
            <w:pPr/>
          </w:p>
        </w:tc>
        <w:tc>
          <w:tcPr>
            <w:tcW w:w="26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9,900,000.00</w:t>
            </w:r>
          </w:p>
        </w:tc>
      </w:tr>
      <w:tr>
        <w:trPr>
          <w:trHeight w:val="392"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其他长期股权投资</w:t>
            </w:r>
          </w:p>
        </w:tc>
        <w:tc>
          <w:tcPr>
            <w:tcW w:w="2503" w:type="dxa"/>
            <w:tcBorders>
              <w:top w:val="nil" w:sz="6" w:space="0" w:color="auto"/>
              <w:left w:val="nil" w:sz="6" w:space="0" w:color="auto"/>
              <w:bottom w:val="nil" w:sz="6" w:space="0" w:color="auto"/>
              <w:right w:val="nil" w:sz="6" w:space="0" w:color="auto"/>
            </w:tcBorders>
          </w:tcPr>
          <w:p>
            <w:pPr/>
          </w:p>
        </w:tc>
        <w:tc>
          <w:tcPr>
            <w:tcW w:w="555" w:type="dxa"/>
            <w:tcBorders>
              <w:top w:val="nil" w:sz="6" w:space="0" w:color="auto"/>
              <w:left w:val="nil" w:sz="6" w:space="0" w:color="auto"/>
              <w:bottom w:val="nil" w:sz="6" w:space="0" w:color="auto"/>
              <w:right w:val="nil" w:sz="6" w:space="0" w:color="auto"/>
            </w:tcBorders>
          </w:tcPr>
          <w:p>
            <w:pPr/>
          </w:p>
        </w:tc>
        <w:tc>
          <w:tcPr>
            <w:tcW w:w="2603" w:type="dxa"/>
            <w:tcBorders>
              <w:top w:val="nil" w:sz="6" w:space="0" w:color="auto"/>
              <w:left w:val="nil" w:sz="6" w:space="0" w:color="auto"/>
              <w:bottom w:val="nil" w:sz="6" w:space="0" w:color="auto"/>
              <w:right w:val="nil" w:sz="6" w:space="0" w:color="auto"/>
            </w:tcBorders>
          </w:tcPr>
          <w:p>
            <w:pPr/>
          </w:p>
        </w:tc>
      </w:tr>
      <w:tr>
        <w:trPr>
          <w:trHeight w:val="392"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pacing w:val="-10"/>
                <w:sz w:val="18"/>
                <w:szCs w:val="18"/>
              </w:rPr>
              <w:t>其中：荣信电通</w:t>
            </w:r>
            <w:r>
              <w:rPr>
                <w:rFonts w:ascii="宋体" w:hAnsi="宋体" w:cs="宋体" w:eastAsia="宋体" w:hint="default"/>
                <w:sz w:val="18"/>
                <w:szCs w:val="18"/>
              </w:rPr>
            </w:r>
          </w:p>
        </w:tc>
        <w:tc>
          <w:tcPr>
            <w:tcW w:w="25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1,000,000.00</w:t>
            </w:r>
          </w:p>
        </w:tc>
        <w:tc>
          <w:tcPr>
            <w:tcW w:w="555" w:type="dxa"/>
            <w:tcBorders>
              <w:top w:val="nil" w:sz="6" w:space="0" w:color="auto"/>
              <w:left w:val="nil" w:sz="6" w:space="0" w:color="auto"/>
              <w:bottom w:val="nil" w:sz="6" w:space="0" w:color="auto"/>
              <w:right w:val="nil" w:sz="6" w:space="0" w:color="auto"/>
            </w:tcBorders>
          </w:tcPr>
          <w:p>
            <w:pPr/>
          </w:p>
        </w:tc>
        <w:tc>
          <w:tcPr>
            <w:tcW w:w="260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1,000,000.00</w:t>
            </w:r>
          </w:p>
        </w:tc>
      </w:tr>
      <w:tr>
        <w:trPr>
          <w:trHeight w:val="396" w:hRule="exact"/>
        </w:trPr>
        <w:tc>
          <w:tcPr>
            <w:tcW w:w="417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p>
        </w:tc>
        <w:tc>
          <w:tcPr>
            <w:tcW w:w="250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c>
          <w:tcPr>
            <w:tcW w:w="555" w:type="dxa"/>
            <w:tcBorders>
              <w:top w:val="nil" w:sz="6" w:space="0" w:color="auto"/>
              <w:left w:val="nil" w:sz="6" w:space="0" w:color="auto"/>
              <w:bottom w:val="nil" w:sz="6" w:space="0" w:color="auto"/>
              <w:right w:val="nil" w:sz="6" w:space="0" w:color="auto"/>
            </w:tcBorders>
          </w:tcPr>
          <w:p>
            <w:pPr/>
          </w:p>
        </w:tc>
        <w:tc>
          <w:tcPr>
            <w:tcW w:w="260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413" w:hRule="exact"/>
        </w:trPr>
        <w:tc>
          <w:tcPr>
            <w:tcW w:w="4177" w:type="dxa"/>
            <w:tcBorders>
              <w:top w:val="nil" w:sz="6" w:space="0" w:color="auto"/>
              <w:left w:val="nil" w:sz="6" w:space="0" w:color="auto"/>
              <w:bottom w:val="nil" w:sz="6" w:space="0" w:color="auto"/>
              <w:right w:val="nil" w:sz="6" w:space="0" w:color="auto"/>
            </w:tcBorders>
          </w:tcPr>
          <w:p>
            <w:pPr/>
          </w:p>
        </w:tc>
        <w:tc>
          <w:tcPr>
            <w:tcW w:w="250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32,500,000.00</w:t>
            </w:r>
          </w:p>
        </w:tc>
        <w:tc>
          <w:tcPr>
            <w:tcW w:w="555" w:type="dxa"/>
            <w:tcBorders>
              <w:top w:val="nil" w:sz="6" w:space="0" w:color="auto"/>
              <w:left w:val="nil" w:sz="6" w:space="0" w:color="auto"/>
              <w:bottom w:val="nil" w:sz="6" w:space="0" w:color="auto"/>
              <w:right w:val="nil" w:sz="6" w:space="0" w:color="auto"/>
            </w:tcBorders>
          </w:tcPr>
          <w:p>
            <w:pPr/>
          </w:p>
        </w:tc>
        <w:tc>
          <w:tcPr>
            <w:tcW w:w="260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10,900,000.00</w:t>
            </w:r>
          </w:p>
        </w:tc>
      </w:tr>
    </w:tbl>
    <w:p>
      <w:pPr>
        <w:spacing w:line="240" w:lineRule="auto" w:before="13"/>
        <w:rPr>
          <w:rFonts w:ascii="宋体" w:hAnsi="宋体" w:cs="宋体" w:eastAsia="宋体" w:hint="default"/>
          <w:b/>
          <w:bCs/>
          <w:sz w:val="10"/>
          <w:szCs w:val="10"/>
        </w:rPr>
      </w:pPr>
    </w:p>
    <w:p>
      <w:pPr>
        <w:pStyle w:val="BodyText"/>
        <w:spacing w:line="240" w:lineRule="auto" w:before="26"/>
        <w:ind w:left="794" w:right="3871"/>
        <w:jc w:val="left"/>
      </w:pPr>
      <w:r>
        <w:rPr/>
        <w:t>*对子公司投资及减值准备</w:t>
      </w:r>
    </w:p>
    <w:p>
      <w:pPr>
        <w:spacing w:line="240" w:lineRule="auto" w:before="1"/>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1326"/>
        <w:gridCol w:w="1606"/>
        <w:gridCol w:w="952"/>
        <w:gridCol w:w="1890"/>
        <w:gridCol w:w="1373"/>
        <w:gridCol w:w="949"/>
        <w:gridCol w:w="1743"/>
      </w:tblGrid>
      <w:tr>
        <w:trPr>
          <w:trHeight w:val="290" w:hRule="exact"/>
        </w:trPr>
        <w:tc>
          <w:tcPr>
            <w:tcW w:w="132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180" w:lineRule="exact"/>
              <w:ind w:left="239"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952" w:type="dxa"/>
            <w:tcBorders>
              <w:top w:val="nil" w:sz="6" w:space="0" w:color="auto"/>
              <w:left w:val="nil" w:sz="6" w:space="0" w:color="auto"/>
              <w:bottom w:val="single" w:sz="4" w:space="0" w:color="000000"/>
              <w:right w:val="nil" w:sz="6" w:space="0" w:color="auto"/>
            </w:tcBorders>
          </w:tcPr>
          <w:p>
            <w:pPr>
              <w:pStyle w:val="TableParagraph"/>
              <w:spacing w:line="180" w:lineRule="exact"/>
              <w:ind w:left="5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890" w:type="dxa"/>
            <w:tcBorders>
              <w:top w:val="nil" w:sz="6" w:space="0" w:color="auto"/>
              <w:left w:val="nil" w:sz="6" w:space="0" w:color="auto"/>
              <w:bottom w:val="single" w:sz="4" w:space="0" w:color="000000"/>
              <w:right w:val="nil" w:sz="6" w:space="0" w:color="auto"/>
            </w:tcBorders>
          </w:tcPr>
          <w:p>
            <w:pPr>
              <w:pStyle w:val="TableParagraph"/>
              <w:spacing w:line="180" w:lineRule="exact"/>
              <w:ind w:left="9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180" w:lineRule="exact"/>
              <w:ind w:left="241"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949" w:type="dxa"/>
            <w:tcBorders>
              <w:top w:val="nil" w:sz="6" w:space="0" w:color="auto"/>
              <w:left w:val="nil" w:sz="6" w:space="0" w:color="auto"/>
              <w:bottom w:val="single" w:sz="4" w:space="0" w:color="000000"/>
              <w:right w:val="nil" w:sz="6" w:space="0" w:color="auto"/>
            </w:tcBorders>
          </w:tcPr>
          <w:p>
            <w:pPr>
              <w:pStyle w:val="TableParagraph"/>
              <w:spacing w:line="180" w:lineRule="exact"/>
              <w:ind w:left="5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43" w:type="dxa"/>
            <w:tcBorders>
              <w:top w:val="nil" w:sz="6" w:space="0" w:color="auto"/>
              <w:left w:val="nil" w:sz="6" w:space="0" w:color="auto"/>
              <w:bottom w:val="single" w:sz="4" w:space="0" w:color="000000"/>
              <w:right w:val="nil" w:sz="6" w:space="0" w:color="auto"/>
            </w:tcBorders>
          </w:tcPr>
          <w:p>
            <w:pPr>
              <w:pStyle w:val="TableParagraph"/>
              <w:spacing w:line="180" w:lineRule="exact"/>
              <w:ind w:left="9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7"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子公司投资</w:t>
            </w:r>
          </w:p>
        </w:tc>
        <w:tc>
          <w:tcPr>
            <w:tcW w:w="1606" w:type="dxa"/>
            <w:tcBorders>
              <w:top w:val="single" w:sz="4" w:space="0" w:color="000000"/>
              <w:left w:val="nil" w:sz="6" w:space="0" w:color="auto"/>
              <w:bottom w:val="nil" w:sz="6" w:space="0" w:color="auto"/>
              <w:right w:val="nil" w:sz="6" w:space="0" w:color="auto"/>
            </w:tcBorders>
          </w:tcPr>
          <w:p>
            <w:pPr/>
          </w:p>
        </w:tc>
        <w:tc>
          <w:tcPr>
            <w:tcW w:w="952" w:type="dxa"/>
            <w:tcBorders>
              <w:top w:val="single" w:sz="4" w:space="0" w:color="000000"/>
              <w:left w:val="nil" w:sz="6" w:space="0" w:color="auto"/>
              <w:bottom w:val="nil" w:sz="6" w:space="0" w:color="auto"/>
              <w:right w:val="nil" w:sz="6" w:space="0" w:color="auto"/>
            </w:tcBorders>
          </w:tcPr>
          <w:p>
            <w:pPr/>
          </w:p>
        </w:tc>
        <w:tc>
          <w:tcPr>
            <w:tcW w:w="1890" w:type="dxa"/>
            <w:tcBorders>
              <w:top w:val="single" w:sz="4" w:space="0" w:color="000000"/>
              <w:left w:val="nil" w:sz="6" w:space="0" w:color="auto"/>
              <w:bottom w:val="nil" w:sz="6" w:space="0" w:color="auto"/>
              <w:right w:val="nil" w:sz="6" w:space="0" w:color="auto"/>
            </w:tcBorders>
          </w:tcPr>
          <w:p>
            <w:pPr/>
          </w:p>
        </w:tc>
        <w:tc>
          <w:tcPr>
            <w:tcW w:w="1373" w:type="dxa"/>
            <w:tcBorders>
              <w:top w:val="single" w:sz="4" w:space="0" w:color="000000"/>
              <w:left w:val="nil" w:sz="6" w:space="0" w:color="auto"/>
              <w:bottom w:val="nil" w:sz="6" w:space="0" w:color="auto"/>
              <w:right w:val="nil" w:sz="6" w:space="0" w:color="auto"/>
            </w:tcBorders>
          </w:tcPr>
          <w:p>
            <w:pPr/>
          </w:p>
        </w:tc>
        <w:tc>
          <w:tcPr>
            <w:tcW w:w="949" w:type="dxa"/>
            <w:tcBorders>
              <w:top w:val="single" w:sz="4" w:space="0" w:color="000000"/>
              <w:left w:val="nil" w:sz="6" w:space="0" w:color="auto"/>
              <w:bottom w:val="nil" w:sz="6" w:space="0" w:color="auto"/>
              <w:right w:val="nil" w:sz="6" w:space="0" w:color="auto"/>
            </w:tcBorders>
          </w:tcPr>
          <w:p>
            <w:pPr/>
          </w:p>
        </w:tc>
        <w:tc>
          <w:tcPr>
            <w:tcW w:w="1743" w:type="dxa"/>
            <w:tcBorders>
              <w:top w:val="single" w:sz="4" w:space="0" w:color="000000"/>
              <w:left w:val="nil" w:sz="6" w:space="0" w:color="auto"/>
              <w:bottom w:val="nil" w:sz="6" w:space="0" w:color="auto"/>
              <w:right w:val="nil" w:sz="6" w:space="0" w:color="auto"/>
            </w:tcBorders>
          </w:tcPr>
          <w:p>
            <w:pPr/>
          </w:p>
        </w:tc>
      </w:tr>
      <w:tr>
        <w:trPr>
          <w:trHeight w:val="393"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pacing w:val="-17"/>
                <w:sz w:val="18"/>
                <w:szCs w:val="18"/>
              </w:rPr>
              <w:t>诚和伟业</w:t>
            </w:r>
            <w:r>
              <w:rPr>
                <w:rFonts w:ascii="宋体" w:hAnsi="宋体" w:cs="宋体" w:eastAsia="宋体" w:hint="default"/>
                <w:sz w:val="18"/>
                <w:szCs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1"/>
              <w:jc w:val="right"/>
              <w:rPr>
                <w:rFonts w:ascii="宋体" w:hAnsi="宋体" w:cs="宋体" w:eastAsia="宋体" w:hint="default"/>
                <w:sz w:val="18"/>
                <w:szCs w:val="18"/>
              </w:rPr>
            </w:pPr>
            <w:r>
              <w:rPr>
                <w:rFonts w:ascii="宋体"/>
                <w:spacing w:val="-9"/>
                <w:sz w:val="18"/>
              </w:rPr>
              <w:t>2,400,000.00</w:t>
            </w:r>
            <w:r>
              <w:rPr>
                <w:rFonts w:ascii="宋体"/>
                <w:sz w:val="18"/>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4"/>
              <w:jc w:val="right"/>
              <w:rPr>
                <w:rFonts w:ascii="宋体" w:hAnsi="宋体" w:cs="宋体" w:eastAsia="宋体" w:hint="default"/>
                <w:sz w:val="18"/>
                <w:szCs w:val="18"/>
              </w:rPr>
            </w:pPr>
            <w:r>
              <w:rPr>
                <w:rFonts w:ascii="宋体"/>
                <w:sz w:val="18"/>
              </w:rPr>
              <w:t>-</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5"/>
              <w:jc w:val="right"/>
              <w:rPr>
                <w:rFonts w:ascii="宋体" w:hAnsi="宋体" w:cs="宋体" w:eastAsia="宋体" w:hint="default"/>
                <w:sz w:val="18"/>
                <w:szCs w:val="18"/>
              </w:rPr>
            </w:pPr>
            <w:r>
              <w:rPr>
                <w:rFonts w:ascii="宋体"/>
                <w:spacing w:val="-9"/>
                <w:sz w:val="18"/>
              </w:rPr>
              <w:t>2,400,000.00</w:t>
            </w:r>
            <w:r>
              <w:rPr>
                <w:rFonts w:ascii="宋体"/>
                <w:sz w:val="18"/>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1"/>
              <w:jc w:val="right"/>
              <w:rPr>
                <w:rFonts w:ascii="宋体" w:hAnsi="宋体" w:cs="宋体" w:eastAsia="宋体" w:hint="default"/>
                <w:sz w:val="18"/>
                <w:szCs w:val="18"/>
              </w:rPr>
            </w:pPr>
            <w:r>
              <w:rPr>
                <w:rFonts w:ascii="宋体"/>
                <w:sz w:val="18"/>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2"/>
              <w:jc w:val="right"/>
              <w:rPr>
                <w:rFonts w:ascii="宋体" w:hAnsi="宋体" w:cs="宋体" w:eastAsia="宋体" w:hint="default"/>
                <w:sz w:val="18"/>
                <w:szCs w:val="18"/>
              </w:rPr>
            </w:pPr>
            <w:r>
              <w:rPr>
                <w:rFonts w:ascii="宋体"/>
                <w:sz w:val="18"/>
              </w:rPr>
              <w:t>-</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pacing w:val="-9"/>
                <w:sz w:val="18"/>
              </w:rPr>
              <w:t>2,400,000.00</w:t>
            </w:r>
            <w:r>
              <w:rPr>
                <w:rFonts w:ascii="宋体"/>
                <w:sz w:val="18"/>
              </w:rPr>
            </w:r>
          </w:p>
        </w:tc>
      </w:tr>
      <w:tr>
        <w:trPr>
          <w:trHeight w:val="392"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pacing w:val="-17"/>
                <w:sz w:val="18"/>
                <w:szCs w:val="18"/>
              </w:rPr>
              <w:t>荣信科技</w:t>
            </w:r>
            <w:r>
              <w:rPr>
                <w:rFonts w:ascii="宋体" w:hAnsi="宋体" w:cs="宋体" w:eastAsia="宋体" w:hint="default"/>
                <w:sz w:val="18"/>
                <w:szCs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1"/>
              <w:jc w:val="right"/>
              <w:rPr>
                <w:rFonts w:ascii="宋体" w:hAnsi="宋体" w:cs="宋体" w:eastAsia="宋体" w:hint="default"/>
                <w:sz w:val="18"/>
                <w:szCs w:val="18"/>
              </w:rPr>
            </w:pPr>
            <w:r>
              <w:rPr>
                <w:rFonts w:ascii="宋体"/>
                <w:spacing w:val="-9"/>
                <w:sz w:val="18"/>
              </w:rPr>
              <w:t>500,000.00</w:t>
            </w:r>
            <w:r>
              <w:rPr>
                <w:rFonts w:ascii="宋体"/>
                <w:sz w:val="18"/>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4"/>
              <w:jc w:val="right"/>
              <w:rPr>
                <w:rFonts w:ascii="宋体" w:hAnsi="宋体" w:cs="宋体" w:eastAsia="宋体" w:hint="default"/>
                <w:sz w:val="18"/>
                <w:szCs w:val="18"/>
              </w:rPr>
            </w:pPr>
            <w:r>
              <w:rPr>
                <w:rFonts w:ascii="宋体"/>
                <w:sz w:val="18"/>
              </w:rPr>
              <w:t>-</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6"/>
              <w:jc w:val="right"/>
              <w:rPr>
                <w:rFonts w:ascii="宋体" w:hAnsi="宋体" w:cs="宋体" w:eastAsia="宋体" w:hint="default"/>
                <w:sz w:val="18"/>
                <w:szCs w:val="18"/>
              </w:rPr>
            </w:pPr>
            <w:r>
              <w:rPr>
                <w:rFonts w:ascii="宋体"/>
                <w:spacing w:val="-9"/>
                <w:sz w:val="18"/>
              </w:rPr>
              <w:t>500,000.00</w:t>
            </w:r>
            <w:r>
              <w:rPr>
                <w:rFonts w:ascii="宋体"/>
                <w:sz w:val="18"/>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
              <w:jc w:val="right"/>
              <w:rPr>
                <w:rFonts w:ascii="宋体" w:hAnsi="宋体" w:cs="宋体" w:eastAsia="宋体" w:hint="default"/>
                <w:sz w:val="18"/>
                <w:szCs w:val="18"/>
              </w:rPr>
            </w:pPr>
            <w:r>
              <w:rPr>
                <w:rFonts w:ascii="宋体"/>
                <w:sz w:val="18"/>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宋体" w:hAnsi="宋体" w:cs="宋体" w:eastAsia="宋体" w:hint="default"/>
                <w:sz w:val="18"/>
                <w:szCs w:val="18"/>
              </w:rPr>
            </w:pPr>
            <w:r>
              <w:rPr>
                <w:rFonts w:ascii="宋体"/>
                <w:sz w:val="18"/>
              </w:rPr>
              <w:t>-</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
              <w:jc w:val="right"/>
              <w:rPr>
                <w:rFonts w:ascii="宋体" w:hAnsi="宋体" w:cs="宋体" w:eastAsia="宋体" w:hint="default"/>
                <w:sz w:val="18"/>
                <w:szCs w:val="18"/>
              </w:rPr>
            </w:pPr>
            <w:r>
              <w:rPr>
                <w:rFonts w:ascii="宋体"/>
                <w:spacing w:val="-9"/>
                <w:sz w:val="18"/>
              </w:rPr>
              <w:t>500,000.00</w:t>
            </w:r>
            <w:r>
              <w:rPr>
                <w:rFonts w:ascii="宋体"/>
                <w:sz w:val="18"/>
              </w:rPr>
            </w:r>
          </w:p>
        </w:tc>
      </w:tr>
      <w:tr>
        <w:trPr>
          <w:trHeight w:val="392"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pacing w:val="-17"/>
                <w:sz w:val="18"/>
                <w:szCs w:val="18"/>
              </w:rPr>
              <w:t>清方荣信</w:t>
            </w:r>
            <w:r>
              <w:rPr>
                <w:rFonts w:ascii="宋体" w:hAnsi="宋体" w:cs="宋体" w:eastAsia="宋体" w:hint="default"/>
                <w:sz w:val="18"/>
                <w:szCs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1"/>
              <w:jc w:val="right"/>
              <w:rPr>
                <w:rFonts w:ascii="宋体" w:hAnsi="宋体" w:cs="宋体" w:eastAsia="宋体" w:hint="default"/>
                <w:sz w:val="18"/>
                <w:szCs w:val="18"/>
              </w:rPr>
            </w:pPr>
            <w:r>
              <w:rPr>
                <w:rFonts w:ascii="宋体"/>
                <w:spacing w:val="-9"/>
                <w:sz w:val="18"/>
              </w:rPr>
              <w:t>2,000,000.00</w:t>
            </w:r>
            <w:r>
              <w:rPr>
                <w:rFonts w:ascii="宋体"/>
                <w:sz w:val="18"/>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4"/>
              <w:jc w:val="right"/>
              <w:rPr>
                <w:rFonts w:ascii="宋体" w:hAnsi="宋体" w:cs="宋体" w:eastAsia="宋体" w:hint="default"/>
                <w:sz w:val="18"/>
                <w:szCs w:val="18"/>
              </w:rPr>
            </w:pPr>
            <w:r>
              <w:rPr>
                <w:rFonts w:ascii="宋体"/>
                <w:sz w:val="18"/>
              </w:rPr>
              <w:t>-</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5"/>
              <w:jc w:val="right"/>
              <w:rPr>
                <w:rFonts w:ascii="宋体" w:hAnsi="宋体" w:cs="宋体" w:eastAsia="宋体" w:hint="default"/>
                <w:sz w:val="18"/>
                <w:szCs w:val="18"/>
              </w:rPr>
            </w:pPr>
            <w:r>
              <w:rPr>
                <w:rFonts w:ascii="宋体"/>
                <w:spacing w:val="-9"/>
                <w:sz w:val="18"/>
              </w:rPr>
              <w:t>2,000,000.00</w:t>
            </w:r>
            <w:r>
              <w:rPr>
                <w:rFonts w:ascii="宋体"/>
                <w:sz w:val="18"/>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
              <w:jc w:val="right"/>
              <w:rPr>
                <w:rFonts w:ascii="宋体" w:hAnsi="宋体" w:cs="宋体" w:eastAsia="宋体" w:hint="default"/>
                <w:sz w:val="18"/>
                <w:szCs w:val="18"/>
              </w:rPr>
            </w:pPr>
            <w:r>
              <w:rPr>
                <w:rFonts w:ascii="宋体"/>
                <w:sz w:val="18"/>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宋体" w:hAnsi="宋体" w:cs="宋体" w:eastAsia="宋体" w:hint="default"/>
                <w:sz w:val="18"/>
                <w:szCs w:val="18"/>
              </w:rPr>
            </w:pPr>
            <w:r>
              <w:rPr>
                <w:rFonts w:ascii="宋体"/>
                <w:sz w:val="18"/>
              </w:rPr>
              <w:t>-</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
              <w:jc w:val="right"/>
              <w:rPr>
                <w:rFonts w:ascii="宋体" w:hAnsi="宋体" w:cs="宋体" w:eastAsia="宋体" w:hint="default"/>
                <w:sz w:val="18"/>
                <w:szCs w:val="18"/>
              </w:rPr>
            </w:pPr>
            <w:r>
              <w:rPr>
                <w:rFonts w:ascii="宋体"/>
                <w:spacing w:val="-9"/>
                <w:sz w:val="18"/>
              </w:rPr>
              <w:t>2,000,000.00</w:t>
            </w:r>
            <w:r>
              <w:rPr>
                <w:rFonts w:ascii="宋体"/>
                <w:sz w:val="18"/>
              </w:rPr>
            </w:r>
          </w:p>
        </w:tc>
      </w:tr>
      <w:tr>
        <w:trPr>
          <w:trHeight w:val="392"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pacing w:val="-17"/>
                <w:sz w:val="18"/>
                <w:szCs w:val="18"/>
              </w:rPr>
              <w:t>荣信嘉时</w:t>
            </w:r>
            <w:r>
              <w:rPr>
                <w:rFonts w:ascii="宋体" w:hAnsi="宋体" w:cs="宋体" w:eastAsia="宋体" w:hint="default"/>
                <w:sz w:val="18"/>
                <w:szCs w:val="18"/>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1"/>
              <w:jc w:val="right"/>
              <w:rPr>
                <w:rFonts w:ascii="宋体" w:hAnsi="宋体" w:cs="宋体" w:eastAsia="宋体" w:hint="default"/>
                <w:sz w:val="18"/>
                <w:szCs w:val="18"/>
              </w:rPr>
            </w:pPr>
            <w:r>
              <w:rPr>
                <w:rFonts w:ascii="宋体"/>
                <w:spacing w:val="-9"/>
                <w:sz w:val="18"/>
              </w:rPr>
              <w:t>5,000,000.00</w:t>
            </w:r>
            <w:r>
              <w:rPr>
                <w:rFonts w:ascii="宋体"/>
                <w:sz w:val="18"/>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4"/>
              <w:jc w:val="right"/>
              <w:rPr>
                <w:rFonts w:ascii="宋体" w:hAnsi="宋体" w:cs="宋体" w:eastAsia="宋体" w:hint="default"/>
                <w:sz w:val="18"/>
                <w:szCs w:val="18"/>
              </w:rPr>
            </w:pPr>
            <w:r>
              <w:rPr>
                <w:rFonts w:ascii="宋体"/>
                <w:sz w:val="18"/>
              </w:rPr>
              <w:t>-</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5"/>
              <w:jc w:val="right"/>
              <w:rPr>
                <w:rFonts w:ascii="宋体" w:hAnsi="宋体" w:cs="宋体" w:eastAsia="宋体" w:hint="default"/>
                <w:sz w:val="18"/>
                <w:szCs w:val="18"/>
              </w:rPr>
            </w:pPr>
            <w:r>
              <w:rPr>
                <w:rFonts w:ascii="宋体"/>
                <w:spacing w:val="-9"/>
                <w:sz w:val="18"/>
              </w:rPr>
              <w:t>5,000,000.00</w:t>
            </w:r>
            <w:r>
              <w:rPr>
                <w:rFonts w:ascii="宋体"/>
                <w:sz w:val="18"/>
              </w:rPr>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
              <w:jc w:val="right"/>
              <w:rPr>
                <w:rFonts w:ascii="宋体" w:hAnsi="宋体" w:cs="宋体" w:eastAsia="宋体" w:hint="default"/>
                <w:sz w:val="18"/>
                <w:szCs w:val="18"/>
              </w:rPr>
            </w:pPr>
            <w:r>
              <w:rPr>
                <w:rFonts w:ascii="宋体"/>
                <w:sz w:val="18"/>
              </w:rPr>
              <w:t>-</w:t>
            </w:r>
          </w:p>
        </w:tc>
        <w:tc>
          <w:tcPr>
            <w:tcW w:w="94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宋体" w:hAnsi="宋体" w:cs="宋体" w:eastAsia="宋体" w:hint="default"/>
                <w:sz w:val="18"/>
                <w:szCs w:val="18"/>
              </w:rPr>
            </w:pPr>
            <w:r>
              <w:rPr>
                <w:rFonts w:ascii="宋体"/>
                <w:sz w:val="18"/>
              </w:rPr>
              <w:t>-</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
              <w:jc w:val="right"/>
              <w:rPr>
                <w:rFonts w:ascii="宋体" w:hAnsi="宋体" w:cs="宋体" w:eastAsia="宋体" w:hint="default"/>
                <w:sz w:val="18"/>
                <w:szCs w:val="18"/>
              </w:rPr>
            </w:pPr>
            <w:r>
              <w:rPr>
                <w:rFonts w:ascii="宋体"/>
                <w:spacing w:val="-9"/>
                <w:sz w:val="18"/>
              </w:rPr>
              <w:t>5,000,000.00</w:t>
            </w:r>
            <w:r>
              <w:rPr>
                <w:rFonts w:ascii="宋体"/>
                <w:sz w:val="18"/>
              </w:rPr>
            </w:r>
          </w:p>
        </w:tc>
      </w:tr>
      <w:tr>
        <w:trPr>
          <w:trHeight w:val="395"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0" w:right="0"/>
              <w:jc w:val="left"/>
              <w:rPr>
                <w:rFonts w:ascii="宋体" w:hAnsi="宋体" w:cs="宋体" w:eastAsia="宋体" w:hint="default"/>
                <w:sz w:val="18"/>
                <w:szCs w:val="18"/>
              </w:rPr>
            </w:pPr>
            <w:r>
              <w:rPr>
                <w:rFonts w:ascii="宋体" w:hAnsi="宋体" w:cs="宋体" w:eastAsia="宋体" w:hint="default"/>
                <w:spacing w:val="-17"/>
                <w:sz w:val="18"/>
                <w:szCs w:val="18"/>
              </w:rPr>
              <w:t>北京信力</w:t>
            </w:r>
            <w:r>
              <w:rPr>
                <w:rFonts w:ascii="宋体" w:hAnsi="宋体" w:cs="宋体" w:eastAsia="宋体" w:hint="default"/>
                <w:sz w:val="18"/>
                <w:szCs w:val="18"/>
              </w:rPr>
            </w: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1"/>
              <w:jc w:val="right"/>
              <w:rPr>
                <w:rFonts w:ascii="宋体" w:hAnsi="宋体" w:cs="宋体" w:eastAsia="宋体" w:hint="default"/>
                <w:sz w:val="18"/>
                <w:szCs w:val="18"/>
              </w:rPr>
            </w:pPr>
            <w:r>
              <w:rPr>
                <w:rFonts w:ascii="宋体"/>
                <w:sz w:val="18"/>
              </w:rPr>
              <w:t>21,600,000.00</w:t>
            </w:r>
          </w:p>
        </w:tc>
        <w:tc>
          <w:tcPr>
            <w:tcW w:w="95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4"/>
              <w:jc w:val="right"/>
              <w:rPr>
                <w:rFonts w:ascii="宋体" w:hAnsi="宋体" w:cs="宋体" w:eastAsia="宋体" w:hint="default"/>
                <w:sz w:val="18"/>
                <w:szCs w:val="18"/>
              </w:rPr>
            </w:pPr>
            <w:r>
              <w:rPr>
                <w:rFonts w:ascii="宋体"/>
                <w:sz w:val="18"/>
              </w:rPr>
              <w:t>-</w:t>
            </w:r>
          </w:p>
        </w:tc>
        <w:tc>
          <w:tcPr>
            <w:tcW w:w="189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47"/>
              <w:jc w:val="right"/>
              <w:rPr>
                <w:rFonts w:ascii="宋体" w:hAnsi="宋体" w:cs="宋体" w:eastAsia="宋体" w:hint="default"/>
                <w:sz w:val="18"/>
                <w:szCs w:val="18"/>
              </w:rPr>
            </w:pPr>
            <w:r>
              <w:rPr>
                <w:rFonts w:ascii="宋体"/>
                <w:sz w:val="18"/>
              </w:rPr>
              <w:t>-</w:t>
            </w:r>
          </w:p>
        </w:tc>
        <w:tc>
          <w:tcPr>
            <w:tcW w:w="137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1"/>
              <w:jc w:val="right"/>
              <w:rPr>
                <w:rFonts w:ascii="宋体" w:hAnsi="宋体" w:cs="宋体" w:eastAsia="宋体" w:hint="default"/>
                <w:sz w:val="18"/>
                <w:szCs w:val="18"/>
              </w:rPr>
            </w:pPr>
            <w:r>
              <w:rPr>
                <w:rFonts w:ascii="宋体"/>
                <w:sz w:val="18"/>
              </w:rPr>
              <w:t>21,600,000.00</w:t>
            </w:r>
          </w:p>
        </w:tc>
        <w:tc>
          <w:tcPr>
            <w:tcW w:w="94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2"/>
              <w:jc w:val="right"/>
              <w:rPr>
                <w:rFonts w:ascii="宋体" w:hAnsi="宋体" w:cs="宋体" w:eastAsia="宋体" w:hint="default"/>
                <w:sz w:val="18"/>
                <w:szCs w:val="18"/>
              </w:rPr>
            </w:pPr>
            <w:r>
              <w:rPr>
                <w:rFonts w:ascii="宋体"/>
                <w:sz w:val="18"/>
              </w:rPr>
              <w:t>-</w:t>
            </w:r>
          </w:p>
        </w:tc>
        <w:tc>
          <w:tcPr>
            <w:tcW w:w="174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5"/>
              <w:jc w:val="right"/>
              <w:rPr>
                <w:rFonts w:ascii="宋体" w:hAnsi="宋体" w:cs="宋体" w:eastAsia="宋体" w:hint="default"/>
                <w:sz w:val="18"/>
                <w:szCs w:val="18"/>
              </w:rPr>
            </w:pPr>
            <w:r>
              <w:rPr>
                <w:rFonts w:ascii="宋体"/>
                <w:sz w:val="18"/>
              </w:rPr>
              <w:t>21,600,000.00</w:t>
            </w:r>
          </w:p>
        </w:tc>
      </w:tr>
      <w:tr>
        <w:trPr>
          <w:trHeight w:val="402"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57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51"/>
              <w:jc w:val="right"/>
              <w:rPr>
                <w:rFonts w:ascii="宋体" w:hAnsi="宋体" w:cs="宋体" w:eastAsia="宋体" w:hint="default"/>
                <w:sz w:val="18"/>
                <w:szCs w:val="18"/>
              </w:rPr>
            </w:pPr>
            <w:r>
              <w:rPr>
                <w:rFonts w:ascii="宋体"/>
                <w:sz w:val="18"/>
              </w:rPr>
              <w:t>31,500,000.00</w:t>
            </w:r>
          </w:p>
        </w:tc>
        <w:tc>
          <w:tcPr>
            <w:tcW w:w="95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94"/>
              <w:jc w:val="right"/>
              <w:rPr>
                <w:rFonts w:ascii="宋体" w:hAnsi="宋体" w:cs="宋体" w:eastAsia="宋体" w:hint="default"/>
                <w:sz w:val="18"/>
                <w:szCs w:val="18"/>
              </w:rPr>
            </w:pPr>
            <w:r>
              <w:rPr>
                <w:rFonts w:ascii="宋体"/>
                <w:sz w:val="18"/>
              </w:rPr>
              <w:t>-</w:t>
            </w:r>
          </w:p>
        </w:tc>
        <w:tc>
          <w:tcPr>
            <w:tcW w:w="189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55"/>
              <w:jc w:val="right"/>
              <w:rPr>
                <w:rFonts w:ascii="宋体" w:hAnsi="宋体" w:cs="宋体" w:eastAsia="宋体" w:hint="default"/>
                <w:sz w:val="18"/>
                <w:szCs w:val="18"/>
              </w:rPr>
            </w:pPr>
            <w:r>
              <w:rPr>
                <w:rFonts w:ascii="宋体"/>
                <w:sz w:val="18"/>
              </w:rPr>
              <w:t>9,900,000.00</w:t>
            </w:r>
          </w:p>
        </w:tc>
        <w:tc>
          <w:tcPr>
            <w:tcW w:w="137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51"/>
              <w:jc w:val="right"/>
              <w:rPr>
                <w:rFonts w:ascii="宋体" w:hAnsi="宋体" w:cs="宋体" w:eastAsia="宋体" w:hint="default"/>
                <w:sz w:val="18"/>
                <w:szCs w:val="18"/>
              </w:rPr>
            </w:pPr>
            <w:r>
              <w:rPr>
                <w:rFonts w:ascii="宋体"/>
                <w:sz w:val="18"/>
              </w:rPr>
              <w:t>21,600,000.00</w:t>
            </w:r>
          </w:p>
        </w:tc>
        <w:tc>
          <w:tcPr>
            <w:tcW w:w="94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91"/>
              <w:jc w:val="right"/>
              <w:rPr>
                <w:rFonts w:ascii="宋体" w:hAnsi="宋体" w:cs="宋体" w:eastAsia="宋体" w:hint="default"/>
                <w:sz w:val="18"/>
                <w:szCs w:val="18"/>
              </w:rPr>
            </w:pPr>
            <w:r>
              <w:rPr>
                <w:rFonts w:ascii="宋体"/>
                <w:sz w:val="18"/>
              </w:rPr>
              <w:t>-</w:t>
            </w:r>
          </w:p>
        </w:tc>
        <w:tc>
          <w:tcPr>
            <w:tcW w:w="174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31,500,000.00</w:t>
            </w:r>
          </w:p>
        </w:tc>
      </w:tr>
      <w:tr>
        <w:trPr>
          <w:trHeight w:val="402"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606"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51"/>
              <w:jc w:val="right"/>
              <w:rPr>
                <w:rFonts w:ascii="宋体" w:hAnsi="宋体" w:cs="宋体" w:eastAsia="宋体" w:hint="default"/>
                <w:sz w:val="18"/>
                <w:szCs w:val="18"/>
              </w:rPr>
            </w:pPr>
            <w:r>
              <w:rPr>
                <w:rFonts w:ascii="宋体"/>
                <w:sz w:val="18"/>
              </w:rPr>
              <w:t>-</w:t>
            </w:r>
          </w:p>
        </w:tc>
        <w:tc>
          <w:tcPr>
            <w:tcW w:w="952"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94"/>
              <w:jc w:val="right"/>
              <w:rPr>
                <w:rFonts w:ascii="宋体" w:hAnsi="宋体" w:cs="宋体" w:eastAsia="宋体" w:hint="default"/>
                <w:sz w:val="18"/>
                <w:szCs w:val="18"/>
              </w:rPr>
            </w:pPr>
            <w:r>
              <w:rPr>
                <w:rFonts w:ascii="宋体"/>
                <w:sz w:val="18"/>
              </w:rPr>
              <w:t>-</w:t>
            </w:r>
          </w:p>
        </w:tc>
        <w:tc>
          <w:tcPr>
            <w:tcW w:w="1890"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56"/>
              <w:jc w:val="right"/>
              <w:rPr>
                <w:rFonts w:ascii="宋体" w:hAnsi="宋体" w:cs="宋体" w:eastAsia="宋体" w:hint="default"/>
                <w:sz w:val="18"/>
                <w:szCs w:val="18"/>
              </w:rPr>
            </w:pPr>
            <w:r>
              <w:rPr>
                <w:rFonts w:ascii="宋体"/>
                <w:sz w:val="18"/>
              </w:rPr>
              <w:t>-</w:t>
            </w:r>
          </w:p>
        </w:tc>
        <w:tc>
          <w:tcPr>
            <w:tcW w:w="137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51"/>
              <w:jc w:val="right"/>
              <w:rPr>
                <w:rFonts w:ascii="宋体" w:hAnsi="宋体" w:cs="宋体" w:eastAsia="宋体" w:hint="default"/>
                <w:sz w:val="18"/>
                <w:szCs w:val="18"/>
              </w:rPr>
            </w:pPr>
            <w:r>
              <w:rPr>
                <w:rFonts w:ascii="宋体"/>
                <w:sz w:val="18"/>
              </w:rPr>
              <w:t>-</w:t>
            </w:r>
          </w:p>
        </w:tc>
        <w:tc>
          <w:tcPr>
            <w:tcW w:w="94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92"/>
              <w:jc w:val="right"/>
              <w:rPr>
                <w:rFonts w:ascii="宋体" w:hAnsi="宋体" w:cs="宋体" w:eastAsia="宋体" w:hint="default"/>
                <w:sz w:val="18"/>
                <w:szCs w:val="18"/>
              </w:rPr>
            </w:pPr>
            <w:r>
              <w:rPr>
                <w:rFonts w:ascii="宋体"/>
                <w:sz w:val="18"/>
              </w:rPr>
              <w:t>-</w:t>
            </w:r>
          </w:p>
        </w:tc>
        <w:tc>
          <w:tcPr>
            <w:tcW w:w="174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w:t>
            </w:r>
          </w:p>
        </w:tc>
      </w:tr>
      <w:tr>
        <w:trPr>
          <w:trHeight w:val="413" w:hRule="exact"/>
        </w:trPr>
        <w:tc>
          <w:tcPr>
            <w:tcW w:w="1326"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51"/>
              <w:jc w:val="right"/>
              <w:rPr>
                <w:rFonts w:ascii="宋体" w:hAnsi="宋体" w:cs="宋体" w:eastAsia="宋体" w:hint="default"/>
                <w:sz w:val="18"/>
                <w:szCs w:val="18"/>
              </w:rPr>
            </w:pPr>
            <w:r>
              <w:rPr>
                <w:rFonts w:ascii="宋体"/>
                <w:sz w:val="18"/>
              </w:rPr>
              <w:t>31,500,000.00</w:t>
            </w:r>
          </w:p>
        </w:tc>
        <w:tc>
          <w:tcPr>
            <w:tcW w:w="952"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4"/>
              <w:jc w:val="right"/>
              <w:rPr>
                <w:rFonts w:ascii="宋体" w:hAnsi="宋体" w:cs="宋体" w:eastAsia="宋体" w:hint="default"/>
                <w:sz w:val="18"/>
                <w:szCs w:val="18"/>
              </w:rPr>
            </w:pPr>
            <w:r>
              <w:rPr>
                <w:rFonts w:ascii="宋体"/>
                <w:sz w:val="18"/>
              </w:rPr>
              <w:t>-</w:t>
            </w:r>
          </w:p>
        </w:tc>
        <w:tc>
          <w:tcPr>
            <w:tcW w:w="189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56"/>
              <w:jc w:val="right"/>
              <w:rPr>
                <w:rFonts w:ascii="宋体" w:hAnsi="宋体" w:cs="宋体" w:eastAsia="宋体" w:hint="default"/>
                <w:sz w:val="18"/>
                <w:szCs w:val="18"/>
              </w:rPr>
            </w:pPr>
            <w:r>
              <w:rPr>
                <w:rFonts w:ascii="宋体"/>
                <w:sz w:val="18"/>
              </w:rPr>
              <w:t>9,900,000.00</w:t>
            </w:r>
          </w:p>
        </w:tc>
        <w:tc>
          <w:tcPr>
            <w:tcW w:w="137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51"/>
              <w:jc w:val="right"/>
              <w:rPr>
                <w:rFonts w:ascii="宋体" w:hAnsi="宋体" w:cs="宋体" w:eastAsia="宋体" w:hint="default"/>
                <w:sz w:val="18"/>
                <w:szCs w:val="18"/>
              </w:rPr>
            </w:pPr>
            <w:r>
              <w:rPr>
                <w:rFonts w:ascii="宋体"/>
                <w:sz w:val="18"/>
              </w:rPr>
              <w:t>21,600,000.00</w:t>
            </w:r>
          </w:p>
        </w:tc>
        <w:tc>
          <w:tcPr>
            <w:tcW w:w="949"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92"/>
              <w:jc w:val="right"/>
              <w:rPr>
                <w:rFonts w:ascii="宋体" w:hAnsi="宋体" w:cs="宋体" w:eastAsia="宋体" w:hint="default"/>
                <w:sz w:val="18"/>
                <w:szCs w:val="18"/>
              </w:rPr>
            </w:pPr>
            <w:r>
              <w:rPr>
                <w:rFonts w:ascii="宋体"/>
                <w:sz w:val="18"/>
              </w:rPr>
              <w:t>-</w:t>
            </w:r>
          </w:p>
        </w:tc>
        <w:tc>
          <w:tcPr>
            <w:tcW w:w="174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15"/>
              <w:jc w:val="right"/>
              <w:rPr>
                <w:rFonts w:ascii="宋体" w:hAnsi="宋体" w:cs="宋体" w:eastAsia="宋体" w:hint="default"/>
                <w:sz w:val="18"/>
                <w:szCs w:val="18"/>
              </w:rPr>
            </w:pPr>
            <w:r>
              <w:rPr>
                <w:rFonts w:ascii="宋体"/>
                <w:sz w:val="18"/>
              </w:rPr>
              <w:t>31,500,000.00</w:t>
            </w:r>
          </w:p>
        </w:tc>
      </w:tr>
    </w:tbl>
    <w:p>
      <w:pPr>
        <w:spacing w:after="0" w:line="240" w:lineRule="auto"/>
        <w:jc w:val="right"/>
        <w:rPr>
          <w:rFonts w:ascii="宋体" w:hAnsi="宋体" w:cs="宋体" w:eastAsia="宋体" w:hint="default"/>
          <w:sz w:val="18"/>
          <w:szCs w:val="18"/>
        </w:rPr>
        <w:sectPr>
          <w:pgSz w:w="11910" w:h="16840"/>
          <w:pgMar w:header="877" w:footer="1022" w:top="1060" w:bottom="1220" w:left="820" w:right="820"/>
        </w:sectPr>
      </w:pPr>
    </w:p>
    <w:p>
      <w:pPr>
        <w:spacing w:line="240" w:lineRule="auto" w:before="0"/>
        <w:rPr>
          <w:rFonts w:ascii="宋体" w:hAnsi="宋体" w:cs="宋体" w:eastAsia="宋体" w:hint="default"/>
          <w:sz w:val="20"/>
          <w:szCs w:val="20"/>
        </w:rPr>
      </w:pPr>
    </w:p>
    <w:p>
      <w:pPr>
        <w:spacing w:line="396" w:lineRule="auto" w:before="161"/>
        <w:ind w:left="796" w:right="2091" w:hanging="3"/>
        <w:jc w:val="left"/>
        <w:rPr>
          <w:rFonts w:ascii="宋体" w:hAnsi="宋体" w:cs="宋体" w:eastAsia="宋体" w:hint="default"/>
          <w:sz w:val="24"/>
          <w:szCs w:val="24"/>
        </w:rPr>
      </w:pPr>
      <w:r>
        <w:rPr>
          <w:rFonts w:ascii="宋体" w:hAnsi="宋体" w:cs="宋体" w:eastAsia="宋体" w:hint="default"/>
          <w:sz w:val="24"/>
          <w:szCs w:val="24"/>
        </w:rPr>
        <w:t>本公司无境外投资，故不存在长期投资变现及收益汇回的重大限制。 </w:t>
      </w:r>
      <w:r>
        <w:rPr>
          <w:rFonts w:ascii="宋体" w:hAnsi="宋体" w:cs="宋体" w:eastAsia="宋体" w:hint="default"/>
          <w:b/>
          <w:bCs/>
          <w:sz w:val="24"/>
          <w:szCs w:val="24"/>
        </w:rPr>
        <w:t>4、营业收入和营业成本</w:t>
      </w:r>
      <w:r>
        <w:rPr>
          <w:rFonts w:ascii="宋体" w:hAnsi="宋体" w:cs="宋体" w:eastAsia="宋体" w:hint="default"/>
          <w:sz w:val="24"/>
          <w:szCs w:val="24"/>
        </w:rPr>
      </w:r>
    </w:p>
    <w:p>
      <w:pPr>
        <w:spacing w:line="240" w:lineRule="auto" w:before="3"/>
        <w:rPr>
          <w:rFonts w:ascii="宋体" w:hAnsi="宋体" w:cs="宋体" w:eastAsia="宋体" w:hint="default"/>
          <w:b/>
          <w:bCs/>
          <w:sz w:val="8"/>
          <w:szCs w:val="8"/>
        </w:rPr>
      </w:pPr>
    </w:p>
    <w:tbl>
      <w:tblPr>
        <w:tblW w:w="0" w:type="auto"/>
        <w:jc w:val="left"/>
        <w:tblInd w:w="113" w:type="dxa"/>
        <w:tblLayout w:type="fixed"/>
        <w:tblCellMar>
          <w:top w:w="0" w:type="dxa"/>
          <w:left w:w="0" w:type="dxa"/>
          <w:bottom w:w="0" w:type="dxa"/>
          <w:right w:w="0" w:type="dxa"/>
        </w:tblCellMar>
        <w:tblLook w:val="01E0"/>
      </w:tblPr>
      <w:tblGrid>
        <w:gridCol w:w="3537"/>
        <w:gridCol w:w="2927"/>
        <w:gridCol w:w="564"/>
        <w:gridCol w:w="2810"/>
      </w:tblGrid>
      <w:tr>
        <w:trPr>
          <w:trHeight w:val="289" w:hRule="exact"/>
        </w:trPr>
        <w:tc>
          <w:tcPr>
            <w:tcW w:w="3537" w:type="dxa"/>
            <w:tcBorders>
              <w:top w:val="nil" w:sz="6" w:space="0" w:color="auto"/>
              <w:left w:val="nil" w:sz="6" w:space="0" w:color="auto"/>
              <w:bottom w:val="nil" w:sz="6" w:space="0" w:color="auto"/>
              <w:right w:val="nil" w:sz="6" w:space="0" w:color="auto"/>
            </w:tcBorders>
          </w:tcPr>
          <w:p>
            <w:pPr/>
          </w:p>
        </w:tc>
        <w:tc>
          <w:tcPr>
            <w:tcW w:w="2927" w:type="dxa"/>
            <w:tcBorders>
              <w:top w:val="nil" w:sz="6" w:space="0" w:color="auto"/>
              <w:left w:val="nil" w:sz="6" w:space="0" w:color="auto"/>
              <w:bottom w:val="single" w:sz="4" w:space="0" w:color="000000"/>
              <w:right w:val="nil" w:sz="6" w:space="0" w:color="auto"/>
            </w:tcBorders>
          </w:tcPr>
          <w:p>
            <w:pPr>
              <w:pStyle w:val="TableParagraph"/>
              <w:spacing w:line="180" w:lineRule="exact"/>
              <w:ind w:left="7"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564"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single" w:sz="4" w:space="0" w:color="000000"/>
              <w:right w:val="nil" w:sz="6" w:space="0" w:color="auto"/>
            </w:tcBorders>
          </w:tcPr>
          <w:p>
            <w:pPr>
              <w:pStyle w:val="TableParagraph"/>
              <w:spacing w:line="180" w:lineRule="exact"/>
              <w:ind w:left="5"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98" w:hRule="exact"/>
        </w:trPr>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92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557,107,875.12</w:t>
            </w:r>
          </w:p>
        </w:tc>
        <w:tc>
          <w:tcPr>
            <w:tcW w:w="564" w:type="dxa"/>
            <w:tcBorders>
              <w:top w:val="nil" w:sz="6" w:space="0" w:color="auto"/>
              <w:left w:val="nil" w:sz="6" w:space="0" w:color="auto"/>
              <w:bottom w:val="nil" w:sz="6" w:space="0" w:color="auto"/>
              <w:right w:val="nil" w:sz="6" w:space="0" w:color="auto"/>
            </w:tcBorders>
          </w:tcPr>
          <w:p>
            <w:pPr/>
          </w:p>
        </w:tc>
        <w:tc>
          <w:tcPr>
            <w:tcW w:w="281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356,013,088.50</w:t>
            </w:r>
          </w:p>
        </w:tc>
      </w:tr>
      <w:tr>
        <w:trPr>
          <w:trHeight w:val="396" w:hRule="exact"/>
        </w:trPr>
        <w:tc>
          <w:tcPr>
            <w:tcW w:w="3537"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92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19,264,906.95</w:t>
            </w:r>
          </w:p>
        </w:tc>
        <w:tc>
          <w:tcPr>
            <w:tcW w:w="564"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11,143,888.26</w:t>
            </w:r>
          </w:p>
        </w:tc>
      </w:tr>
      <w:tr>
        <w:trPr>
          <w:trHeight w:val="413" w:hRule="exact"/>
        </w:trPr>
        <w:tc>
          <w:tcPr>
            <w:tcW w:w="3537" w:type="dxa"/>
            <w:tcBorders>
              <w:top w:val="nil" w:sz="6" w:space="0" w:color="auto"/>
              <w:left w:val="nil" w:sz="6" w:space="0" w:color="auto"/>
              <w:bottom w:val="nil" w:sz="6" w:space="0" w:color="auto"/>
              <w:right w:val="nil" w:sz="6" w:space="0" w:color="auto"/>
            </w:tcBorders>
          </w:tcPr>
          <w:p>
            <w:pPr/>
          </w:p>
        </w:tc>
        <w:tc>
          <w:tcPr>
            <w:tcW w:w="2927"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576,372,782.07</w:t>
            </w:r>
          </w:p>
        </w:tc>
        <w:tc>
          <w:tcPr>
            <w:tcW w:w="564" w:type="dxa"/>
            <w:tcBorders>
              <w:top w:val="nil" w:sz="6" w:space="0" w:color="auto"/>
              <w:left w:val="nil" w:sz="6" w:space="0" w:color="auto"/>
              <w:bottom w:val="nil" w:sz="6" w:space="0" w:color="auto"/>
              <w:right w:val="nil" w:sz="6" w:space="0" w:color="auto"/>
            </w:tcBorders>
          </w:tcPr>
          <w:p>
            <w:pPr/>
          </w:p>
        </w:tc>
        <w:tc>
          <w:tcPr>
            <w:tcW w:w="281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367,156,976.76</w:t>
            </w:r>
          </w:p>
        </w:tc>
      </w:tr>
    </w:tbl>
    <w:p>
      <w:pPr>
        <w:spacing w:line="240" w:lineRule="auto" w:before="13"/>
        <w:rPr>
          <w:rFonts w:ascii="宋体" w:hAnsi="宋体" w:cs="宋体" w:eastAsia="宋体" w:hint="default"/>
          <w:b/>
          <w:bCs/>
          <w:sz w:val="10"/>
          <w:szCs w:val="10"/>
        </w:rPr>
      </w:pPr>
    </w:p>
    <w:p>
      <w:pPr>
        <w:pStyle w:val="BodyText"/>
        <w:spacing w:line="240" w:lineRule="auto" w:before="26"/>
        <w:ind w:left="794" w:right="1890"/>
        <w:jc w:val="left"/>
      </w:pPr>
      <w:r>
        <w:rPr/>
        <w:t>(1)主营业务收入和主营业务成本</w:t>
      </w:r>
    </w:p>
    <w:p>
      <w:pPr>
        <w:spacing w:line="240" w:lineRule="auto" w:before="1"/>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1869"/>
        <w:gridCol w:w="2234"/>
        <w:gridCol w:w="1463"/>
        <w:gridCol w:w="313"/>
        <w:gridCol w:w="1628"/>
        <w:gridCol w:w="274"/>
        <w:gridCol w:w="2058"/>
      </w:tblGrid>
      <w:tr>
        <w:trPr>
          <w:trHeight w:val="290" w:hRule="exact"/>
        </w:trPr>
        <w:tc>
          <w:tcPr>
            <w:tcW w:w="1869" w:type="dxa"/>
            <w:tcBorders>
              <w:top w:val="nil" w:sz="6" w:space="0" w:color="auto"/>
              <w:left w:val="nil" w:sz="6" w:space="0" w:color="auto"/>
              <w:bottom w:val="nil" w:sz="6" w:space="0" w:color="auto"/>
              <w:right w:val="nil" w:sz="6" w:space="0" w:color="auto"/>
            </w:tcBorders>
          </w:tcPr>
          <w:p>
            <w:pPr/>
          </w:p>
        </w:tc>
        <w:tc>
          <w:tcPr>
            <w:tcW w:w="2234" w:type="dxa"/>
            <w:tcBorders>
              <w:top w:val="nil" w:sz="6" w:space="0" w:color="auto"/>
              <w:left w:val="nil" w:sz="6" w:space="0" w:color="auto"/>
              <w:bottom w:val="single" w:sz="4" w:space="0" w:color="000000"/>
              <w:right w:val="nil" w:sz="6" w:space="0" w:color="auto"/>
            </w:tcBorders>
          </w:tcPr>
          <w:p>
            <w:pPr>
              <w:pStyle w:val="TableParagraph"/>
              <w:spacing w:line="180" w:lineRule="exact"/>
              <w:ind w:left="1469" w:right="-1"/>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463" w:type="dxa"/>
            <w:tcBorders>
              <w:top w:val="nil" w:sz="6" w:space="0" w:color="auto"/>
              <w:left w:val="nil" w:sz="6" w:space="0" w:color="auto"/>
              <w:bottom w:val="single" w:sz="4" w:space="0" w:color="000000"/>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3960" w:type="dxa"/>
            <w:gridSpan w:val="3"/>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02" w:hRule="exact"/>
        </w:trPr>
        <w:tc>
          <w:tcPr>
            <w:tcW w:w="1869" w:type="dxa"/>
            <w:tcBorders>
              <w:top w:val="nil" w:sz="6" w:space="0" w:color="auto"/>
              <w:left w:val="nil" w:sz="6" w:space="0" w:color="auto"/>
              <w:bottom w:val="nil" w:sz="6" w:space="0" w:color="auto"/>
              <w:right w:val="nil" w:sz="6" w:space="0" w:color="auto"/>
            </w:tcBorders>
          </w:tcPr>
          <w:p>
            <w:pPr/>
          </w:p>
        </w:tc>
        <w:tc>
          <w:tcPr>
            <w:tcW w:w="223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46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1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74" w:type="dxa"/>
            <w:tcBorders>
              <w:top w:val="single" w:sz="4" w:space="0" w:color="000000"/>
              <w:left w:val="nil" w:sz="6" w:space="0" w:color="auto"/>
              <w:bottom w:val="nil" w:sz="6" w:space="0" w:color="auto"/>
              <w:right w:val="nil" w:sz="6" w:space="0" w:color="auto"/>
            </w:tcBorders>
          </w:tcPr>
          <w:p>
            <w:pPr/>
          </w:p>
        </w:tc>
        <w:tc>
          <w:tcPr>
            <w:tcW w:w="2058"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49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r>
      <w:tr>
        <w:trPr>
          <w:trHeight w:val="398"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sz w:val="18"/>
              </w:rPr>
              <w:t>SVC</w:t>
            </w:r>
          </w:p>
        </w:tc>
        <w:tc>
          <w:tcPr>
            <w:tcW w:w="2234"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9.05pt;height:.5pt;mso-position-horizontal-relative:char;mso-position-vertical-relative:line" coordorigin="0,0" coordsize="1581,10">
                  <v:group style="position:absolute;left:5;top:5;width:1571;height:2" coordorigin="5,5" coordsize="1571,2">
                    <v:shape style="position:absolute;left:5;top:5;width:1571;height:2" coordorigin="5,5" coordsize="1571,0" path="m5,5l157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1"/>
              <w:ind w:left="317" w:right="0"/>
              <w:jc w:val="left"/>
              <w:rPr>
                <w:rFonts w:ascii="宋体" w:hAnsi="宋体" w:cs="宋体" w:eastAsia="宋体" w:hint="default"/>
                <w:sz w:val="18"/>
                <w:szCs w:val="18"/>
              </w:rPr>
            </w:pPr>
            <w:r>
              <w:rPr>
                <w:rFonts w:ascii="宋体"/>
                <w:sz w:val="18"/>
              </w:rPr>
              <w:t>424,154,503.29</w:t>
            </w:r>
          </w:p>
        </w:tc>
        <w:tc>
          <w:tcPr>
            <w:tcW w:w="146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237,365,888.85</w:t>
            </w:r>
          </w:p>
        </w:tc>
        <w:tc>
          <w:tcPr>
            <w:tcW w:w="31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294,988,090.10</w:t>
            </w:r>
          </w:p>
        </w:tc>
        <w:tc>
          <w:tcPr>
            <w:tcW w:w="274" w:type="dxa"/>
            <w:tcBorders>
              <w:top w:val="nil" w:sz="6" w:space="0" w:color="auto"/>
              <w:left w:val="nil" w:sz="6" w:space="0" w:color="auto"/>
              <w:bottom w:val="nil" w:sz="6" w:space="0" w:color="auto"/>
              <w:right w:val="nil" w:sz="6" w:space="0" w:color="auto"/>
            </w:tcBorders>
          </w:tcPr>
          <w:p>
            <w:pPr/>
          </w:p>
        </w:tc>
        <w:tc>
          <w:tcPr>
            <w:tcW w:w="205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156,920,125.20</w:t>
            </w:r>
          </w:p>
        </w:tc>
      </w:tr>
      <w:tr>
        <w:trPr>
          <w:trHeight w:val="392"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sz w:val="18"/>
              </w:rPr>
              <w:t>FC</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7" w:right="0"/>
              <w:jc w:val="left"/>
              <w:rPr>
                <w:rFonts w:ascii="宋体" w:hAnsi="宋体" w:cs="宋体" w:eastAsia="宋体" w:hint="default"/>
                <w:sz w:val="18"/>
                <w:szCs w:val="18"/>
              </w:rPr>
            </w:pPr>
            <w:r>
              <w:rPr>
                <w:rFonts w:ascii="宋体"/>
                <w:sz w:val="18"/>
              </w:rPr>
              <w:t>38,863,334.22</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32,022,757.19</w:t>
            </w:r>
          </w:p>
        </w:tc>
        <w:tc>
          <w:tcPr>
            <w:tcW w:w="31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34,865,042.71</w:t>
            </w:r>
          </w:p>
        </w:tc>
        <w:tc>
          <w:tcPr>
            <w:tcW w:w="274"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28,459,858.54</w:t>
            </w:r>
          </w:p>
        </w:tc>
      </w:tr>
      <w:tr>
        <w:trPr>
          <w:trHeight w:val="392"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sz w:val="18"/>
              </w:rPr>
              <w:t>MABZ</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7" w:right="0"/>
              <w:jc w:val="left"/>
              <w:rPr>
                <w:rFonts w:ascii="宋体" w:hAnsi="宋体" w:cs="宋体" w:eastAsia="宋体" w:hint="default"/>
                <w:sz w:val="18"/>
                <w:szCs w:val="18"/>
              </w:rPr>
            </w:pPr>
            <w:r>
              <w:rPr>
                <w:rFonts w:ascii="宋体"/>
                <w:sz w:val="18"/>
              </w:rPr>
              <w:t>30,273,709.39</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12,923,145.84</w:t>
            </w:r>
          </w:p>
        </w:tc>
        <w:tc>
          <w:tcPr>
            <w:tcW w:w="31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12,739,743.59</w:t>
            </w:r>
          </w:p>
        </w:tc>
        <w:tc>
          <w:tcPr>
            <w:tcW w:w="274"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6,448,179.04</w:t>
            </w:r>
          </w:p>
        </w:tc>
      </w:tr>
      <w:tr>
        <w:trPr>
          <w:trHeight w:val="392"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sz w:val="18"/>
              </w:rPr>
              <w:t>HVC</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07" w:right="0"/>
              <w:jc w:val="left"/>
              <w:rPr>
                <w:rFonts w:ascii="宋体" w:hAnsi="宋体" w:cs="宋体" w:eastAsia="宋体" w:hint="default"/>
                <w:sz w:val="18"/>
                <w:szCs w:val="18"/>
              </w:rPr>
            </w:pPr>
            <w:r>
              <w:rPr>
                <w:rFonts w:ascii="宋体"/>
                <w:sz w:val="18"/>
              </w:rPr>
              <w:t>43,956,124.86</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27,349,797.74</w:t>
            </w:r>
          </w:p>
        </w:tc>
        <w:tc>
          <w:tcPr>
            <w:tcW w:w="31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13,420,212.10</w:t>
            </w:r>
          </w:p>
        </w:tc>
        <w:tc>
          <w:tcPr>
            <w:tcW w:w="274"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7,528,786.87</w:t>
            </w:r>
          </w:p>
        </w:tc>
      </w:tr>
      <w:tr>
        <w:trPr>
          <w:trHeight w:val="392"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sz w:val="18"/>
              </w:rPr>
              <w:t>VFS</w:t>
            </w:r>
          </w:p>
        </w:tc>
        <w:tc>
          <w:tcPr>
            <w:tcW w:w="223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97" w:right="0"/>
              <w:jc w:val="left"/>
              <w:rPr>
                <w:rFonts w:ascii="宋体" w:hAnsi="宋体" w:cs="宋体" w:eastAsia="宋体" w:hint="default"/>
                <w:sz w:val="18"/>
                <w:szCs w:val="18"/>
              </w:rPr>
            </w:pPr>
            <w:r>
              <w:rPr>
                <w:rFonts w:ascii="宋体"/>
                <w:sz w:val="18"/>
              </w:rPr>
              <w:t>4,608,066.64</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2,847,797.30</w:t>
            </w:r>
          </w:p>
        </w:tc>
        <w:tc>
          <w:tcPr>
            <w:tcW w:w="31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c>
          <w:tcPr>
            <w:tcW w:w="274"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395" w:hRule="exact"/>
        </w:trPr>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sz w:val="18"/>
              </w:rPr>
              <w:t>SVG</w:t>
            </w:r>
          </w:p>
        </w:tc>
        <w:tc>
          <w:tcPr>
            <w:tcW w:w="223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407" w:right="0"/>
              <w:jc w:val="left"/>
              <w:rPr>
                <w:rFonts w:ascii="宋体" w:hAnsi="宋体" w:cs="宋体" w:eastAsia="宋体" w:hint="default"/>
                <w:sz w:val="18"/>
                <w:szCs w:val="18"/>
              </w:rPr>
            </w:pPr>
            <w:r>
              <w:rPr>
                <w:rFonts w:ascii="宋体"/>
                <w:sz w:val="18"/>
              </w:rPr>
              <w:t>15,252,136.72</w:t>
            </w:r>
          </w:p>
        </w:tc>
        <w:tc>
          <w:tcPr>
            <w:tcW w:w="1463"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12,266,665.91</w:t>
            </w:r>
          </w:p>
        </w:tc>
        <w:tc>
          <w:tcPr>
            <w:tcW w:w="313"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c>
          <w:tcPr>
            <w:tcW w:w="274" w:type="dxa"/>
            <w:tcBorders>
              <w:top w:val="nil" w:sz="6" w:space="0" w:color="auto"/>
              <w:left w:val="nil" w:sz="6" w:space="0" w:color="auto"/>
              <w:bottom w:val="nil" w:sz="6" w:space="0" w:color="auto"/>
              <w:right w:val="nil" w:sz="6" w:space="0" w:color="auto"/>
            </w:tcBorders>
          </w:tcPr>
          <w:p>
            <w:pPr/>
          </w:p>
        </w:tc>
        <w:tc>
          <w:tcPr>
            <w:tcW w:w="205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413" w:hRule="exact"/>
        </w:trPr>
        <w:tc>
          <w:tcPr>
            <w:tcW w:w="1869" w:type="dxa"/>
            <w:tcBorders>
              <w:top w:val="nil" w:sz="6" w:space="0" w:color="auto"/>
              <w:left w:val="nil" w:sz="6" w:space="0" w:color="auto"/>
              <w:bottom w:val="nil" w:sz="6" w:space="0" w:color="auto"/>
              <w:right w:val="nil" w:sz="6" w:space="0" w:color="auto"/>
            </w:tcBorders>
          </w:tcPr>
          <w:p>
            <w:pPr/>
          </w:p>
        </w:tc>
        <w:tc>
          <w:tcPr>
            <w:tcW w:w="223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9.05pt;height:.5pt;mso-position-horizontal-relative:char;mso-position-vertical-relative:line" coordorigin="0,0" coordsize="1581,10">
                  <v:group style="position:absolute;left:5;top:5;width:1571;height:2" coordorigin="5,5" coordsize="1571,2">
                    <v:shape style="position:absolute;left:5;top:5;width:1571;height:2" coordorigin="5,5" coordsize="1571,0" path="m5,5l157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1"/>
              <w:ind w:left="317" w:right="0"/>
              <w:jc w:val="left"/>
              <w:rPr>
                <w:rFonts w:ascii="宋体" w:hAnsi="宋体" w:cs="宋体" w:eastAsia="宋体" w:hint="default"/>
                <w:sz w:val="18"/>
                <w:szCs w:val="18"/>
              </w:rPr>
            </w:pPr>
            <w:r>
              <w:rPr>
                <w:rFonts w:ascii="宋体"/>
                <w:sz w:val="18"/>
              </w:rPr>
              <w:t>557,107,875.12</w:t>
            </w:r>
          </w:p>
        </w:tc>
        <w:tc>
          <w:tcPr>
            <w:tcW w:w="1463"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324,776,052.83</w:t>
            </w:r>
          </w:p>
        </w:tc>
        <w:tc>
          <w:tcPr>
            <w:tcW w:w="313"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356,013,088.50</w:t>
            </w:r>
          </w:p>
        </w:tc>
        <w:tc>
          <w:tcPr>
            <w:tcW w:w="274" w:type="dxa"/>
            <w:tcBorders>
              <w:top w:val="nil" w:sz="6" w:space="0" w:color="auto"/>
              <w:left w:val="nil" w:sz="6" w:space="0" w:color="auto"/>
              <w:bottom w:val="nil" w:sz="6" w:space="0" w:color="auto"/>
              <w:right w:val="nil" w:sz="6" w:space="0" w:color="auto"/>
            </w:tcBorders>
          </w:tcPr>
          <w:p>
            <w:pPr/>
          </w:p>
        </w:tc>
        <w:tc>
          <w:tcPr>
            <w:tcW w:w="205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199,356,949.65</w:t>
            </w:r>
          </w:p>
        </w:tc>
      </w:tr>
    </w:tbl>
    <w:p>
      <w:pPr>
        <w:spacing w:line="240" w:lineRule="auto" w:before="0"/>
        <w:rPr>
          <w:rFonts w:ascii="宋体" w:hAnsi="宋体" w:cs="宋体" w:eastAsia="宋体" w:hint="default"/>
          <w:sz w:val="14"/>
          <w:szCs w:val="14"/>
        </w:rPr>
      </w:pPr>
    </w:p>
    <w:p>
      <w:pPr>
        <w:pStyle w:val="BodyText"/>
        <w:spacing w:line="336" w:lineRule="auto" w:before="26"/>
        <w:ind w:left="314" w:right="92" w:firstLine="480"/>
        <w:jc w:val="left"/>
      </w:pPr>
      <w:r>
        <w:rPr>
          <w:spacing w:val="8"/>
        </w:rPr>
        <w:t>本公司前五名客户销售的收入总额为 </w:t>
      </w:r>
      <w:r>
        <w:rPr/>
        <w:t>144,996,500.04</w:t>
      </w:r>
      <w:r>
        <w:rPr>
          <w:spacing w:val="15"/>
        </w:rPr>
        <w:t> </w:t>
      </w:r>
      <w:r>
        <w:rPr>
          <w:spacing w:val="9"/>
        </w:rPr>
        <w:t>元，占本公司全部销售收入的</w:t>
      </w:r>
      <w:r>
        <w:rPr>
          <w:spacing w:val="9"/>
        </w:rPr>
        <w:t> </w:t>
      </w:r>
      <w:r>
        <w:rPr/>
        <w:t>25.16%。</w:t>
      </w:r>
    </w:p>
    <w:p>
      <w:pPr>
        <w:pStyle w:val="BodyText"/>
        <w:spacing w:line="240" w:lineRule="auto" w:before="151"/>
        <w:ind w:left="794" w:right="1890"/>
        <w:jc w:val="left"/>
      </w:pPr>
      <w:r>
        <w:rPr/>
        <w:t>(2)其他业务收入和其他业务成本</w:t>
      </w:r>
    </w:p>
    <w:p>
      <w:pPr>
        <w:spacing w:line="240" w:lineRule="auto" w:before="2"/>
        <w:rPr>
          <w:rFonts w:ascii="宋体" w:hAnsi="宋体" w:cs="宋体" w:eastAsia="宋体"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1860"/>
        <w:gridCol w:w="2213"/>
        <w:gridCol w:w="1480"/>
        <w:gridCol w:w="320"/>
        <w:gridCol w:w="1628"/>
        <w:gridCol w:w="274"/>
        <w:gridCol w:w="2057"/>
      </w:tblGrid>
      <w:tr>
        <w:trPr>
          <w:trHeight w:val="291" w:hRule="exact"/>
        </w:trPr>
        <w:tc>
          <w:tcPr>
            <w:tcW w:w="1860" w:type="dxa"/>
            <w:tcBorders>
              <w:top w:val="nil" w:sz="6" w:space="0" w:color="auto"/>
              <w:left w:val="nil" w:sz="6" w:space="0" w:color="auto"/>
              <w:bottom w:val="nil" w:sz="6" w:space="0" w:color="auto"/>
              <w:right w:val="nil" w:sz="6" w:space="0" w:color="auto"/>
            </w:tcBorders>
          </w:tcPr>
          <w:p>
            <w:pPr/>
          </w:p>
        </w:tc>
        <w:tc>
          <w:tcPr>
            <w:tcW w:w="2213" w:type="dxa"/>
            <w:tcBorders>
              <w:top w:val="nil" w:sz="6" w:space="0" w:color="auto"/>
              <w:left w:val="nil" w:sz="6" w:space="0" w:color="auto"/>
              <w:bottom w:val="single" w:sz="4" w:space="0" w:color="000000"/>
              <w:right w:val="nil" w:sz="6" w:space="0" w:color="auto"/>
            </w:tcBorders>
          </w:tcPr>
          <w:p>
            <w:pPr>
              <w:pStyle w:val="TableParagraph"/>
              <w:spacing w:line="180" w:lineRule="exact"/>
              <w:ind w:left="1471" w:right="-23"/>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480" w:type="dxa"/>
            <w:tcBorders>
              <w:top w:val="nil" w:sz="6" w:space="0" w:color="auto"/>
              <w:left w:val="nil" w:sz="6" w:space="0" w:color="auto"/>
              <w:bottom w:val="single" w:sz="4" w:space="0" w:color="000000"/>
              <w:right w:val="nil" w:sz="6" w:space="0" w:color="auto"/>
            </w:tcBorders>
          </w:tcPr>
          <w:p>
            <w:pPr/>
          </w:p>
        </w:tc>
        <w:tc>
          <w:tcPr>
            <w:tcW w:w="4279"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334"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08" w:hRule="exact"/>
        </w:trPr>
        <w:tc>
          <w:tcPr>
            <w:tcW w:w="1860" w:type="dxa"/>
            <w:tcBorders>
              <w:top w:val="nil" w:sz="6" w:space="0" w:color="auto"/>
              <w:left w:val="nil" w:sz="6" w:space="0" w:color="auto"/>
              <w:bottom w:val="nil" w:sz="6" w:space="0" w:color="auto"/>
              <w:right w:val="nil" w:sz="6" w:space="0" w:color="auto"/>
            </w:tcBorders>
          </w:tcPr>
          <w:p>
            <w:pPr/>
          </w:p>
        </w:tc>
        <w:tc>
          <w:tcPr>
            <w:tcW w:w="2213"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497"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480"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32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548"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274" w:type="dxa"/>
            <w:tcBorders>
              <w:top w:val="single" w:sz="4" w:space="0" w:color="000000"/>
              <w:left w:val="nil" w:sz="6" w:space="0" w:color="auto"/>
              <w:bottom w:val="nil" w:sz="6" w:space="0" w:color="auto"/>
              <w:right w:val="nil" w:sz="6" w:space="0" w:color="auto"/>
            </w:tcBorders>
          </w:tcPr>
          <w:p>
            <w:pPr/>
          </w:p>
        </w:tc>
        <w:tc>
          <w:tcPr>
            <w:tcW w:w="2057" w:type="dxa"/>
            <w:tcBorders>
              <w:top w:val="single" w:sz="4" w:space="0" w:color="000000"/>
              <w:left w:val="nil" w:sz="6" w:space="0" w:color="auto"/>
              <w:bottom w:val="single" w:sz="4" w:space="0" w:color="000000"/>
              <w:right w:val="nil" w:sz="6" w:space="0" w:color="auto"/>
            </w:tcBorders>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其他业务成本</w:t>
            </w:r>
          </w:p>
        </w:tc>
      </w:tr>
      <w:tr>
        <w:trPr>
          <w:trHeight w:val="294" w:hRule="exact"/>
        </w:trPr>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00" w:right="0"/>
              <w:jc w:val="left"/>
              <w:rPr>
                <w:rFonts w:ascii="宋体" w:hAnsi="宋体" w:cs="宋体" w:eastAsia="宋体" w:hint="default"/>
                <w:sz w:val="18"/>
                <w:szCs w:val="18"/>
              </w:rPr>
            </w:pPr>
            <w:r>
              <w:rPr>
                <w:rFonts w:ascii="宋体" w:hAnsi="宋体" w:cs="宋体" w:eastAsia="宋体" w:hint="default"/>
                <w:sz w:val="18"/>
                <w:szCs w:val="18"/>
              </w:rPr>
              <w:t>销售材料</w:t>
            </w:r>
          </w:p>
        </w:tc>
        <w:tc>
          <w:tcPr>
            <w:tcW w:w="221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宋体" w:hAnsi="宋体" w:cs="宋体" w:eastAsia="宋体" w:hint="default"/>
                <w:sz w:val="2"/>
                <w:szCs w:val="2"/>
              </w:rPr>
            </w:pPr>
            <w:r>
              <w:rPr>
                <w:rFonts w:ascii="宋体" w:hAnsi="宋体" w:cs="宋体" w:eastAsia="宋体" w:hint="default"/>
                <w:sz w:val="2"/>
                <w:szCs w:val="2"/>
              </w:rPr>
              <w:pict>
                <v:group style="width:79.05pt;height:.5pt;mso-position-horizontal-relative:char;mso-position-vertical-relative:line" coordorigin="0,0" coordsize="1581,10">
                  <v:group style="position:absolute;left:5;top:5;width:1571;height:2" coordorigin="5,5" coordsize="1571,2">
                    <v:shape style="position:absolute;left:5;top:5;width:1571;height:2" coordorigin="5,5" coordsize="1571,0" path="m5,5l1576,5e" filled="false" stroked="true" strokeweight=".48pt" strokecolor="#000000">
                      <v:path arrowok="t"/>
                    </v:shape>
                  </v:group>
                </v:group>
              </w:pict>
            </w:r>
            <w:r>
              <w:rPr>
                <w:rFonts w:ascii="宋体" w:hAnsi="宋体" w:cs="宋体" w:eastAsia="宋体" w:hint="default"/>
                <w:sz w:val="2"/>
                <w:szCs w:val="2"/>
              </w:rPr>
            </w:r>
          </w:p>
          <w:p>
            <w:pPr>
              <w:pStyle w:val="TableParagraph"/>
              <w:spacing w:line="240" w:lineRule="auto" w:before="43"/>
              <w:ind w:left="207" w:right="0"/>
              <w:jc w:val="left"/>
              <w:rPr>
                <w:rFonts w:ascii="宋体" w:hAnsi="宋体" w:cs="宋体" w:eastAsia="宋体" w:hint="default"/>
                <w:sz w:val="18"/>
                <w:szCs w:val="18"/>
              </w:rPr>
            </w:pPr>
            <w:r>
              <w:rPr>
                <w:rFonts w:ascii="宋体"/>
                <w:sz w:val="18"/>
              </w:rPr>
              <w:t>19,264,906.95</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14,968,982.53</w:t>
            </w:r>
          </w:p>
        </w:tc>
        <w:tc>
          <w:tcPr>
            <w:tcW w:w="320" w:type="dxa"/>
            <w:tcBorders>
              <w:top w:val="nil" w:sz="6" w:space="0" w:color="auto"/>
              <w:left w:val="nil" w:sz="6" w:space="0" w:color="auto"/>
              <w:bottom w:val="nil" w:sz="6" w:space="0" w:color="auto"/>
              <w:right w:val="nil" w:sz="6" w:space="0" w:color="auto"/>
            </w:tcBorders>
          </w:tcPr>
          <w:p>
            <w:pPr/>
          </w:p>
        </w:tc>
        <w:tc>
          <w:tcPr>
            <w:tcW w:w="162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232" w:right="0"/>
              <w:jc w:val="left"/>
              <w:rPr>
                <w:rFonts w:ascii="宋体" w:hAnsi="宋体" w:cs="宋体" w:eastAsia="宋体" w:hint="default"/>
                <w:sz w:val="18"/>
                <w:szCs w:val="18"/>
              </w:rPr>
            </w:pPr>
            <w:r>
              <w:rPr>
                <w:rFonts w:ascii="宋体"/>
                <w:sz w:val="18"/>
              </w:rPr>
              <w:t>11,143,888.26</w:t>
            </w:r>
          </w:p>
        </w:tc>
        <w:tc>
          <w:tcPr>
            <w:tcW w:w="274" w:type="dxa"/>
            <w:tcBorders>
              <w:top w:val="nil" w:sz="6" w:space="0" w:color="auto"/>
              <w:left w:val="nil" w:sz="6" w:space="0" w:color="auto"/>
              <w:bottom w:val="nil" w:sz="6" w:space="0" w:color="auto"/>
              <w:right w:val="nil" w:sz="6" w:space="0" w:color="auto"/>
            </w:tcBorders>
          </w:tcPr>
          <w:p>
            <w:pPr/>
          </w:p>
        </w:tc>
        <w:tc>
          <w:tcPr>
            <w:tcW w:w="205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4" w:right="0"/>
              <w:jc w:val="center"/>
              <w:rPr>
                <w:rFonts w:ascii="宋体" w:hAnsi="宋体" w:cs="宋体" w:eastAsia="宋体" w:hint="default"/>
                <w:sz w:val="18"/>
                <w:szCs w:val="18"/>
              </w:rPr>
            </w:pPr>
            <w:r>
              <w:rPr>
                <w:rFonts w:ascii="宋体"/>
                <w:sz w:val="18"/>
              </w:rPr>
              <w:t>8,985,501.62</w:t>
            </w:r>
          </w:p>
        </w:tc>
      </w:tr>
    </w:tbl>
    <w:p>
      <w:pPr>
        <w:spacing w:line="240" w:lineRule="auto" w:before="1"/>
        <w:rPr>
          <w:rFonts w:ascii="宋体" w:hAnsi="宋体" w:cs="宋体" w:eastAsia="宋体" w:hint="default"/>
          <w:sz w:val="23"/>
          <w:szCs w:val="23"/>
        </w:rPr>
      </w:pPr>
    </w:p>
    <w:p>
      <w:pPr>
        <w:pStyle w:val="BodyText"/>
        <w:spacing w:line="434" w:lineRule="auto" w:before="26"/>
        <w:ind w:left="794" w:right="4380" w:hanging="480"/>
        <w:jc w:val="left"/>
      </w:pPr>
      <w:r>
        <w:rPr>
          <w:rFonts w:ascii="黑体" w:hAnsi="黑体" w:cs="黑体" w:eastAsia="黑体" w:hint="default"/>
          <w:b/>
          <w:bCs/>
        </w:rPr>
        <w:t>九、关联方关系及其交易</w:t>
      </w:r>
      <w:r>
        <w:rPr>
          <w:rFonts w:ascii="黑体" w:hAnsi="黑体" w:cs="黑体" w:eastAsia="黑体" w:hint="default"/>
          <w:b/>
          <w:bCs/>
          <w:spacing w:val="1"/>
          <w:w w:val="99"/>
        </w:rPr>
        <w:t> </w:t>
      </w:r>
      <w:r>
        <w:rPr/>
        <w:t>1、本公司关联方认定标准 下列各方构成本公司的关联方： (1)本公司的母公司(存在控制关系的关联方)。 (2)本公司的子公司。 (3)与本公司受同一母公司控制的其他企业。 (4)对本公司实施共同控制的投资方。</w:t>
      </w:r>
    </w:p>
    <w:p>
      <w:pPr>
        <w:spacing w:after="0" w:line="434" w:lineRule="auto"/>
        <w:jc w:val="left"/>
        <w:sectPr>
          <w:footerReference w:type="default" r:id="rId19"/>
          <w:pgSz w:w="11910" w:h="16840"/>
          <w:pgMar w:footer="1022" w:header="877" w:top="1060" w:bottom="1220" w:left="82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434" w:lineRule="auto" w:before="26"/>
        <w:ind w:left="794" w:right="5330"/>
        <w:jc w:val="left"/>
      </w:pPr>
      <w:r>
        <w:rPr/>
        <w:t>(5)对本公司施加重大影响的投资方。 (6)本公司的合营企业。 (7)本公司的联营企业。</w:t>
      </w:r>
    </w:p>
    <w:p>
      <w:pPr>
        <w:pStyle w:val="BodyText"/>
        <w:spacing w:line="343" w:lineRule="auto" w:before="61"/>
        <w:ind w:left="314" w:right="151" w:firstLine="480"/>
        <w:jc w:val="both"/>
      </w:pPr>
      <w:r>
        <w:rPr>
          <w:spacing w:val="-3"/>
        </w:rPr>
        <w:t>(8)本公司的主要投资者个人及与其关系密切的家庭成员。主要投资者个人，是指能够控</w:t>
      </w:r>
      <w:r>
        <w:rPr/>
        <w:t> 制、共同控制一个企业或者对一个企业施加重大影响的个人投资者。</w:t>
      </w:r>
    </w:p>
    <w:p>
      <w:pPr>
        <w:pStyle w:val="BodyText"/>
        <w:spacing w:line="343" w:lineRule="auto" w:before="152"/>
        <w:ind w:left="314" w:right="148" w:firstLine="480"/>
        <w:jc w:val="both"/>
      </w:pPr>
      <w:r>
        <w:rPr>
          <w:spacing w:val="-3"/>
        </w:rPr>
        <w:t>(9)本公司或其母公司的关键管理人员及与其关系密切的家庭成员。关键管理人员，是指</w:t>
      </w:r>
      <w:r>
        <w:rPr/>
        <w:t> 有权力并负责计划、指挥和控制企业活动的人员；与主要投资者个人或关键管理人员关系密</w:t>
      </w:r>
      <w:r>
        <w:rPr>
          <w:spacing w:val="-83"/>
        </w:rPr>
        <w:t> </w:t>
      </w:r>
      <w:r>
        <w:rPr>
          <w:spacing w:val="-83"/>
        </w:rPr>
      </w:r>
      <w:r>
        <w:rPr/>
        <w:t>切的家庭成员，是指在处理与企业的交易时可能影响该个人或受该个人影响的家庭成员。</w:t>
      </w:r>
    </w:p>
    <w:p>
      <w:pPr>
        <w:pStyle w:val="BodyText"/>
        <w:spacing w:line="343" w:lineRule="auto" w:before="152"/>
        <w:ind w:left="313" w:right="148" w:firstLine="480"/>
        <w:jc w:val="both"/>
      </w:pPr>
      <w:r>
        <w:rPr/>
        <w:t>(10)本公司主要投资者个人、关键管理人员或与其关系密切的家庭成员控制、共同控制</w:t>
      </w:r>
      <w:r>
        <w:rPr>
          <w:spacing w:val="1"/>
        </w:rPr>
        <w:t> </w:t>
      </w:r>
      <w:r>
        <w:rPr/>
        <w:t>或施加重大影响的其他企业。</w:t>
      </w:r>
    </w:p>
    <w:p>
      <w:pPr>
        <w:pStyle w:val="BodyText"/>
        <w:spacing w:line="434" w:lineRule="auto" w:before="152"/>
        <w:ind w:left="793" w:right="5571" w:firstLine="60"/>
        <w:jc w:val="left"/>
      </w:pPr>
      <w:r>
        <w:rPr/>
        <w:t>2、存在控制关系的关联方 (1)存在控制关系的关联方基本情况</w:t>
      </w:r>
    </w:p>
    <w:p>
      <w:pPr>
        <w:spacing w:line="240" w:lineRule="auto" w:before="5"/>
        <w:rPr>
          <w:rFonts w:ascii="宋体" w:hAnsi="宋体" w:cs="宋体" w:eastAsia="宋体" w:hint="default"/>
          <w:sz w:val="5"/>
          <w:szCs w:val="5"/>
        </w:rPr>
      </w:pPr>
    </w:p>
    <w:tbl>
      <w:tblPr>
        <w:tblW w:w="0" w:type="auto"/>
        <w:jc w:val="left"/>
        <w:tblInd w:w="307" w:type="dxa"/>
        <w:tblLayout w:type="fixed"/>
        <w:tblCellMar>
          <w:top w:w="0" w:type="dxa"/>
          <w:left w:w="0" w:type="dxa"/>
          <w:bottom w:w="0" w:type="dxa"/>
          <w:right w:w="0" w:type="dxa"/>
        </w:tblCellMar>
        <w:tblLook w:val="01E0"/>
      </w:tblPr>
      <w:tblGrid>
        <w:gridCol w:w="1035"/>
        <w:gridCol w:w="5716"/>
        <w:gridCol w:w="2892"/>
      </w:tblGrid>
      <w:tr>
        <w:trPr>
          <w:trHeight w:val="293" w:hRule="exact"/>
        </w:trPr>
        <w:tc>
          <w:tcPr>
            <w:tcW w:w="1035" w:type="dxa"/>
            <w:tcBorders>
              <w:top w:val="nil" w:sz="6" w:space="0" w:color="auto"/>
              <w:left w:val="nil" w:sz="6" w:space="0" w:color="auto"/>
              <w:bottom w:val="single" w:sz="4" w:space="0" w:color="000000"/>
              <w:right w:val="nil" w:sz="6" w:space="0" w:color="auto"/>
            </w:tcBorders>
          </w:tcPr>
          <w:p>
            <w:pPr>
              <w:pStyle w:val="TableParagraph"/>
              <w:spacing w:line="180" w:lineRule="exact"/>
              <w:ind w:left="375" w:right="0"/>
              <w:jc w:val="left"/>
              <w:rPr>
                <w:rFonts w:ascii="宋体" w:hAnsi="宋体" w:cs="宋体" w:eastAsia="宋体" w:hint="default"/>
                <w:sz w:val="18"/>
                <w:szCs w:val="18"/>
              </w:rPr>
            </w:pPr>
            <w:r>
              <w:rPr>
                <w:rFonts w:ascii="宋体" w:hAnsi="宋体" w:cs="宋体" w:eastAsia="宋体" w:hint="default"/>
                <w:sz w:val="18"/>
                <w:szCs w:val="18"/>
              </w:rPr>
              <w:t>名</w:t>
            </w:r>
            <w:r>
              <w:rPr>
                <w:rFonts w:ascii="宋体" w:hAnsi="宋体" w:cs="宋体" w:eastAsia="宋体" w:hint="default"/>
                <w:spacing w:val="-24"/>
                <w:sz w:val="18"/>
                <w:szCs w:val="18"/>
              </w:rPr>
              <w:t> </w:t>
            </w:r>
            <w:r>
              <w:rPr>
                <w:rFonts w:ascii="宋体" w:hAnsi="宋体" w:cs="宋体" w:eastAsia="宋体" w:hint="default"/>
                <w:sz w:val="18"/>
                <w:szCs w:val="18"/>
              </w:rPr>
              <w:t>称</w:t>
            </w:r>
          </w:p>
        </w:tc>
        <w:tc>
          <w:tcPr>
            <w:tcW w:w="5716" w:type="dxa"/>
            <w:tcBorders>
              <w:top w:val="nil" w:sz="6" w:space="0" w:color="auto"/>
              <w:left w:val="nil" w:sz="6" w:space="0" w:color="auto"/>
              <w:bottom w:val="single" w:sz="4" w:space="0" w:color="000000"/>
              <w:right w:val="nil" w:sz="6" w:space="0" w:color="auto"/>
            </w:tcBorders>
          </w:tcPr>
          <w:p>
            <w:pPr>
              <w:pStyle w:val="TableParagraph"/>
              <w:spacing w:line="180" w:lineRule="exact"/>
              <w:ind w:left="2678" w:right="0"/>
              <w:jc w:val="left"/>
              <w:rPr>
                <w:rFonts w:ascii="宋体" w:hAnsi="宋体" w:cs="宋体" w:eastAsia="宋体" w:hint="default"/>
                <w:sz w:val="18"/>
                <w:szCs w:val="18"/>
              </w:rPr>
            </w:pPr>
            <w:r>
              <w:rPr>
                <w:rFonts w:ascii="宋体" w:hAnsi="宋体" w:cs="宋体" w:eastAsia="宋体" w:hint="default"/>
                <w:spacing w:val="-12"/>
                <w:sz w:val="18"/>
                <w:szCs w:val="18"/>
              </w:rPr>
              <w:t>注册地址或住址</w:t>
            </w:r>
            <w:r>
              <w:rPr>
                <w:rFonts w:ascii="宋体" w:hAnsi="宋体" w:cs="宋体" w:eastAsia="宋体" w:hint="default"/>
                <w:sz w:val="18"/>
                <w:szCs w:val="18"/>
              </w:rPr>
            </w:r>
          </w:p>
        </w:tc>
        <w:tc>
          <w:tcPr>
            <w:tcW w:w="2892" w:type="dxa"/>
            <w:tcBorders>
              <w:top w:val="nil" w:sz="6" w:space="0" w:color="auto"/>
              <w:left w:val="nil" w:sz="6" w:space="0" w:color="auto"/>
              <w:bottom w:val="single" w:sz="4" w:space="0" w:color="000000"/>
              <w:right w:val="nil" w:sz="6" w:space="0" w:color="auto"/>
            </w:tcBorders>
          </w:tcPr>
          <w:p>
            <w:pPr>
              <w:pStyle w:val="TableParagraph"/>
              <w:spacing w:line="180" w:lineRule="exact"/>
              <w:ind w:left="698" w:right="0"/>
              <w:jc w:val="center"/>
              <w:rPr>
                <w:rFonts w:ascii="宋体" w:hAnsi="宋体" w:cs="宋体" w:eastAsia="宋体" w:hint="default"/>
                <w:sz w:val="18"/>
                <w:szCs w:val="18"/>
              </w:rPr>
            </w:pPr>
            <w:r>
              <w:rPr>
                <w:rFonts w:ascii="宋体" w:hAnsi="宋体" w:cs="宋体" w:eastAsia="宋体" w:hint="default"/>
                <w:spacing w:val="-12"/>
                <w:sz w:val="18"/>
                <w:szCs w:val="18"/>
              </w:rPr>
              <w:t>证件号码</w:t>
            </w:r>
            <w:r>
              <w:rPr>
                <w:rFonts w:ascii="宋体" w:hAnsi="宋体" w:cs="宋体" w:eastAsia="宋体" w:hint="default"/>
                <w:sz w:val="18"/>
                <w:szCs w:val="18"/>
              </w:rPr>
            </w:r>
          </w:p>
        </w:tc>
      </w:tr>
      <w:tr>
        <w:trPr>
          <w:trHeight w:val="403" w:hRule="exact"/>
        </w:trPr>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pacing w:val="-12"/>
                <w:sz w:val="18"/>
                <w:szCs w:val="18"/>
              </w:rPr>
              <w:t>深港产学研</w:t>
            </w:r>
            <w:r>
              <w:rPr>
                <w:rFonts w:ascii="宋体" w:hAnsi="宋体" w:cs="宋体" w:eastAsia="宋体" w:hint="default"/>
                <w:sz w:val="18"/>
                <w:szCs w:val="18"/>
              </w:rPr>
            </w:r>
          </w:p>
        </w:tc>
        <w:tc>
          <w:tcPr>
            <w:tcW w:w="5716"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pacing w:val="-11"/>
                <w:sz w:val="18"/>
                <w:szCs w:val="18"/>
              </w:rPr>
              <w:t>深圳市福田区深南中路</w:t>
            </w:r>
            <w:r>
              <w:rPr>
                <w:rFonts w:ascii="宋体" w:hAnsi="宋体" w:cs="宋体" w:eastAsia="宋体" w:hint="default"/>
                <w:spacing w:val="-56"/>
                <w:sz w:val="18"/>
                <w:szCs w:val="18"/>
              </w:rPr>
              <w:t> </w:t>
            </w:r>
            <w:r>
              <w:rPr>
                <w:rFonts w:ascii="宋体" w:hAnsi="宋体" w:cs="宋体" w:eastAsia="宋体" w:hint="default"/>
                <w:spacing w:val="-5"/>
                <w:sz w:val="18"/>
                <w:szCs w:val="18"/>
              </w:rPr>
              <w:t>3039</w:t>
            </w:r>
            <w:r>
              <w:rPr>
                <w:rFonts w:ascii="宋体" w:hAnsi="宋体" w:cs="宋体" w:eastAsia="宋体" w:hint="default"/>
                <w:spacing w:val="-49"/>
                <w:sz w:val="18"/>
                <w:szCs w:val="18"/>
              </w:rPr>
              <w:t> </w:t>
            </w:r>
            <w:r>
              <w:rPr>
                <w:rFonts w:ascii="宋体" w:hAnsi="宋体" w:cs="宋体" w:eastAsia="宋体" w:hint="default"/>
                <w:spacing w:val="-11"/>
                <w:sz w:val="18"/>
                <w:szCs w:val="18"/>
              </w:rPr>
              <w:t>号国际文化大厦</w:t>
            </w:r>
            <w:r>
              <w:rPr>
                <w:rFonts w:ascii="宋体" w:hAnsi="宋体" w:cs="宋体" w:eastAsia="宋体" w:hint="default"/>
                <w:spacing w:val="-56"/>
                <w:sz w:val="18"/>
                <w:szCs w:val="18"/>
              </w:rPr>
              <w:t> </w:t>
            </w:r>
            <w:r>
              <w:rPr>
                <w:rFonts w:ascii="宋体" w:hAnsi="宋体" w:cs="宋体" w:eastAsia="宋体" w:hint="default"/>
                <w:spacing w:val="-7"/>
                <w:sz w:val="18"/>
                <w:szCs w:val="18"/>
              </w:rPr>
              <w:t>2805A、2805B</w:t>
            </w:r>
            <w:r>
              <w:rPr>
                <w:rFonts w:ascii="宋体" w:hAnsi="宋体" w:cs="宋体" w:eastAsia="宋体" w:hint="default"/>
                <w:sz w:val="18"/>
                <w:szCs w:val="18"/>
              </w:rPr>
            </w:r>
          </w:p>
        </w:tc>
        <w:tc>
          <w:tcPr>
            <w:tcW w:w="289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749" w:right="0"/>
              <w:jc w:val="center"/>
              <w:rPr>
                <w:rFonts w:ascii="宋体" w:hAnsi="宋体" w:cs="宋体" w:eastAsia="宋体" w:hint="default"/>
                <w:sz w:val="18"/>
                <w:szCs w:val="18"/>
              </w:rPr>
            </w:pPr>
            <w:r>
              <w:rPr>
                <w:rFonts w:ascii="宋体"/>
                <w:spacing w:val="-6"/>
                <w:sz w:val="18"/>
              </w:rPr>
              <w:t>4403012007432</w:t>
            </w:r>
            <w:r>
              <w:rPr>
                <w:rFonts w:ascii="宋体"/>
                <w:sz w:val="18"/>
              </w:rPr>
            </w:r>
          </w:p>
        </w:tc>
      </w:tr>
      <w:tr>
        <w:trPr>
          <w:trHeight w:val="289" w:hRule="exact"/>
        </w:trPr>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左</w:t>
            </w:r>
            <w:r>
              <w:rPr>
                <w:rFonts w:ascii="宋体" w:hAnsi="宋体" w:cs="宋体" w:eastAsia="宋体" w:hint="default"/>
                <w:spacing w:val="54"/>
                <w:sz w:val="18"/>
                <w:szCs w:val="18"/>
              </w:rPr>
              <w:t> </w:t>
            </w:r>
            <w:r>
              <w:rPr>
                <w:rFonts w:ascii="宋体" w:hAnsi="宋体" w:cs="宋体" w:eastAsia="宋体" w:hint="default"/>
                <w:sz w:val="18"/>
                <w:szCs w:val="18"/>
              </w:rPr>
              <w:t>强</w:t>
            </w:r>
          </w:p>
        </w:tc>
        <w:tc>
          <w:tcPr>
            <w:tcW w:w="571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pacing w:val="-12"/>
                <w:sz w:val="18"/>
                <w:szCs w:val="18"/>
              </w:rPr>
              <w:t>辽宁省鞍山市铁东区高新技术开发区新峪社区上汪峪委</w:t>
            </w:r>
            <w:r>
              <w:rPr>
                <w:rFonts w:ascii="宋体" w:hAnsi="宋体" w:cs="宋体" w:eastAsia="宋体" w:hint="default"/>
                <w:spacing w:val="-56"/>
                <w:sz w:val="18"/>
                <w:szCs w:val="18"/>
              </w:rPr>
              <w:t> </w:t>
            </w:r>
            <w:r>
              <w:rPr>
                <w:rFonts w:ascii="宋体" w:hAnsi="宋体" w:cs="宋体" w:eastAsia="宋体" w:hint="default"/>
                <w:spacing w:val="-4"/>
                <w:sz w:val="18"/>
                <w:szCs w:val="18"/>
              </w:rPr>
              <w:t>06</w:t>
            </w:r>
            <w:r>
              <w:rPr>
                <w:rFonts w:ascii="宋体" w:hAnsi="宋体" w:cs="宋体" w:eastAsia="宋体" w:hint="default"/>
                <w:spacing w:val="-47"/>
                <w:sz w:val="18"/>
                <w:szCs w:val="18"/>
              </w:rPr>
              <w:t> </w:t>
            </w:r>
            <w:r>
              <w:rPr>
                <w:rFonts w:ascii="宋体" w:hAnsi="宋体" w:cs="宋体" w:eastAsia="宋体" w:hint="default"/>
                <w:sz w:val="18"/>
                <w:szCs w:val="18"/>
              </w:rPr>
              <w:t>组</w:t>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49" w:right="0"/>
              <w:jc w:val="center"/>
              <w:rPr>
                <w:rFonts w:ascii="宋体" w:hAnsi="宋体" w:cs="宋体" w:eastAsia="宋体" w:hint="default"/>
                <w:sz w:val="18"/>
                <w:szCs w:val="18"/>
              </w:rPr>
            </w:pPr>
            <w:r>
              <w:rPr>
                <w:rFonts w:ascii="宋体"/>
                <w:spacing w:val="-6"/>
                <w:sz w:val="18"/>
              </w:rPr>
              <w:t>11010819701018897X</w:t>
            </w:r>
            <w:r>
              <w:rPr>
                <w:rFonts w:ascii="宋体"/>
                <w:sz w:val="18"/>
              </w:rPr>
            </w:r>
          </w:p>
        </w:tc>
      </w:tr>
    </w:tbl>
    <w:p>
      <w:pPr>
        <w:spacing w:line="240" w:lineRule="auto" w:before="1"/>
        <w:rPr>
          <w:rFonts w:ascii="宋体" w:hAnsi="宋体" w:cs="宋体" w:eastAsia="宋体" w:hint="default"/>
          <w:sz w:val="23"/>
          <w:szCs w:val="23"/>
        </w:rPr>
      </w:pPr>
    </w:p>
    <w:p>
      <w:pPr>
        <w:pStyle w:val="BodyText"/>
        <w:spacing w:line="240" w:lineRule="auto" w:before="26"/>
        <w:ind w:left="794" w:right="1890"/>
        <w:jc w:val="left"/>
      </w:pPr>
      <w:r>
        <w:rPr/>
        <w:t>(2)存在控制关系的关联方注册资本及其变化</w:t>
      </w:r>
    </w:p>
    <w:p>
      <w:pPr>
        <w:spacing w:line="240" w:lineRule="auto" w:before="7"/>
        <w:rPr>
          <w:rFonts w:ascii="宋体" w:hAnsi="宋体" w:cs="宋体" w:eastAsia="宋体" w:hint="default"/>
          <w:sz w:val="21"/>
          <w:szCs w:val="21"/>
        </w:rPr>
      </w:pPr>
    </w:p>
    <w:tbl>
      <w:tblPr>
        <w:tblW w:w="0" w:type="auto"/>
        <w:jc w:val="left"/>
        <w:tblInd w:w="313" w:type="dxa"/>
        <w:tblLayout w:type="fixed"/>
        <w:tblCellMar>
          <w:top w:w="0" w:type="dxa"/>
          <w:left w:w="0" w:type="dxa"/>
          <w:bottom w:w="0" w:type="dxa"/>
          <w:right w:w="0" w:type="dxa"/>
        </w:tblCellMar>
        <w:tblLook w:val="01E0"/>
      </w:tblPr>
      <w:tblGrid>
        <w:gridCol w:w="2167"/>
        <w:gridCol w:w="204"/>
        <w:gridCol w:w="1857"/>
        <w:gridCol w:w="194"/>
        <w:gridCol w:w="1482"/>
        <w:gridCol w:w="194"/>
        <w:gridCol w:w="1493"/>
        <w:gridCol w:w="194"/>
        <w:gridCol w:w="1856"/>
      </w:tblGrid>
      <w:tr>
        <w:trPr>
          <w:trHeight w:val="259" w:hRule="exact"/>
        </w:trPr>
        <w:tc>
          <w:tcPr>
            <w:tcW w:w="2167" w:type="dxa"/>
            <w:tcBorders>
              <w:top w:val="nil" w:sz="6" w:space="0" w:color="auto"/>
              <w:left w:val="nil" w:sz="6" w:space="0" w:color="auto"/>
              <w:bottom w:val="single" w:sz="6" w:space="0" w:color="000000"/>
              <w:right w:val="nil" w:sz="6" w:space="0" w:color="auto"/>
            </w:tcBorders>
          </w:tcPr>
          <w:p>
            <w:pPr>
              <w:pStyle w:val="TableParagraph"/>
              <w:spacing w:line="180" w:lineRule="exact"/>
              <w:ind w:left="12" w:right="0"/>
              <w:jc w:val="center"/>
              <w:rPr>
                <w:rFonts w:ascii="宋体" w:hAnsi="宋体" w:cs="宋体" w:eastAsia="宋体" w:hint="default"/>
                <w:sz w:val="18"/>
                <w:szCs w:val="18"/>
              </w:rPr>
            </w:pPr>
            <w:r>
              <w:rPr>
                <w:rFonts w:ascii="宋体" w:hAnsi="宋体" w:cs="宋体" w:eastAsia="宋体" w:hint="default"/>
                <w:spacing w:val="-3"/>
                <w:sz w:val="18"/>
                <w:szCs w:val="18"/>
              </w:rPr>
              <w:t>名称</w:t>
            </w:r>
          </w:p>
        </w:tc>
        <w:tc>
          <w:tcPr>
            <w:tcW w:w="204" w:type="dxa"/>
            <w:tcBorders>
              <w:top w:val="nil" w:sz="6" w:space="0" w:color="auto"/>
              <w:left w:val="nil" w:sz="6" w:space="0" w:color="auto"/>
              <w:bottom w:val="nil" w:sz="6" w:space="0" w:color="auto"/>
              <w:right w:val="nil" w:sz="6" w:space="0" w:color="auto"/>
            </w:tcBorders>
          </w:tcPr>
          <w:p>
            <w:pPr/>
          </w:p>
        </w:tc>
        <w:tc>
          <w:tcPr>
            <w:tcW w:w="1857" w:type="dxa"/>
            <w:tcBorders>
              <w:top w:val="nil" w:sz="6" w:space="0" w:color="auto"/>
              <w:left w:val="nil" w:sz="6" w:space="0" w:color="auto"/>
              <w:bottom w:val="single" w:sz="6" w:space="0" w:color="000000"/>
              <w:right w:val="nil" w:sz="6" w:space="0" w:color="auto"/>
            </w:tcBorders>
          </w:tcPr>
          <w:p>
            <w:pPr>
              <w:pStyle w:val="TableParagraph"/>
              <w:spacing w:line="180" w:lineRule="exact"/>
              <w:ind w:left="205" w:right="0"/>
              <w:jc w:val="left"/>
              <w:rPr>
                <w:rFonts w:ascii="宋体" w:hAnsi="宋体" w:cs="宋体" w:eastAsia="宋体" w:hint="default"/>
                <w:sz w:val="18"/>
                <w:szCs w:val="18"/>
              </w:rPr>
            </w:pPr>
            <w:r>
              <w:rPr>
                <w:rFonts w:ascii="宋体" w:hAnsi="宋体" w:cs="宋体" w:eastAsia="宋体" w:hint="default"/>
                <w:spacing w:val="-3"/>
                <w:sz w:val="18"/>
                <w:szCs w:val="18"/>
              </w:rPr>
              <w:t>2007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r>
              <w:rPr>
                <w:rFonts w:ascii="宋体" w:hAnsi="宋体" w:cs="宋体" w:eastAsia="宋体" w:hint="default"/>
                <w:spacing w:val="-49"/>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49"/>
                <w:sz w:val="18"/>
                <w:szCs w:val="18"/>
              </w:rPr>
              <w:t> </w:t>
            </w:r>
            <w:r>
              <w:rPr>
                <w:rFonts w:ascii="宋体" w:hAnsi="宋体" w:cs="宋体" w:eastAsia="宋体" w:hint="default"/>
                <w:sz w:val="18"/>
                <w:szCs w:val="18"/>
              </w:rPr>
              <w:t>日</w:t>
            </w:r>
          </w:p>
        </w:tc>
        <w:tc>
          <w:tcPr>
            <w:tcW w:w="194"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single" w:sz="6" w:space="0" w:color="000000"/>
              <w:right w:val="nil" w:sz="6" w:space="0" w:color="auto"/>
            </w:tcBorders>
          </w:tcPr>
          <w:p>
            <w:pPr>
              <w:pStyle w:val="TableParagraph"/>
              <w:spacing w:line="180" w:lineRule="exact"/>
              <w:ind w:left="391" w:right="0"/>
              <w:jc w:val="left"/>
              <w:rPr>
                <w:rFonts w:ascii="宋体" w:hAnsi="宋体" w:cs="宋体" w:eastAsia="宋体" w:hint="default"/>
                <w:sz w:val="18"/>
                <w:szCs w:val="18"/>
              </w:rPr>
            </w:pPr>
            <w:r>
              <w:rPr>
                <w:rFonts w:ascii="宋体" w:hAnsi="宋体" w:cs="宋体" w:eastAsia="宋体" w:hint="default"/>
                <w:spacing w:val="-4"/>
                <w:sz w:val="18"/>
                <w:szCs w:val="18"/>
              </w:rPr>
              <w:t>本年增加</w:t>
            </w:r>
          </w:p>
        </w:tc>
        <w:tc>
          <w:tcPr>
            <w:tcW w:w="194"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single" w:sz="6" w:space="0" w:color="000000"/>
              <w:right w:val="nil" w:sz="6" w:space="0" w:color="auto"/>
            </w:tcBorders>
          </w:tcPr>
          <w:p>
            <w:pPr>
              <w:pStyle w:val="TableParagraph"/>
              <w:spacing w:line="180" w:lineRule="exact"/>
              <w:ind w:left="397" w:right="0"/>
              <w:jc w:val="left"/>
              <w:rPr>
                <w:rFonts w:ascii="宋体" w:hAnsi="宋体" w:cs="宋体" w:eastAsia="宋体" w:hint="default"/>
                <w:sz w:val="18"/>
                <w:szCs w:val="18"/>
              </w:rPr>
            </w:pPr>
            <w:r>
              <w:rPr>
                <w:rFonts w:ascii="宋体" w:hAnsi="宋体" w:cs="宋体" w:eastAsia="宋体" w:hint="default"/>
                <w:spacing w:val="-4"/>
                <w:sz w:val="18"/>
                <w:szCs w:val="18"/>
              </w:rPr>
              <w:t>本年减少</w:t>
            </w:r>
          </w:p>
        </w:tc>
        <w:tc>
          <w:tcPr>
            <w:tcW w:w="194"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single" w:sz="4" w:space="0" w:color="000000"/>
              <w:right w:val="nil" w:sz="6" w:space="0" w:color="auto"/>
            </w:tcBorders>
          </w:tcPr>
          <w:p>
            <w:pPr>
              <w:pStyle w:val="TableParagraph"/>
              <w:spacing w:line="180" w:lineRule="exact"/>
              <w:ind w:left="187"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23" w:hRule="exact"/>
        </w:trPr>
        <w:tc>
          <w:tcPr>
            <w:tcW w:w="2167" w:type="dxa"/>
            <w:tcBorders>
              <w:top w:val="single" w:sz="6" w:space="0" w:color="000000"/>
              <w:left w:val="nil" w:sz="6" w:space="0" w:color="auto"/>
              <w:bottom w:val="nil" w:sz="6" w:space="0" w:color="auto"/>
              <w:right w:val="nil" w:sz="6" w:space="0" w:color="auto"/>
            </w:tcBorders>
          </w:tcPr>
          <w:p>
            <w:pPr>
              <w:pStyle w:val="TableParagraph"/>
              <w:spacing w:line="240" w:lineRule="auto" w:before="77"/>
              <w:ind w:left="90" w:right="0"/>
              <w:jc w:val="left"/>
              <w:rPr>
                <w:rFonts w:ascii="宋体" w:hAnsi="宋体" w:cs="宋体" w:eastAsia="宋体" w:hint="default"/>
                <w:sz w:val="18"/>
                <w:szCs w:val="18"/>
              </w:rPr>
            </w:pPr>
            <w:r>
              <w:rPr>
                <w:rFonts w:ascii="宋体" w:hAnsi="宋体" w:cs="宋体" w:eastAsia="宋体" w:hint="default"/>
                <w:sz w:val="18"/>
                <w:szCs w:val="18"/>
              </w:rPr>
              <w:t>深港产学研</w:t>
            </w:r>
          </w:p>
        </w:tc>
        <w:tc>
          <w:tcPr>
            <w:tcW w:w="204" w:type="dxa"/>
            <w:tcBorders>
              <w:top w:val="nil" w:sz="6" w:space="0" w:color="auto"/>
              <w:left w:val="nil" w:sz="6" w:space="0" w:color="auto"/>
              <w:bottom w:val="nil" w:sz="6" w:space="0" w:color="auto"/>
              <w:right w:val="nil" w:sz="6" w:space="0" w:color="auto"/>
            </w:tcBorders>
          </w:tcPr>
          <w:p>
            <w:pPr/>
          </w:p>
        </w:tc>
        <w:tc>
          <w:tcPr>
            <w:tcW w:w="1857" w:type="dxa"/>
            <w:tcBorders>
              <w:top w:val="single" w:sz="6" w:space="0" w:color="000000"/>
              <w:left w:val="nil" w:sz="6" w:space="0" w:color="auto"/>
              <w:bottom w:val="nil" w:sz="6" w:space="0" w:color="auto"/>
              <w:right w:val="nil" w:sz="6" w:space="0" w:color="auto"/>
            </w:tcBorders>
          </w:tcPr>
          <w:p>
            <w:pPr>
              <w:pStyle w:val="TableParagraph"/>
              <w:spacing w:line="240" w:lineRule="auto" w:before="71"/>
              <w:ind w:left="623" w:right="0"/>
              <w:jc w:val="left"/>
              <w:rPr>
                <w:rFonts w:ascii="宋体" w:hAnsi="宋体" w:cs="宋体" w:eastAsia="宋体" w:hint="default"/>
                <w:sz w:val="18"/>
                <w:szCs w:val="18"/>
              </w:rPr>
            </w:pPr>
            <w:r>
              <w:rPr>
                <w:rFonts w:ascii="宋体"/>
                <w:spacing w:val="-3"/>
                <w:sz w:val="18"/>
              </w:rPr>
              <w:t>150,000,000.00</w:t>
            </w:r>
          </w:p>
        </w:tc>
        <w:tc>
          <w:tcPr>
            <w:tcW w:w="194" w:type="dxa"/>
            <w:tcBorders>
              <w:top w:val="nil" w:sz="6" w:space="0" w:color="auto"/>
              <w:left w:val="nil" w:sz="6" w:space="0" w:color="auto"/>
              <w:bottom w:val="nil" w:sz="6" w:space="0" w:color="auto"/>
              <w:right w:val="nil" w:sz="6" w:space="0" w:color="auto"/>
            </w:tcBorders>
          </w:tcPr>
          <w:p>
            <w:pPr/>
          </w:p>
        </w:tc>
        <w:tc>
          <w:tcPr>
            <w:tcW w:w="1482" w:type="dxa"/>
            <w:tcBorders>
              <w:top w:val="single" w:sz="6" w:space="0" w:color="000000"/>
              <w:left w:val="nil" w:sz="6" w:space="0" w:color="auto"/>
              <w:bottom w:val="nil" w:sz="6" w:space="0" w:color="auto"/>
              <w:right w:val="nil" w:sz="6" w:space="0" w:color="auto"/>
            </w:tcBorders>
          </w:tcPr>
          <w:p>
            <w:pPr>
              <w:pStyle w:val="TableParagraph"/>
              <w:spacing w:line="240" w:lineRule="auto" w:before="71"/>
              <w:ind w:right="0"/>
              <w:jc w:val="right"/>
              <w:rPr>
                <w:rFonts w:ascii="宋体" w:hAnsi="宋体" w:cs="宋体" w:eastAsia="宋体" w:hint="default"/>
                <w:sz w:val="18"/>
                <w:szCs w:val="18"/>
              </w:rPr>
            </w:pPr>
            <w:r>
              <w:rPr>
                <w:rFonts w:ascii="宋体"/>
                <w:sz w:val="18"/>
              </w:rPr>
              <w:t>-</w:t>
            </w:r>
          </w:p>
        </w:tc>
        <w:tc>
          <w:tcPr>
            <w:tcW w:w="194" w:type="dxa"/>
            <w:tcBorders>
              <w:top w:val="nil" w:sz="6" w:space="0" w:color="auto"/>
              <w:left w:val="nil" w:sz="6" w:space="0" w:color="auto"/>
              <w:bottom w:val="nil" w:sz="6" w:space="0" w:color="auto"/>
              <w:right w:val="nil" w:sz="6" w:space="0" w:color="auto"/>
            </w:tcBorders>
          </w:tcPr>
          <w:p>
            <w:pPr/>
          </w:p>
        </w:tc>
        <w:tc>
          <w:tcPr>
            <w:tcW w:w="1493" w:type="dxa"/>
            <w:tcBorders>
              <w:top w:val="single" w:sz="6" w:space="0" w:color="000000"/>
              <w:left w:val="nil" w:sz="6" w:space="0" w:color="auto"/>
              <w:bottom w:val="nil" w:sz="6" w:space="0" w:color="auto"/>
              <w:right w:val="nil" w:sz="6" w:space="0" w:color="auto"/>
            </w:tcBorders>
          </w:tcPr>
          <w:p>
            <w:pPr>
              <w:pStyle w:val="TableParagraph"/>
              <w:spacing w:line="240" w:lineRule="auto" w:before="71"/>
              <w:ind w:right="0"/>
              <w:jc w:val="right"/>
              <w:rPr>
                <w:rFonts w:ascii="宋体" w:hAnsi="宋体" w:cs="宋体" w:eastAsia="宋体" w:hint="default"/>
                <w:sz w:val="18"/>
                <w:szCs w:val="18"/>
              </w:rPr>
            </w:pPr>
            <w:r>
              <w:rPr>
                <w:rFonts w:ascii="宋体"/>
                <w:sz w:val="18"/>
              </w:rPr>
              <w:t>-</w:t>
            </w:r>
          </w:p>
        </w:tc>
        <w:tc>
          <w:tcPr>
            <w:tcW w:w="194" w:type="dxa"/>
            <w:tcBorders>
              <w:top w:val="nil" w:sz="6" w:space="0" w:color="auto"/>
              <w:left w:val="nil" w:sz="6" w:space="0" w:color="auto"/>
              <w:bottom w:val="nil" w:sz="6" w:space="0" w:color="auto"/>
              <w:right w:val="nil" w:sz="6" w:space="0" w:color="auto"/>
            </w:tcBorders>
          </w:tcPr>
          <w:p>
            <w:pPr/>
          </w:p>
        </w:tc>
        <w:tc>
          <w:tcPr>
            <w:tcW w:w="1856"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621" w:right="0"/>
              <w:jc w:val="left"/>
              <w:rPr>
                <w:rFonts w:ascii="宋体" w:hAnsi="宋体" w:cs="宋体" w:eastAsia="宋体" w:hint="default"/>
                <w:sz w:val="18"/>
                <w:szCs w:val="18"/>
              </w:rPr>
            </w:pPr>
            <w:r>
              <w:rPr>
                <w:rFonts w:ascii="宋体"/>
                <w:spacing w:val="-3"/>
                <w:sz w:val="18"/>
              </w:rPr>
              <w:t>150,000,000.00</w:t>
            </w:r>
          </w:p>
        </w:tc>
      </w:tr>
    </w:tbl>
    <w:p>
      <w:pPr>
        <w:spacing w:line="240" w:lineRule="auto" w:before="13"/>
        <w:rPr>
          <w:rFonts w:ascii="宋体" w:hAnsi="宋体" w:cs="宋体" w:eastAsia="宋体" w:hint="default"/>
          <w:sz w:val="19"/>
          <w:szCs w:val="19"/>
        </w:rPr>
      </w:pPr>
    </w:p>
    <w:p>
      <w:pPr>
        <w:pStyle w:val="BodyText"/>
        <w:spacing w:line="240" w:lineRule="auto" w:before="26"/>
        <w:ind w:left="794" w:right="1890"/>
        <w:jc w:val="left"/>
      </w:pPr>
      <w:r>
        <w:rPr/>
        <w:t>(3)存在控制关系的关联方对本公司的持股比例和表决权比例</w:t>
      </w:r>
    </w:p>
    <w:p>
      <w:pPr>
        <w:spacing w:line="240" w:lineRule="auto" w:before="5"/>
        <w:rPr>
          <w:rFonts w:ascii="宋体" w:hAnsi="宋体" w:cs="宋体" w:eastAsia="宋体" w:hint="default"/>
          <w:sz w:val="21"/>
          <w:szCs w:val="21"/>
        </w:rPr>
      </w:pPr>
    </w:p>
    <w:tbl>
      <w:tblPr>
        <w:tblW w:w="0" w:type="auto"/>
        <w:jc w:val="left"/>
        <w:tblInd w:w="313" w:type="dxa"/>
        <w:tblLayout w:type="fixed"/>
        <w:tblCellMar>
          <w:top w:w="0" w:type="dxa"/>
          <w:left w:w="0" w:type="dxa"/>
          <w:bottom w:w="0" w:type="dxa"/>
          <w:right w:w="0" w:type="dxa"/>
        </w:tblCellMar>
        <w:tblLook w:val="01E0"/>
      </w:tblPr>
      <w:tblGrid>
        <w:gridCol w:w="1442"/>
        <w:gridCol w:w="833"/>
        <w:gridCol w:w="1231"/>
        <w:gridCol w:w="632"/>
        <w:gridCol w:w="1294"/>
        <w:gridCol w:w="779"/>
        <w:gridCol w:w="1325"/>
        <w:gridCol w:w="746"/>
        <w:gridCol w:w="1356"/>
      </w:tblGrid>
      <w:tr>
        <w:trPr>
          <w:trHeight w:val="306" w:hRule="exact"/>
        </w:trPr>
        <w:tc>
          <w:tcPr>
            <w:tcW w:w="1442" w:type="dxa"/>
            <w:tcBorders>
              <w:top w:val="nil" w:sz="6" w:space="0" w:color="auto"/>
              <w:left w:val="nil" w:sz="6" w:space="0" w:color="auto"/>
              <w:bottom w:val="single" w:sz="4" w:space="0" w:color="000000"/>
              <w:right w:val="nil" w:sz="6" w:space="0" w:color="auto"/>
            </w:tcBorders>
          </w:tcPr>
          <w:p>
            <w:pPr>
              <w:pStyle w:val="TableParagraph"/>
              <w:spacing w:line="180" w:lineRule="exact"/>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769" w:type="dxa"/>
            <w:gridSpan w:val="5"/>
            <w:tcBorders>
              <w:top w:val="nil" w:sz="6" w:space="0" w:color="auto"/>
              <w:left w:val="nil" w:sz="6" w:space="0" w:color="auto"/>
              <w:bottom w:val="nil" w:sz="6" w:space="0" w:color="auto"/>
              <w:right w:val="nil" w:sz="6" w:space="0" w:color="auto"/>
            </w:tcBorders>
          </w:tcPr>
          <w:p>
            <w:pPr>
              <w:pStyle w:val="TableParagraph"/>
              <w:spacing w:line="180" w:lineRule="exact"/>
              <w:ind w:left="61"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427" w:type="dxa"/>
            <w:gridSpan w:val="3"/>
            <w:tcBorders>
              <w:top w:val="nil" w:sz="6" w:space="0" w:color="auto"/>
              <w:left w:val="nil" w:sz="6" w:space="0" w:color="auto"/>
              <w:bottom w:val="single" w:sz="4" w:space="0" w:color="000000"/>
              <w:right w:val="nil" w:sz="6" w:space="0" w:color="auto"/>
            </w:tcBorders>
          </w:tcPr>
          <w:p>
            <w:pPr>
              <w:pStyle w:val="TableParagraph"/>
              <w:spacing w:line="180" w:lineRule="exact"/>
              <w:ind w:left="97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434" w:hRule="exact"/>
        </w:trPr>
        <w:tc>
          <w:tcPr>
            <w:tcW w:w="1442" w:type="dxa"/>
            <w:tcBorders>
              <w:top w:val="single" w:sz="4" w:space="0" w:color="000000"/>
              <w:left w:val="nil" w:sz="6" w:space="0" w:color="auto"/>
              <w:bottom w:val="nil" w:sz="6" w:space="0" w:color="auto"/>
              <w:right w:val="nil" w:sz="6" w:space="0" w:color="auto"/>
            </w:tcBorders>
          </w:tcPr>
          <w:p>
            <w:pPr/>
          </w:p>
        </w:tc>
        <w:tc>
          <w:tcPr>
            <w:tcW w:w="833" w:type="dxa"/>
            <w:tcBorders>
              <w:top w:val="nil" w:sz="6" w:space="0" w:color="auto"/>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left="25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632" w:type="dxa"/>
            <w:tcBorders>
              <w:top w:val="single" w:sz="4" w:space="0" w:color="000000"/>
              <w:left w:val="nil" w:sz="6" w:space="0" w:color="auto"/>
              <w:bottom w:val="nil" w:sz="6" w:space="0" w:color="auto"/>
              <w:right w:val="nil" w:sz="6" w:space="0" w:color="auto"/>
            </w:tcBorders>
          </w:tcPr>
          <w:p>
            <w:pPr/>
          </w:p>
        </w:tc>
        <w:tc>
          <w:tcPr>
            <w:tcW w:w="1294"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left="200" w:right="0"/>
              <w:jc w:val="left"/>
              <w:rPr>
                <w:rFonts w:ascii="宋体" w:hAnsi="宋体" w:cs="宋体" w:eastAsia="宋体" w:hint="default"/>
                <w:sz w:val="18"/>
                <w:szCs w:val="18"/>
              </w:rPr>
            </w:pPr>
            <w:r>
              <w:rPr>
                <w:rFonts w:ascii="宋体" w:hAnsi="宋体" w:cs="宋体" w:eastAsia="宋体" w:hint="default"/>
                <w:sz w:val="18"/>
                <w:szCs w:val="18"/>
              </w:rPr>
              <w:t>表决权比例</w:t>
            </w:r>
          </w:p>
        </w:tc>
        <w:tc>
          <w:tcPr>
            <w:tcW w:w="779"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left="30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46" w:type="dxa"/>
            <w:tcBorders>
              <w:top w:val="single" w:sz="4" w:space="0" w:color="000000"/>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left="231" w:right="0"/>
              <w:jc w:val="lef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432"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宋体" w:hAnsi="宋体" w:cs="宋体" w:eastAsia="宋体" w:hint="default"/>
                <w:sz w:val="18"/>
                <w:szCs w:val="18"/>
              </w:rPr>
            </w:pPr>
            <w:r>
              <w:rPr>
                <w:rFonts w:ascii="宋体" w:hAnsi="宋体" w:cs="宋体" w:eastAsia="宋体" w:hint="default"/>
                <w:sz w:val="18"/>
                <w:szCs w:val="18"/>
              </w:rPr>
              <w:t>深港产学研</w:t>
            </w:r>
          </w:p>
        </w:tc>
        <w:tc>
          <w:tcPr>
            <w:tcW w:w="833" w:type="dxa"/>
            <w:tcBorders>
              <w:top w:val="nil" w:sz="6" w:space="0" w:color="auto"/>
              <w:left w:val="nil" w:sz="6" w:space="0" w:color="auto"/>
              <w:bottom w:val="nil" w:sz="6" w:space="0" w:color="auto"/>
              <w:right w:val="nil" w:sz="6" w:space="0" w:color="auto"/>
            </w:tcBorders>
          </w:tcPr>
          <w:p>
            <w:pPr/>
          </w:p>
        </w:tc>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18.00%</w:t>
            </w:r>
          </w:p>
        </w:tc>
        <w:tc>
          <w:tcPr>
            <w:tcW w:w="632" w:type="dxa"/>
            <w:tcBorders>
              <w:top w:val="nil" w:sz="6" w:space="0" w:color="auto"/>
              <w:left w:val="nil" w:sz="6" w:space="0" w:color="auto"/>
              <w:bottom w:val="nil" w:sz="6" w:space="0" w:color="auto"/>
              <w:right w:val="nil" w:sz="6" w:space="0" w:color="auto"/>
            </w:tcBorders>
          </w:tcPr>
          <w:p>
            <w:pPr/>
          </w:p>
        </w:tc>
        <w:tc>
          <w:tcPr>
            <w:tcW w:w="1294"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18.00%</w:t>
            </w:r>
          </w:p>
        </w:tc>
        <w:tc>
          <w:tcPr>
            <w:tcW w:w="779" w:type="dxa"/>
            <w:tcBorders>
              <w:top w:val="nil" w:sz="6" w:space="0" w:color="auto"/>
              <w:left w:val="nil" w:sz="6" w:space="0" w:color="auto"/>
              <w:bottom w:val="nil" w:sz="6" w:space="0" w:color="auto"/>
              <w:right w:val="nil" w:sz="6" w:space="0" w:color="auto"/>
            </w:tcBorders>
          </w:tcPr>
          <w:p>
            <w:pPr/>
          </w:p>
        </w:tc>
        <w:tc>
          <w:tcPr>
            <w:tcW w:w="132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18.00%</w:t>
            </w:r>
          </w:p>
        </w:tc>
        <w:tc>
          <w:tcPr>
            <w:tcW w:w="746" w:type="dxa"/>
            <w:tcBorders>
              <w:top w:val="nil" w:sz="6" w:space="0" w:color="auto"/>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0"/>
              <w:jc w:val="right"/>
              <w:rPr>
                <w:rFonts w:ascii="宋体" w:hAnsi="宋体" w:cs="宋体" w:eastAsia="宋体" w:hint="default"/>
                <w:sz w:val="18"/>
                <w:szCs w:val="18"/>
              </w:rPr>
            </w:pPr>
            <w:r>
              <w:rPr>
                <w:rFonts w:ascii="宋体"/>
                <w:sz w:val="18"/>
              </w:rPr>
              <w:t>18.00%</w:t>
            </w:r>
          </w:p>
        </w:tc>
      </w:tr>
      <w:tr>
        <w:trPr>
          <w:trHeight w:val="302" w:hRule="exact"/>
        </w:trPr>
        <w:tc>
          <w:tcPr>
            <w:tcW w:w="1442"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left"/>
              <w:rPr>
                <w:rFonts w:ascii="宋体" w:hAnsi="宋体" w:cs="宋体" w:eastAsia="宋体" w:hint="default"/>
                <w:sz w:val="18"/>
                <w:szCs w:val="18"/>
              </w:rPr>
            </w:pPr>
            <w:r>
              <w:rPr>
                <w:rFonts w:ascii="宋体" w:hAnsi="宋体" w:cs="宋体" w:eastAsia="宋体" w:hint="default"/>
                <w:sz w:val="18"/>
                <w:szCs w:val="18"/>
              </w:rPr>
              <w:t>左  强</w:t>
            </w:r>
          </w:p>
        </w:tc>
        <w:tc>
          <w:tcPr>
            <w:tcW w:w="833"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15.20%</w:t>
            </w:r>
          </w:p>
        </w:tc>
        <w:tc>
          <w:tcPr>
            <w:tcW w:w="632"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15.20%</w:t>
            </w:r>
          </w:p>
        </w:tc>
        <w:tc>
          <w:tcPr>
            <w:tcW w:w="779"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15.20%</w:t>
            </w:r>
          </w:p>
        </w:tc>
        <w:tc>
          <w:tcPr>
            <w:tcW w:w="746"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0"/>
              <w:jc w:val="right"/>
              <w:rPr>
                <w:rFonts w:ascii="宋体" w:hAnsi="宋体" w:cs="宋体" w:eastAsia="宋体" w:hint="default"/>
                <w:sz w:val="18"/>
                <w:szCs w:val="18"/>
              </w:rPr>
            </w:pPr>
            <w:r>
              <w:rPr>
                <w:rFonts w:ascii="宋体"/>
                <w:sz w:val="18"/>
              </w:rPr>
              <w:t>15.20%</w:t>
            </w:r>
          </w:p>
        </w:tc>
      </w:tr>
    </w:tbl>
    <w:p>
      <w:pPr>
        <w:spacing w:line="240" w:lineRule="auto" w:before="3"/>
        <w:rPr>
          <w:rFonts w:ascii="宋体" w:hAnsi="宋体" w:cs="宋体" w:eastAsia="宋体" w:hint="default"/>
          <w:sz w:val="20"/>
          <w:szCs w:val="20"/>
        </w:rPr>
      </w:pPr>
    </w:p>
    <w:p>
      <w:pPr>
        <w:pStyle w:val="BodyText"/>
        <w:spacing w:line="388" w:lineRule="auto" w:before="26"/>
        <w:ind w:left="794" w:right="4250" w:firstLine="60"/>
        <w:jc w:val="left"/>
      </w:pPr>
      <w:r>
        <w:rPr/>
        <w:t>3、本公司的子公司 本公司的子公司基本情况及相关信息见附注六。 4、关键管理人员薪酬</w:t>
      </w:r>
    </w:p>
    <w:p>
      <w:pPr>
        <w:spacing w:line="240" w:lineRule="auto" w:before="1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876"/>
        <w:gridCol w:w="2731"/>
        <w:gridCol w:w="421"/>
        <w:gridCol w:w="2810"/>
      </w:tblGrid>
      <w:tr>
        <w:trPr>
          <w:trHeight w:val="293" w:hRule="exact"/>
        </w:trPr>
        <w:tc>
          <w:tcPr>
            <w:tcW w:w="3876" w:type="dxa"/>
            <w:tcBorders>
              <w:top w:val="nil" w:sz="6" w:space="0" w:color="auto"/>
              <w:left w:val="nil" w:sz="6" w:space="0" w:color="auto"/>
              <w:bottom w:val="nil" w:sz="6" w:space="0" w:color="auto"/>
              <w:right w:val="nil" w:sz="6" w:space="0" w:color="auto"/>
            </w:tcBorders>
          </w:tcPr>
          <w:p>
            <w:pPr/>
          </w:p>
        </w:tc>
        <w:tc>
          <w:tcPr>
            <w:tcW w:w="2731"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421"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single" w:sz="4" w:space="0" w:color="000000"/>
              <w:right w:val="nil" w:sz="6" w:space="0" w:color="auto"/>
            </w:tcBorders>
          </w:tcPr>
          <w:p>
            <w:pPr>
              <w:pStyle w:val="TableParagraph"/>
              <w:spacing w:line="180" w:lineRule="exact"/>
              <w:ind w:left="6"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294"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00"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273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651" w:right="0"/>
              <w:jc w:val="left"/>
              <w:rPr>
                <w:rFonts w:ascii="宋体" w:hAnsi="宋体" w:cs="宋体" w:eastAsia="宋体" w:hint="default"/>
                <w:sz w:val="18"/>
                <w:szCs w:val="18"/>
              </w:rPr>
            </w:pPr>
            <w:r>
              <w:rPr>
                <w:rFonts w:ascii="宋体"/>
                <w:sz w:val="18"/>
              </w:rPr>
              <w:t>1,884,000.00</w:t>
            </w:r>
          </w:p>
        </w:tc>
        <w:tc>
          <w:tcPr>
            <w:tcW w:w="421" w:type="dxa"/>
            <w:tcBorders>
              <w:top w:val="nil" w:sz="6" w:space="0" w:color="auto"/>
              <w:left w:val="nil" w:sz="6" w:space="0" w:color="auto"/>
              <w:bottom w:val="nil" w:sz="6" w:space="0" w:color="auto"/>
              <w:right w:val="nil" w:sz="6" w:space="0" w:color="auto"/>
            </w:tcBorders>
          </w:tcPr>
          <w:p>
            <w:pPr/>
          </w:p>
        </w:tc>
        <w:tc>
          <w:tcPr>
            <w:tcW w:w="281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730" w:right="0"/>
              <w:jc w:val="left"/>
              <w:rPr>
                <w:rFonts w:ascii="宋体" w:hAnsi="宋体" w:cs="宋体" w:eastAsia="宋体" w:hint="default"/>
                <w:sz w:val="18"/>
                <w:szCs w:val="18"/>
              </w:rPr>
            </w:pPr>
            <w:r>
              <w:rPr>
                <w:rFonts w:ascii="宋体"/>
                <w:sz w:val="18"/>
              </w:rPr>
              <w:t>1,884,000.00</w:t>
            </w:r>
          </w:p>
        </w:tc>
      </w:tr>
    </w:tbl>
    <w:p>
      <w:pPr>
        <w:spacing w:after="0" w:line="240" w:lineRule="auto"/>
        <w:jc w:val="left"/>
        <w:rPr>
          <w:rFonts w:ascii="宋体" w:hAnsi="宋体" w:cs="宋体" w:eastAsia="宋体" w:hint="default"/>
          <w:sz w:val="18"/>
          <w:szCs w:val="18"/>
        </w:rPr>
        <w:sectPr>
          <w:footerReference w:type="default" r:id="rId20"/>
          <w:pgSz w:w="11910" w:h="16840"/>
          <w:pgMar w:footer="1022" w:header="877" w:top="1060" w:bottom="1220" w:left="820" w:right="980"/>
          <w:pgNumType w:start="101"/>
        </w:sectPr>
      </w:pPr>
    </w:p>
    <w:p>
      <w:pPr>
        <w:spacing w:line="240" w:lineRule="auto" w:before="10"/>
        <w:rPr>
          <w:rFonts w:ascii="宋体" w:hAnsi="宋体" w:cs="宋体" w:eastAsia="宋体" w:hint="default"/>
          <w:sz w:val="28"/>
          <w:szCs w:val="28"/>
        </w:rPr>
      </w:pPr>
    </w:p>
    <w:p>
      <w:pPr>
        <w:pStyle w:val="Heading4"/>
        <w:spacing w:line="240" w:lineRule="auto"/>
        <w:ind w:left="314" w:right="1890"/>
        <w:jc w:val="left"/>
        <w:rPr>
          <w:rFonts w:ascii="黑体" w:hAnsi="黑体" w:cs="黑体" w:eastAsia="黑体" w:hint="default"/>
          <w:b w:val="0"/>
          <w:bCs w:val="0"/>
        </w:rPr>
      </w:pPr>
      <w:r>
        <w:rPr>
          <w:rFonts w:ascii="黑体" w:hAnsi="黑体" w:cs="黑体" w:eastAsia="黑体" w:hint="default"/>
        </w:rPr>
        <w:t>十、承诺事项</w:t>
      </w:r>
      <w:r>
        <w:rPr>
          <w:rFonts w:ascii="黑体" w:hAnsi="黑体" w:cs="黑体" w:eastAsia="黑体" w:hint="default"/>
          <w:b w:val="0"/>
          <w:bCs w:val="0"/>
        </w:rPr>
      </w:r>
    </w:p>
    <w:p>
      <w:pPr>
        <w:pStyle w:val="BodyText"/>
        <w:spacing w:line="381" w:lineRule="auto" w:before="186"/>
        <w:ind w:left="794" w:right="1130"/>
        <w:jc w:val="left"/>
      </w:pPr>
      <w:r>
        <w:rPr/>
        <w:t>1．资本性承诺事项 以下为于资产负债表日，已签约而尚不必在财务报表上确认的资本支出承诺：</w:t>
      </w:r>
    </w:p>
    <w:p>
      <w:pPr>
        <w:spacing w:line="240" w:lineRule="auto" w:before="5"/>
        <w:rPr>
          <w:rFonts w:ascii="宋体" w:hAnsi="宋体" w:cs="宋体" w:eastAsia="宋体" w:hint="default"/>
          <w:sz w:val="9"/>
          <w:szCs w:val="9"/>
        </w:rPr>
      </w:pPr>
    </w:p>
    <w:tbl>
      <w:tblPr>
        <w:tblW w:w="0" w:type="auto"/>
        <w:jc w:val="left"/>
        <w:tblInd w:w="113" w:type="dxa"/>
        <w:tblLayout w:type="fixed"/>
        <w:tblCellMar>
          <w:top w:w="0" w:type="dxa"/>
          <w:left w:w="0" w:type="dxa"/>
          <w:bottom w:w="0" w:type="dxa"/>
          <w:right w:w="0" w:type="dxa"/>
        </w:tblCellMar>
        <w:tblLook w:val="01E0"/>
      </w:tblPr>
      <w:tblGrid>
        <w:gridCol w:w="3876"/>
        <w:gridCol w:w="2731"/>
        <w:gridCol w:w="421"/>
        <w:gridCol w:w="2810"/>
      </w:tblGrid>
      <w:tr>
        <w:trPr>
          <w:trHeight w:val="290" w:hRule="exact"/>
        </w:trPr>
        <w:tc>
          <w:tcPr>
            <w:tcW w:w="3876" w:type="dxa"/>
            <w:tcBorders>
              <w:top w:val="nil" w:sz="6" w:space="0" w:color="auto"/>
              <w:left w:val="nil" w:sz="6" w:space="0" w:color="auto"/>
              <w:bottom w:val="nil" w:sz="6" w:space="0" w:color="auto"/>
              <w:right w:val="nil" w:sz="6" w:space="0" w:color="auto"/>
            </w:tcBorders>
          </w:tcPr>
          <w:p>
            <w:pPr/>
          </w:p>
        </w:tc>
        <w:tc>
          <w:tcPr>
            <w:tcW w:w="2731" w:type="dxa"/>
            <w:tcBorders>
              <w:top w:val="nil" w:sz="6" w:space="0" w:color="auto"/>
              <w:left w:val="nil" w:sz="6" w:space="0" w:color="auto"/>
              <w:bottom w:val="single" w:sz="4" w:space="0" w:color="000000"/>
              <w:right w:val="nil" w:sz="6" w:space="0" w:color="auto"/>
            </w:tcBorders>
          </w:tcPr>
          <w:p>
            <w:pPr>
              <w:pStyle w:val="TableParagraph"/>
              <w:spacing w:line="180" w:lineRule="exact"/>
              <w:ind w:left="626"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421" w:type="dxa"/>
            <w:tcBorders>
              <w:top w:val="nil" w:sz="6" w:space="0" w:color="auto"/>
              <w:left w:val="nil" w:sz="6" w:space="0" w:color="auto"/>
              <w:bottom w:val="nil" w:sz="6" w:space="0" w:color="auto"/>
              <w:right w:val="nil" w:sz="6" w:space="0" w:color="auto"/>
            </w:tcBorders>
          </w:tcPr>
          <w:p>
            <w:pPr/>
          </w:p>
        </w:tc>
        <w:tc>
          <w:tcPr>
            <w:tcW w:w="2810" w:type="dxa"/>
            <w:tcBorders>
              <w:top w:val="nil" w:sz="6" w:space="0" w:color="auto"/>
              <w:left w:val="nil" w:sz="6" w:space="0" w:color="auto"/>
              <w:bottom w:val="single" w:sz="4" w:space="0" w:color="000000"/>
              <w:right w:val="nil" w:sz="6" w:space="0" w:color="auto"/>
            </w:tcBorders>
          </w:tcPr>
          <w:p>
            <w:pPr>
              <w:pStyle w:val="TableParagraph"/>
              <w:spacing w:line="180" w:lineRule="exact"/>
              <w:ind w:left="66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9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房屋、建筑物及机器设备</w:t>
            </w:r>
          </w:p>
        </w:tc>
        <w:tc>
          <w:tcPr>
            <w:tcW w:w="273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561" w:right="0"/>
              <w:jc w:val="left"/>
              <w:rPr>
                <w:rFonts w:ascii="宋体" w:hAnsi="宋体" w:cs="宋体" w:eastAsia="宋体" w:hint="default"/>
                <w:sz w:val="18"/>
                <w:szCs w:val="18"/>
              </w:rPr>
            </w:pPr>
            <w:r>
              <w:rPr>
                <w:rFonts w:ascii="宋体"/>
                <w:sz w:val="18"/>
              </w:rPr>
              <w:t>21,182,206.00</w:t>
            </w:r>
          </w:p>
        </w:tc>
        <w:tc>
          <w:tcPr>
            <w:tcW w:w="421" w:type="dxa"/>
            <w:tcBorders>
              <w:top w:val="nil" w:sz="6" w:space="0" w:color="auto"/>
              <w:left w:val="nil" w:sz="6" w:space="0" w:color="auto"/>
              <w:bottom w:val="nil" w:sz="6" w:space="0" w:color="auto"/>
              <w:right w:val="nil" w:sz="6" w:space="0" w:color="auto"/>
            </w:tcBorders>
          </w:tcPr>
          <w:p>
            <w:pPr/>
          </w:p>
        </w:tc>
        <w:tc>
          <w:tcPr>
            <w:tcW w:w="281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730" w:right="0"/>
              <w:jc w:val="left"/>
              <w:rPr>
                <w:rFonts w:ascii="宋体" w:hAnsi="宋体" w:cs="宋体" w:eastAsia="宋体" w:hint="default"/>
                <w:sz w:val="18"/>
                <w:szCs w:val="18"/>
              </w:rPr>
            </w:pPr>
            <w:r>
              <w:rPr>
                <w:rFonts w:ascii="宋体"/>
                <w:sz w:val="18"/>
              </w:rPr>
              <w:t>7,611,306.00</w:t>
            </w:r>
          </w:p>
        </w:tc>
      </w:tr>
    </w:tbl>
    <w:p>
      <w:pPr>
        <w:spacing w:line="240" w:lineRule="auto" w:before="1"/>
        <w:rPr>
          <w:rFonts w:ascii="宋体" w:hAnsi="宋体" w:cs="宋体" w:eastAsia="宋体" w:hint="default"/>
          <w:sz w:val="19"/>
          <w:szCs w:val="19"/>
        </w:rPr>
      </w:pPr>
    </w:p>
    <w:p>
      <w:pPr>
        <w:pStyle w:val="BodyText"/>
        <w:spacing w:line="396" w:lineRule="auto" w:before="26"/>
        <w:ind w:left="794" w:right="1370"/>
        <w:jc w:val="left"/>
      </w:pPr>
      <w:r>
        <w:rPr/>
        <w:t>2．经营租赁承诺事项 根据已签订的不可撤消的经营性租赁合同，未来最低应支付租金汇总如下：</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3886"/>
        <w:gridCol w:w="2746"/>
        <w:gridCol w:w="398"/>
        <w:gridCol w:w="2808"/>
      </w:tblGrid>
      <w:tr>
        <w:trPr>
          <w:trHeight w:val="290" w:hRule="exact"/>
        </w:trPr>
        <w:tc>
          <w:tcPr>
            <w:tcW w:w="3886" w:type="dxa"/>
            <w:tcBorders>
              <w:top w:val="nil" w:sz="6" w:space="0" w:color="auto"/>
              <w:left w:val="nil" w:sz="6" w:space="0" w:color="auto"/>
              <w:bottom w:val="nil" w:sz="6" w:space="0" w:color="auto"/>
              <w:right w:val="nil" w:sz="6" w:space="0" w:color="auto"/>
            </w:tcBorders>
          </w:tcPr>
          <w:p>
            <w:pPr/>
          </w:p>
        </w:tc>
        <w:tc>
          <w:tcPr>
            <w:tcW w:w="2746" w:type="dxa"/>
            <w:tcBorders>
              <w:top w:val="nil" w:sz="6" w:space="0" w:color="auto"/>
              <w:left w:val="nil" w:sz="6" w:space="0" w:color="auto"/>
              <w:bottom w:val="single" w:sz="4" w:space="0" w:color="000000"/>
              <w:right w:val="nil" w:sz="6" w:space="0" w:color="auto"/>
            </w:tcBorders>
          </w:tcPr>
          <w:p>
            <w:pPr>
              <w:pStyle w:val="TableParagraph"/>
              <w:spacing w:line="180" w:lineRule="exact"/>
              <w:ind w:left="63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98"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single" w:sz="4" w:space="0" w:color="000000"/>
              <w:right w:val="nil" w:sz="6" w:space="0" w:color="auto"/>
            </w:tcBorders>
          </w:tcPr>
          <w:p>
            <w:pPr>
              <w:pStyle w:val="TableParagraph"/>
              <w:spacing w:line="180" w:lineRule="exact"/>
              <w:ind w:left="66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98"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74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2,469,667.48</w:t>
            </w:r>
          </w:p>
        </w:tc>
        <w:tc>
          <w:tcPr>
            <w:tcW w:w="398" w:type="dxa"/>
            <w:tcBorders>
              <w:top w:val="nil" w:sz="6" w:space="0" w:color="auto"/>
              <w:left w:val="nil" w:sz="6" w:space="0" w:color="auto"/>
              <w:bottom w:val="nil" w:sz="6" w:space="0" w:color="auto"/>
              <w:right w:val="nil" w:sz="6" w:space="0" w:color="auto"/>
            </w:tcBorders>
          </w:tcPr>
          <w:p>
            <w:pPr/>
          </w:p>
        </w:tc>
        <w:tc>
          <w:tcPr>
            <w:tcW w:w="280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182,584.68</w:t>
            </w:r>
          </w:p>
        </w:tc>
      </w:tr>
      <w:tr>
        <w:trPr>
          <w:trHeight w:val="397" w:hRule="exact"/>
        </w:trPr>
        <w:tc>
          <w:tcPr>
            <w:tcW w:w="38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00" w:right="0"/>
              <w:jc w:val="left"/>
              <w:rPr>
                <w:rFonts w:ascii="宋体" w:hAnsi="宋体" w:cs="宋体" w:eastAsia="宋体" w:hint="default"/>
                <w:sz w:val="18"/>
                <w:szCs w:val="18"/>
              </w:rPr>
            </w:pPr>
            <w:r>
              <w:rPr>
                <w:rFonts w:ascii="宋体" w:hAnsi="宋体" w:cs="宋体" w:eastAsia="宋体" w:hint="default"/>
                <w:sz w:val="18"/>
                <w:szCs w:val="18"/>
              </w:rPr>
              <w:t>一年至二年</w:t>
            </w:r>
          </w:p>
        </w:tc>
        <w:tc>
          <w:tcPr>
            <w:tcW w:w="274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329,959.00</w:t>
            </w:r>
          </w:p>
        </w:tc>
        <w:tc>
          <w:tcPr>
            <w:tcW w:w="398"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0"/>
              <w:jc w:val="right"/>
              <w:rPr>
                <w:rFonts w:ascii="宋体" w:hAnsi="宋体" w:cs="宋体" w:eastAsia="宋体" w:hint="default"/>
                <w:sz w:val="18"/>
                <w:szCs w:val="18"/>
              </w:rPr>
            </w:pPr>
            <w:r>
              <w:rPr>
                <w:rFonts w:ascii="宋体"/>
                <w:sz w:val="18"/>
              </w:rPr>
              <w:t>-</w:t>
            </w:r>
          </w:p>
        </w:tc>
      </w:tr>
      <w:tr>
        <w:trPr>
          <w:trHeight w:val="413" w:hRule="exact"/>
        </w:trPr>
        <w:tc>
          <w:tcPr>
            <w:tcW w:w="3886" w:type="dxa"/>
            <w:tcBorders>
              <w:top w:val="nil" w:sz="6" w:space="0" w:color="auto"/>
              <w:left w:val="nil" w:sz="6" w:space="0" w:color="auto"/>
              <w:bottom w:val="nil" w:sz="6" w:space="0" w:color="auto"/>
              <w:right w:val="nil" w:sz="6" w:space="0" w:color="auto"/>
            </w:tcBorders>
          </w:tcPr>
          <w:p>
            <w:pPr/>
          </w:p>
        </w:tc>
        <w:tc>
          <w:tcPr>
            <w:tcW w:w="2746"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2,799,626.48</w:t>
            </w:r>
          </w:p>
        </w:tc>
        <w:tc>
          <w:tcPr>
            <w:tcW w:w="398" w:type="dxa"/>
            <w:tcBorders>
              <w:top w:val="nil" w:sz="6" w:space="0" w:color="auto"/>
              <w:left w:val="nil" w:sz="6" w:space="0" w:color="auto"/>
              <w:bottom w:val="nil" w:sz="6" w:space="0" w:color="auto"/>
              <w:right w:val="nil" w:sz="6" w:space="0" w:color="auto"/>
            </w:tcBorders>
          </w:tcPr>
          <w:p>
            <w:pPr/>
          </w:p>
        </w:tc>
        <w:tc>
          <w:tcPr>
            <w:tcW w:w="2808"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182,584.68</w:t>
            </w:r>
          </w:p>
        </w:tc>
      </w:tr>
    </w:tbl>
    <w:p>
      <w:pPr>
        <w:spacing w:line="240" w:lineRule="auto" w:before="13"/>
        <w:rPr>
          <w:rFonts w:ascii="宋体" w:hAnsi="宋体" w:cs="宋体" w:eastAsia="宋体" w:hint="default"/>
          <w:sz w:val="10"/>
          <w:szCs w:val="10"/>
        </w:rPr>
      </w:pPr>
    </w:p>
    <w:p>
      <w:pPr>
        <w:pStyle w:val="Heading4"/>
        <w:spacing w:line="240" w:lineRule="auto"/>
        <w:ind w:left="314" w:right="0"/>
        <w:jc w:val="both"/>
        <w:rPr>
          <w:rFonts w:ascii="黑体" w:hAnsi="黑体" w:cs="黑体" w:eastAsia="黑体" w:hint="default"/>
          <w:b w:val="0"/>
          <w:bCs w:val="0"/>
        </w:rPr>
      </w:pPr>
      <w:r>
        <w:rPr>
          <w:rFonts w:ascii="黑体" w:hAnsi="黑体" w:cs="黑体" w:eastAsia="黑体" w:hint="default"/>
        </w:rPr>
        <w:t>十一、或有事项</w:t>
      </w:r>
      <w:r>
        <w:rPr>
          <w:rFonts w:ascii="黑体" w:hAnsi="黑体" w:cs="黑体" w:eastAsia="黑体" w:hint="default"/>
          <w:b w:val="0"/>
          <w:bCs w:val="0"/>
        </w:rPr>
      </w:r>
    </w:p>
    <w:p>
      <w:pPr>
        <w:pStyle w:val="BodyText"/>
        <w:spacing w:line="240" w:lineRule="auto" w:before="205"/>
        <w:ind w:left="734" w:right="1890"/>
        <w:jc w:val="left"/>
      </w:pPr>
      <w:r>
        <w:rPr/>
        <w:t>本公司无需要披露的或有事项。</w:t>
      </w:r>
    </w:p>
    <w:p>
      <w:pPr>
        <w:spacing w:line="240" w:lineRule="auto" w:before="13"/>
        <w:rPr>
          <w:rFonts w:ascii="宋体" w:hAnsi="宋体" w:cs="宋体" w:eastAsia="宋体" w:hint="default"/>
          <w:sz w:val="27"/>
          <w:szCs w:val="27"/>
        </w:rPr>
      </w:pPr>
    </w:p>
    <w:p>
      <w:pPr>
        <w:pStyle w:val="Heading4"/>
        <w:spacing w:line="240" w:lineRule="auto" w:before="0"/>
        <w:ind w:left="314" w:right="0"/>
        <w:jc w:val="both"/>
        <w:rPr>
          <w:rFonts w:ascii="黑体" w:hAnsi="黑体" w:cs="黑体" w:eastAsia="黑体" w:hint="default"/>
          <w:b w:val="0"/>
          <w:bCs w:val="0"/>
        </w:rPr>
      </w:pPr>
      <w:r>
        <w:rPr>
          <w:rFonts w:ascii="黑体" w:hAnsi="黑体" w:cs="黑体" w:eastAsia="黑体" w:hint="default"/>
        </w:rPr>
        <w:t>十二、其他重要事项</w:t>
      </w:r>
      <w:r>
        <w:rPr>
          <w:rFonts w:ascii="黑体" w:hAnsi="黑体" w:cs="黑体" w:eastAsia="黑体" w:hint="default"/>
          <w:b w:val="0"/>
          <w:bCs w:val="0"/>
        </w:rPr>
      </w:r>
    </w:p>
    <w:p>
      <w:pPr>
        <w:spacing w:line="240" w:lineRule="auto" w:before="12"/>
        <w:rPr>
          <w:rFonts w:ascii="黑体" w:hAnsi="黑体" w:cs="黑体" w:eastAsia="黑体" w:hint="default"/>
          <w:b/>
          <w:bCs/>
          <w:sz w:val="27"/>
          <w:szCs w:val="27"/>
        </w:rPr>
      </w:pPr>
    </w:p>
    <w:p>
      <w:pPr>
        <w:pStyle w:val="BodyText"/>
        <w:spacing w:line="240" w:lineRule="auto"/>
        <w:ind w:left="807" w:right="1890"/>
        <w:jc w:val="left"/>
      </w:pPr>
      <w:r>
        <w:rPr/>
        <w:t>1、深圳天图股权质押</w:t>
      </w:r>
    </w:p>
    <w:p>
      <w:pPr>
        <w:spacing w:line="240" w:lineRule="auto" w:before="13"/>
        <w:rPr>
          <w:rFonts w:ascii="宋体" w:hAnsi="宋体" w:cs="宋体" w:eastAsia="宋体" w:hint="default"/>
          <w:sz w:val="24"/>
          <w:szCs w:val="24"/>
        </w:rPr>
      </w:pPr>
    </w:p>
    <w:p>
      <w:pPr>
        <w:pStyle w:val="BodyText"/>
        <w:spacing w:line="240" w:lineRule="auto"/>
        <w:ind w:left="807" w:right="92"/>
        <w:jc w:val="left"/>
      </w:pPr>
      <w:r>
        <w:rPr>
          <w:spacing w:val="11"/>
        </w:rPr>
        <w:t>2008年6月4日，本公司接到公司股东深圳天图</w:t>
      </w:r>
      <w:r>
        <w:rPr>
          <w:spacing w:val="35"/>
        </w:rPr>
        <w:t> </w:t>
      </w:r>
      <w:r>
        <w:rPr>
          <w:spacing w:val="14"/>
        </w:rPr>
        <w:t>(深圳天图持有本公司无限售流通股</w:t>
      </w:r>
      <w:r>
        <w:rPr/>
      </w:r>
    </w:p>
    <w:p>
      <w:pPr>
        <w:pStyle w:val="BodyText"/>
        <w:spacing w:line="240" w:lineRule="auto" w:before="166"/>
        <w:ind w:left="314" w:right="0"/>
        <w:jc w:val="both"/>
      </w:pPr>
      <w:r>
        <w:rPr>
          <w:spacing w:val="8"/>
        </w:rPr>
        <w:t>12,000,000股,占本公司总股本的9.38%)的通知，深圳天图以其持有的本公司的部分股权</w:t>
      </w:r>
    </w:p>
    <w:p>
      <w:pPr>
        <w:pStyle w:val="BodyText"/>
        <w:spacing w:line="367" w:lineRule="auto" w:before="166"/>
        <w:ind w:left="314" w:right="148"/>
        <w:jc w:val="both"/>
      </w:pPr>
      <w:r>
        <w:rPr/>
        <w:t>3,000,000股质押给深圳市中小企业信用担保中心有限公司,质押期自2008年6月4日至《委托 贷款之借款合同》项下被担保的债权诉讼时效届满之日止。深圳天图已于2008年6月4日在中</w:t>
      </w:r>
      <w:r>
        <w:rPr>
          <w:spacing w:val="-98"/>
        </w:rPr>
        <w:t> </w:t>
      </w:r>
      <w:r>
        <w:rPr>
          <w:spacing w:val="-98"/>
        </w:rPr>
      </w:r>
      <w:r>
        <w:rPr/>
        <w:t>国证券登记结算有限责任公司深圳分公司办理了股权质押登记手续。</w:t>
      </w:r>
    </w:p>
    <w:p>
      <w:pPr>
        <w:pStyle w:val="BodyText"/>
        <w:spacing w:line="240" w:lineRule="auto" w:before="198"/>
        <w:ind w:left="794" w:right="1890"/>
        <w:jc w:val="left"/>
      </w:pPr>
      <w:r>
        <w:rPr/>
        <w:t>2、深港产学研股权质押</w:t>
      </w:r>
    </w:p>
    <w:p>
      <w:pPr>
        <w:spacing w:line="240" w:lineRule="auto" w:before="13"/>
        <w:rPr>
          <w:rFonts w:ascii="宋体" w:hAnsi="宋体" w:cs="宋体" w:eastAsia="宋体" w:hint="default"/>
          <w:sz w:val="24"/>
          <w:szCs w:val="24"/>
        </w:rPr>
      </w:pPr>
    </w:p>
    <w:p>
      <w:pPr>
        <w:pStyle w:val="BodyText"/>
        <w:spacing w:line="367" w:lineRule="auto"/>
        <w:ind w:left="314" w:right="151" w:firstLine="480"/>
        <w:jc w:val="both"/>
      </w:pPr>
      <w:r>
        <w:rPr>
          <w:spacing w:val="25"/>
        </w:rPr>
        <w:t>2008年6月</w:t>
      </w:r>
      <w:r>
        <w:rPr>
          <w:spacing w:val="-69"/>
        </w:rPr>
        <w:t> </w:t>
      </w:r>
      <w:r>
        <w:rPr/>
        <w:t>12</w:t>
      </w:r>
      <w:r>
        <w:rPr>
          <w:spacing w:val="-69"/>
        </w:rPr>
        <w:t> </w:t>
      </w:r>
      <w:r>
        <w:rPr/>
        <w:t>日，本公司接到公司股东深港产学研(深港产学研持有本公司有限售流通</w:t>
      </w:r>
      <w:r>
        <w:rPr/>
        <w:t> 股</w:t>
      </w:r>
      <w:r>
        <w:rPr>
          <w:spacing w:val="-68"/>
        </w:rPr>
        <w:t> </w:t>
      </w:r>
      <w:r>
        <w:rPr/>
        <w:t>23,036,074</w:t>
      </w:r>
      <w:r>
        <w:rPr>
          <w:spacing w:val="-68"/>
        </w:rPr>
        <w:t> </w:t>
      </w:r>
      <w:r>
        <w:rPr/>
        <w:t>股,占本公司总股本的</w:t>
      </w:r>
      <w:r>
        <w:rPr>
          <w:spacing w:val="-68"/>
        </w:rPr>
        <w:t> </w:t>
      </w:r>
      <w:r>
        <w:rPr/>
        <w:t>18%)的通知，深港产学研以其持有的本公司的部分股权</w:t>
      </w:r>
      <w:r>
        <w:rPr/>
        <w:t> 8,800,000</w:t>
      </w:r>
      <w:r>
        <w:rPr>
          <w:spacing w:val="-64"/>
        </w:rPr>
        <w:t> </w:t>
      </w:r>
      <w:r>
        <w:rPr/>
        <w:t>股质押给深圳国际信托投资有限责任公司,质押期自</w:t>
      </w:r>
      <w:r>
        <w:rPr>
          <w:spacing w:val="-64"/>
        </w:rPr>
        <w:t> </w:t>
      </w:r>
      <w:r>
        <w:rPr>
          <w:spacing w:val="24"/>
        </w:rPr>
        <w:t>2008年6月</w:t>
      </w:r>
      <w:r>
        <w:rPr>
          <w:spacing w:val="-64"/>
        </w:rPr>
        <w:t> </w:t>
      </w:r>
      <w:r>
        <w:rPr/>
        <w:t>12</w:t>
      </w:r>
      <w:r>
        <w:rPr>
          <w:spacing w:val="-64"/>
        </w:rPr>
        <w:t> </w:t>
      </w:r>
      <w:r>
        <w:rPr/>
        <w:t>日至深港产学</w:t>
      </w:r>
    </w:p>
    <w:p>
      <w:pPr>
        <w:pStyle w:val="BodyText"/>
        <w:spacing w:line="367" w:lineRule="auto" w:before="38"/>
        <w:ind w:left="314" w:right="151"/>
        <w:jc w:val="both"/>
      </w:pPr>
      <w:r>
        <w:rPr/>
        <w:t>研清偿完《股票受益权回购合同》项下全部债务之日终止。深港产学研已于 </w:t>
      </w:r>
      <w:r>
        <w:rPr>
          <w:spacing w:val="33"/>
        </w:rPr>
        <w:t>2008年6月</w:t>
      </w:r>
      <w:r>
        <w:rPr>
          <w:spacing w:val="-76"/>
        </w:rPr>
        <w:t> </w:t>
      </w:r>
      <w:r>
        <w:rPr/>
        <w:t>12</w:t>
      </w:r>
      <w:r>
        <w:rPr/>
        <w:t> 日在中国证券登记结算有限责任公司深圳分公司办理了股权质押登记手续。</w:t>
      </w:r>
    </w:p>
    <w:p>
      <w:pPr>
        <w:pStyle w:val="Heading4"/>
        <w:spacing w:line="240" w:lineRule="auto" w:before="198"/>
        <w:ind w:left="314" w:right="0"/>
        <w:jc w:val="both"/>
        <w:rPr>
          <w:rFonts w:ascii="黑体" w:hAnsi="黑体" w:cs="黑体" w:eastAsia="黑体" w:hint="default"/>
          <w:b w:val="0"/>
          <w:bCs w:val="0"/>
        </w:rPr>
      </w:pPr>
      <w:r>
        <w:rPr>
          <w:rFonts w:ascii="黑体" w:hAnsi="黑体" w:cs="黑体" w:eastAsia="黑体" w:hint="default"/>
        </w:rPr>
        <w:t>十三、资产负债表日后事项</w:t>
      </w:r>
      <w:r>
        <w:rPr>
          <w:rFonts w:ascii="黑体" w:hAnsi="黑体" w:cs="黑体" w:eastAsia="黑体" w:hint="default"/>
          <w:b w:val="0"/>
          <w:bCs w:val="0"/>
        </w:rPr>
      </w:r>
    </w:p>
    <w:p>
      <w:pPr>
        <w:spacing w:after="0" w:line="240" w:lineRule="auto"/>
        <w:jc w:val="both"/>
        <w:rPr>
          <w:rFonts w:ascii="黑体" w:hAnsi="黑体" w:cs="黑体" w:eastAsia="黑体" w:hint="default"/>
        </w:rPr>
        <w:sectPr>
          <w:pgSz w:w="11910" w:h="16840"/>
          <w:pgMar w:header="877" w:footer="1022" w:top="1060" w:bottom="1220" w:left="820" w:right="980"/>
        </w:sect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6"/>
          <w:szCs w:val="16"/>
        </w:rPr>
      </w:pPr>
    </w:p>
    <w:p>
      <w:pPr>
        <w:pStyle w:val="BodyText"/>
        <w:spacing w:line="240" w:lineRule="auto" w:before="26"/>
        <w:ind w:left="807" w:right="1890"/>
        <w:jc w:val="left"/>
      </w:pPr>
      <w:r>
        <w:rPr/>
        <w:t>1、深圳天图股权质押</w:t>
      </w:r>
    </w:p>
    <w:p>
      <w:pPr>
        <w:spacing w:line="240" w:lineRule="auto" w:before="11"/>
        <w:rPr>
          <w:rFonts w:ascii="宋体" w:hAnsi="宋体" w:cs="宋体" w:eastAsia="宋体" w:hint="default"/>
          <w:sz w:val="24"/>
          <w:szCs w:val="24"/>
        </w:rPr>
      </w:pPr>
    </w:p>
    <w:p>
      <w:pPr>
        <w:pStyle w:val="BodyText"/>
        <w:spacing w:line="367" w:lineRule="auto"/>
        <w:ind w:left="314" w:right="148" w:firstLine="493"/>
        <w:jc w:val="both"/>
      </w:pPr>
      <w:r>
        <w:rPr/>
        <w:t>2009 年 1 月</w:t>
      </w:r>
      <w:r>
        <w:rPr>
          <w:spacing w:val="2"/>
        </w:rPr>
        <w:t> </w:t>
      </w:r>
      <w:r>
        <w:rPr/>
        <w:t>21日，深圳天图已对其2008年6月4日质押的3,000,000股权解除质押，相</w:t>
      </w:r>
      <w:r>
        <w:rPr/>
        <w:t> 关手续已于在中国证券登记结算有限责任公司深圳分公司办理完毕。截止至目前，深圳天图</w:t>
      </w:r>
      <w:r>
        <w:rPr>
          <w:spacing w:val="-83"/>
        </w:rPr>
        <w:t> </w:t>
      </w:r>
      <w:r>
        <w:rPr>
          <w:spacing w:val="-83"/>
        </w:rPr>
      </w:r>
      <w:r>
        <w:rPr/>
        <w:t>无质押的本公司股票。</w:t>
      </w:r>
    </w:p>
    <w:p>
      <w:pPr>
        <w:pStyle w:val="BodyText"/>
        <w:spacing w:line="240" w:lineRule="auto" w:before="199"/>
        <w:ind w:left="794" w:right="1890"/>
        <w:jc w:val="left"/>
      </w:pPr>
      <w:r>
        <w:rPr/>
        <w:t>2、深港产学研股权质押</w:t>
      </w:r>
    </w:p>
    <w:p>
      <w:pPr>
        <w:spacing w:line="240" w:lineRule="auto" w:before="11"/>
        <w:rPr>
          <w:rFonts w:ascii="宋体" w:hAnsi="宋体" w:cs="宋体" w:eastAsia="宋体" w:hint="default"/>
          <w:sz w:val="24"/>
          <w:szCs w:val="24"/>
        </w:rPr>
      </w:pPr>
    </w:p>
    <w:p>
      <w:pPr>
        <w:pStyle w:val="BodyText"/>
        <w:spacing w:line="367" w:lineRule="auto"/>
        <w:ind w:left="314" w:right="149" w:firstLine="480"/>
        <w:jc w:val="both"/>
      </w:pPr>
      <w:r>
        <w:rPr/>
        <w:t>2009 年1 月14</w:t>
      </w:r>
      <w:r>
        <w:rPr>
          <w:spacing w:val="19"/>
        </w:rPr>
        <w:t> </w:t>
      </w:r>
      <w:r>
        <w:rPr/>
        <w:t>日，本公司接到公司股东深港产学研的通知，深港产学研以其持有的本</w:t>
      </w:r>
      <w:r>
        <w:rPr/>
        <w:t> 公司的部分股权148,000 股质押给招商银行股份有限公司深圳分行,作为65</w:t>
      </w:r>
      <w:r>
        <w:rPr>
          <w:spacing w:val="3"/>
        </w:rPr>
        <w:t> </w:t>
      </w:r>
      <w:r>
        <w:rPr/>
        <w:t>名大学生偿还其</w:t>
      </w:r>
      <w:r>
        <w:rPr/>
        <w:t> </w:t>
      </w:r>
      <w:r>
        <w:rPr>
          <w:spacing w:val="-5"/>
        </w:rPr>
        <w:t>向质权人借款的担保，质押期限自2009 </w:t>
      </w:r>
      <w:r>
        <w:rPr/>
        <w:t>年1月14</w:t>
      </w:r>
      <w:r>
        <w:rPr>
          <w:spacing w:val="17"/>
        </w:rPr>
        <w:t> </w:t>
      </w:r>
      <w:r>
        <w:rPr/>
        <w:t>日至所有借款合同项下借款本息及其他一切</w:t>
      </w:r>
      <w:r>
        <w:rPr/>
        <w:t> 相关费用债权诉讼实效届满的期间。深港产学研已于2009 年1 月14</w:t>
      </w:r>
      <w:r>
        <w:rPr>
          <w:spacing w:val="4"/>
        </w:rPr>
        <w:t> </w:t>
      </w:r>
      <w:r>
        <w:rPr/>
        <w:t>日在中国证券登记结算</w:t>
      </w:r>
      <w:r>
        <w:rPr/>
        <w:t> 有限责任公司深圳分公司办理了股权质押登记手续。</w:t>
      </w:r>
    </w:p>
    <w:p>
      <w:pPr>
        <w:pStyle w:val="BodyText"/>
        <w:spacing w:line="367" w:lineRule="auto" w:before="198"/>
        <w:ind w:left="314" w:right="151" w:firstLine="480"/>
        <w:jc w:val="both"/>
      </w:pPr>
      <w:r>
        <w:rPr/>
        <w:t>截止</w:t>
      </w:r>
      <w:r>
        <w:rPr>
          <w:spacing w:val="-41"/>
        </w:rPr>
        <w:t> </w:t>
      </w:r>
      <w:r>
        <w:rPr/>
        <w:t>2009 年</w:t>
      </w:r>
      <w:r>
        <w:rPr>
          <w:spacing w:val="-41"/>
        </w:rPr>
        <w:t> </w:t>
      </w:r>
      <w:r>
        <w:rPr/>
        <w:t>2</w:t>
      </w:r>
      <w:r>
        <w:rPr>
          <w:spacing w:val="-41"/>
        </w:rPr>
        <w:t> </w:t>
      </w:r>
      <w:r>
        <w:rPr/>
        <w:t>月</w:t>
      </w:r>
      <w:r>
        <w:rPr>
          <w:spacing w:val="-41"/>
        </w:rPr>
        <w:t> </w:t>
      </w:r>
      <w:r>
        <w:rPr/>
        <w:t>24 日，深港产学研累计质押本公司股份</w:t>
      </w:r>
      <w:r>
        <w:rPr>
          <w:spacing w:val="-41"/>
        </w:rPr>
        <w:t> </w:t>
      </w:r>
      <w:r>
        <w:rPr/>
        <w:t>8,948,000 股，占公司总股</w:t>
      </w:r>
      <w:r>
        <w:rPr/>
        <w:t> 本的</w:t>
      </w:r>
      <w:r>
        <w:rPr>
          <w:spacing w:val="-60"/>
        </w:rPr>
        <w:t> </w:t>
      </w:r>
      <w:r>
        <w:rPr/>
        <w:t>6.99%。</w:t>
      </w:r>
    </w:p>
    <w:p>
      <w:pPr>
        <w:spacing w:line="240" w:lineRule="auto" w:before="2"/>
        <w:rPr>
          <w:rFonts w:ascii="宋体" w:hAnsi="宋体" w:cs="宋体" w:eastAsia="宋体" w:hint="default"/>
          <w:sz w:val="18"/>
          <w:szCs w:val="18"/>
        </w:rPr>
      </w:pPr>
    </w:p>
    <w:p>
      <w:pPr>
        <w:pStyle w:val="Heading4"/>
        <w:spacing w:line="240" w:lineRule="auto" w:before="0"/>
        <w:ind w:left="314" w:right="1890"/>
        <w:jc w:val="left"/>
        <w:rPr>
          <w:rFonts w:ascii="黑体" w:hAnsi="黑体" w:cs="黑体" w:eastAsia="黑体" w:hint="default"/>
          <w:b w:val="0"/>
          <w:bCs w:val="0"/>
        </w:rPr>
      </w:pPr>
      <w:r>
        <w:rPr>
          <w:rFonts w:ascii="黑体" w:hAnsi="黑体" w:cs="黑体" w:eastAsia="黑体" w:hint="default"/>
        </w:rPr>
        <w:t>十四、扣除非经常性损益后的净利润</w:t>
      </w:r>
      <w:r>
        <w:rPr>
          <w:rFonts w:ascii="黑体" w:hAnsi="黑体" w:cs="黑体" w:eastAsia="黑体" w:hint="default"/>
          <w:b w:val="0"/>
          <w:bCs w:val="0"/>
        </w:rPr>
      </w:r>
    </w:p>
    <w:p>
      <w:pPr>
        <w:spacing w:line="240" w:lineRule="auto" w:before="8"/>
        <w:rPr>
          <w:rFonts w:ascii="黑体" w:hAnsi="黑体" w:cs="黑体" w:eastAsia="黑体" w:hint="default"/>
          <w:b/>
          <w:bCs/>
          <w:sz w:val="26"/>
          <w:szCs w:val="26"/>
        </w:rPr>
      </w:pPr>
    </w:p>
    <w:tbl>
      <w:tblPr>
        <w:tblW w:w="0" w:type="auto"/>
        <w:jc w:val="left"/>
        <w:tblInd w:w="113" w:type="dxa"/>
        <w:tblLayout w:type="fixed"/>
        <w:tblCellMar>
          <w:top w:w="0" w:type="dxa"/>
          <w:left w:w="0" w:type="dxa"/>
          <w:bottom w:w="0" w:type="dxa"/>
          <w:right w:w="0" w:type="dxa"/>
        </w:tblCellMar>
        <w:tblLook w:val="01E0"/>
      </w:tblPr>
      <w:tblGrid>
        <w:gridCol w:w="7072"/>
        <w:gridCol w:w="1511"/>
        <w:gridCol w:w="1255"/>
      </w:tblGrid>
      <w:tr>
        <w:trPr>
          <w:trHeight w:val="291" w:hRule="exact"/>
        </w:trPr>
        <w:tc>
          <w:tcPr>
            <w:tcW w:w="7072"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single" w:sz="4" w:space="0" w:color="000000"/>
              <w:right w:val="nil" w:sz="6" w:space="0" w:color="auto"/>
            </w:tcBorders>
          </w:tcPr>
          <w:p>
            <w:pPr>
              <w:pStyle w:val="TableParagraph"/>
              <w:spacing w:line="180" w:lineRule="exact"/>
              <w:ind w:left="33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1255" w:type="dxa"/>
            <w:tcBorders>
              <w:top w:val="nil" w:sz="6" w:space="0" w:color="auto"/>
              <w:left w:val="nil" w:sz="6" w:space="0" w:color="auto"/>
              <w:bottom w:val="single" w:sz="4" w:space="0" w:color="000000"/>
              <w:right w:val="nil" w:sz="6" w:space="0" w:color="auto"/>
            </w:tcBorders>
          </w:tcPr>
          <w:p>
            <w:pPr>
              <w:pStyle w:val="TableParagraph"/>
              <w:spacing w:line="180" w:lineRule="exact"/>
              <w:ind w:left="21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404"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9"/>
              <w:ind w:left="200" w:right="0"/>
              <w:jc w:val="left"/>
              <w:rPr>
                <w:rFonts w:ascii="宋体" w:hAnsi="宋体" w:cs="宋体" w:eastAsia="宋体" w:hint="default"/>
                <w:sz w:val="18"/>
                <w:szCs w:val="18"/>
              </w:rPr>
            </w:pPr>
            <w:r>
              <w:rPr>
                <w:rFonts w:ascii="宋体" w:hAnsi="宋体" w:cs="宋体" w:eastAsia="宋体" w:hint="default"/>
                <w:sz w:val="18"/>
                <w:szCs w:val="18"/>
              </w:rPr>
              <w:t>一、非经常性损益</w:t>
            </w:r>
          </w:p>
        </w:tc>
        <w:tc>
          <w:tcPr>
            <w:tcW w:w="1511" w:type="dxa"/>
            <w:tcBorders>
              <w:top w:val="single" w:sz="4" w:space="0" w:color="000000"/>
              <w:left w:val="nil" w:sz="6" w:space="0" w:color="auto"/>
              <w:bottom w:val="nil" w:sz="6" w:space="0" w:color="auto"/>
              <w:right w:val="nil" w:sz="6" w:space="0" w:color="auto"/>
            </w:tcBorders>
          </w:tcPr>
          <w:p>
            <w:pPr/>
          </w:p>
        </w:tc>
        <w:tc>
          <w:tcPr>
            <w:tcW w:w="1255" w:type="dxa"/>
            <w:tcBorders>
              <w:top w:val="single" w:sz="4" w:space="0" w:color="000000"/>
              <w:left w:val="nil" w:sz="6" w:space="0" w:color="auto"/>
              <w:bottom w:val="nil" w:sz="6" w:space="0" w:color="auto"/>
              <w:right w:val="nil" w:sz="6" w:space="0" w:color="auto"/>
            </w:tcBorders>
          </w:tcPr>
          <w:p>
            <w:pP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1.非流动资产处置损益</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宋体" w:hAnsi="宋体" w:cs="宋体" w:eastAsia="宋体" w:hint="default"/>
                <w:sz w:val="18"/>
                <w:szCs w:val="18"/>
              </w:rPr>
            </w:pPr>
            <w:r>
              <w:rPr>
                <w:rFonts w:ascii="宋体"/>
                <w:sz w:val="18"/>
              </w:rPr>
              <w:t>(64,453.65)</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630,941.86</w:t>
            </w:r>
          </w:p>
        </w:tc>
      </w:tr>
      <w:tr>
        <w:trPr>
          <w:trHeight w:val="37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2.越权审批或无正式批准文件的税收返还、减免</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宋体" w:hAnsi="宋体" w:cs="宋体" w:eastAsia="宋体" w:hint="default"/>
                <w:sz w:val="18"/>
                <w:szCs w:val="18"/>
              </w:rPr>
            </w:pPr>
            <w:r>
              <w:rPr>
                <w:rFonts w:ascii="宋体"/>
                <w:sz w:val="18"/>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r>
      <w:tr>
        <w:trPr>
          <w:trHeight w:val="599"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4" w:lineRule="auto" w:before="33"/>
              <w:ind w:left="200" w:right="14"/>
              <w:jc w:val="left"/>
              <w:rPr>
                <w:rFonts w:ascii="宋体" w:hAnsi="宋体" w:cs="宋体" w:eastAsia="宋体" w:hint="default"/>
                <w:sz w:val="18"/>
                <w:szCs w:val="18"/>
              </w:rPr>
            </w:pPr>
            <w:r>
              <w:rPr>
                <w:rFonts w:ascii="宋体" w:hAnsi="宋体" w:cs="宋体" w:eastAsia="宋体" w:hint="default"/>
                <w:spacing w:val="-2"/>
                <w:sz w:val="18"/>
                <w:szCs w:val="18"/>
              </w:rPr>
              <w:t>3.计入当期损益的政府补助(与企业业务密切相关，按照国家统一标准定额或定量享受的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政府补助除外)</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83"/>
              <w:jc w:val="right"/>
              <w:rPr>
                <w:rFonts w:ascii="宋体" w:hAnsi="宋体" w:cs="宋体" w:eastAsia="宋体" w:hint="default"/>
                <w:sz w:val="18"/>
                <w:szCs w:val="18"/>
              </w:rPr>
            </w:pPr>
            <w:r>
              <w:rPr>
                <w:rFonts w:ascii="宋体"/>
                <w:sz w:val="18"/>
              </w:rPr>
              <w:t>15,490,554.43</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0"/>
              <w:jc w:val="right"/>
              <w:rPr>
                <w:rFonts w:ascii="宋体" w:hAnsi="宋体" w:cs="宋体" w:eastAsia="宋体" w:hint="default"/>
                <w:sz w:val="18"/>
                <w:szCs w:val="18"/>
              </w:rPr>
            </w:pPr>
            <w:r>
              <w:rPr>
                <w:rFonts w:ascii="宋体"/>
                <w:sz w:val="18"/>
              </w:rPr>
              <w:t>10,235,000.00</w:t>
            </w:r>
          </w:p>
        </w:tc>
      </w:tr>
      <w:tr>
        <w:trPr>
          <w:trHeight w:val="358"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00" w:right="0"/>
              <w:jc w:val="left"/>
              <w:rPr>
                <w:rFonts w:ascii="宋体" w:hAnsi="宋体" w:cs="宋体" w:eastAsia="宋体" w:hint="default"/>
                <w:sz w:val="18"/>
                <w:szCs w:val="18"/>
              </w:rPr>
            </w:pPr>
            <w:r>
              <w:rPr>
                <w:rFonts w:ascii="宋体" w:hAnsi="宋体" w:cs="宋体" w:eastAsia="宋体" w:hint="default"/>
                <w:sz w:val="18"/>
                <w:szCs w:val="18"/>
              </w:rPr>
              <w:t>4.计入当期损益的对非金融企业收取的资金占用费</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3"/>
              <w:jc w:val="right"/>
              <w:rPr>
                <w:rFonts w:ascii="宋体" w:hAnsi="宋体" w:cs="宋体" w:eastAsia="宋体" w:hint="default"/>
                <w:sz w:val="18"/>
                <w:szCs w:val="18"/>
              </w:rPr>
            </w:pPr>
            <w:r>
              <w:rPr>
                <w:rFonts w:ascii="宋体"/>
                <w:sz w:val="18"/>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right"/>
              <w:rPr>
                <w:rFonts w:ascii="宋体" w:hAnsi="宋体" w:cs="宋体" w:eastAsia="宋体" w:hint="default"/>
                <w:sz w:val="18"/>
                <w:szCs w:val="18"/>
              </w:rPr>
            </w:pPr>
            <w:r>
              <w:rPr>
                <w:rFonts w:ascii="宋体"/>
                <w:sz w:val="18"/>
              </w:rPr>
              <w:t>-</w:t>
            </w:r>
          </w:p>
        </w:tc>
      </w:tr>
      <w:tr>
        <w:trPr>
          <w:trHeight w:val="599"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4" w:lineRule="auto" w:before="34"/>
              <w:ind w:left="200" w:right="14"/>
              <w:jc w:val="left"/>
              <w:rPr>
                <w:rFonts w:ascii="宋体" w:hAnsi="宋体" w:cs="宋体" w:eastAsia="宋体" w:hint="default"/>
                <w:sz w:val="18"/>
                <w:szCs w:val="18"/>
              </w:rPr>
            </w:pPr>
            <w:r>
              <w:rPr>
                <w:rFonts w:ascii="宋体" w:hAnsi="宋体" w:cs="宋体" w:eastAsia="宋体" w:hint="default"/>
                <w:spacing w:val="-2"/>
                <w:sz w:val="18"/>
                <w:szCs w:val="18"/>
              </w:rPr>
              <w:t>5．企业取得子公司、联营企业及合营企业的投资成本小于取得投资时应享有被投资单位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可辨认净资产公允价值产生的收益</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83"/>
              <w:jc w:val="right"/>
              <w:rPr>
                <w:rFonts w:ascii="宋体" w:hAnsi="宋体" w:cs="宋体" w:eastAsia="宋体" w:hint="default"/>
                <w:sz w:val="18"/>
                <w:szCs w:val="18"/>
              </w:rPr>
            </w:pPr>
            <w:r>
              <w:rPr>
                <w:rFonts w:ascii="宋体"/>
                <w:sz w:val="18"/>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0"/>
              <w:jc w:val="right"/>
              <w:rPr>
                <w:rFonts w:ascii="宋体" w:hAnsi="宋体" w:cs="宋体" w:eastAsia="宋体" w:hint="default"/>
                <w:sz w:val="18"/>
                <w:szCs w:val="18"/>
              </w:rPr>
            </w:pPr>
            <w:r>
              <w:rPr>
                <w:rFonts w:ascii="宋体"/>
                <w:sz w:val="18"/>
              </w:rPr>
              <w:t>-</w:t>
            </w:r>
          </w:p>
        </w:tc>
      </w:tr>
      <w:tr>
        <w:trPr>
          <w:trHeight w:val="37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18"/>
                <w:szCs w:val="18"/>
              </w:rPr>
            </w:pPr>
            <w:r>
              <w:rPr>
                <w:rFonts w:ascii="宋体" w:hAnsi="宋体" w:cs="宋体" w:eastAsia="宋体" w:hint="default"/>
                <w:sz w:val="18"/>
                <w:szCs w:val="18"/>
              </w:rPr>
              <w:t>6.非货币性资产交换损益</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3"/>
              <w:jc w:val="right"/>
              <w:rPr>
                <w:rFonts w:ascii="宋体" w:hAnsi="宋体" w:cs="宋体" w:eastAsia="宋体" w:hint="default"/>
                <w:sz w:val="18"/>
                <w:szCs w:val="18"/>
              </w:rPr>
            </w:pPr>
            <w:r>
              <w:rPr>
                <w:rFonts w:ascii="宋体"/>
                <w:sz w:val="18"/>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sz w:val="18"/>
              </w:rPr>
              <w:t>-</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7.委托他人投资或管理资产的损益</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宋体" w:hAnsi="宋体" w:cs="宋体" w:eastAsia="宋体" w:hint="default"/>
                <w:sz w:val="18"/>
                <w:szCs w:val="18"/>
              </w:rPr>
            </w:pPr>
            <w:r>
              <w:rPr>
                <w:rFonts w:ascii="宋体"/>
                <w:sz w:val="18"/>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8.因不可抗力因素，如遭受自然灾害而计提的各项资产减值准备</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宋体" w:hAnsi="宋体" w:cs="宋体" w:eastAsia="宋体" w:hint="default"/>
                <w:sz w:val="18"/>
                <w:szCs w:val="18"/>
              </w:rPr>
            </w:pPr>
            <w:r>
              <w:rPr>
                <w:rFonts w:ascii="宋体"/>
                <w:sz w:val="18"/>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9.债务重组损益</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宋体" w:hAnsi="宋体" w:cs="宋体" w:eastAsia="宋体" w:hint="default"/>
                <w:sz w:val="18"/>
                <w:szCs w:val="18"/>
              </w:rPr>
            </w:pPr>
            <w:r>
              <w:rPr>
                <w:rFonts w:ascii="宋体"/>
                <w:sz w:val="18"/>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10.企业重组费用，如安置职工的支出、整合费用等</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宋体" w:hAnsi="宋体" w:cs="宋体" w:eastAsia="宋体" w:hint="default"/>
                <w:sz w:val="18"/>
                <w:szCs w:val="18"/>
              </w:rPr>
            </w:pPr>
            <w:r>
              <w:rPr>
                <w:rFonts w:ascii="宋体"/>
                <w:sz w:val="18"/>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11.交易价格显失公允的交易产生的超过公允价值部分的损益</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宋体" w:hAnsi="宋体" w:cs="宋体" w:eastAsia="宋体" w:hint="default"/>
                <w:sz w:val="18"/>
                <w:szCs w:val="18"/>
              </w:rPr>
            </w:pPr>
            <w:r>
              <w:rPr>
                <w:rFonts w:ascii="宋体"/>
                <w:sz w:val="18"/>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12.同一控制下企业合并产生的子公司期初至合并日的当期净损益</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3"/>
              <w:jc w:val="right"/>
              <w:rPr>
                <w:rFonts w:ascii="宋体" w:hAnsi="宋体" w:cs="宋体" w:eastAsia="宋体" w:hint="default"/>
                <w:sz w:val="18"/>
                <w:szCs w:val="18"/>
              </w:rPr>
            </w:pPr>
            <w:r>
              <w:rPr>
                <w:rFonts w:ascii="宋体"/>
                <w:sz w:val="18"/>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r>
      <w:tr>
        <w:trPr>
          <w:trHeight w:val="288"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13.与公司正常经营业务无关的或有事项产生的损益</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宋体" w:hAnsi="宋体" w:cs="宋体" w:eastAsia="宋体" w:hint="default"/>
                <w:sz w:val="18"/>
                <w:szCs w:val="18"/>
              </w:rPr>
            </w:pPr>
            <w:r>
              <w:rPr>
                <w:rFonts w:ascii="宋体"/>
                <w:sz w:val="18"/>
              </w:rPr>
              <w:t>-</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77" w:footer="1022" w:top="1060" w:bottom="1220" w:left="820" w:right="980"/>
        </w:sectPr>
      </w:pPr>
    </w:p>
    <w:p>
      <w:pPr>
        <w:spacing w:line="240" w:lineRule="auto" w:before="4"/>
        <w:rPr>
          <w:rFonts w:ascii="黑体" w:hAnsi="黑体" w:cs="黑体" w:eastAsia="黑体" w:hint="default"/>
          <w:b/>
          <w:bCs/>
          <w:sz w:val="29"/>
          <w:szCs w:val="29"/>
        </w:rPr>
      </w:pPr>
    </w:p>
    <w:p>
      <w:pPr>
        <w:tabs>
          <w:tab w:pos="1390" w:val="left" w:leader="none"/>
        </w:tabs>
        <w:spacing w:before="44"/>
        <w:ind w:left="0" w:right="427" w:firstLine="0"/>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tab/>
        <w:t>2007</w:t>
      </w:r>
      <w:r>
        <w:rPr>
          <w:rFonts w:ascii="宋体" w:hAnsi="宋体" w:cs="宋体" w:eastAsia="宋体" w:hint="default"/>
          <w:spacing w:val="-46"/>
          <w:sz w:val="18"/>
          <w:szCs w:val="18"/>
        </w:rPr>
        <w:t> </w:t>
      </w:r>
      <w:r>
        <w:rPr>
          <w:rFonts w:ascii="宋体" w:hAnsi="宋体" w:cs="宋体" w:eastAsia="宋体" w:hint="default"/>
          <w:sz w:val="18"/>
          <w:szCs w:val="18"/>
        </w:rPr>
        <w:t>年度</w:t>
      </w:r>
    </w:p>
    <w:p>
      <w:pPr>
        <w:spacing w:line="240" w:lineRule="auto" w:before="2"/>
        <w:rPr>
          <w:rFonts w:ascii="宋体" w:hAnsi="宋体" w:cs="宋体" w:eastAsia="宋体"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7072"/>
        <w:gridCol w:w="1466"/>
        <w:gridCol w:w="1300"/>
      </w:tblGrid>
      <w:tr>
        <w:trPr>
          <w:trHeight w:val="826"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4" w:lineRule="auto" w:before="21"/>
              <w:ind w:left="200" w:right="14"/>
              <w:jc w:val="both"/>
              <w:rPr>
                <w:rFonts w:ascii="宋体" w:hAnsi="宋体" w:cs="宋体" w:eastAsia="宋体" w:hint="default"/>
                <w:sz w:val="18"/>
                <w:szCs w:val="18"/>
              </w:rPr>
            </w:pPr>
            <w:r>
              <w:rPr>
                <w:rFonts w:ascii="宋体" w:hAnsi="宋体" w:cs="宋体" w:eastAsia="宋体" w:hint="default"/>
                <w:spacing w:val="-2"/>
                <w:sz w:val="18"/>
                <w:szCs w:val="18"/>
              </w:rPr>
              <w:t>14.除同公司正常经营业务相关的有效套期保值业务外，持有交易性金融资产、交易性金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融负债产生的公允价值变动损益，以及处置交易性金融资产、交易性金融负债和可供出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售金融资产取得的投资收益</w:t>
            </w:r>
          </w:p>
        </w:tc>
        <w:tc>
          <w:tcPr>
            <w:tcW w:w="146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8"/>
              <w:jc w:val="right"/>
              <w:rPr>
                <w:rFonts w:ascii="宋体" w:hAnsi="宋体" w:cs="宋体" w:eastAsia="宋体" w:hint="default"/>
                <w:sz w:val="18"/>
                <w:szCs w:val="18"/>
              </w:rPr>
            </w:pPr>
            <w:r>
              <w:rPr>
                <w:rFonts w:ascii="宋体"/>
                <w:sz w:val="18"/>
              </w:rPr>
              <w:t>-</w:t>
            </w:r>
          </w:p>
        </w:tc>
        <w:tc>
          <w:tcPr>
            <w:tcW w:w="130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sz w:val="18"/>
              </w:rPr>
              <w:t>-</w:t>
            </w:r>
          </w:p>
        </w:tc>
      </w:tr>
      <w:tr>
        <w:trPr>
          <w:trHeight w:val="378"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0" w:right="0"/>
              <w:jc w:val="left"/>
              <w:rPr>
                <w:rFonts w:ascii="宋体" w:hAnsi="宋体" w:cs="宋体" w:eastAsia="宋体" w:hint="default"/>
                <w:sz w:val="18"/>
                <w:szCs w:val="18"/>
              </w:rPr>
            </w:pPr>
            <w:r>
              <w:rPr>
                <w:rFonts w:ascii="宋体" w:hAnsi="宋体" w:cs="宋体" w:eastAsia="宋体" w:hint="default"/>
                <w:sz w:val="18"/>
                <w:szCs w:val="18"/>
              </w:rPr>
              <w:t>15.单独进行减值测试的应收款项减值准备转回</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8"/>
              <w:jc w:val="right"/>
              <w:rPr>
                <w:rFonts w:ascii="宋体" w:hAnsi="宋体" w:cs="宋体" w:eastAsia="宋体" w:hint="default"/>
                <w:sz w:val="18"/>
                <w:szCs w:val="18"/>
              </w:rPr>
            </w:pPr>
            <w:r>
              <w:rPr>
                <w:rFonts w:ascii="宋体"/>
                <w:sz w:val="18"/>
              </w:rPr>
              <w:t>-</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sz w:val="18"/>
              </w:rPr>
              <w:t>-</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16.对外委托贷款取得的损益</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
              <w:jc w:val="right"/>
              <w:rPr>
                <w:rFonts w:ascii="宋体" w:hAnsi="宋体" w:cs="宋体" w:eastAsia="宋体" w:hint="default"/>
                <w:sz w:val="18"/>
                <w:szCs w:val="18"/>
              </w:rPr>
            </w:pPr>
            <w:r>
              <w:rPr>
                <w:rFonts w:ascii="宋体"/>
                <w:sz w:val="18"/>
              </w:rPr>
              <w:t>-</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17.采用公允价值模式进行后续计量的投资性房地产公允价值变动产生的损益</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
              <w:jc w:val="right"/>
              <w:rPr>
                <w:rFonts w:ascii="宋体" w:hAnsi="宋体" w:cs="宋体" w:eastAsia="宋体" w:hint="default"/>
                <w:sz w:val="18"/>
                <w:szCs w:val="18"/>
              </w:rPr>
            </w:pPr>
            <w:r>
              <w:rPr>
                <w:rFonts w:ascii="宋体"/>
                <w:sz w:val="18"/>
              </w:rPr>
              <w:t>-</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18.根据税收、会计等法律、法规的要求对当期损益进行一次性调整对当期损益的影响</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8"/>
              <w:jc w:val="right"/>
              <w:rPr>
                <w:rFonts w:ascii="宋体" w:hAnsi="宋体" w:cs="宋体" w:eastAsia="宋体" w:hint="default"/>
                <w:sz w:val="18"/>
                <w:szCs w:val="18"/>
              </w:rPr>
            </w:pPr>
            <w:r>
              <w:rPr>
                <w:rFonts w:ascii="宋体"/>
                <w:sz w:val="18"/>
              </w:rPr>
              <w:t>-</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19.受托经营取得的托管费收入</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
              <w:jc w:val="right"/>
              <w:rPr>
                <w:rFonts w:ascii="宋体" w:hAnsi="宋体" w:cs="宋体" w:eastAsia="宋体" w:hint="default"/>
                <w:sz w:val="18"/>
                <w:szCs w:val="18"/>
              </w:rPr>
            </w:pPr>
            <w:r>
              <w:rPr>
                <w:rFonts w:ascii="宋体"/>
                <w:sz w:val="18"/>
              </w:rPr>
              <w:t>-</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20.除上述各项之外的其他营业外收入和支出</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
              <w:jc w:val="right"/>
              <w:rPr>
                <w:rFonts w:ascii="宋体" w:hAnsi="宋体" w:cs="宋体" w:eastAsia="宋体" w:hint="default"/>
                <w:sz w:val="18"/>
                <w:szCs w:val="18"/>
              </w:rPr>
            </w:pPr>
            <w:r>
              <w:rPr>
                <w:rFonts w:ascii="宋体"/>
                <w:sz w:val="18"/>
              </w:rPr>
              <w:t>(101,099.50)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25,058.13</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21.其他符合非经常性损益定义的损益项目</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
              <w:jc w:val="right"/>
              <w:rPr>
                <w:rFonts w:ascii="宋体" w:hAnsi="宋体" w:cs="宋体" w:eastAsia="宋体" w:hint="default"/>
                <w:sz w:val="18"/>
                <w:szCs w:val="18"/>
              </w:rPr>
            </w:pPr>
            <w:r>
              <w:rPr>
                <w:rFonts w:ascii="宋体"/>
                <w:sz w:val="18"/>
              </w:rPr>
              <w:t>-</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pacing w:val="-5"/>
                <w:sz w:val="18"/>
              </w:rPr>
              <w:t>502,314.82</w:t>
            </w:r>
            <w:r>
              <w:rPr>
                <w:rFonts w:ascii="宋体"/>
                <w:sz w:val="18"/>
              </w:rPr>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22．所得税影响额</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
              <w:jc w:val="right"/>
              <w:rPr>
                <w:rFonts w:ascii="宋体" w:hAnsi="宋体" w:cs="宋体" w:eastAsia="宋体" w:hint="default"/>
                <w:sz w:val="18"/>
                <w:szCs w:val="18"/>
              </w:rPr>
            </w:pPr>
            <w:r>
              <w:rPr>
                <w:rFonts w:ascii="宋体"/>
                <w:sz w:val="18"/>
              </w:rPr>
              <w:t>(1,522,634.28)</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(1,005,521.71)</w:t>
            </w:r>
          </w:p>
        </w:tc>
      </w:tr>
      <w:tr>
        <w:trPr>
          <w:trHeight w:val="397"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宋体" w:hAnsi="宋体" w:cs="宋体" w:eastAsia="宋体" w:hint="default"/>
                <w:sz w:val="18"/>
                <w:szCs w:val="18"/>
              </w:rPr>
            </w:pPr>
            <w:r>
              <w:rPr>
                <w:rFonts w:ascii="宋体" w:hAnsi="宋体" w:cs="宋体" w:eastAsia="宋体" w:hint="default"/>
                <w:sz w:val="18"/>
                <w:szCs w:val="18"/>
              </w:rPr>
              <w:t>非经常性损益合计</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8"/>
              <w:jc w:val="right"/>
              <w:rPr>
                <w:rFonts w:ascii="宋体" w:hAnsi="宋体" w:cs="宋体" w:eastAsia="宋体" w:hint="default"/>
                <w:sz w:val="18"/>
                <w:szCs w:val="18"/>
              </w:rPr>
            </w:pPr>
            <w:r>
              <w:rPr>
                <w:rFonts w:ascii="宋体"/>
                <w:sz w:val="18"/>
              </w:rPr>
              <w:t>13,802,367.00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8"/>
                <w:szCs w:val="18"/>
              </w:rPr>
            </w:pPr>
            <w:r>
              <w:rPr>
                <w:rFonts w:ascii="宋体"/>
                <w:sz w:val="18"/>
              </w:rPr>
              <w:t>10,387,793.10</w:t>
            </w:r>
          </w:p>
        </w:tc>
      </w:tr>
      <w:tr>
        <w:trPr>
          <w:trHeight w:val="399"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宋体" w:hAnsi="宋体" w:cs="宋体" w:eastAsia="宋体" w:hint="default"/>
                <w:sz w:val="18"/>
                <w:szCs w:val="18"/>
              </w:rPr>
            </w:pPr>
            <w:r>
              <w:rPr>
                <w:rFonts w:ascii="宋体" w:hAnsi="宋体" w:cs="宋体" w:eastAsia="宋体" w:hint="default"/>
                <w:sz w:val="18"/>
                <w:szCs w:val="18"/>
              </w:rPr>
              <w:t>二、净利润</w:t>
            </w:r>
          </w:p>
        </w:tc>
        <w:tc>
          <w:tcPr>
            <w:tcW w:w="146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8"/>
              <w:jc w:val="right"/>
              <w:rPr>
                <w:rFonts w:ascii="宋体" w:hAnsi="宋体" w:cs="宋体" w:eastAsia="宋体" w:hint="default"/>
                <w:sz w:val="18"/>
                <w:szCs w:val="18"/>
              </w:rPr>
            </w:pPr>
            <w:r>
              <w:rPr>
                <w:rFonts w:ascii="宋体"/>
                <w:sz w:val="18"/>
              </w:rPr>
              <w:t>130,222,796.59</w:t>
            </w:r>
          </w:p>
        </w:tc>
        <w:tc>
          <w:tcPr>
            <w:tcW w:w="130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0"/>
              <w:jc w:val="right"/>
              <w:rPr>
                <w:rFonts w:ascii="宋体" w:hAnsi="宋体" w:cs="宋体" w:eastAsia="宋体" w:hint="default"/>
                <w:sz w:val="18"/>
                <w:szCs w:val="18"/>
              </w:rPr>
            </w:pPr>
            <w:r>
              <w:rPr>
                <w:rFonts w:ascii="宋体"/>
                <w:sz w:val="18"/>
              </w:rPr>
              <w:t>83,321,753.39</w:t>
            </w:r>
          </w:p>
        </w:tc>
      </w:tr>
      <w:tr>
        <w:trPr>
          <w:trHeight w:val="418" w:hRule="exact"/>
        </w:trPr>
        <w:tc>
          <w:tcPr>
            <w:tcW w:w="707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00" w:right="0"/>
              <w:jc w:val="left"/>
              <w:rPr>
                <w:rFonts w:ascii="宋体" w:hAnsi="宋体" w:cs="宋体" w:eastAsia="宋体" w:hint="default"/>
                <w:sz w:val="18"/>
                <w:szCs w:val="18"/>
              </w:rPr>
            </w:pPr>
            <w:r>
              <w:rPr>
                <w:rFonts w:ascii="宋体" w:hAnsi="宋体" w:cs="宋体" w:eastAsia="宋体" w:hint="default"/>
                <w:sz w:val="18"/>
                <w:szCs w:val="18"/>
              </w:rPr>
              <w:t>三、扣除非经常性损益后的净利润</w:t>
            </w:r>
          </w:p>
        </w:tc>
        <w:tc>
          <w:tcPr>
            <w:tcW w:w="1466"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38"/>
              <w:jc w:val="right"/>
              <w:rPr>
                <w:rFonts w:ascii="宋体" w:hAnsi="宋体" w:cs="宋体" w:eastAsia="宋体" w:hint="default"/>
                <w:sz w:val="18"/>
                <w:szCs w:val="18"/>
              </w:rPr>
            </w:pPr>
            <w:r>
              <w:rPr>
                <w:rFonts w:ascii="宋体"/>
                <w:sz w:val="18"/>
              </w:rPr>
              <w:t>116,420,429.59</w:t>
            </w:r>
          </w:p>
        </w:tc>
        <w:tc>
          <w:tcPr>
            <w:tcW w:w="1300" w:type="dxa"/>
            <w:tcBorders>
              <w:top w:val="single" w:sz="4" w:space="0" w:color="000000"/>
              <w:left w:val="nil" w:sz="6" w:space="0" w:color="auto"/>
              <w:bottom w:val="single" w:sz="12" w:space="0" w:color="000000"/>
              <w:right w:val="nil" w:sz="6" w:space="0" w:color="auto"/>
            </w:tcBorders>
          </w:tcPr>
          <w:p>
            <w:pPr>
              <w:pStyle w:val="TableParagraph"/>
              <w:spacing w:line="240" w:lineRule="auto" w:before="55"/>
              <w:ind w:right="0"/>
              <w:jc w:val="right"/>
              <w:rPr>
                <w:rFonts w:ascii="宋体" w:hAnsi="宋体" w:cs="宋体" w:eastAsia="宋体" w:hint="default"/>
                <w:sz w:val="18"/>
                <w:szCs w:val="18"/>
              </w:rPr>
            </w:pPr>
            <w:r>
              <w:rPr>
                <w:rFonts w:ascii="宋体"/>
                <w:sz w:val="18"/>
              </w:rPr>
              <w:t>72,933,960.29</w:t>
            </w:r>
          </w:p>
        </w:tc>
      </w:tr>
    </w:tbl>
    <w:p>
      <w:pPr>
        <w:spacing w:after="0" w:line="240" w:lineRule="auto"/>
        <w:jc w:val="right"/>
        <w:rPr>
          <w:rFonts w:ascii="宋体" w:hAnsi="宋体" w:cs="宋体" w:eastAsia="宋体" w:hint="default"/>
          <w:sz w:val="18"/>
          <w:szCs w:val="18"/>
        </w:rPr>
        <w:sectPr>
          <w:pgSz w:w="11910" w:h="16840"/>
          <w:pgMar w:header="877" w:footer="1022" w:top="1060" w:bottom="1220" w:left="82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ind w:left="154" w:right="0"/>
        <w:jc w:val="left"/>
        <w:rPr>
          <w:rFonts w:ascii="黑体" w:hAnsi="黑体" w:cs="黑体" w:eastAsia="黑体" w:hint="default"/>
          <w:b w:val="0"/>
          <w:bCs w:val="0"/>
        </w:rPr>
      </w:pPr>
      <w:r>
        <w:rPr>
          <w:rFonts w:ascii="黑体" w:hAnsi="黑体" w:cs="黑体" w:eastAsia="黑体" w:hint="default"/>
        </w:rPr>
        <w:t>其他财务补充资料(一)</w:t>
      </w:r>
      <w:r>
        <w:rPr>
          <w:rFonts w:ascii="黑体" w:hAnsi="黑体" w:cs="黑体" w:eastAsia="黑体" w:hint="default"/>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4"/>
        <w:spacing w:line="240" w:lineRule="auto" w:before="166"/>
        <w:ind w:left="3286" w:right="0"/>
        <w:jc w:val="left"/>
        <w:rPr>
          <w:b w:val="0"/>
          <w:bCs w:val="0"/>
        </w:rPr>
      </w:pPr>
      <w:r>
        <w:rPr/>
        <w:t>净资产收益率和每股收益明细表</w:t>
      </w:r>
      <w:r>
        <w:rPr>
          <w:b w:val="0"/>
          <w:bCs w:val="0"/>
        </w:rPr>
      </w:r>
    </w:p>
    <w:p>
      <w:pPr>
        <w:spacing w:line="240" w:lineRule="auto" w:before="3"/>
        <w:rPr>
          <w:rFonts w:ascii="宋体" w:hAnsi="宋体" w:cs="宋体" w:eastAsia="宋体" w:hint="default"/>
          <w:b/>
          <w:bCs/>
          <w:sz w:val="4"/>
          <w:szCs w:val="4"/>
        </w:rPr>
      </w:pPr>
    </w:p>
    <w:tbl>
      <w:tblPr>
        <w:tblW w:w="0" w:type="auto"/>
        <w:jc w:val="left"/>
        <w:tblInd w:w="123" w:type="dxa"/>
        <w:tblLayout w:type="fixed"/>
        <w:tblCellMar>
          <w:top w:w="0" w:type="dxa"/>
          <w:left w:w="0" w:type="dxa"/>
          <w:bottom w:w="0" w:type="dxa"/>
          <w:right w:w="0" w:type="dxa"/>
        </w:tblCellMar>
        <w:tblLook w:val="01E0"/>
      </w:tblPr>
      <w:tblGrid>
        <w:gridCol w:w="2987"/>
        <w:gridCol w:w="1423"/>
        <w:gridCol w:w="157"/>
        <w:gridCol w:w="1774"/>
        <w:gridCol w:w="156"/>
        <w:gridCol w:w="1405"/>
        <w:gridCol w:w="157"/>
        <w:gridCol w:w="1639"/>
      </w:tblGrid>
      <w:tr>
        <w:trPr>
          <w:trHeight w:val="524" w:hRule="exact"/>
        </w:trPr>
        <w:tc>
          <w:tcPr>
            <w:tcW w:w="6497" w:type="dxa"/>
            <w:gridSpan w:val="5"/>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3985"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3202" w:type="dxa"/>
            <w:gridSpan w:val="3"/>
            <w:tcBorders>
              <w:top w:val="single" w:sz="6"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644" w:right="0"/>
              <w:jc w:val="left"/>
              <w:rPr>
                <w:rFonts w:ascii="宋体" w:hAnsi="宋体" w:cs="宋体" w:eastAsia="宋体" w:hint="default"/>
                <w:sz w:val="18"/>
                <w:szCs w:val="18"/>
              </w:rPr>
            </w:pPr>
            <w:r>
              <w:rPr>
                <w:rFonts w:ascii="宋体" w:hAnsi="宋体" w:cs="宋体" w:eastAsia="宋体" w:hint="default"/>
                <w:sz w:val="18"/>
                <w:szCs w:val="18"/>
              </w:rPr>
              <w:t>每股收益(人民币元/股)</w:t>
            </w:r>
          </w:p>
        </w:tc>
      </w:tr>
      <w:tr>
        <w:trPr>
          <w:trHeight w:val="402" w:hRule="exact"/>
        </w:trPr>
        <w:tc>
          <w:tcPr>
            <w:tcW w:w="456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6"/>
              <w:ind w:right="509"/>
              <w:jc w:val="right"/>
              <w:rPr>
                <w:rFonts w:ascii="宋体" w:hAnsi="宋体" w:cs="宋体" w:eastAsia="宋体" w:hint="default"/>
                <w:sz w:val="18"/>
                <w:szCs w:val="18"/>
              </w:rPr>
            </w:pPr>
            <w:r>
              <w:rPr>
                <w:rFonts w:ascii="宋体" w:hAnsi="宋体" w:cs="宋体" w:eastAsia="宋体" w:hint="default"/>
                <w:sz w:val="18"/>
                <w:szCs w:val="18"/>
              </w:rPr>
              <w:t>全面摊薄</w:t>
            </w:r>
          </w:p>
        </w:tc>
        <w:tc>
          <w:tcPr>
            <w:tcW w:w="1774"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56" w:type="dxa"/>
            <w:tcBorders>
              <w:top w:val="nil" w:sz="6" w:space="0" w:color="auto"/>
              <w:left w:val="nil" w:sz="6" w:space="0" w:color="auto"/>
              <w:bottom w:val="nil" w:sz="6" w:space="0" w:color="auto"/>
              <w:right w:val="nil" w:sz="6" w:space="0" w:color="auto"/>
            </w:tcBorders>
          </w:tcPr>
          <w:p>
            <w:pPr/>
          </w:p>
        </w:tc>
        <w:tc>
          <w:tcPr>
            <w:tcW w:w="140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57" w:type="dxa"/>
            <w:tcBorders>
              <w:top w:val="single" w:sz="4" w:space="0" w:color="000000"/>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98"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20.19%</w:t>
            </w:r>
          </w:p>
        </w:tc>
        <w:tc>
          <w:tcPr>
            <w:tcW w:w="157" w:type="dxa"/>
            <w:tcBorders>
              <w:top w:val="nil" w:sz="6" w:space="0" w:color="auto"/>
              <w:left w:val="nil" w:sz="6" w:space="0" w:color="auto"/>
              <w:bottom w:val="nil" w:sz="6" w:space="0" w:color="auto"/>
              <w:right w:val="nil" w:sz="6" w:space="0" w:color="auto"/>
            </w:tcBorders>
          </w:tcPr>
          <w:p>
            <w:pP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22.40%</w:t>
            </w:r>
          </w:p>
        </w:tc>
        <w:tc>
          <w:tcPr>
            <w:tcW w:w="156" w:type="dxa"/>
            <w:tcBorders>
              <w:top w:val="nil" w:sz="6" w:space="0" w:color="auto"/>
              <w:left w:val="nil" w:sz="6" w:space="0" w:color="auto"/>
              <w:bottom w:val="nil" w:sz="6" w:space="0" w:color="auto"/>
              <w:right w:val="nil" w:sz="6" w:space="0" w:color="auto"/>
            </w:tcBorders>
          </w:tcPr>
          <w:p>
            <w:pP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宋体" w:hAnsi="宋体" w:cs="宋体" w:eastAsia="宋体" w:hint="default"/>
                <w:sz w:val="18"/>
                <w:szCs w:val="18"/>
              </w:rPr>
            </w:pPr>
            <w:r>
              <w:rPr>
                <w:rFonts w:ascii="宋体"/>
                <w:sz w:val="18"/>
              </w:rPr>
              <w:t>1.02</w:t>
            </w:r>
          </w:p>
        </w:tc>
        <w:tc>
          <w:tcPr>
            <w:tcW w:w="157" w:type="dxa"/>
            <w:tcBorders>
              <w:top w:val="nil" w:sz="6" w:space="0" w:color="auto"/>
              <w:left w:val="nil" w:sz="6" w:space="0" w:color="auto"/>
              <w:bottom w:val="nil" w:sz="6" w:space="0" w:color="auto"/>
              <w:right w:val="nil" w:sz="6" w:space="0" w:color="auto"/>
            </w:tcBorders>
          </w:tcPr>
          <w:p>
            <w:pPr/>
          </w:p>
        </w:tc>
        <w:tc>
          <w:tcPr>
            <w:tcW w:w="163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1.02</w:t>
            </w:r>
          </w:p>
        </w:tc>
      </w:tr>
      <w:tr>
        <w:trPr>
          <w:trHeight w:val="598" w:hRule="exact"/>
        </w:trPr>
        <w:tc>
          <w:tcPr>
            <w:tcW w:w="2987" w:type="dxa"/>
            <w:tcBorders>
              <w:top w:val="nil" w:sz="6" w:space="0" w:color="auto"/>
              <w:left w:val="nil" w:sz="6" w:space="0" w:color="auto"/>
              <w:bottom w:val="nil" w:sz="6" w:space="0" w:color="auto"/>
              <w:right w:val="nil" w:sz="6" w:space="0" w:color="auto"/>
            </w:tcBorders>
          </w:tcPr>
          <w:p>
            <w:pPr>
              <w:pStyle w:val="TableParagraph"/>
              <w:spacing w:line="312" w:lineRule="exact" w:before="11"/>
              <w:ind w:left="30" w:right="0"/>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扣除非经常性损益后归属于公司普通 </w:t>
            </w:r>
            <w:r>
              <w:rPr>
                <w:rFonts w:ascii="宋体" w:hAnsi="宋体" w:cs="宋体" w:eastAsia="宋体" w:hint="default"/>
                <w:sz w:val="18"/>
                <w:szCs w:val="18"/>
              </w:rPr>
              <w:t>股股东的净利润</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right"/>
              <w:rPr>
                <w:rFonts w:ascii="宋体" w:hAnsi="宋体" w:cs="宋体" w:eastAsia="宋体" w:hint="default"/>
                <w:sz w:val="18"/>
                <w:szCs w:val="18"/>
              </w:rPr>
            </w:pPr>
            <w:r>
              <w:rPr>
                <w:rFonts w:ascii="宋体"/>
                <w:sz w:val="18"/>
              </w:rPr>
              <w:t>18.05%</w:t>
            </w:r>
          </w:p>
        </w:tc>
        <w:tc>
          <w:tcPr>
            <w:tcW w:w="157"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right"/>
              <w:rPr>
                <w:rFonts w:ascii="宋体" w:hAnsi="宋体" w:cs="宋体" w:eastAsia="宋体" w:hint="default"/>
                <w:sz w:val="18"/>
                <w:szCs w:val="18"/>
              </w:rPr>
            </w:pPr>
            <w:r>
              <w:rPr>
                <w:rFonts w:ascii="宋体"/>
                <w:sz w:val="18"/>
              </w:rPr>
              <w:t>20.03%</w:t>
            </w:r>
          </w:p>
        </w:tc>
        <w:tc>
          <w:tcPr>
            <w:tcW w:w="156"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right"/>
              <w:rPr>
                <w:rFonts w:ascii="宋体" w:hAnsi="宋体" w:cs="宋体" w:eastAsia="宋体" w:hint="default"/>
                <w:sz w:val="18"/>
                <w:szCs w:val="18"/>
              </w:rPr>
            </w:pPr>
            <w:r>
              <w:rPr>
                <w:rFonts w:ascii="宋体"/>
                <w:sz w:val="18"/>
              </w:rPr>
              <w:t>0.91</w:t>
            </w:r>
          </w:p>
        </w:tc>
        <w:tc>
          <w:tcPr>
            <w:tcW w:w="157"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8"/>
              <w:jc w:val="right"/>
              <w:rPr>
                <w:rFonts w:ascii="宋体" w:hAnsi="宋体" w:cs="宋体" w:eastAsia="宋体" w:hint="default"/>
                <w:sz w:val="18"/>
                <w:szCs w:val="18"/>
              </w:rPr>
            </w:pPr>
            <w:r>
              <w:rPr>
                <w:rFonts w:ascii="宋体"/>
                <w:sz w:val="18"/>
              </w:rPr>
              <w:t>0.91</w:t>
            </w:r>
          </w:p>
        </w:tc>
      </w:tr>
    </w:tbl>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tbl>
      <w:tblPr>
        <w:tblW w:w="0" w:type="auto"/>
        <w:jc w:val="left"/>
        <w:tblInd w:w="123" w:type="dxa"/>
        <w:tblLayout w:type="fixed"/>
        <w:tblCellMar>
          <w:top w:w="0" w:type="dxa"/>
          <w:left w:w="0" w:type="dxa"/>
          <w:bottom w:w="0" w:type="dxa"/>
          <w:right w:w="0" w:type="dxa"/>
        </w:tblCellMar>
        <w:tblLook w:val="01E0"/>
      </w:tblPr>
      <w:tblGrid>
        <w:gridCol w:w="5230"/>
        <w:gridCol w:w="254"/>
        <w:gridCol w:w="2088"/>
        <w:gridCol w:w="258"/>
        <w:gridCol w:w="1868"/>
      </w:tblGrid>
      <w:tr>
        <w:trPr>
          <w:trHeight w:val="439" w:hRule="exact"/>
        </w:trPr>
        <w:tc>
          <w:tcPr>
            <w:tcW w:w="9698" w:type="dxa"/>
            <w:gridSpan w:val="5"/>
            <w:tcBorders>
              <w:top w:val="single" w:sz="6" w:space="0" w:color="000000"/>
              <w:left w:val="nil" w:sz="6" w:space="0" w:color="auto"/>
              <w:bottom w:val="nil" w:sz="6" w:space="0" w:color="auto"/>
              <w:right w:val="nil" w:sz="6" w:space="0" w:color="auto"/>
            </w:tcBorders>
          </w:tcPr>
          <w:p>
            <w:pPr>
              <w:pStyle w:val="TableParagraph"/>
              <w:spacing w:line="240" w:lineRule="auto" w:before="91"/>
              <w:ind w:left="-1" w:right="1"/>
              <w:jc w:val="center"/>
              <w:rPr>
                <w:rFonts w:ascii="宋体" w:hAnsi="宋体" w:cs="宋体" w:eastAsia="宋体" w:hint="default"/>
                <w:sz w:val="18"/>
                <w:szCs w:val="18"/>
              </w:rPr>
            </w:pPr>
            <w:r>
              <w:rPr>
                <w:rFonts w:ascii="宋体" w:hAnsi="宋体" w:cs="宋体" w:eastAsia="宋体" w:hint="default"/>
                <w:b/>
                <w:bCs/>
                <w:sz w:val="18"/>
                <w:szCs w:val="18"/>
              </w:rPr>
              <w:t>2008</w:t>
            </w:r>
            <w:r>
              <w:rPr>
                <w:rFonts w:ascii="宋体" w:hAnsi="宋体" w:cs="宋体" w:eastAsia="宋体" w:hint="default"/>
                <w:b/>
                <w:bCs/>
                <w:spacing w:val="-56"/>
                <w:sz w:val="18"/>
                <w:szCs w:val="18"/>
              </w:rPr>
              <w:t> </w:t>
            </w:r>
            <w:r>
              <w:rPr>
                <w:rFonts w:ascii="宋体" w:hAnsi="宋体" w:cs="宋体" w:eastAsia="宋体" w:hint="default"/>
                <w:b/>
                <w:bCs/>
                <w:sz w:val="18"/>
                <w:szCs w:val="18"/>
              </w:rPr>
              <w:t>年度净资产收益率计算表</w:t>
            </w:r>
            <w:r>
              <w:rPr>
                <w:rFonts w:ascii="宋体" w:hAnsi="宋体" w:cs="宋体" w:eastAsia="宋体" w:hint="default"/>
                <w:sz w:val="18"/>
                <w:szCs w:val="18"/>
              </w:rPr>
            </w:r>
          </w:p>
        </w:tc>
      </w:tr>
      <w:tr>
        <w:trPr>
          <w:trHeight w:val="396" w:hRule="exact"/>
        </w:trPr>
        <w:tc>
          <w:tcPr>
            <w:tcW w:w="523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3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54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98" w:hRule="exact"/>
        </w:trPr>
        <w:tc>
          <w:tcPr>
            <w:tcW w:w="523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3" w:right="0"/>
              <w:jc w:val="center"/>
              <w:rPr>
                <w:rFonts w:ascii="宋体" w:hAnsi="宋体" w:cs="宋体" w:eastAsia="宋体" w:hint="default"/>
                <w:sz w:val="18"/>
                <w:szCs w:val="18"/>
              </w:rPr>
            </w:pPr>
            <w:r>
              <w:rPr>
                <w:rFonts w:ascii="宋体"/>
                <w:sz w:val="18"/>
              </w:rPr>
              <w:t>(1)</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宋体" w:hAnsi="宋体" w:cs="宋体" w:eastAsia="宋体" w:hint="default"/>
                <w:sz w:val="18"/>
                <w:szCs w:val="18"/>
              </w:rPr>
            </w:pPr>
            <w:r>
              <w:rPr>
                <w:rFonts w:ascii="宋体"/>
                <w:sz w:val="18"/>
              </w:rPr>
              <w:t>130,222,796.59</w:t>
            </w:r>
          </w:p>
        </w:tc>
      </w:tr>
      <w:tr>
        <w:trPr>
          <w:trHeight w:val="392"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归属于母公司股东的非经常性损益</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 w:right="0"/>
              <w:jc w:val="center"/>
              <w:rPr>
                <w:rFonts w:ascii="宋体" w:hAnsi="宋体" w:cs="宋体" w:eastAsia="宋体" w:hint="default"/>
                <w:sz w:val="18"/>
                <w:szCs w:val="18"/>
              </w:rPr>
            </w:pPr>
            <w:r>
              <w:rPr>
                <w:rFonts w:ascii="宋体"/>
                <w:sz w:val="18"/>
              </w:rPr>
              <w:t>(2)</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13,802,367.00</w:t>
            </w:r>
          </w:p>
        </w:tc>
      </w:tr>
      <w:tr>
        <w:trPr>
          <w:trHeight w:val="392"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left"/>
              <w:rPr>
                <w:rFonts w:ascii="宋体" w:hAnsi="宋体" w:cs="宋体" w:eastAsia="宋体" w:hint="default"/>
                <w:sz w:val="18"/>
                <w:szCs w:val="18"/>
              </w:rPr>
            </w:pPr>
            <w:r>
              <w:rPr>
                <w:rFonts w:ascii="宋体" w:hAnsi="宋体" w:cs="宋体" w:eastAsia="宋体" w:hint="default"/>
                <w:sz w:val="18"/>
                <w:szCs w:val="18"/>
              </w:rPr>
              <w:t>归属于母公司股东、扣除非经常性损益后的净利润</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(3)＝(1)－(2)</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116,420,429.59</w:t>
            </w:r>
          </w:p>
        </w:tc>
      </w:tr>
      <w:tr>
        <w:trPr>
          <w:trHeight w:val="392"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left"/>
              <w:rPr>
                <w:rFonts w:ascii="宋体" w:hAnsi="宋体" w:cs="宋体" w:eastAsia="宋体" w:hint="default"/>
                <w:sz w:val="18"/>
                <w:szCs w:val="18"/>
              </w:rPr>
            </w:pPr>
            <w:r>
              <w:rPr>
                <w:rFonts w:ascii="宋体" w:hAnsi="宋体" w:cs="宋体" w:eastAsia="宋体" w:hint="default"/>
                <w:sz w:val="18"/>
                <w:szCs w:val="18"/>
              </w:rPr>
              <w:t>归属于母公司股东的期末净资产</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2" w:right="0"/>
              <w:jc w:val="center"/>
              <w:rPr>
                <w:rFonts w:ascii="宋体" w:hAnsi="宋体" w:cs="宋体" w:eastAsia="宋体" w:hint="default"/>
                <w:sz w:val="18"/>
                <w:szCs w:val="18"/>
              </w:rPr>
            </w:pPr>
            <w:r>
              <w:rPr>
                <w:rFonts w:ascii="宋体"/>
                <w:sz w:val="18"/>
              </w:rPr>
              <w:t>(4)</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645,107,423.54</w:t>
            </w:r>
          </w:p>
        </w:tc>
      </w:tr>
      <w:tr>
        <w:trPr>
          <w:trHeight w:val="392"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left"/>
              <w:rPr>
                <w:rFonts w:ascii="宋体" w:hAnsi="宋体" w:cs="宋体" w:eastAsia="宋体" w:hint="default"/>
                <w:sz w:val="18"/>
                <w:szCs w:val="18"/>
              </w:rPr>
            </w:pPr>
            <w:r>
              <w:rPr>
                <w:rFonts w:ascii="宋体" w:hAnsi="宋体" w:cs="宋体" w:eastAsia="宋体" w:hint="default"/>
                <w:sz w:val="18"/>
                <w:szCs w:val="18"/>
              </w:rPr>
              <w:t>全面摊簿净资产收益率(Ⅰ)</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(5)＝(1)÷(4)</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20.19%</w:t>
            </w:r>
          </w:p>
        </w:tc>
      </w:tr>
      <w:tr>
        <w:trPr>
          <w:trHeight w:val="392"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left"/>
              <w:rPr>
                <w:rFonts w:ascii="宋体" w:hAnsi="宋体" w:cs="宋体" w:eastAsia="宋体" w:hint="default"/>
                <w:sz w:val="18"/>
                <w:szCs w:val="18"/>
              </w:rPr>
            </w:pPr>
            <w:r>
              <w:rPr>
                <w:rFonts w:ascii="宋体" w:hAnsi="宋体" w:cs="宋体" w:eastAsia="宋体" w:hint="default"/>
                <w:sz w:val="18"/>
                <w:szCs w:val="18"/>
              </w:rPr>
              <w:t>全面摊簿净资产收益率(Ⅱ)</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(6)＝(3)÷(4)</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18.05%</w:t>
            </w:r>
          </w:p>
        </w:tc>
      </w:tr>
      <w:tr>
        <w:trPr>
          <w:trHeight w:val="392"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left"/>
              <w:rPr>
                <w:rFonts w:ascii="宋体" w:hAnsi="宋体" w:cs="宋体" w:eastAsia="宋体" w:hint="default"/>
                <w:sz w:val="18"/>
                <w:szCs w:val="18"/>
              </w:rPr>
            </w:pPr>
            <w:r>
              <w:rPr>
                <w:rFonts w:ascii="宋体" w:hAnsi="宋体" w:cs="宋体" w:eastAsia="宋体" w:hint="default"/>
                <w:sz w:val="18"/>
                <w:szCs w:val="18"/>
              </w:rPr>
              <w:t>归属于母公司股东的期初净资产</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sz w:val="18"/>
              </w:rPr>
              <w:t>(7)</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518,084,626.95</w:t>
            </w:r>
          </w:p>
        </w:tc>
      </w:tr>
      <w:tr>
        <w:trPr>
          <w:trHeight w:val="392"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回购或现金分红等减少的、归属于母公司股东的净资产</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sz w:val="18"/>
              </w:rPr>
              <w:t>(8)</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3,200,000.00</w:t>
            </w:r>
          </w:p>
        </w:tc>
      </w:tr>
      <w:tr>
        <w:trPr>
          <w:trHeight w:val="704"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316" w:lineRule="auto" w:before="50"/>
              <w:ind w:left="28" w:right="0"/>
              <w:jc w:val="left"/>
              <w:rPr>
                <w:rFonts w:ascii="宋体" w:hAnsi="宋体" w:cs="宋体" w:eastAsia="宋体" w:hint="default"/>
                <w:sz w:val="18"/>
                <w:szCs w:val="18"/>
              </w:rPr>
            </w:pPr>
            <w:r>
              <w:rPr>
                <w:rFonts w:ascii="宋体" w:hAnsi="宋体" w:cs="宋体" w:eastAsia="宋体" w:hint="default"/>
                <w:spacing w:val="-1"/>
                <w:sz w:val="18"/>
                <w:szCs w:val="18"/>
              </w:rPr>
              <w:t>归属于母公司股东的、减少净资产下一月份起至报告期期末的月份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数</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sz w:val="18"/>
              </w:rPr>
              <w:t>(9)</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9"/>
              <w:jc w:val="right"/>
              <w:rPr>
                <w:rFonts w:ascii="宋体" w:hAnsi="宋体" w:cs="宋体" w:eastAsia="宋体" w:hint="default"/>
                <w:sz w:val="18"/>
                <w:szCs w:val="18"/>
              </w:rPr>
            </w:pPr>
            <w:r>
              <w:rPr>
                <w:rFonts w:ascii="宋体"/>
                <w:sz w:val="18"/>
              </w:rPr>
              <w:t>7.00</w:t>
            </w:r>
          </w:p>
        </w:tc>
      </w:tr>
      <w:tr>
        <w:trPr>
          <w:trHeight w:val="392"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sz w:val="18"/>
              </w:rPr>
              <w:t>(10)</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宋体" w:hAnsi="宋体" w:cs="宋体" w:eastAsia="宋体" w:hint="default"/>
                <w:sz w:val="18"/>
                <w:szCs w:val="18"/>
              </w:rPr>
            </w:pPr>
            <w:r>
              <w:rPr>
                <w:rFonts w:ascii="宋体"/>
                <w:sz w:val="18"/>
              </w:rPr>
              <w:t>12.00</w:t>
            </w:r>
          </w:p>
        </w:tc>
      </w:tr>
      <w:tr>
        <w:trPr>
          <w:trHeight w:val="704"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归属于母公司的净资产加权平均数</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(11)＝(7)＋(1)÷2－(8)</w:t>
            </w:r>
          </w:p>
          <w:p>
            <w:pPr>
              <w:pStyle w:val="TableParagraph"/>
              <w:spacing w:line="240" w:lineRule="auto" w:before="76"/>
              <w:ind w:left="10" w:right="0"/>
              <w:jc w:val="center"/>
              <w:rPr>
                <w:rFonts w:ascii="宋体" w:hAnsi="宋体" w:cs="宋体" w:eastAsia="宋体" w:hint="default"/>
                <w:sz w:val="18"/>
                <w:szCs w:val="18"/>
              </w:rPr>
            </w:pPr>
            <w:r>
              <w:rPr>
                <w:rFonts w:ascii="宋体" w:hAnsi="宋体" w:cs="宋体" w:eastAsia="宋体" w:hint="default"/>
                <w:sz w:val="18"/>
                <w:szCs w:val="18"/>
              </w:rPr>
              <w:t>×(9)÷(10)</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7"/>
              <w:jc w:val="right"/>
              <w:rPr>
                <w:rFonts w:ascii="宋体" w:hAnsi="宋体" w:cs="宋体" w:eastAsia="宋体" w:hint="default"/>
                <w:sz w:val="18"/>
                <w:szCs w:val="18"/>
              </w:rPr>
            </w:pPr>
            <w:r>
              <w:rPr>
                <w:rFonts w:ascii="宋体"/>
                <w:sz w:val="18"/>
              </w:rPr>
              <w:t>581,329,358.58</w:t>
            </w:r>
          </w:p>
        </w:tc>
      </w:tr>
      <w:tr>
        <w:trPr>
          <w:trHeight w:val="392"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加权平均净资产收益率(Ⅰ)</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(12)=(1)÷(11)</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宋体" w:hAnsi="宋体" w:cs="宋体" w:eastAsia="宋体" w:hint="default"/>
                <w:sz w:val="18"/>
                <w:szCs w:val="18"/>
              </w:rPr>
            </w:pPr>
            <w:r>
              <w:rPr>
                <w:rFonts w:ascii="宋体"/>
                <w:sz w:val="18"/>
              </w:rPr>
              <w:t>22.40%</w:t>
            </w:r>
          </w:p>
        </w:tc>
      </w:tr>
      <w:tr>
        <w:trPr>
          <w:trHeight w:val="286" w:hRule="exact"/>
        </w:trPr>
        <w:tc>
          <w:tcPr>
            <w:tcW w:w="52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加权平均净资产收益率(Ⅱ)</w:t>
            </w:r>
          </w:p>
        </w:tc>
        <w:tc>
          <w:tcPr>
            <w:tcW w:w="254"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(13)=(3)÷(11)</w:t>
            </w:r>
          </w:p>
        </w:tc>
        <w:tc>
          <w:tcPr>
            <w:tcW w:w="258"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7"/>
              <w:jc w:val="right"/>
              <w:rPr>
                <w:rFonts w:ascii="宋体" w:hAnsi="宋体" w:cs="宋体" w:eastAsia="宋体" w:hint="default"/>
                <w:sz w:val="18"/>
                <w:szCs w:val="18"/>
              </w:rPr>
            </w:pPr>
            <w:r>
              <w:rPr>
                <w:rFonts w:ascii="宋体"/>
                <w:sz w:val="18"/>
              </w:rPr>
              <w:t>20.03%</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tbl>
      <w:tblPr>
        <w:tblW w:w="0" w:type="auto"/>
        <w:jc w:val="left"/>
        <w:tblInd w:w="123" w:type="dxa"/>
        <w:tblLayout w:type="fixed"/>
        <w:tblCellMar>
          <w:top w:w="0" w:type="dxa"/>
          <w:left w:w="0" w:type="dxa"/>
          <w:bottom w:w="0" w:type="dxa"/>
          <w:right w:w="0" w:type="dxa"/>
        </w:tblCellMar>
        <w:tblLook w:val="01E0"/>
      </w:tblPr>
      <w:tblGrid>
        <w:gridCol w:w="4848"/>
        <w:gridCol w:w="236"/>
        <w:gridCol w:w="2728"/>
        <w:gridCol w:w="236"/>
        <w:gridCol w:w="1650"/>
      </w:tblGrid>
      <w:tr>
        <w:trPr>
          <w:trHeight w:val="369" w:hRule="exact"/>
        </w:trPr>
        <w:tc>
          <w:tcPr>
            <w:tcW w:w="9698" w:type="dxa"/>
            <w:gridSpan w:val="5"/>
            <w:tcBorders>
              <w:top w:val="single" w:sz="6" w:space="0" w:color="000000"/>
              <w:left w:val="nil" w:sz="6" w:space="0" w:color="auto"/>
              <w:bottom w:val="nil" w:sz="6" w:space="0" w:color="auto"/>
              <w:right w:val="nil" w:sz="6" w:space="0" w:color="auto"/>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2008年度每股收益计算表</w:t>
            </w:r>
          </w:p>
        </w:tc>
      </w:tr>
      <w:tr>
        <w:trPr>
          <w:trHeight w:val="323" w:hRule="exact"/>
        </w:trPr>
        <w:tc>
          <w:tcPr>
            <w:tcW w:w="484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3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13"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23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left="453" w:right="0"/>
              <w:jc w:val="left"/>
              <w:rPr>
                <w:rFonts w:ascii="宋体" w:hAnsi="宋体" w:cs="宋体" w:eastAsia="宋体" w:hint="default"/>
                <w:sz w:val="18"/>
                <w:szCs w:val="18"/>
              </w:rPr>
            </w:pPr>
            <w:r>
              <w:rPr>
                <w:rFonts w:ascii="宋体" w:hAnsi="宋体" w:cs="宋体" w:eastAsia="宋体" w:hint="default"/>
                <w:sz w:val="18"/>
                <w:szCs w:val="18"/>
              </w:rPr>
              <w:t>2008年度</w:t>
            </w:r>
          </w:p>
        </w:tc>
      </w:tr>
      <w:tr>
        <w:trPr>
          <w:trHeight w:val="398" w:hRule="exact"/>
        </w:trPr>
        <w:tc>
          <w:tcPr>
            <w:tcW w:w="484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236" w:type="dxa"/>
            <w:tcBorders>
              <w:top w:val="nil" w:sz="6" w:space="0" w:color="auto"/>
              <w:left w:val="nil" w:sz="6" w:space="0" w:color="auto"/>
              <w:bottom w:val="nil" w:sz="6" w:space="0" w:color="auto"/>
              <w:right w:val="nil" w:sz="6" w:space="0" w:color="auto"/>
            </w:tcBorders>
          </w:tcPr>
          <w:p>
            <w:pPr/>
          </w:p>
        </w:tc>
        <w:tc>
          <w:tcPr>
            <w:tcW w:w="272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4" w:right="0"/>
              <w:jc w:val="center"/>
              <w:rPr>
                <w:rFonts w:ascii="宋体" w:hAnsi="宋体" w:cs="宋体" w:eastAsia="宋体" w:hint="default"/>
                <w:sz w:val="18"/>
                <w:szCs w:val="18"/>
              </w:rPr>
            </w:pPr>
            <w:r>
              <w:rPr>
                <w:rFonts w:ascii="宋体"/>
                <w:sz w:val="18"/>
              </w:rPr>
              <w:t>(1)</w:t>
            </w:r>
          </w:p>
        </w:tc>
        <w:tc>
          <w:tcPr>
            <w:tcW w:w="236" w:type="dxa"/>
            <w:tcBorders>
              <w:top w:val="nil" w:sz="6" w:space="0" w:color="auto"/>
              <w:left w:val="nil" w:sz="6" w:space="0" w:color="auto"/>
              <w:bottom w:val="nil" w:sz="6" w:space="0" w:color="auto"/>
              <w:right w:val="nil" w:sz="6" w:space="0" w:color="auto"/>
            </w:tcBorders>
          </w:tcPr>
          <w:p>
            <w:pPr/>
          </w:p>
        </w:tc>
        <w:tc>
          <w:tcPr>
            <w:tcW w:w="165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8"/>
              <w:jc w:val="right"/>
              <w:rPr>
                <w:rFonts w:ascii="宋体" w:hAnsi="宋体" w:cs="宋体" w:eastAsia="宋体" w:hint="default"/>
                <w:sz w:val="18"/>
                <w:szCs w:val="18"/>
              </w:rPr>
            </w:pPr>
            <w:r>
              <w:rPr>
                <w:rFonts w:ascii="宋体"/>
                <w:sz w:val="18"/>
              </w:rPr>
              <w:t>130,222,796.59</w:t>
            </w:r>
          </w:p>
        </w:tc>
      </w:tr>
      <w:tr>
        <w:trPr>
          <w:trHeight w:val="374"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归属于母公司股东的非经常性损益</w:t>
            </w:r>
          </w:p>
        </w:tc>
        <w:tc>
          <w:tcPr>
            <w:tcW w:w="236"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4" w:right="0"/>
              <w:jc w:val="center"/>
              <w:rPr>
                <w:rFonts w:ascii="宋体" w:hAnsi="宋体" w:cs="宋体" w:eastAsia="宋体" w:hint="default"/>
                <w:sz w:val="18"/>
                <w:szCs w:val="18"/>
              </w:rPr>
            </w:pPr>
            <w:r>
              <w:rPr>
                <w:rFonts w:ascii="宋体"/>
                <w:sz w:val="18"/>
              </w:rPr>
              <w:t>(2)</w:t>
            </w:r>
          </w:p>
        </w:tc>
        <w:tc>
          <w:tcPr>
            <w:tcW w:w="23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7"/>
              <w:jc w:val="right"/>
              <w:rPr>
                <w:rFonts w:ascii="宋体" w:hAnsi="宋体" w:cs="宋体" w:eastAsia="宋体" w:hint="default"/>
                <w:sz w:val="18"/>
                <w:szCs w:val="18"/>
              </w:rPr>
            </w:pPr>
            <w:r>
              <w:rPr>
                <w:rFonts w:ascii="宋体"/>
                <w:sz w:val="18"/>
              </w:rPr>
              <w:t>13,802,367.00</w:t>
            </w:r>
          </w:p>
        </w:tc>
      </w:tr>
      <w:tr>
        <w:trPr>
          <w:trHeight w:val="355"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49"/>
              <w:jc w:val="right"/>
              <w:rPr>
                <w:rFonts w:ascii="宋体" w:hAnsi="宋体" w:cs="宋体" w:eastAsia="宋体" w:hint="default"/>
                <w:sz w:val="18"/>
                <w:szCs w:val="18"/>
              </w:rPr>
            </w:pPr>
            <w:r>
              <w:rPr>
                <w:rFonts w:ascii="宋体" w:hAnsi="宋体" w:cs="宋体" w:eastAsia="宋体" w:hint="default"/>
                <w:sz w:val="18"/>
                <w:szCs w:val="18"/>
              </w:rPr>
              <w:t>归属于母公司股东、扣除非经常性损益后的净利润</w:t>
            </w:r>
          </w:p>
        </w:tc>
        <w:tc>
          <w:tcPr>
            <w:tcW w:w="236"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宋体" w:hAnsi="宋体" w:cs="宋体" w:eastAsia="宋体" w:hint="default"/>
                <w:sz w:val="18"/>
                <w:szCs w:val="18"/>
              </w:rPr>
            </w:pPr>
            <w:r>
              <w:rPr>
                <w:rFonts w:ascii="宋体" w:hAnsi="宋体" w:cs="宋体" w:eastAsia="宋体" w:hint="default"/>
                <w:sz w:val="18"/>
                <w:szCs w:val="18"/>
              </w:rPr>
              <w:t>(3)＝(1)－(2)</w:t>
            </w:r>
          </w:p>
        </w:tc>
        <w:tc>
          <w:tcPr>
            <w:tcW w:w="23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52" w:right="0"/>
              <w:jc w:val="left"/>
              <w:rPr>
                <w:rFonts w:ascii="宋体" w:hAnsi="宋体" w:cs="宋体" w:eastAsia="宋体" w:hint="default"/>
                <w:sz w:val="18"/>
                <w:szCs w:val="18"/>
              </w:rPr>
            </w:pPr>
            <w:r>
              <w:rPr>
                <w:rFonts w:ascii="宋体"/>
                <w:sz w:val="18"/>
              </w:rPr>
              <w:t>116,420,429.59</w:t>
            </w:r>
          </w:p>
        </w:tc>
      </w:tr>
      <w:tr>
        <w:trPr>
          <w:trHeight w:val="357"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9"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236"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4" w:right="0"/>
              <w:jc w:val="center"/>
              <w:rPr>
                <w:rFonts w:ascii="宋体" w:hAnsi="宋体" w:cs="宋体" w:eastAsia="宋体" w:hint="default"/>
                <w:sz w:val="18"/>
                <w:szCs w:val="18"/>
              </w:rPr>
            </w:pPr>
            <w:r>
              <w:rPr>
                <w:rFonts w:ascii="宋体"/>
                <w:sz w:val="18"/>
              </w:rPr>
              <w:t>(4)</w:t>
            </w:r>
          </w:p>
        </w:tc>
        <w:tc>
          <w:tcPr>
            <w:tcW w:w="23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z w:val="18"/>
              </w:rPr>
              <w:t>64,000,000.00</w:t>
            </w:r>
          </w:p>
        </w:tc>
      </w:tr>
      <w:tr>
        <w:trPr>
          <w:trHeight w:val="268" w:hRule="exact"/>
        </w:trPr>
        <w:tc>
          <w:tcPr>
            <w:tcW w:w="48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49"/>
              <w:jc w:val="right"/>
              <w:rPr>
                <w:rFonts w:ascii="宋体" w:hAnsi="宋体" w:cs="宋体" w:eastAsia="宋体" w:hint="default"/>
                <w:sz w:val="18"/>
                <w:szCs w:val="18"/>
              </w:rPr>
            </w:pPr>
            <w:r>
              <w:rPr>
                <w:rFonts w:ascii="宋体" w:hAnsi="宋体" w:cs="宋体" w:eastAsia="宋体" w:hint="default"/>
                <w:sz w:val="18"/>
                <w:szCs w:val="18"/>
              </w:rPr>
              <w:t>公积金转增股本或股票股利分配等增加股份数(Ⅰ)</w:t>
            </w:r>
          </w:p>
        </w:tc>
        <w:tc>
          <w:tcPr>
            <w:tcW w:w="236"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 w:right="0"/>
              <w:jc w:val="center"/>
              <w:rPr>
                <w:rFonts w:ascii="宋体" w:hAnsi="宋体" w:cs="宋体" w:eastAsia="宋体" w:hint="default"/>
                <w:sz w:val="18"/>
                <w:szCs w:val="18"/>
              </w:rPr>
            </w:pPr>
            <w:r>
              <w:rPr>
                <w:rFonts w:ascii="宋体"/>
                <w:sz w:val="18"/>
              </w:rPr>
              <w:t>(5)</w:t>
            </w:r>
          </w:p>
        </w:tc>
        <w:tc>
          <w:tcPr>
            <w:tcW w:w="23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42" w:right="0"/>
              <w:jc w:val="left"/>
              <w:rPr>
                <w:rFonts w:ascii="宋体" w:hAnsi="宋体" w:cs="宋体" w:eastAsia="宋体" w:hint="default"/>
                <w:sz w:val="18"/>
                <w:szCs w:val="18"/>
              </w:rPr>
            </w:pPr>
            <w:r>
              <w:rPr>
                <w:rFonts w:ascii="宋体"/>
                <w:sz w:val="18"/>
              </w:rPr>
              <w:t>64,000,000.00</w:t>
            </w:r>
          </w:p>
        </w:tc>
      </w:tr>
    </w:tbl>
    <w:p>
      <w:pPr>
        <w:spacing w:after="0" w:line="240" w:lineRule="auto"/>
        <w:jc w:val="left"/>
        <w:rPr>
          <w:rFonts w:ascii="宋体" w:hAnsi="宋体" w:cs="宋体" w:eastAsia="宋体" w:hint="default"/>
          <w:sz w:val="18"/>
          <w:szCs w:val="18"/>
        </w:rPr>
        <w:sectPr>
          <w:pgSz w:w="11910" w:h="16840"/>
          <w:pgMar w:header="877" w:footer="1022" w:top="1060" w:bottom="1220" w:left="980" w:right="980"/>
        </w:sectPr>
      </w:pPr>
    </w:p>
    <w:p>
      <w:pPr>
        <w:spacing w:line="240" w:lineRule="auto" w:before="4"/>
        <w:rPr>
          <w:rFonts w:ascii="Times New Roman" w:hAnsi="Times New Roman" w:cs="Times New Roman" w:eastAsia="Times New Roman"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773"/>
        <w:gridCol w:w="3136"/>
        <w:gridCol w:w="1789"/>
      </w:tblGrid>
      <w:tr>
        <w:trPr>
          <w:trHeight w:val="667" w:hRule="exact"/>
        </w:trPr>
        <w:tc>
          <w:tcPr>
            <w:tcW w:w="4773"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37" w:right="0"/>
              <w:jc w:val="left"/>
              <w:rPr>
                <w:rFonts w:ascii="宋体" w:hAnsi="宋体" w:cs="宋体" w:eastAsia="宋体" w:hint="default"/>
                <w:sz w:val="18"/>
                <w:szCs w:val="18"/>
              </w:rPr>
            </w:pPr>
            <w:r>
              <w:rPr>
                <w:rFonts w:ascii="宋体" w:hAnsi="宋体" w:cs="宋体" w:eastAsia="宋体" w:hint="default"/>
                <w:sz w:val="18"/>
                <w:szCs w:val="18"/>
              </w:rPr>
              <w:t>增加股份(Ⅰ)下一月份起至报告期期末的月份数</w:t>
            </w:r>
          </w:p>
        </w:tc>
        <w:tc>
          <w:tcPr>
            <w:tcW w:w="313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28" w:right="0"/>
              <w:jc w:val="center"/>
              <w:rPr>
                <w:rFonts w:ascii="宋体" w:hAnsi="宋体" w:cs="宋体" w:eastAsia="宋体" w:hint="default"/>
                <w:sz w:val="18"/>
                <w:szCs w:val="18"/>
              </w:rPr>
            </w:pPr>
            <w:r>
              <w:rPr>
                <w:rFonts w:ascii="宋体"/>
                <w:sz w:val="18"/>
              </w:rPr>
              <w:t>(6)</w:t>
            </w:r>
          </w:p>
        </w:tc>
        <w:tc>
          <w:tcPr>
            <w:tcW w:w="178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35"/>
              <w:jc w:val="right"/>
              <w:rPr>
                <w:rFonts w:ascii="宋体" w:hAnsi="宋体" w:cs="宋体" w:eastAsia="宋体" w:hint="default"/>
                <w:sz w:val="18"/>
                <w:szCs w:val="18"/>
              </w:rPr>
            </w:pPr>
            <w:r>
              <w:rPr>
                <w:rFonts w:ascii="宋体"/>
                <w:sz w:val="18"/>
              </w:rPr>
              <w:t>12</w:t>
            </w:r>
          </w:p>
        </w:tc>
      </w:tr>
      <w:tr>
        <w:trPr>
          <w:trHeight w:val="356"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9"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28" w:right="0"/>
              <w:jc w:val="center"/>
              <w:rPr>
                <w:rFonts w:ascii="宋体" w:hAnsi="宋体" w:cs="宋体" w:eastAsia="宋体" w:hint="default"/>
                <w:sz w:val="18"/>
                <w:szCs w:val="18"/>
              </w:rPr>
            </w:pPr>
            <w:r>
              <w:rPr>
                <w:rFonts w:ascii="宋体"/>
                <w:sz w:val="18"/>
              </w:rPr>
              <w:t>(7)</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7"/>
              <w:jc w:val="right"/>
              <w:rPr>
                <w:rFonts w:ascii="宋体" w:hAnsi="宋体" w:cs="宋体" w:eastAsia="宋体" w:hint="default"/>
                <w:sz w:val="18"/>
                <w:szCs w:val="18"/>
              </w:rPr>
            </w:pPr>
            <w:r>
              <w:rPr>
                <w:rFonts w:ascii="宋体"/>
                <w:sz w:val="18"/>
              </w:rPr>
              <w:t>12</w:t>
            </w:r>
          </w:p>
        </w:tc>
      </w:tr>
      <w:tr>
        <w:trPr>
          <w:trHeight w:val="355"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37"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54" w:right="0"/>
              <w:jc w:val="left"/>
              <w:rPr>
                <w:rFonts w:ascii="宋体" w:hAnsi="宋体" w:cs="宋体" w:eastAsia="宋体" w:hint="default"/>
                <w:sz w:val="18"/>
                <w:szCs w:val="18"/>
              </w:rPr>
            </w:pPr>
            <w:r>
              <w:rPr>
                <w:rFonts w:ascii="宋体" w:hAnsi="宋体" w:cs="宋体" w:eastAsia="宋体" w:hint="default"/>
                <w:sz w:val="18"/>
                <w:szCs w:val="18"/>
              </w:rPr>
              <w:t>(8)=(4)+(5)×(6)÷(7)</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91" w:right="0"/>
              <w:jc w:val="left"/>
              <w:rPr>
                <w:rFonts w:ascii="宋体" w:hAnsi="宋体" w:cs="宋体" w:eastAsia="宋体" w:hint="default"/>
                <w:sz w:val="18"/>
                <w:szCs w:val="18"/>
              </w:rPr>
            </w:pPr>
            <w:r>
              <w:rPr>
                <w:rFonts w:ascii="宋体"/>
                <w:sz w:val="18"/>
              </w:rPr>
              <w:t>128,000,000.00</w:t>
            </w:r>
          </w:p>
        </w:tc>
      </w:tr>
      <w:tr>
        <w:trPr>
          <w:trHeight w:val="374"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9" w:right="0"/>
              <w:jc w:val="left"/>
              <w:rPr>
                <w:rFonts w:ascii="宋体" w:hAnsi="宋体" w:cs="宋体" w:eastAsia="宋体" w:hint="default"/>
                <w:sz w:val="18"/>
                <w:szCs w:val="18"/>
              </w:rPr>
            </w:pPr>
            <w:r>
              <w:rPr>
                <w:rFonts w:ascii="宋体" w:hAnsi="宋体" w:cs="宋体" w:eastAsia="宋体" w:hint="default"/>
                <w:sz w:val="18"/>
                <w:szCs w:val="18"/>
              </w:rPr>
              <w:t>基本每股收益(Ⅰ)</w:t>
            </w:r>
          </w:p>
        </w:tc>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141" w:right="0"/>
              <w:jc w:val="left"/>
              <w:rPr>
                <w:rFonts w:ascii="宋体" w:hAnsi="宋体" w:cs="宋体" w:eastAsia="宋体" w:hint="default"/>
                <w:sz w:val="18"/>
                <w:szCs w:val="18"/>
              </w:rPr>
            </w:pPr>
            <w:r>
              <w:rPr>
                <w:rFonts w:ascii="宋体" w:hAnsi="宋体" w:cs="宋体" w:eastAsia="宋体" w:hint="default"/>
                <w:sz w:val="18"/>
                <w:szCs w:val="18"/>
              </w:rPr>
              <w:t>(9)=(1)÷(8)</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
              <w:jc w:val="right"/>
              <w:rPr>
                <w:rFonts w:ascii="宋体" w:hAnsi="宋体" w:cs="宋体" w:eastAsia="宋体" w:hint="default"/>
                <w:sz w:val="18"/>
                <w:szCs w:val="18"/>
              </w:rPr>
            </w:pPr>
            <w:r>
              <w:rPr>
                <w:rFonts w:ascii="宋体"/>
                <w:sz w:val="18"/>
              </w:rPr>
              <w:t>1.02</w:t>
            </w:r>
          </w:p>
        </w:tc>
      </w:tr>
      <w:tr>
        <w:trPr>
          <w:trHeight w:val="392"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基本每股收益(Ⅱ)</w:t>
            </w:r>
          </w:p>
        </w:tc>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97" w:right="0"/>
              <w:jc w:val="left"/>
              <w:rPr>
                <w:rFonts w:ascii="宋体" w:hAnsi="宋体" w:cs="宋体" w:eastAsia="宋体" w:hint="default"/>
                <w:sz w:val="18"/>
                <w:szCs w:val="18"/>
              </w:rPr>
            </w:pPr>
            <w:r>
              <w:rPr>
                <w:rFonts w:ascii="宋体" w:hAnsi="宋体" w:cs="宋体" w:eastAsia="宋体" w:hint="default"/>
                <w:sz w:val="18"/>
                <w:szCs w:val="18"/>
              </w:rPr>
              <w:t>(10)=(3)÷(8)</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0.91</w:t>
            </w:r>
          </w:p>
        </w:tc>
      </w:tr>
      <w:tr>
        <w:trPr>
          <w:trHeight w:val="392"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9" w:right="0"/>
              <w:jc w:val="left"/>
              <w:rPr>
                <w:rFonts w:ascii="宋体" w:hAnsi="宋体" w:cs="宋体" w:eastAsia="宋体" w:hint="default"/>
                <w:sz w:val="18"/>
                <w:szCs w:val="18"/>
              </w:rPr>
            </w:pPr>
            <w:r>
              <w:rPr>
                <w:rFonts w:ascii="宋体" w:hAnsi="宋体" w:cs="宋体" w:eastAsia="宋体" w:hint="default"/>
                <w:sz w:val="18"/>
                <w:szCs w:val="18"/>
              </w:rPr>
              <w:t>稀释每股收益(Ⅰ)</w:t>
            </w:r>
          </w:p>
        </w:tc>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226" w:right="0"/>
              <w:jc w:val="center"/>
              <w:rPr>
                <w:rFonts w:ascii="宋体" w:hAnsi="宋体" w:cs="宋体" w:eastAsia="宋体" w:hint="default"/>
                <w:sz w:val="18"/>
                <w:szCs w:val="18"/>
              </w:rPr>
            </w:pPr>
            <w:r>
              <w:rPr>
                <w:rFonts w:ascii="宋体"/>
                <w:sz w:val="18"/>
              </w:rPr>
              <w:t>(11)=(9)</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8"/>
              <w:jc w:val="right"/>
              <w:rPr>
                <w:rFonts w:ascii="宋体" w:hAnsi="宋体" w:cs="宋体" w:eastAsia="宋体" w:hint="default"/>
                <w:sz w:val="18"/>
                <w:szCs w:val="18"/>
              </w:rPr>
            </w:pPr>
            <w:r>
              <w:rPr>
                <w:rFonts w:ascii="宋体"/>
                <w:sz w:val="18"/>
              </w:rPr>
              <w:t>1.02</w:t>
            </w:r>
          </w:p>
        </w:tc>
      </w:tr>
      <w:tr>
        <w:trPr>
          <w:trHeight w:val="287" w:hRule="exact"/>
        </w:trPr>
        <w:tc>
          <w:tcPr>
            <w:tcW w:w="4773"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稀释每股收益(Ⅱ)</w:t>
            </w:r>
          </w:p>
        </w:tc>
        <w:tc>
          <w:tcPr>
            <w:tcW w:w="313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27" w:right="0"/>
              <w:jc w:val="center"/>
              <w:rPr>
                <w:rFonts w:ascii="宋体" w:hAnsi="宋体" w:cs="宋体" w:eastAsia="宋体" w:hint="default"/>
                <w:sz w:val="18"/>
                <w:szCs w:val="18"/>
              </w:rPr>
            </w:pPr>
            <w:r>
              <w:rPr>
                <w:rFonts w:ascii="宋体"/>
                <w:sz w:val="18"/>
              </w:rPr>
              <w:t>(12)=(10)</w:t>
            </w:r>
          </w:p>
        </w:tc>
        <w:tc>
          <w:tcPr>
            <w:tcW w:w="178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8"/>
              <w:jc w:val="right"/>
              <w:rPr>
                <w:rFonts w:ascii="宋体" w:hAnsi="宋体" w:cs="宋体" w:eastAsia="宋体" w:hint="default"/>
                <w:sz w:val="18"/>
                <w:szCs w:val="18"/>
              </w:rPr>
            </w:pPr>
            <w:r>
              <w:rPr>
                <w:rFonts w:ascii="宋体"/>
                <w:sz w:val="18"/>
              </w:rPr>
              <w:t>0.91</w:t>
            </w:r>
          </w:p>
        </w:tc>
      </w:tr>
    </w:tbl>
    <w:p>
      <w:pPr>
        <w:spacing w:after="0" w:line="240" w:lineRule="auto"/>
        <w:jc w:val="right"/>
        <w:rPr>
          <w:rFonts w:ascii="宋体" w:hAnsi="宋体" w:cs="宋体" w:eastAsia="宋体" w:hint="default"/>
          <w:sz w:val="18"/>
          <w:szCs w:val="18"/>
        </w:rPr>
        <w:sectPr>
          <w:pgSz w:w="11910" w:h="16840"/>
          <w:pgMar w:header="877" w:footer="1022" w:top="1060" w:bottom="1220" w:left="1000" w:right="1000"/>
        </w:sectPr>
      </w:pPr>
    </w:p>
    <w:p>
      <w:pPr>
        <w:spacing w:line="240" w:lineRule="auto" w:before="4"/>
        <w:rPr>
          <w:rFonts w:ascii="Times New Roman" w:hAnsi="Times New Roman" w:cs="Times New Roman" w:eastAsia="Times New Roman" w:hint="default"/>
          <w:sz w:val="3"/>
          <w:szCs w:val="3"/>
        </w:rPr>
      </w:pPr>
      <w:r>
        <w:rPr/>
        <w:pict>
          <v:group style="position:absolute;margin-left:313.859985pt;margin-top:595.140015pt;width:16.95pt;height:.1pt;mso-position-horizontal-relative:page;mso-position-vertical-relative:page;z-index:-525064" coordorigin="6277,11903" coordsize="339,2">
            <v:shape style="position:absolute;left:6277;top:11903;width:339;height:2" coordorigin="6277,11903" coordsize="339,0" path="m6277,11903l6616,11903e" filled="false" stroked="true" strokeweight=".72pt" strokecolor="#000000">
              <v:path arrowok="t"/>
            </v:shape>
            <w10:wrap type="none"/>
          </v:group>
        </w:pict>
      </w: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9"/>
          <w:szCs w:val="19"/>
        </w:rPr>
      </w:pPr>
    </w:p>
    <w:p>
      <w:pPr>
        <w:pStyle w:val="Heading4"/>
        <w:spacing w:line="240" w:lineRule="auto"/>
        <w:ind w:left="0" w:right="0"/>
        <w:jc w:val="center"/>
        <w:rPr>
          <w:rFonts w:ascii="黑体" w:hAnsi="黑体" w:cs="黑体" w:eastAsia="黑体" w:hint="default"/>
          <w:b w:val="0"/>
          <w:bCs w:val="0"/>
        </w:rPr>
      </w:pPr>
      <w:r>
        <w:rPr>
          <w:rFonts w:ascii="黑体" w:hAnsi="黑体" w:cs="黑体" w:eastAsia="黑体" w:hint="default"/>
        </w:rPr>
        <w:t>其他财务补充资料(二)</w:t>
      </w:r>
      <w:r>
        <w:rPr>
          <w:rFonts w:ascii="黑体" w:hAnsi="黑体" w:cs="黑体" w:eastAsia="黑体" w:hint="default"/>
          <w:b w:val="0"/>
          <w:bCs w:val="0"/>
        </w:rPr>
      </w:r>
    </w:p>
    <w:p>
      <w:pPr>
        <w:pStyle w:val="Heading4"/>
        <w:spacing w:line="240" w:lineRule="auto" w:before="205"/>
        <w:ind w:left="0" w:right="0"/>
        <w:jc w:val="center"/>
        <w:rPr>
          <w:b w:val="0"/>
          <w:bCs w:val="0"/>
        </w:rPr>
      </w:pPr>
      <w:r>
        <w:rPr/>
        <w:t>合并财务报表年度间异常项目及说明</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10"/>
          <w:szCs w:val="10"/>
        </w:rPr>
      </w:pPr>
    </w:p>
    <w:p>
      <w:pPr>
        <w:pStyle w:val="BodyText"/>
        <w:spacing w:line="240" w:lineRule="auto" w:before="26"/>
        <w:ind w:left="585" w:right="0"/>
        <w:jc w:val="left"/>
      </w:pPr>
      <w:r>
        <w:rPr/>
        <w:t>对本年度合并财务报表变动异常的报表项目的具体情况及变动原因说明如下：</w:t>
      </w:r>
    </w:p>
    <w:p>
      <w:pPr>
        <w:spacing w:line="240" w:lineRule="auto" w:before="12"/>
        <w:rPr>
          <w:rFonts w:ascii="宋体" w:hAnsi="宋体" w:cs="宋体" w:eastAsia="宋体" w:hint="default"/>
          <w:sz w:val="22"/>
          <w:szCs w:val="22"/>
        </w:rPr>
      </w:pPr>
    </w:p>
    <w:tbl>
      <w:tblPr>
        <w:tblW w:w="0" w:type="auto"/>
        <w:jc w:val="left"/>
        <w:tblInd w:w="139" w:type="dxa"/>
        <w:tblLayout w:type="fixed"/>
        <w:tblCellMar>
          <w:top w:w="0" w:type="dxa"/>
          <w:left w:w="0" w:type="dxa"/>
          <w:bottom w:w="0" w:type="dxa"/>
          <w:right w:w="0" w:type="dxa"/>
        </w:tblCellMar>
        <w:tblLook w:val="01E0"/>
      </w:tblPr>
      <w:tblGrid>
        <w:gridCol w:w="2053"/>
        <w:gridCol w:w="934"/>
        <w:gridCol w:w="2186"/>
        <w:gridCol w:w="323"/>
        <w:gridCol w:w="2161"/>
        <w:gridCol w:w="323"/>
        <w:gridCol w:w="1673"/>
      </w:tblGrid>
      <w:tr>
        <w:trPr>
          <w:trHeight w:val="245" w:hRule="exact"/>
        </w:trPr>
        <w:tc>
          <w:tcPr>
            <w:tcW w:w="2053" w:type="dxa"/>
            <w:tcBorders>
              <w:top w:val="nil" w:sz="6" w:space="0" w:color="auto"/>
              <w:left w:val="nil" w:sz="6" w:space="0" w:color="auto"/>
              <w:bottom w:val="single" w:sz="25" w:space="0" w:color="000000"/>
              <w:right w:val="nil" w:sz="6" w:space="0" w:color="auto"/>
            </w:tcBorders>
          </w:tcPr>
          <w:p>
            <w:pPr>
              <w:pStyle w:val="TableParagraph"/>
              <w:spacing w:line="180" w:lineRule="exact"/>
              <w:ind w:right="830"/>
              <w:jc w:val="right"/>
              <w:rPr>
                <w:rFonts w:ascii="宋体" w:hAnsi="宋体" w:cs="宋体" w:eastAsia="宋体" w:hint="default"/>
                <w:sz w:val="18"/>
                <w:szCs w:val="18"/>
              </w:rPr>
            </w:pPr>
            <w:r>
              <w:rPr>
                <w:rFonts w:ascii="宋体" w:hAnsi="宋体" w:cs="宋体" w:eastAsia="宋体" w:hint="default"/>
                <w:sz w:val="18"/>
                <w:szCs w:val="18"/>
              </w:rPr>
              <w:t>项目</w:t>
            </w:r>
          </w:p>
        </w:tc>
        <w:tc>
          <w:tcPr>
            <w:tcW w:w="934" w:type="dxa"/>
            <w:tcBorders>
              <w:top w:val="nil" w:sz="6" w:space="0" w:color="auto"/>
              <w:left w:val="nil" w:sz="6" w:space="0" w:color="auto"/>
              <w:bottom w:val="single" w:sz="25" w:space="0" w:color="000000"/>
              <w:right w:val="nil" w:sz="6" w:space="0" w:color="auto"/>
            </w:tcBorders>
          </w:tcPr>
          <w:p>
            <w:pPr>
              <w:pStyle w:val="TableParagraph"/>
              <w:spacing w:line="180" w:lineRule="exact"/>
              <w:ind w:right="169"/>
              <w:jc w:val="right"/>
              <w:rPr>
                <w:rFonts w:ascii="宋体" w:hAnsi="宋体" w:cs="宋体" w:eastAsia="宋体" w:hint="default"/>
                <w:sz w:val="18"/>
                <w:szCs w:val="18"/>
              </w:rPr>
            </w:pPr>
            <w:r>
              <w:rPr>
                <w:rFonts w:ascii="宋体" w:hAnsi="宋体" w:cs="宋体" w:eastAsia="宋体" w:hint="default"/>
                <w:sz w:val="18"/>
                <w:szCs w:val="18"/>
              </w:rPr>
              <w:t>注</w:t>
            </w:r>
          </w:p>
        </w:tc>
        <w:tc>
          <w:tcPr>
            <w:tcW w:w="2186" w:type="dxa"/>
            <w:tcBorders>
              <w:top w:val="nil" w:sz="6" w:space="0" w:color="auto"/>
              <w:left w:val="nil" w:sz="6" w:space="0" w:color="auto"/>
              <w:bottom w:val="single" w:sz="25" w:space="0" w:color="000000"/>
              <w:right w:val="nil" w:sz="6" w:space="0" w:color="auto"/>
            </w:tcBorders>
          </w:tcPr>
          <w:p>
            <w:pPr>
              <w:pStyle w:val="TableParagraph"/>
              <w:spacing w:line="180" w:lineRule="exact"/>
              <w:ind w:left="35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3" w:type="dxa"/>
            <w:tcBorders>
              <w:top w:val="nil" w:sz="6" w:space="0" w:color="auto"/>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single" w:sz="25" w:space="0" w:color="000000"/>
              <w:right w:val="nil" w:sz="6" w:space="0" w:color="auto"/>
            </w:tcBorders>
          </w:tcPr>
          <w:p>
            <w:pPr>
              <w:pStyle w:val="TableParagraph"/>
              <w:spacing w:line="180" w:lineRule="exact"/>
              <w:ind w:left="33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23" w:type="dxa"/>
            <w:tcBorders>
              <w:top w:val="nil" w:sz="6" w:space="0" w:color="auto"/>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single" w:sz="25" w:space="0" w:color="000000"/>
              <w:right w:val="nil" w:sz="6" w:space="0" w:color="auto"/>
            </w:tcBorders>
          </w:tcPr>
          <w:p>
            <w:pPr>
              <w:pStyle w:val="TableParagraph"/>
              <w:spacing w:line="180" w:lineRule="exact"/>
              <w:ind w:left="386" w:right="0"/>
              <w:jc w:val="left"/>
              <w:rPr>
                <w:rFonts w:ascii="宋体" w:hAnsi="宋体" w:cs="宋体" w:eastAsia="宋体" w:hint="default"/>
                <w:sz w:val="18"/>
                <w:szCs w:val="18"/>
              </w:rPr>
            </w:pPr>
            <w:r>
              <w:rPr>
                <w:rFonts w:ascii="宋体" w:hAnsi="宋体" w:cs="宋体" w:eastAsia="宋体" w:hint="default"/>
                <w:sz w:val="18"/>
                <w:szCs w:val="18"/>
              </w:rPr>
              <w:t>增/(减)(%)</w:t>
            </w:r>
          </w:p>
        </w:tc>
      </w:tr>
      <w:tr>
        <w:trPr>
          <w:trHeight w:val="444" w:hRule="exact"/>
        </w:trPr>
        <w:tc>
          <w:tcPr>
            <w:tcW w:w="2053" w:type="dxa"/>
            <w:tcBorders>
              <w:top w:val="single" w:sz="25" w:space="0" w:color="000000"/>
              <w:left w:val="nil" w:sz="6" w:space="0" w:color="auto"/>
              <w:bottom w:val="nil" w:sz="6" w:space="0" w:color="auto"/>
              <w:right w:val="nil" w:sz="6" w:space="0" w:color="auto"/>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34" w:type="dxa"/>
            <w:tcBorders>
              <w:top w:val="single" w:sz="25" w:space="0" w:color="000000"/>
              <w:left w:val="nil" w:sz="6" w:space="0" w:color="auto"/>
              <w:bottom w:val="single" w:sz="6" w:space="0" w:color="000000"/>
              <w:right w:val="nil" w:sz="6" w:space="0" w:color="auto"/>
            </w:tcBorders>
          </w:tcPr>
          <w:p>
            <w:pPr>
              <w:pStyle w:val="TableParagraph"/>
              <w:spacing w:line="240" w:lineRule="auto" w:before="112"/>
              <w:ind w:right="215"/>
              <w:jc w:val="right"/>
              <w:rPr>
                <w:rFonts w:ascii="宋体" w:hAnsi="宋体" w:cs="宋体" w:eastAsia="宋体" w:hint="default"/>
                <w:sz w:val="18"/>
                <w:szCs w:val="18"/>
              </w:rPr>
            </w:pPr>
            <w:r>
              <w:rPr>
                <w:rFonts w:ascii="宋体"/>
                <w:sz w:val="18"/>
              </w:rPr>
              <w:t>1</w:t>
            </w:r>
          </w:p>
        </w:tc>
        <w:tc>
          <w:tcPr>
            <w:tcW w:w="2186" w:type="dxa"/>
            <w:tcBorders>
              <w:top w:val="single" w:sz="25"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157,355,474.07</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single" w:sz="25"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293,940,873.56</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single" w:sz="25"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(46.47%)</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8"/>
              <w:ind w:right="215"/>
              <w:jc w:val="right"/>
              <w:rPr>
                <w:rFonts w:ascii="宋体" w:hAnsi="宋体" w:cs="宋体" w:eastAsia="宋体" w:hint="default"/>
                <w:sz w:val="18"/>
                <w:szCs w:val="18"/>
              </w:rPr>
            </w:pPr>
            <w:r>
              <w:rPr>
                <w:rFonts w:ascii="宋体"/>
                <w:sz w:val="18"/>
              </w:rPr>
              <w:t>2</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宋体" w:hAnsi="宋体" w:cs="宋体" w:eastAsia="宋体" w:hint="default"/>
                <w:sz w:val="18"/>
                <w:szCs w:val="18"/>
              </w:rPr>
            </w:pPr>
            <w:r>
              <w:rPr>
                <w:rFonts w:ascii="宋体"/>
                <w:sz w:val="18"/>
              </w:rPr>
              <w:t>335,671,012.90</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宋体" w:hAnsi="宋体" w:cs="宋体" w:eastAsia="宋体" w:hint="default"/>
                <w:sz w:val="18"/>
                <w:szCs w:val="18"/>
              </w:rPr>
            </w:pPr>
            <w:r>
              <w:rPr>
                <w:rFonts w:ascii="宋体"/>
                <w:sz w:val="18"/>
              </w:rPr>
              <w:t>202,326,355.98</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宋体" w:hAnsi="宋体" w:cs="宋体" w:eastAsia="宋体" w:hint="default"/>
                <w:sz w:val="18"/>
                <w:szCs w:val="18"/>
              </w:rPr>
            </w:pPr>
            <w:r>
              <w:rPr>
                <w:rFonts w:ascii="宋体"/>
                <w:sz w:val="18"/>
              </w:rPr>
              <w:t>65.91%</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215"/>
              <w:jc w:val="right"/>
              <w:rPr>
                <w:rFonts w:ascii="宋体" w:hAnsi="宋体" w:cs="宋体" w:eastAsia="宋体" w:hint="default"/>
                <w:sz w:val="18"/>
                <w:szCs w:val="18"/>
              </w:rPr>
            </w:pPr>
            <w:r>
              <w:rPr>
                <w:rFonts w:ascii="宋体"/>
                <w:sz w:val="18"/>
              </w:rPr>
              <w:t>3</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77,384,775.68</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45,071,991.00</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71.69%</w:t>
            </w:r>
          </w:p>
        </w:tc>
      </w:tr>
      <w:tr>
        <w:trPr>
          <w:trHeight w:val="434"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215"/>
              <w:jc w:val="right"/>
              <w:rPr>
                <w:rFonts w:ascii="宋体" w:hAnsi="宋体" w:cs="宋体" w:eastAsia="宋体" w:hint="default"/>
                <w:sz w:val="18"/>
                <w:szCs w:val="18"/>
              </w:rPr>
            </w:pPr>
            <w:r>
              <w:rPr>
                <w:rFonts w:ascii="宋体"/>
                <w:sz w:val="18"/>
              </w:rPr>
              <w:t>4</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12,868,395.33</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5,196,938.47</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147.61%</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215"/>
              <w:jc w:val="right"/>
              <w:rPr>
                <w:rFonts w:ascii="宋体" w:hAnsi="宋体" w:cs="宋体" w:eastAsia="宋体" w:hint="default"/>
                <w:sz w:val="18"/>
                <w:szCs w:val="18"/>
              </w:rPr>
            </w:pPr>
            <w:r>
              <w:rPr>
                <w:rFonts w:ascii="宋体"/>
                <w:sz w:val="18"/>
              </w:rPr>
              <w:t>5</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151,346,620.13</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79,619,962.17</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90.09%</w:t>
            </w:r>
          </w:p>
        </w:tc>
      </w:tr>
      <w:tr>
        <w:trPr>
          <w:trHeight w:val="434"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215"/>
              <w:jc w:val="right"/>
              <w:rPr>
                <w:rFonts w:ascii="宋体" w:hAnsi="宋体" w:cs="宋体" w:eastAsia="宋体" w:hint="default"/>
                <w:sz w:val="18"/>
                <w:szCs w:val="18"/>
              </w:rPr>
            </w:pPr>
            <w:r>
              <w:rPr>
                <w:rFonts w:ascii="宋体"/>
                <w:sz w:val="18"/>
              </w:rPr>
              <w:t>6</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31,025,337.76</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215"/>
              <w:jc w:val="right"/>
              <w:rPr>
                <w:rFonts w:ascii="宋体" w:hAnsi="宋体" w:cs="宋体" w:eastAsia="宋体" w:hint="default"/>
                <w:sz w:val="18"/>
                <w:szCs w:val="18"/>
              </w:rPr>
            </w:pPr>
            <w:r>
              <w:rPr>
                <w:rFonts w:ascii="宋体"/>
                <w:sz w:val="18"/>
              </w:rPr>
              <w:t>7</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183,416,635.22</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11,960,387.51</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1433.53%</w:t>
            </w:r>
          </w:p>
        </w:tc>
      </w:tr>
      <w:tr>
        <w:trPr>
          <w:trHeight w:val="434"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215"/>
              <w:jc w:val="right"/>
              <w:rPr>
                <w:rFonts w:ascii="宋体" w:hAnsi="宋体" w:cs="宋体" w:eastAsia="宋体" w:hint="default"/>
                <w:sz w:val="18"/>
                <w:szCs w:val="18"/>
              </w:rPr>
            </w:pPr>
            <w:r>
              <w:rPr>
                <w:rFonts w:ascii="宋体"/>
                <w:sz w:val="18"/>
              </w:rPr>
              <w:t>8</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17,429,519.08</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10,646,073.56</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63.72%</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215"/>
              <w:jc w:val="right"/>
              <w:rPr>
                <w:rFonts w:ascii="宋体" w:hAnsi="宋体" w:cs="宋体" w:eastAsia="宋体" w:hint="default"/>
                <w:sz w:val="18"/>
                <w:szCs w:val="18"/>
              </w:rPr>
            </w:pPr>
            <w:r>
              <w:rPr>
                <w:rFonts w:ascii="宋体"/>
                <w:sz w:val="18"/>
              </w:rPr>
              <w:t>9</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4,733,906.33</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w:t>
            </w:r>
          </w:p>
        </w:tc>
      </w:tr>
      <w:tr>
        <w:trPr>
          <w:trHeight w:val="434"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10</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70,000,000.00</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11</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130,950,450.00</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89,372,317.90</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46.52%</w:t>
            </w:r>
          </w:p>
        </w:tc>
      </w:tr>
      <w:tr>
        <w:trPr>
          <w:trHeight w:val="434"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11</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96,400,110.31</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52,110,152.41</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84.99%</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12</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96,471,449.38</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52,466,912.72</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83.87%</w:t>
            </w:r>
          </w:p>
        </w:tc>
      </w:tr>
      <w:tr>
        <w:trPr>
          <w:trHeight w:val="434"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13</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(22,418,669.59)</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(8,196,365.62)</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173.52%</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14</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31,099,445.57</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25,900,000.00</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20.08%</w:t>
            </w:r>
          </w:p>
        </w:tc>
      </w:tr>
      <w:tr>
        <w:trPr>
          <w:trHeight w:val="434"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15</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128,000,000.00</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64,000,000.00</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100.00%</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15</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234,226,390.14</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272,626,390.14</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(14.09%)</w:t>
            </w:r>
          </w:p>
        </w:tc>
      </w:tr>
      <w:tr>
        <w:trPr>
          <w:trHeight w:val="434"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34" w:type="dxa"/>
            <w:tcBorders>
              <w:top w:val="single" w:sz="6" w:space="0" w:color="000000"/>
              <w:left w:val="nil" w:sz="6" w:space="0" w:color="auto"/>
              <w:bottom w:val="nil" w:sz="6" w:space="0" w:color="auto"/>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16</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12,304,400.06</w:t>
            </w:r>
          </w:p>
        </w:tc>
        <w:tc>
          <w:tcPr>
            <w:tcW w:w="323" w:type="dxa"/>
            <w:tcBorders>
              <w:top w:val="single" w:sz="6" w:space="0" w:color="000000"/>
              <w:left w:val="nil" w:sz="6" w:space="0" w:color="auto"/>
              <w:bottom w:val="nil" w:sz="6" w:space="0" w:color="auto"/>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single" w:sz="6" w:space="0" w:color="000000"/>
              <w:right w:val="nil" w:sz="6" w:space="0" w:color="auto"/>
            </w:tcBorders>
          </w:tcPr>
          <w:p>
            <w:pPr>
              <w:pStyle w:val="TableParagraph"/>
              <w:spacing w:line="20" w:lineRule="exact"/>
              <w:ind w:left="-8" w:right="-53"/>
              <w:jc w:val="left"/>
              <w:rPr>
                <w:rFonts w:ascii="宋体" w:hAnsi="宋体" w:cs="宋体" w:eastAsia="宋体" w:hint="default"/>
                <w:sz w:val="2"/>
                <w:szCs w:val="2"/>
              </w:rPr>
            </w:pPr>
            <w:r>
              <w:rPr>
                <w:rFonts w:ascii="宋体" w:hAnsi="宋体" w:cs="宋体" w:eastAsia="宋体" w:hint="default"/>
                <w:sz w:val="2"/>
                <w:szCs w:val="2"/>
              </w:rPr>
              <w:pict>
                <v:group style="width:47.4pt;height:.75pt;mso-position-horizontal-relative:char;mso-position-vertical-relative:line" coordorigin="0,0" coordsize="948,15">
                  <v:group style="position:absolute;left:7;top:7;width:412;height:2" coordorigin="7,7" coordsize="412,2">
                    <v:shape style="position:absolute;left:7;top:7;width:412;height:2" coordorigin="7,7" coordsize="412,0" path="m7,7l419,7e" filled="false" stroked="true" strokeweight=".72pt" strokecolor="#000000">
                      <v:path arrowok="t"/>
                    </v:shape>
                  </v:group>
                  <v:group style="position:absolute;left:404;top:7;width:537;height:2" coordorigin="404,7" coordsize="537,2">
                    <v:shape style="position:absolute;left:404;top:7;width:537;height:2" coordorigin="404,7" coordsize="537,0" path="m404,7l94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tc>
        <w:tc>
          <w:tcPr>
            <w:tcW w:w="2186" w:type="dxa"/>
            <w:tcBorders>
              <w:top w:val="nil" w:sz="6" w:space="0" w:color="auto"/>
              <w:left w:val="nil" w:sz="6" w:space="0" w:color="auto"/>
              <w:bottom w:val="single" w:sz="6" w:space="0" w:color="000000"/>
              <w:right w:val="nil" w:sz="6" w:space="0" w:color="auto"/>
            </w:tcBorders>
          </w:tcPr>
          <w:p>
            <w:pPr/>
          </w:p>
        </w:tc>
        <w:tc>
          <w:tcPr>
            <w:tcW w:w="323" w:type="dxa"/>
            <w:tcBorders>
              <w:top w:val="nil" w:sz="6" w:space="0" w:color="auto"/>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single" w:sz="6" w:space="0" w:color="000000"/>
              <w:right w:val="nil" w:sz="6" w:space="0" w:color="auto"/>
            </w:tcBorders>
          </w:tcPr>
          <w:p>
            <w:pP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single" w:sz="6" w:space="0" w:color="000000"/>
              <w:right w:val="nil" w:sz="6" w:space="0" w:color="auto"/>
            </w:tcBorders>
          </w:tcPr>
          <w:p>
            <w:pPr/>
          </w:p>
        </w:tc>
      </w:tr>
      <w:tr>
        <w:trPr>
          <w:trHeight w:val="434" w:hRule="exact"/>
        </w:trPr>
        <w:tc>
          <w:tcPr>
            <w:tcW w:w="2053" w:type="dxa"/>
            <w:tcBorders>
              <w:top w:val="nil" w:sz="6" w:space="0" w:color="auto"/>
              <w:left w:val="nil" w:sz="6" w:space="0" w:color="auto"/>
              <w:bottom w:val="single" w:sz="25" w:space="0" w:color="000000"/>
              <w:right w:val="nil" w:sz="6" w:space="0" w:color="auto"/>
            </w:tcBorders>
          </w:tcPr>
          <w:p>
            <w:pPr>
              <w:pStyle w:val="TableParagraph"/>
              <w:spacing w:line="240" w:lineRule="auto" w:before="134"/>
              <w:ind w:right="830"/>
              <w:jc w:val="right"/>
              <w:rPr>
                <w:rFonts w:ascii="宋体" w:hAnsi="宋体" w:cs="宋体" w:eastAsia="宋体" w:hint="default"/>
                <w:sz w:val="18"/>
                <w:szCs w:val="18"/>
              </w:rPr>
            </w:pPr>
            <w:r>
              <w:rPr>
                <w:rFonts w:ascii="宋体" w:hAnsi="宋体" w:cs="宋体" w:eastAsia="宋体" w:hint="default"/>
                <w:sz w:val="18"/>
                <w:szCs w:val="18"/>
              </w:rPr>
              <w:t>项目</w:t>
            </w:r>
          </w:p>
        </w:tc>
        <w:tc>
          <w:tcPr>
            <w:tcW w:w="934" w:type="dxa"/>
            <w:tcBorders>
              <w:top w:val="single" w:sz="6" w:space="0" w:color="000000"/>
              <w:left w:val="nil" w:sz="6" w:space="0" w:color="auto"/>
              <w:bottom w:val="single" w:sz="6" w:space="0" w:color="000000"/>
              <w:right w:val="nil" w:sz="6" w:space="0" w:color="auto"/>
            </w:tcBorders>
          </w:tcPr>
          <w:p>
            <w:pPr/>
          </w:p>
        </w:tc>
        <w:tc>
          <w:tcPr>
            <w:tcW w:w="2186" w:type="dxa"/>
            <w:tcBorders>
              <w:top w:val="single" w:sz="6" w:space="0" w:color="000000"/>
              <w:left w:val="nil" w:sz="6" w:space="0" w:color="auto"/>
              <w:bottom w:val="single" w:sz="25" w:space="0" w:color="000000"/>
              <w:right w:val="nil" w:sz="6" w:space="0" w:color="auto"/>
            </w:tcBorders>
          </w:tcPr>
          <w:p>
            <w:pPr>
              <w:pStyle w:val="TableParagraph"/>
              <w:spacing w:line="240" w:lineRule="auto" w:before="127"/>
              <w:ind w:left="71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single" w:sz="6" w:space="0" w:color="000000"/>
              <w:left w:val="nil" w:sz="6" w:space="0" w:color="auto"/>
              <w:bottom w:val="single" w:sz="25" w:space="0" w:color="000000"/>
              <w:right w:val="nil" w:sz="6" w:space="0" w:color="auto"/>
            </w:tcBorders>
          </w:tcPr>
          <w:p>
            <w:pPr>
              <w:pStyle w:val="TableParagraph"/>
              <w:spacing w:line="240" w:lineRule="auto" w:before="127"/>
              <w:ind w:left="69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single" w:sz="6" w:space="0" w:color="000000"/>
              <w:left w:val="nil" w:sz="6" w:space="0" w:color="auto"/>
              <w:bottom w:val="single" w:sz="25" w:space="0" w:color="000000"/>
              <w:right w:val="nil" w:sz="6" w:space="0" w:color="auto"/>
            </w:tcBorders>
          </w:tcPr>
          <w:p>
            <w:pPr>
              <w:pStyle w:val="TableParagraph"/>
              <w:spacing w:line="240" w:lineRule="auto" w:before="127"/>
              <w:ind w:left="386" w:right="0"/>
              <w:jc w:val="left"/>
              <w:rPr>
                <w:rFonts w:ascii="宋体" w:hAnsi="宋体" w:cs="宋体" w:eastAsia="宋体" w:hint="default"/>
                <w:sz w:val="18"/>
                <w:szCs w:val="18"/>
              </w:rPr>
            </w:pPr>
            <w:r>
              <w:rPr>
                <w:rFonts w:ascii="宋体" w:hAnsi="宋体" w:cs="宋体" w:eastAsia="宋体" w:hint="default"/>
                <w:sz w:val="18"/>
                <w:szCs w:val="18"/>
              </w:rPr>
              <w:t>增/(减)(%)</w:t>
            </w:r>
          </w:p>
        </w:tc>
      </w:tr>
      <w:tr>
        <w:trPr>
          <w:trHeight w:val="445" w:hRule="exact"/>
        </w:trPr>
        <w:tc>
          <w:tcPr>
            <w:tcW w:w="2053" w:type="dxa"/>
            <w:tcBorders>
              <w:top w:val="single" w:sz="25" w:space="0" w:color="000000"/>
              <w:left w:val="nil" w:sz="6" w:space="0" w:color="auto"/>
              <w:bottom w:val="nil" w:sz="6" w:space="0" w:color="auto"/>
              <w:right w:val="nil" w:sz="6" w:space="0" w:color="auto"/>
            </w:tcBorders>
          </w:tcPr>
          <w:p>
            <w:pPr>
              <w:pStyle w:val="TableParagraph"/>
              <w:spacing w:line="240" w:lineRule="auto" w:before="97"/>
              <w:ind w:left="1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36"/>
              <w:ind w:right="169"/>
              <w:jc w:val="right"/>
              <w:rPr>
                <w:rFonts w:ascii="宋体" w:hAnsi="宋体" w:cs="宋体" w:eastAsia="宋体" w:hint="default"/>
                <w:sz w:val="18"/>
                <w:szCs w:val="18"/>
              </w:rPr>
            </w:pPr>
            <w:r>
              <w:rPr>
                <w:rFonts w:ascii="宋体"/>
                <w:sz w:val="18"/>
              </w:rPr>
              <w:t>17</w:t>
            </w:r>
          </w:p>
        </w:tc>
        <w:tc>
          <w:tcPr>
            <w:tcW w:w="2186" w:type="dxa"/>
            <w:tcBorders>
              <w:top w:val="single" w:sz="25"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582,637,476.67</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single" w:sz="25"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367,156,976.76</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single" w:sz="25" w:space="0" w:color="000000"/>
              <w:left w:val="nil" w:sz="6" w:space="0" w:color="auto"/>
              <w:bottom w:val="nil" w:sz="6" w:space="0" w:color="auto"/>
              <w:right w:val="nil" w:sz="6" w:space="0" w:color="auto"/>
            </w:tcBorders>
          </w:tcPr>
          <w:p>
            <w:pPr>
              <w:pStyle w:val="TableParagraph"/>
              <w:spacing w:line="240" w:lineRule="auto" w:before="97"/>
              <w:ind w:right="0"/>
              <w:jc w:val="right"/>
              <w:rPr>
                <w:rFonts w:ascii="宋体" w:hAnsi="宋体" w:cs="宋体" w:eastAsia="宋体" w:hint="default"/>
                <w:sz w:val="18"/>
                <w:szCs w:val="18"/>
              </w:rPr>
            </w:pPr>
            <w:r>
              <w:rPr>
                <w:rFonts w:ascii="宋体"/>
                <w:sz w:val="18"/>
              </w:rPr>
              <w:t>58.69%</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18</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294,192,663.99</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177,622,451.27</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65.63%</w:t>
            </w:r>
          </w:p>
        </w:tc>
      </w:tr>
      <w:tr>
        <w:trPr>
          <w:trHeight w:val="434"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18</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5,280,131.79</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3,215,251.49</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64.22%</w:t>
            </w:r>
          </w:p>
        </w:tc>
      </w:tr>
      <w:tr>
        <w:trPr>
          <w:trHeight w:val="436"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18</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73,889,156.64</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46,829,436.01</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57.78%</w:t>
            </w:r>
          </w:p>
        </w:tc>
      </w:tr>
      <w:tr>
        <w:trPr>
          <w:trHeight w:val="434" w:hRule="exact"/>
        </w:trPr>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18</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101,779,410.10</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82,468,258.57</w:t>
            </w:r>
          </w:p>
        </w:tc>
        <w:tc>
          <w:tcPr>
            <w:tcW w:w="323" w:type="dxa"/>
            <w:tcBorders>
              <w:top w:val="single" w:sz="6" w:space="0" w:color="000000"/>
              <w:left w:val="nil" w:sz="6" w:space="0" w:color="auto"/>
              <w:bottom w:val="single" w:sz="6" w:space="0" w:color="000000"/>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23.42%</w:t>
            </w:r>
          </w:p>
        </w:tc>
      </w:tr>
    </w:tbl>
    <w:p>
      <w:pPr>
        <w:spacing w:after="0" w:line="240" w:lineRule="auto"/>
        <w:jc w:val="right"/>
        <w:rPr>
          <w:rFonts w:ascii="宋体" w:hAnsi="宋体" w:cs="宋体" w:eastAsia="宋体" w:hint="default"/>
          <w:sz w:val="18"/>
          <w:szCs w:val="18"/>
        </w:rPr>
        <w:sectPr>
          <w:pgSz w:w="11910" w:h="16840"/>
          <w:pgMar w:header="877" w:footer="1022" w:top="1060" w:bottom="122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2239"/>
        <w:gridCol w:w="934"/>
        <w:gridCol w:w="2186"/>
        <w:gridCol w:w="323"/>
        <w:gridCol w:w="2161"/>
        <w:gridCol w:w="323"/>
        <w:gridCol w:w="1873"/>
      </w:tblGrid>
      <w:tr>
        <w:trPr>
          <w:trHeight w:val="260"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934" w:type="dxa"/>
            <w:tcBorders>
              <w:top w:val="nil" w:sz="6" w:space="0" w:color="auto"/>
              <w:left w:val="nil" w:sz="6" w:space="0" w:color="auto"/>
              <w:bottom w:val="single" w:sz="6" w:space="0" w:color="000000"/>
              <w:right w:val="nil" w:sz="6" w:space="0" w:color="auto"/>
            </w:tcBorders>
          </w:tcPr>
          <w:p>
            <w:pPr>
              <w:pStyle w:val="TableParagraph"/>
              <w:spacing w:line="194" w:lineRule="exact"/>
              <w:ind w:right="169"/>
              <w:jc w:val="right"/>
              <w:rPr>
                <w:rFonts w:ascii="宋体" w:hAnsi="宋体" w:cs="宋体" w:eastAsia="宋体" w:hint="default"/>
                <w:sz w:val="18"/>
                <w:szCs w:val="18"/>
              </w:rPr>
            </w:pPr>
            <w:r>
              <w:rPr>
                <w:rFonts w:ascii="宋体"/>
                <w:sz w:val="18"/>
              </w:rPr>
              <w:t>19</w:t>
            </w:r>
          </w:p>
        </w:tc>
        <w:tc>
          <w:tcPr>
            <w:tcW w:w="2186"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13,048,353.47</w:t>
            </w:r>
          </w:p>
        </w:tc>
        <w:tc>
          <w:tcPr>
            <w:tcW w:w="323" w:type="dxa"/>
            <w:tcBorders>
              <w:top w:val="nil" w:sz="6" w:space="0" w:color="auto"/>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sz w:val="18"/>
              </w:rPr>
              <w:t>6,623,740.04</w:t>
            </w:r>
          </w:p>
        </w:tc>
        <w:tc>
          <w:tcPr>
            <w:tcW w:w="323" w:type="dxa"/>
            <w:tcBorders>
              <w:top w:val="nil" w:sz="6" w:space="0" w:color="auto"/>
              <w:left w:val="nil" w:sz="6" w:space="0" w:color="auto"/>
              <w:bottom w:val="single" w:sz="6" w:space="0" w:color="000000"/>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sz w:val="18"/>
              </w:rPr>
              <w:t>96.99%</w:t>
            </w:r>
          </w:p>
        </w:tc>
      </w:tr>
      <w:tr>
        <w:trPr>
          <w:trHeight w:val="434" w:hRule="exact"/>
        </w:trPr>
        <w:tc>
          <w:tcPr>
            <w:tcW w:w="2239"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0"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934" w:type="dxa"/>
            <w:tcBorders>
              <w:top w:val="single" w:sz="6" w:space="0" w:color="000000"/>
              <w:left w:val="nil" w:sz="6" w:space="0" w:color="auto"/>
              <w:bottom w:val="single" w:sz="6" w:space="0" w:color="000000"/>
              <w:right w:val="nil" w:sz="6" w:space="0" w:color="auto"/>
            </w:tcBorders>
          </w:tcPr>
          <w:p>
            <w:pPr>
              <w:pStyle w:val="TableParagraph"/>
              <w:spacing w:line="240" w:lineRule="auto" w:before="127"/>
              <w:ind w:right="169"/>
              <w:jc w:val="right"/>
              <w:rPr>
                <w:rFonts w:ascii="宋体" w:hAnsi="宋体" w:cs="宋体" w:eastAsia="宋体" w:hint="default"/>
                <w:sz w:val="18"/>
                <w:szCs w:val="18"/>
              </w:rPr>
            </w:pPr>
            <w:r>
              <w:rPr>
                <w:rFonts w:ascii="宋体"/>
                <w:sz w:val="18"/>
              </w:rPr>
              <w:t>20</w:t>
            </w:r>
          </w:p>
        </w:tc>
        <w:tc>
          <w:tcPr>
            <w:tcW w:w="218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46,363,322.75</w:t>
            </w:r>
          </w:p>
        </w:tc>
        <w:tc>
          <w:tcPr>
            <w:tcW w:w="323" w:type="dxa"/>
            <w:tcBorders>
              <w:top w:val="single" w:sz="6" w:space="0" w:color="000000"/>
              <w:left w:val="nil" w:sz="6" w:space="0" w:color="auto"/>
              <w:bottom w:val="single" w:sz="6" w:space="0" w:color="000000"/>
              <w:right w:val="nil" w:sz="6" w:space="0" w:color="auto"/>
            </w:tcBorders>
          </w:tcPr>
          <w:p>
            <w:pPr/>
          </w:p>
        </w:tc>
        <w:tc>
          <w:tcPr>
            <w:tcW w:w="216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0"/>
              <w:jc w:val="right"/>
              <w:rPr>
                <w:rFonts w:ascii="宋体" w:hAnsi="宋体" w:cs="宋体" w:eastAsia="宋体" w:hint="default"/>
                <w:sz w:val="18"/>
                <w:szCs w:val="18"/>
              </w:rPr>
            </w:pPr>
            <w:r>
              <w:rPr>
                <w:rFonts w:ascii="宋体"/>
                <w:sz w:val="18"/>
              </w:rPr>
              <w:t>35,260,768.62</w:t>
            </w:r>
          </w:p>
        </w:tc>
        <w:tc>
          <w:tcPr>
            <w:tcW w:w="323" w:type="dxa"/>
            <w:tcBorders>
              <w:top w:val="single" w:sz="6" w:space="0" w:color="000000"/>
              <w:left w:val="nil" w:sz="6" w:space="0" w:color="auto"/>
              <w:bottom w:val="single" w:sz="6" w:space="0" w:color="000000"/>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8"/>
              <w:jc w:val="right"/>
              <w:rPr>
                <w:rFonts w:ascii="宋体" w:hAnsi="宋体" w:cs="宋体" w:eastAsia="宋体" w:hint="default"/>
                <w:sz w:val="18"/>
                <w:szCs w:val="18"/>
              </w:rPr>
            </w:pPr>
            <w:r>
              <w:rPr>
                <w:rFonts w:ascii="宋体"/>
                <w:sz w:val="18"/>
              </w:rPr>
              <w:t>31.49%</w:t>
            </w:r>
          </w:p>
        </w:tc>
      </w:tr>
    </w:tbl>
    <w:p>
      <w:pPr>
        <w:spacing w:line="240" w:lineRule="auto" w:before="0"/>
        <w:rPr>
          <w:rFonts w:ascii="宋体" w:hAnsi="宋体" w:cs="宋体" w:eastAsia="宋体" w:hint="default"/>
          <w:sz w:val="14"/>
          <w:szCs w:val="14"/>
        </w:rPr>
      </w:pPr>
    </w:p>
    <w:p>
      <w:pPr>
        <w:pStyle w:val="BodyText"/>
        <w:spacing w:line="240" w:lineRule="auto" w:before="26"/>
        <w:ind w:left="314" w:right="3871"/>
        <w:jc w:val="left"/>
      </w:pPr>
      <w:r>
        <w:rPr/>
        <w:t>注：</w:t>
      </w:r>
    </w:p>
    <w:p>
      <w:pPr>
        <w:pStyle w:val="BodyText"/>
        <w:spacing w:line="240" w:lineRule="auto" w:before="205"/>
        <w:ind w:left="794" w:right="298"/>
        <w:jc w:val="left"/>
      </w:pPr>
      <w:r>
        <w:rPr/>
        <w:t>1.年末货币资金减少的原因系以募集资金支付募投项目款项所致；</w:t>
      </w:r>
    </w:p>
    <w:p>
      <w:pPr>
        <w:spacing w:line="240" w:lineRule="auto" w:before="5"/>
        <w:rPr>
          <w:rFonts w:ascii="宋体" w:hAnsi="宋体" w:cs="宋体" w:eastAsia="宋体" w:hint="default"/>
          <w:sz w:val="17"/>
          <w:szCs w:val="17"/>
        </w:rPr>
      </w:pPr>
    </w:p>
    <w:p>
      <w:pPr>
        <w:pStyle w:val="BodyText"/>
        <w:spacing w:line="321" w:lineRule="auto"/>
        <w:ind w:left="313" w:right="298" w:firstLine="495"/>
        <w:jc w:val="left"/>
      </w:pPr>
      <w:r>
        <w:rPr>
          <w:spacing w:val="6"/>
        </w:rPr>
        <w:t>2.年末应收账款增加较大的主要原因系由于本公司主导产品市场需求增长，导致营业</w:t>
      </w:r>
      <w:r>
        <w:rPr>
          <w:spacing w:val="8"/>
        </w:rPr>
        <w:t> </w:t>
      </w:r>
      <w:r>
        <w:rPr>
          <w:spacing w:val="7"/>
        </w:rPr>
        <w:t>收入增长所致；</w:t>
      </w:r>
      <w:r>
        <w:rPr/>
      </w:r>
    </w:p>
    <w:p>
      <w:pPr>
        <w:pStyle w:val="BodyText"/>
        <w:spacing w:line="240" w:lineRule="auto" w:before="144"/>
        <w:ind w:left="809" w:right="298"/>
        <w:jc w:val="left"/>
      </w:pPr>
      <w:r>
        <w:rPr>
          <w:spacing w:val="7"/>
        </w:rPr>
        <w:t>3.年末预付款项增加较大的主要原因系预付在建工程项目的工程款、设备款所致；</w:t>
      </w:r>
      <w:r>
        <w:rPr/>
      </w:r>
    </w:p>
    <w:p>
      <w:pPr>
        <w:spacing w:line="240" w:lineRule="auto" w:before="3"/>
        <w:rPr>
          <w:rFonts w:ascii="宋体" w:hAnsi="宋体" w:cs="宋体" w:eastAsia="宋体" w:hint="default"/>
          <w:sz w:val="17"/>
          <w:szCs w:val="17"/>
        </w:rPr>
      </w:pPr>
    </w:p>
    <w:p>
      <w:pPr>
        <w:pStyle w:val="BodyText"/>
        <w:spacing w:line="240" w:lineRule="auto"/>
        <w:ind w:left="793" w:right="298"/>
        <w:jc w:val="left"/>
      </w:pPr>
      <w:r>
        <w:rPr/>
        <w:t>4.年末其他应收款增加较大的原因系增加支付投标保证金所致；</w:t>
      </w:r>
    </w:p>
    <w:p>
      <w:pPr>
        <w:spacing w:line="240" w:lineRule="auto" w:before="3"/>
        <w:rPr>
          <w:rFonts w:ascii="宋体" w:hAnsi="宋体" w:cs="宋体" w:eastAsia="宋体" w:hint="default"/>
          <w:sz w:val="17"/>
          <w:szCs w:val="17"/>
        </w:rPr>
      </w:pPr>
    </w:p>
    <w:p>
      <w:pPr>
        <w:pStyle w:val="BodyText"/>
        <w:spacing w:line="240" w:lineRule="auto"/>
        <w:ind w:left="793" w:right="298"/>
        <w:jc w:val="left"/>
      </w:pPr>
      <w:r>
        <w:rPr>
          <w:spacing w:val="4"/>
        </w:rPr>
        <w:t>5.年末存货增加较大的原因系本公司的生产规模大幅增长所致；</w:t>
      </w:r>
      <w:r>
        <w:rPr/>
      </w:r>
    </w:p>
    <w:p>
      <w:pPr>
        <w:spacing w:line="240" w:lineRule="auto" w:before="3"/>
        <w:rPr>
          <w:rFonts w:ascii="宋体" w:hAnsi="宋体" w:cs="宋体" w:eastAsia="宋体" w:hint="default"/>
          <w:sz w:val="17"/>
          <w:szCs w:val="17"/>
        </w:rPr>
      </w:pPr>
    </w:p>
    <w:p>
      <w:pPr>
        <w:pStyle w:val="BodyText"/>
        <w:spacing w:line="321" w:lineRule="auto"/>
        <w:ind w:left="313" w:right="298" w:firstLine="480"/>
        <w:jc w:val="left"/>
      </w:pPr>
      <w:r>
        <w:rPr>
          <w:spacing w:val="13"/>
        </w:rPr>
        <w:t>6.年末长期应收款增加较大的原因系本公司本年度新增分期收款发出商品的销售模</w:t>
      </w:r>
      <w:r>
        <w:rPr>
          <w:spacing w:val="18"/>
        </w:rPr>
        <w:t> </w:t>
      </w:r>
      <w:r>
        <w:rPr>
          <w:spacing w:val="7"/>
        </w:rPr>
        <w:t>式，所对应的应收货款；</w:t>
      </w:r>
      <w:r>
        <w:rPr/>
      </w:r>
    </w:p>
    <w:p>
      <w:pPr>
        <w:pStyle w:val="BodyText"/>
        <w:spacing w:line="240" w:lineRule="auto" w:before="144"/>
        <w:ind w:left="793" w:right="298"/>
        <w:jc w:val="left"/>
      </w:pPr>
      <w:r>
        <w:rPr/>
        <w:t>7.年末在建工程增加较大的主要原因是本公司建设募投项目所致；</w:t>
      </w:r>
    </w:p>
    <w:p>
      <w:pPr>
        <w:spacing w:line="240" w:lineRule="auto" w:before="3"/>
        <w:rPr>
          <w:rFonts w:ascii="宋体" w:hAnsi="宋体" w:cs="宋体" w:eastAsia="宋体" w:hint="default"/>
          <w:sz w:val="17"/>
          <w:szCs w:val="17"/>
        </w:rPr>
      </w:pPr>
    </w:p>
    <w:p>
      <w:pPr>
        <w:pStyle w:val="BodyText"/>
        <w:spacing w:line="321" w:lineRule="auto"/>
        <w:ind w:left="313" w:right="298" w:firstLine="480"/>
        <w:jc w:val="left"/>
      </w:pPr>
      <w:r>
        <w:rPr/>
        <w:t>8.年末无形资产增加较大的原因是本年度本公司增加非同一控制下的子公司北京信力公 司，其持有的无形资产合并所致；</w:t>
      </w:r>
    </w:p>
    <w:p>
      <w:pPr>
        <w:pStyle w:val="BodyText"/>
        <w:spacing w:line="321" w:lineRule="auto" w:before="144"/>
        <w:ind w:left="313" w:right="298" w:firstLine="480"/>
        <w:jc w:val="left"/>
      </w:pPr>
      <w:r>
        <w:rPr/>
        <w:t>9.年末商誉增加的原因是本年度本公司增加非同一控制下的子公司北京信力公司所产生 的；</w:t>
      </w:r>
    </w:p>
    <w:p>
      <w:pPr>
        <w:pStyle w:val="BodyText"/>
        <w:spacing w:line="240" w:lineRule="auto" w:before="144"/>
        <w:ind w:left="793" w:right="298"/>
        <w:jc w:val="left"/>
      </w:pPr>
      <w:r>
        <w:rPr/>
        <w:t>10.年末短期借款增加系本公司经营规模增大，资金需求增加，向银行借款所致；</w:t>
      </w:r>
    </w:p>
    <w:p>
      <w:pPr>
        <w:spacing w:line="240" w:lineRule="auto" w:before="3"/>
        <w:rPr>
          <w:rFonts w:ascii="宋体" w:hAnsi="宋体" w:cs="宋体" w:eastAsia="宋体" w:hint="default"/>
          <w:sz w:val="17"/>
          <w:szCs w:val="17"/>
        </w:rPr>
      </w:pPr>
    </w:p>
    <w:p>
      <w:pPr>
        <w:pStyle w:val="BodyText"/>
        <w:spacing w:line="240" w:lineRule="auto"/>
        <w:ind w:left="793" w:right="298"/>
        <w:jc w:val="left"/>
      </w:pPr>
      <w:r>
        <w:rPr>
          <w:spacing w:val="3"/>
        </w:rPr>
        <w:t>11.年末应付票据和应付账款增加较大的主要原因系本公司的生产规模大幅增长所致；</w:t>
      </w:r>
      <w:r>
        <w:rPr/>
      </w:r>
    </w:p>
    <w:p>
      <w:pPr>
        <w:spacing w:line="240" w:lineRule="auto" w:before="3"/>
        <w:rPr>
          <w:rFonts w:ascii="宋体" w:hAnsi="宋体" w:cs="宋体" w:eastAsia="宋体" w:hint="default"/>
          <w:sz w:val="17"/>
          <w:szCs w:val="17"/>
        </w:rPr>
      </w:pPr>
    </w:p>
    <w:p>
      <w:pPr>
        <w:pStyle w:val="BodyText"/>
        <w:spacing w:line="321" w:lineRule="auto"/>
        <w:ind w:left="313" w:right="298" w:firstLine="495"/>
        <w:jc w:val="left"/>
      </w:pPr>
      <w:r>
        <w:rPr>
          <w:spacing w:val="9"/>
        </w:rPr>
        <w:t>12.年末预收款项增加较大的主要原因系由于本公司主导产品市场需求增长，导致营</w:t>
      </w:r>
      <w:r>
        <w:rPr>
          <w:spacing w:val="10"/>
        </w:rPr>
        <w:t> </w:t>
      </w:r>
      <w:r>
        <w:rPr>
          <w:spacing w:val="7"/>
        </w:rPr>
        <w:t>业收入增长所致；</w:t>
      </w:r>
      <w:r>
        <w:rPr/>
      </w:r>
    </w:p>
    <w:p>
      <w:pPr>
        <w:pStyle w:val="BodyText"/>
        <w:spacing w:line="321" w:lineRule="auto" w:before="144"/>
        <w:ind w:left="313" w:right="298" w:firstLine="480"/>
        <w:jc w:val="left"/>
      </w:pPr>
      <w:r>
        <w:rPr>
          <w:spacing w:val="3"/>
        </w:rPr>
        <w:t>13.年末应交税费增加较大主要原因系本公司应缴纳的企业所得税在税收优惠批文未下</w:t>
      </w:r>
      <w:r>
        <w:rPr>
          <w:spacing w:val="4"/>
        </w:rPr>
        <w:t> </w:t>
      </w:r>
      <w:r>
        <w:rPr/>
        <w:t>达之前，本公司以</w:t>
      </w:r>
      <w:r>
        <w:rPr>
          <w:spacing w:val="-60"/>
        </w:rPr>
        <w:t> </w:t>
      </w:r>
      <w:r>
        <w:rPr/>
        <w:t>25%的税率预缴企业所得税所致；</w:t>
      </w:r>
    </w:p>
    <w:p>
      <w:pPr>
        <w:pStyle w:val="BodyText"/>
        <w:spacing w:line="321" w:lineRule="auto" w:before="144"/>
        <w:ind w:left="313" w:right="298" w:firstLine="480"/>
        <w:jc w:val="left"/>
      </w:pPr>
      <w:r>
        <w:rPr>
          <w:spacing w:val="-3"/>
        </w:rPr>
        <w:t>14.其他非流动负债系本公司收到政府部门政府补助，其中与资产相关的政府补助，对应</w:t>
      </w:r>
      <w:r>
        <w:rPr/>
        <w:t> 资产尚未建成；与费用相关的政府补助,尚未发生所致。</w:t>
      </w:r>
    </w:p>
    <w:p>
      <w:pPr>
        <w:pStyle w:val="BodyText"/>
        <w:spacing w:line="240" w:lineRule="auto" w:before="144"/>
        <w:ind w:left="793" w:right="298"/>
        <w:jc w:val="left"/>
      </w:pPr>
      <w:r>
        <w:rPr/>
        <w:t>15.年末股本、资本公积变动较大的原因，系本年度本公司以资本公积转增股本所致；</w:t>
      </w:r>
    </w:p>
    <w:p>
      <w:pPr>
        <w:spacing w:line="240" w:lineRule="auto" w:before="3"/>
        <w:rPr>
          <w:rFonts w:ascii="宋体" w:hAnsi="宋体" w:cs="宋体" w:eastAsia="宋体" w:hint="default"/>
          <w:sz w:val="17"/>
          <w:szCs w:val="17"/>
        </w:rPr>
      </w:pPr>
    </w:p>
    <w:p>
      <w:pPr>
        <w:pStyle w:val="BodyText"/>
        <w:spacing w:line="321" w:lineRule="auto"/>
        <w:ind w:left="313" w:right="298" w:firstLine="480"/>
        <w:jc w:val="left"/>
      </w:pPr>
      <w:r>
        <w:rPr>
          <w:spacing w:val="-3"/>
        </w:rPr>
        <w:t>16.年末少数股东权益增加的原因是本年度本公司增加子公司北京信力公司，本公司的持</w:t>
      </w:r>
      <w:r>
        <w:rPr/>
        <w:t> 股比例为</w:t>
      </w:r>
      <w:r>
        <w:rPr>
          <w:spacing w:val="-60"/>
        </w:rPr>
        <w:t> </w:t>
      </w:r>
      <w:r>
        <w:rPr/>
        <w:t>60%，另外</w:t>
      </w:r>
      <w:r>
        <w:rPr>
          <w:spacing w:val="-60"/>
        </w:rPr>
        <w:t> </w:t>
      </w:r>
      <w:r>
        <w:rPr/>
        <w:t>40%股权所对应的北京信力公司净资产计入少数股东权益所致；</w:t>
      </w:r>
    </w:p>
    <w:p>
      <w:pPr>
        <w:pStyle w:val="BodyText"/>
        <w:spacing w:line="240" w:lineRule="auto" w:before="144"/>
        <w:ind w:left="793" w:right="298"/>
        <w:jc w:val="left"/>
      </w:pPr>
      <w:r>
        <w:rPr>
          <w:spacing w:val="3"/>
        </w:rPr>
        <w:t>17.本年度营业收入增幅较大的原因系主导产品市场需求增长所致；</w:t>
      </w:r>
      <w:r>
        <w:rPr/>
      </w:r>
    </w:p>
    <w:p>
      <w:pPr>
        <w:spacing w:after="0" w:line="240" w:lineRule="auto"/>
        <w:jc w:val="left"/>
        <w:sectPr>
          <w:pgSz w:w="11910" w:h="16840"/>
          <w:pgMar w:header="877" w:footer="1022" w:top="1060" w:bottom="1220" w:left="820" w:right="820"/>
        </w:sectPr>
      </w:pPr>
    </w:p>
    <w:p>
      <w:pPr>
        <w:spacing w:line="240" w:lineRule="auto" w:before="0"/>
        <w:rPr>
          <w:rFonts w:ascii="宋体" w:hAnsi="宋体" w:cs="宋体" w:eastAsia="宋体" w:hint="default"/>
          <w:sz w:val="20"/>
          <w:szCs w:val="20"/>
        </w:rPr>
      </w:pPr>
    </w:p>
    <w:p>
      <w:pPr>
        <w:pStyle w:val="BodyText"/>
        <w:spacing w:line="304" w:lineRule="auto" w:before="161"/>
        <w:ind w:right="0" w:firstLine="480"/>
        <w:jc w:val="left"/>
      </w:pPr>
      <w:r>
        <w:rPr>
          <w:spacing w:val="-3"/>
        </w:rPr>
        <w:t>18.本年度营业成本、营业税金及附加、销售费用、管理费用增加较大的原因系本公司主</w:t>
      </w:r>
      <w:r>
        <w:rPr/>
        <w:t> </w:t>
      </w:r>
      <w:r>
        <w:rPr>
          <w:spacing w:val="8"/>
        </w:rPr>
        <w:t>导产品市场需求增长，导致营业收入增长带来的影响所致；</w:t>
      </w:r>
      <w:r>
        <w:rPr/>
      </w:r>
    </w:p>
    <w:p>
      <w:pPr>
        <w:pStyle w:val="BodyText"/>
        <w:spacing w:line="304" w:lineRule="auto" w:before="142"/>
        <w:ind w:right="0" w:firstLine="480"/>
        <w:jc w:val="left"/>
      </w:pPr>
      <w:r>
        <w:rPr>
          <w:spacing w:val="-3"/>
        </w:rPr>
        <w:t>19.本年度资产减值损失增幅较大的原因为应收账款、其他应收款等大幅增加，相应的坏</w:t>
      </w:r>
      <w:r>
        <w:rPr/>
        <w:t> 账准备计提增加所致；</w:t>
      </w:r>
    </w:p>
    <w:p>
      <w:pPr>
        <w:pStyle w:val="BodyText"/>
        <w:spacing w:line="307" w:lineRule="auto" w:before="140"/>
        <w:ind w:right="0" w:firstLine="480"/>
        <w:jc w:val="left"/>
      </w:pPr>
      <w:r>
        <w:rPr>
          <w:spacing w:val="-3"/>
        </w:rPr>
        <w:t>20.本年度营业外收入增加的原因主要系本年度营业收入增加，相应软件销售部分增加的</w:t>
      </w:r>
      <w:r>
        <w:rPr/>
        <w:t> 增值税退税款项所致。</w:t>
      </w:r>
    </w:p>
    <w:p>
      <w:pPr>
        <w:spacing w:after="0" w:line="307" w:lineRule="auto"/>
        <w:jc w:val="left"/>
        <w:sectPr>
          <w:pgSz w:w="11910" w:h="16840"/>
          <w:pgMar w:header="877" w:footer="1022" w:top="1060" w:bottom="1220" w:left="980" w:right="980"/>
        </w:sectPr>
      </w:pPr>
    </w:p>
    <w:p>
      <w:pPr>
        <w:spacing w:line="240" w:lineRule="auto" w:before="2"/>
        <w:rPr>
          <w:rFonts w:ascii="宋体" w:hAnsi="宋体" w:cs="宋体" w:eastAsia="宋体" w:hint="default"/>
          <w:sz w:val="24"/>
          <w:szCs w:val="24"/>
        </w:rPr>
      </w:pPr>
    </w:p>
    <w:p>
      <w:pPr>
        <w:pStyle w:val="Heading1"/>
        <w:spacing w:line="240" w:lineRule="auto"/>
        <w:ind w:left="3974" w:right="3391"/>
        <w:jc w:val="center"/>
        <w:rPr>
          <w:b w:val="0"/>
          <w:bCs w:val="0"/>
        </w:rPr>
      </w:pPr>
      <w:bookmarkStart w:name="_bookmark10" w:id="23"/>
      <w:bookmarkEnd w:id="23"/>
      <w:r>
        <w:rPr>
          <w:b w:val="0"/>
          <w:bCs w:val="0"/>
        </w:rPr>
      </w:r>
      <w:r>
        <w:rPr/>
        <w:t>第十一节</w:t>
      </w:r>
      <w:r>
        <w:rPr>
          <w:spacing w:val="-2"/>
        </w:rPr>
        <w:t> </w:t>
      </w:r>
      <w:r>
        <w:rPr/>
        <w:t>备查文件</w:t>
      </w:r>
      <w:r>
        <w:rPr>
          <w:b w:val="0"/>
          <w:bCs w:val="0"/>
        </w:rPr>
      </w:r>
    </w:p>
    <w:p>
      <w:pPr>
        <w:spacing w:line="240" w:lineRule="auto" w:before="0"/>
        <w:rPr>
          <w:rFonts w:ascii="黑体" w:hAnsi="黑体" w:cs="黑体" w:eastAsia="黑体" w:hint="default"/>
          <w:b/>
          <w:bCs/>
          <w:sz w:val="30"/>
          <w:szCs w:val="30"/>
        </w:rPr>
      </w:pPr>
    </w:p>
    <w:p>
      <w:pPr>
        <w:spacing w:line="240" w:lineRule="auto" w:before="6"/>
        <w:rPr>
          <w:rFonts w:ascii="黑体" w:hAnsi="黑体" w:cs="黑体" w:eastAsia="黑体" w:hint="default"/>
          <w:b/>
          <w:bCs/>
          <w:sz w:val="21"/>
          <w:szCs w:val="21"/>
        </w:rPr>
      </w:pPr>
    </w:p>
    <w:p>
      <w:pPr>
        <w:pStyle w:val="BodyText"/>
        <w:spacing w:line="357" w:lineRule="auto"/>
        <w:ind w:left="634" w:right="190"/>
        <w:jc w:val="left"/>
      </w:pPr>
      <w:r>
        <w:rPr/>
        <w:t>一、载有公司董事、高管人员签名并加盖公司公章的的2008年年度报告全文及摘要。 二、载有法定代表人左强先生、主管会计工作的负责人龙浩先生、会计机构负责人吴彩</w:t>
      </w:r>
    </w:p>
    <w:p>
      <w:pPr>
        <w:pStyle w:val="BodyText"/>
        <w:spacing w:line="357" w:lineRule="auto" w:before="36"/>
        <w:ind w:left="634" w:right="910" w:hanging="480"/>
        <w:jc w:val="left"/>
      </w:pPr>
      <w:r>
        <w:rPr/>
        <w:t>霞女士签名并盖章的财务报告文本 三、载有会计师事务所盖章、注册会计师签名并盖章的审计报告原件 四、报告期内在《证券时报》上公开披露过的所有公司文件的正本及公告的原稿 五、其他相关资料</w:t>
      </w:r>
    </w:p>
    <w:p>
      <w:pPr>
        <w:pStyle w:val="BodyText"/>
        <w:spacing w:line="240" w:lineRule="auto" w:before="36"/>
        <w:ind w:left="634" w:right="190"/>
        <w:jc w:val="left"/>
      </w:pPr>
      <w:r>
        <w:rPr/>
        <w:t>以上备查文件的备置地点：公司证券部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3"/>
          <w:szCs w:val="33"/>
        </w:rPr>
      </w:pPr>
    </w:p>
    <w:p>
      <w:pPr>
        <w:pStyle w:val="BodyText"/>
        <w:spacing w:line="240" w:lineRule="auto"/>
        <w:ind w:left="0" w:right="171"/>
        <w:jc w:val="right"/>
      </w:pPr>
      <w:r>
        <w:rPr/>
        <w:t>荣信电力电子股份有限公司</w:t>
      </w:r>
    </w:p>
    <w:p>
      <w:pPr>
        <w:pStyle w:val="BodyText"/>
        <w:spacing w:line="388" w:lineRule="auto" w:before="154"/>
        <w:ind w:left="7932" w:right="111" w:hanging="60"/>
        <w:jc w:val="right"/>
      </w:pPr>
      <w:r>
        <w:rPr/>
        <w:t>法定代表人：左强 </w:t>
      </w:r>
      <w:r>
        <w:rPr>
          <w:spacing w:val="25"/>
        </w:rPr>
        <w:t>2009年2月</w:t>
      </w:r>
      <w:r>
        <w:rPr>
          <w:spacing w:val="-55"/>
        </w:rPr>
        <w:t> </w:t>
      </w:r>
      <w:r>
        <w:rPr>
          <w:spacing w:val="20"/>
        </w:rPr>
        <w:t>24日</w:t>
      </w:r>
      <w:r>
        <w:rPr>
          <w:spacing w:val="-60"/>
        </w:rPr>
        <w:t> </w:t>
      </w:r>
      <w:r>
        <w:rPr/>
      </w:r>
    </w:p>
    <w:sectPr>
      <w:pgSz w:w="11910" w:h="16840"/>
      <w:pgMar w:header="877" w:footer="1022" w:top="1060" w:bottom="122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2994pt;margin-top:797.554626pt;width:13pt;height:11pt;mso-position-horizontal-relative:page;mso-position-vertical-relative:page;z-index:-5272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53491pt;margin-top:537.340942pt;width:13pt;height:11pt;mso-position-horizontal-relative:page;mso-position-vertical-relative:page;z-index:-5271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527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527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527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664pt;width:13pt;height:11pt;mso-position-horizontal-relative:page;mso-position-vertical-relative:page;z-index:-527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79.917664pt;width:15.5pt;height:11pt;mso-position-horizontal-relative:page;mso-position-vertical-relative:page;z-index:-52698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79.917664pt;width:17.5pt;height:11pt;mso-position-horizontal-relative:page;mso-position-vertical-relative:page;z-index:-5269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80002pt;width:484.95pt;height:.1pt;mso-position-horizontal-relative:page;mso-position-vertical-relative:page;z-index:-527272" coordorigin="1104,982" coordsize="9699,2">
          <v:shape style="position:absolute;left:1104;top:982;width:9699;height:2" coordorigin="1104,982" coordsize="9699,0" path="m1104,982l10802,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62.179993pt;margin-top:36.325325pt;width:177.45pt;height:11.5pt;mso-position-horizontal-relative:page;mso-position-vertical-relative:page;z-index:-5272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191002pt;margin-top:55.619999pt;width:731.55pt;height:.1pt;mso-position-horizontal-relative:page;mso-position-vertical-relative:page;z-index:-527200" coordorigin="1104,1112" coordsize="14631,2">
          <v:shape style="position:absolute;left:1104;top:1112;width:14631;height:2" coordorigin="1104,1112" coordsize="14631,0" path="m1104,1112l15734,1112e" filled="false" stroked="true" strokeweight=".72pt" strokecolor="#000000">
            <v:path arrowok="t"/>
          </v:shape>
          <w10:wrap type="none"/>
        </v:group>
      </w:pict>
    </w:r>
    <w:r>
      <w:rPr/>
      <w:pict>
        <v:shape style="position:absolute;margin-left:608.770508pt;margin-top:42.865623pt;width:177.45pt;height:11.5pt;mso-position-horizontal-relative:page;mso-position-vertical-relative:page;z-index:-5271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99pt;width:484.95pt;height:.1pt;mso-position-horizontal-relative:page;mso-position-vertical-relative:page;z-index:-527128" coordorigin="1104,1112" coordsize="9699,2">
          <v:shape style="position:absolute;left:1104;top:1112;width:9699;height:2" coordorigin="1104,1112" coordsize="9699,0" path="m1104,1112l10802,1112e" filled="false" stroked="true" strokeweight=".72pt" strokecolor="#000000">
            <v:path arrowok="t"/>
          </v:shape>
          <w10:wrap type="none"/>
        </v:group>
      </w:pict>
    </w:r>
    <w:r>
      <w:rPr/>
      <w:pict>
        <v:shape style="position:absolute;margin-left:362.179993pt;margin-top:42.865326pt;width:177.45pt;height:11.5pt;mso-position-horizontal-relative:page;mso-position-vertical-relative:page;z-index:-5271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56"/>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24"/>
      <w:szCs w:val="24"/>
    </w:rPr>
  </w:style>
  <w:style w:styleId="Heading1" w:type="paragraph">
    <w:name w:val="Heading 1"/>
    <w:basedOn w:val="Normal"/>
    <w:uiPriority w:val="1"/>
    <w:qFormat/>
    <w:pPr>
      <w:spacing w:before="7"/>
      <w:outlineLvl w:val="1"/>
    </w:pPr>
    <w:rPr>
      <w:rFonts w:ascii="黑体" w:hAnsi="黑体" w:eastAsia="黑体"/>
      <w:b/>
      <w:bCs/>
      <w:sz w:val="30"/>
      <w:szCs w:val="30"/>
    </w:rPr>
  </w:style>
  <w:style w:styleId="Heading2" w:type="paragraph">
    <w:name w:val="Heading 2"/>
    <w:basedOn w:val="Normal"/>
    <w:uiPriority w:val="1"/>
    <w:qFormat/>
    <w:pPr>
      <w:outlineLvl w:val="2"/>
    </w:pPr>
    <w:rPr>
      <w:rFonts w:ascii="宋体" w:hAnsi="宋体" w:eastAsia="宋体"/>
      <w:b/>
      <w:bCs/>
      <w:sz w:val="28"/>
      <w:szCs w:val="28"/>
    </w:rPr>
  </w:style>
  <w:style w:styleId="Heading3" w:type="paragraph">
    <w:name w:val="Heading 3"/>
    <w:basedOn w:val="Normal"/>
    <w:uiPriority w:val="1"/>
    <w:qFormat/>
    <w:pPr>
      <w:ind w:left="714"/>
      <w:outlineLvl w:val="3"/>
    </w:pPr>
    <w:rPr>
      <w:rFonts w:ascii="黑体" w:hAnsi="黑体" w:eastAsia="黑体"/>
      <w:sz w:val="28"/>
      <w:szCs w:val="28"/>
    </w:rPr>
  </w:style>
  <w:style w:styleId="Heading4" w:type="paragraph">
    <w:name w:val="Heading 4"/>
    <w:basedOn w:val="Normal"/>
    <w:uiPriority w:val="1"/>
    <w:qFormat/>
    <w:pPr>
      <w:spacing w:before="26"/>
      <w:ind w:left="796"/>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zdb@rxpe.com" TargetMode="External"/><Relationship Id="rId8" Type="http://schemas.openxmlformats.org/officeDocument/2006/relationships/hyperlink" Target="mailto:zht@rxpe.com" TargetMode="External"/><Relationship Id="rId9" Type="http://schemas.openxmlformats.org/officeDocument/2006/relationships/hyperlink" Target="http://www.rxpe.com/" TargetMode="External"/><Relationship Id="rId10" Type="http://schemas.openxmlformats.org/officeDocument/2006/relationships/hyperlink" Target="mailto:rxpe@rxpe.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荣信股份</dc:creator>
  <dc:title>荣信电力电子股份有限公司2007年半年度报告摘要</dc:title>
  <dcterms:created xsi:type="dcterms:W3CDTF">2020-04-01T23:36:55Z</dcterms:created>
  <dcterms:modified xsi:type="dcterms:W3CDTF">2020-04-01T23:36:55Z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2009-02-24T00:00:00Z</vt:filetime>
  </property>
  <property fmtid="{D5CDD505-2E9C-101B-9397-08002B2CF9AE}" pid="3" name="Creator">
    <vt:lpwstr>Acrobat PDFMaker 8.1 for Word</vt:lpwstr>
  </property>
  <property fmtid="{D5CDD505-2E9C-101B-9397-08002B2CF9AE}" pid="4" name="LastSaved">
    <vt:filetime>2020-04-01T00:00:00Z</vt:filetime>
  </property>
</Properties>
</file>