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 w:right="0" w:firstLine="0"/>
        <w:jc w:val="center"/>
        <w:rPr>
          <w:rFonts w:ascii="宋体" w:hAnsi="宋体" w:cs="宋体" w:eastAsia="宋体" w:hint="default"/>
          <w:sz w:val="36"/>
          <w:szCs w:val="36"/>
        </w:rPr>
      </w:pPr>
      <w:r>
        <w:rPr/>
        <w:pict>
          <v:group style="position:absolute;margin-left:55.200001pt;margin-top:-84.77626pt;width:484.95pt;height:.1pt;mso-position-horizontal-relative:page;mso-position-vertical-relative:paragraph;z-index:0" coordorigin="1104,-1696" coordsize="9699,2">
            <v:shape style="position:absolute;left:1104;top:-1696;width:9699;height:2" coordorigin="1104,-1696" coordsize="9699,0" path="m1104,-1696l10802,-1696e" filled="false" stroked="true" strokeweight=".71997pt" strokecolor="#000000">
              <v:path arrowok="t"/>
            </v:shape>
            <w10:wrap type="none"/>
          </v:group>
        </w:pict>
      </w:r>
      <w:r>
        <w:rPr>
          <w:rFonts w:ascii="宋体" w:hAnsi="宋体" w:cs="宋体" w:eastAsia="宋体" w:hint="default"/>
          <w:b/>
          <w:bCs/>
          <w:sz w:val="36"/>
          <w:szCs w:val="36"/>
        </w:rPr>
        <w:t>荣信电力电子股份有限公司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 w:right="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 w:right="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7"/>
        <w:rPr>
          <w:rFonts w:ascii="宋体" w:hAnsi="宋体" w:cs="宋体" w:eastAsia="宋体" w:hint="default"/>
          <w:b/>
          <w:bCs/>
          <w:sz w:val="46"/>
          <w:szCs w:val="46"/>
        </w:rPr>
      </w:pPr>
    </w:p>
    <w:p>
      <w:pPr>
        <w:pStyle w:val="BodyText"/>
        <w:spacing w:line="410" w:lineRule="auto"/>
        <w:ind w:right="0" w:firstLine="420"/>
        <w:jc w:val="left"/>
      </w:pPr>
      <w:r>
        <w:rPr>
          <w:spacing w:val="-1"/>
        </w:rPr>
        <w:t>本公司董事会、监事会及董事、监事、高级管理人员保证本报告所载资料不存在任何虚假记载、误导</w:t>
      </w:r>
      <w:r>
        <w:rPr/>
        <w:t> 性陈述或者重大遗漏，并对其内容的真实性、准确性和完整性承担个别及连带责任。</w:t>
      </w:r>
    </w:p>
    <w:p>
      <w:pPr>
        <w:pStyle w:val="BodyText"/>
        <w:spacing w:line="386" w:lineRule="auto" w:before="143"/>
        <w:ind w:left="153" w:right="0" w:firstLine="420"/>
        <w:jc w:val="left"/>
      </w:pPr>
      <w:r>
        <w:rPr/>
        <w:t>公司负责人左强、主管会计工作负责人龙浩及会计机构负责人</w:t>
      </w: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t>陈宏声明：保证年度报 告中财务报告的真实、准确、完整。</w:t>
      </w:r>
    </w:p>
    <w:p>
      <w:pPr>
        <w:pStyle w:val="BodyText"/>
        <w:spacing w:line="496" w:lineRule="auto" w:before="164"/>
        <w:ind w:left="573" w:right="3681"/>
        <w:jc w:val="left"/>
      </w:pPr>
      <w:r>
        <w:rPr/>
        <w:t>所有董事均已出席了审议本报告的董事会会议。 公司计划不派发现金红利，不送红股，不以公积金转增股本。</w:t>
      </w:r>
    </w:p>
    <w:p>
      <w:pPr>
        <w:spacing w:after="0" w:line="496" w:lineRule="auto"/>
        <w:jc w:val="left"/>
        <w:sectPr>
          <w:footerReference w:type="default" r:id="rId7"/>
          <w:pgSz w:w="11910" w:h="16840"/>
          <w:pgMar w:footer="982" w:header="747" w:top="1060" w:bottom="1180" w:left="980" w:right="98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tabs>
          <w:tab w:pos="1084"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50"/>
          <w:szCs w:val="50"/>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 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78" w:val="right" w:leader="dot"/>
            </w:tabs>
            <w:spacing w:line="240" w:lineRule="auto" w:before="218"/>
            <w:ind w:right="0"/>
            <w:jc w:val="left"/>
            <w:rPr>
              <w:rFonts w:ascii="Times New Roman" w:hAnsi="Times New Roman" w:cs="Times New Roman" w:eastAsia="Times New Roman" w:hint="default"/>
              <w:b w:val="0"/>
              <w:bCs w:val="0"/>
            </w:rPr>
          </w:pPr>
          <w:hyperlink w:history="true" w:anchor="_TOC_250008">
            <w:r>
              <w:rPr/>
              <w:t>第三节 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 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 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1" w:val="right" w:leader="dot"/>
            </w:tabs>
            <w:spacing w:line="240" w:lineRule="auto" w:before="218"/>
            <w:ind w:right="0"/>
            <w:jc w:val="left"/>
            <w:rPr>
              <w:rFonts w:ascii="Times New Roman" w:hAnsi="Times New Roman" w:cs="Times New Roman" w:eastAsia="Times New Roman" w:hint="default"/>
              <w:b w:val="0"/>
              <w:bCs w:val="0"/>
            </w:rPr>
          </w:pPr>
          <w:hyperlink w:history="true" w:anchor="_TOC_250005">
            <w:r>
              <w:rPr/>
              <w:t>第六节 股份变动及股东情况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 董事、监事、高级管理人员和员工情况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 公司治理</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before="218"/>
            <w:ind w:right="0"/>
            <w:jc w:val="left"/>
            <w:rPr>
              <w:rFonts w:ascii="Times New Roman" w:hAnsi="Times New Roman" w:cs="Times New Roman" w:eastAsia="Times New Roman" w:hint="default"/>
              <w:b w:val="0"/>
              <w:bCs w:val="0"/>
            </w:rPr>
          </w:pPr>
          <w:hyperlink w:history="true" w:anchor="_TOC_250002">
            <w:r>
              <w:rPr/>
              <w:t>第九节 内部控制</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 财务报告</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t>140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2" w:top="1060" w:bottom="1180" w:left="980" w:right="980"/>
        </w:sectPr>
      </w:pPr>
    </w:p>
    <w:p>
      <w:pPr>
        <w:spacing w:before="946"/>
        <w:ind w:left="1" w:right="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公司、荣信股份、本公司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SVC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Static </w:t>
            </w:r>
            <w:r>
              <w:rPr>
                <w:rFonts w:ascii="Times New Roman" w:hAnsi="Times New Roman" w:cs="Times New Roman" w:eastAsia="Times New Roman" w:hint="default"/>
                <w:spacing w:val="-7"/>
                <w:sz w:val="18"/>
                <w:szCs w:val="18"/>
              </w:rPr>
              <w:t>Var</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Compensator</w:t>
            </w:r>
            <w:r>
              <w:rPr>
                <w:rFonts w:ascii="宋体" w:hAnsi="宋体" w:cs="宋体" w:eastAsia="宋体" w:hint="default"/>
                <w:sz w:val="18"/>
                <w:szCs w:val="18"/>
              </w:rPr>
              <w:t>，高压动态无功补偿装置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MABZ</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智能瓦斯排放装置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电力滤波装置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HVC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High </w:t>
            </w:r>
            <w:r>
              <w:rPr>
                <w:rFonts w:ascii="Times New Roman" w:hAnsi="Times New Roman" w:cs="Times New Roman" w:eastAsia="Times New Roman" w:hint="default"/>
                <w:spacing w:val="-4"/>
                <w:sz w:val="18"/>
                <w:szCs w:val="18"/>
              </w:rPr>
              <w:t>Voltage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Converter</w:t>
            </w:r>
            <w:r>
              <w:rPr>
                <w:rFonts w:ascii="宋体" w:hAnsi="宋体" w:cs="宋体" w:eastAsia="宋体" w:hint="default"/>
                <w:sz w:val="18"/>
                <w:szCs w:val="18"/>
              </w:rPr>
              <w:t>，高压变频装置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VFS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Variable </w:t>
            </w:r>
            <w:r>
              <w:rPr>
                <w:rFonts w:ascii="Times New Roman" w:hAnsi="Times New Roman" w:cs="Times New Roman" w:eastAsia="Times New Roman" w:hint="default"/>
                <w:sz w:val="18"/>
                <w:szCs w:val="18"/>
              </w:rPr>
              <w:t>Frequency Starter</w:t>
            </w:r>
            <w:r>
              <w:rPr>
                <w:rFonts w:ascii="宋体" w:hAnsi="宋体" w:cs="宋体" w:eastAsia="宋体" w:hint="default"/>
                <w:sz w:val="18"/>
                <w:szCs w:val="18"/>
              </w:rPr>
              <w:t>，高压软起动装置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SVG</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STATCOM</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高压大功率静止无功发生器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HVDC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轻型直流输电系统</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FSC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串补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FCL</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高压固态开关</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HPR</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整流器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PVVC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光伏逆变器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EPC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工程总包</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3" w:right="0"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0"/>
        <w:rPr>
          <w:rFonts w:ascii="宋体" w:hAnsi="宋体" w:cs="宋体" w:eastAsia="宋体" w:hint="default"/>
          <w:b/>
          <w:bCs/>
          <w:sz w:val="24"/>
          <w:szCs w:val="24"/>
        </w:rPr>
      </w:pPr>
    </w:p>
    <w:p>
      <w:pPr>
        <w:pStyle w:val="BodyText"/>
        <w:spacing w:line="400" w:lineRule="auto"/>
        <w:ind w:left="153" w:right="150" w:firstLine="420"/>
        <w:jc w:val="both"/>
      </w:pPr>
      <w:r>
        <w:rPr/>
        <w:t>（</w:t>
      </w:r>
      <w:r>
        <w:rPr>
          <w:rFonts w:ascii="Times New Roman" w:hAnsi="Times New Roman" w:cs="Times New Roman" w:eastAsia="Times New Roman" w:hint="default"/>
        </w:rPr>
        <w:t>1</w:t>
      </w:r>
      <w:r>
        <w:rPr/>
        <w:t>）应收账款发生坏账的风险。截至</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日，公司应收账款余额为</w:t>
      </w:r>
      <w:r>
        <w:rPr>
          <w:spacing w:val="-58"/>
        </w:rPr>
        <w:t> </w:t>
      </w:r>
      <w:r>
        <w:rPr>
          <w:rFonts w:ascii="Times New Roman" w:hAnsi="Times New Roman" w:cs="Times New Roman" w:eastAsia="Times New Roman" w:hint="default"/>
        </w:rPr>
        <w:t>134,698.02</w:t>
      </w:r>
      <w:r>
        <w:rPr>
          <w:rFonts w:ascii="Times New Roman" w:hAnsi="Times New Roman" w:cs="Times New Roman" w:eastAsia="Times New Roman" w:hint="default"/>
          <w:spacing w:val="-5"/>
        </w:rPr>
        <w:t> </w:t>
      </w:r>
      <w:r>
        <w:rPr/>
        <w:t>万元，占 流动资产的 </w:t>
      </w:r>
      <w:r>
        <w:rPr>
          <w:rFonts w:ascii="Times New Roman" w:hAnsi="Times New Roman" w:cs="Times New Roman" w:eastAsia="Times New Roman" w:hint="default"/>
        </w:rPr>
        <w:t>42.27%</w:t>
      </w:r>
      <w:r>
        <w:rPr/>
        <w:t>，占总资产的</w:t>
      </w:r>
      <w:r>
        <w:rPr>
          <w:spacing w:val="-65"/>
        </w:rPr>
        <w:t> </w:t>
      </w:r>
      <w:r>
        <w:rPr>
          <w:rFonts w:ascii="Times New Roman" w:hAnsi="Times New Roman" w:cs="Times New Roman" w:eastAsia="Times New Roman" w:hint="default"/>
        </w:rPr>
        <w:t>31.96%</w:t>
      </w:r>
      <w:r>
        <w:rPr/>
        <w:t>。公司应收账款规模增长主要是由于公司业务规模扩大且信用政 </w:t>
      </w:r>
      <w:r>
        <w:rPr>
          <w:spacing w:val="-1"/>
        </w:rPr>
        <w:t>策有所放松所致。公司应收账款债务人主要是冶金、煤炭、电力等行业内的大中型企业，部分客户受宏观</w:t>
      </w:r>
      <w:r>
        <w:rPr>
          <w:spacing w:val="-82"/>
        </w:rPr>
        <w:t> </w:t>
      </w:r>
      <w:r>
        <w:rPr>
          <w:spacing w:val="-82"/>
        </w:rPr>
      </w:r>
      <w:r>
        <w:rPr>
          <w:spacing w:val="-1"/>
        </w:rPr>
        <w:t>经济环境等因素影响导致付款周期有所延长。若宏观经济环境、客户经营状况等发生不利变化，将导致公</w:t>
      </w:r>
      <w:r>
        <w:rPr>
          <w:spacing w:val="-83"/>
        </w:rPr>
        <w:t> </w:t>
      </w:r>
      <w:r>
        <w:rPr>
          <w:spacing w:val="-83"/>
        </w:rPr>
      </w:r>
      <w:r>
        <w:rPr>
          <w:spacing w:val="-1"/>
        </w:rPr>
        <w:t>司面临坏账的风险。公司采取加大应收账款催收力度、将应收账款投保及足额计提减值准备等措施防范经</w:t>
      </w:r>
      <w:r>
        <w:rPr>
          <w:spacing w:val="-81"/>
        </w:rPr>
        <w:t> </w:t>
      </w:r>
      <w:r>
        <w:rPr>
          <w:spacing w:val="-81"/>
        </w:rPr>
      </w:r>
      <w:r>
        <w:rPr/>
        <w:t>营风险。</w:t>
      </w:r>
    </w:p>
    <w:p>
      <w:pPr>
        <w:pStyle w:val="BodyText"/>
        <w:spacing w:line="398" w:lineRule="auto" w:before="152"/>
        <w:ind w:left="153" w:right="147" w:firstLine="420"/>
        <w:jc w:val="both"/>
      </w:pPr>
      <w:r>
        <w:rPr/>
        <w:t>（</w:t>
      </w:r>
      <w:r>
        <w:rPr>
          <w:rFonts w:ascii="Times New Roman" w:hAnsi="Times New Roman" w:cs="Times New Roman" w:eastAsia="Times New Roman" w:hint="default"/>
        </w:rPr>
        <w:t>2</w:t>
      </w:r>
      <w:r>
        <w:rPr/>
        <w:t>）毛利下降风险。随着公司产品市场需求的迅速增长，参与竞争的企业将逐步增加及人力成本的</w:t>
      </w:r>
      <w:r>
        <w:rPr>
          <w:spacing w:val="2"/>
        </w:rPr>
        <w:t> </w:t>
      </w:r>
      <w:r>
        <w:rPr>
          <w:spacing w:val="-1"/>
        </w:rPr>
        <w:t>提高使公司产品的毛利有下降的趋势。公司将通过增加研发投入，走高端路线保持产品高技术含量、推进</w:t>
      </w:r>
      <w:r>
        <w:rPr>
          <w:spacing w:val="-83"/>
        </w:rPr>
        <w:t> </w:t>
      </w:r>
      <w:r>
        <w:rPr>
          <w:spacing w:val="-83"/>
        </w:rPr>
      </w:r>
      <w:r>
        <w:rPr/>
        <w:t>产业技术升级、提高订单的整体质量等方式来稳定产品的利润水平。</w:t>
      </w:r>
    </w:p>
    <w:p>
      <w:pPr>
        <w:pStyle w:val="BodyText"/>
        <w:spacing w:line="400" w:lineRule="auto" w:before="153"/>
        <w:ind w:left="153" w:right="147" w:firstLine="420"/>
        <w:jc w:val="both"/>
      </w:pPr>
      <w:r>
        <w:rPr/>
        <w:t>（</w:t>
      </w:r>
      <w:r>
        <w:rPr>
          <w:rFonts w:ascii="Times New Roman" w:hAnsi="Times New Roman" w:cs="Times New Roman" w:eastAsia="Times New Roman" w:hint="default"/>
        </w:rPr>
        <w:t>3</w:t>
      </w:r>
      <w:r>
        <w:rPr/>
        <w:t>）市场风险。由于本行业在国家政策支持和在节能减排的宏观背景下，市场空间广阔，市场参与</w:t>
      </w:r>
      <w:r>
        <w:rPr>
          <w:spacing w:val="2"/>
        </w:rPr>
        <w:t> </w:t>
      </w:r>
      <w:r>
        <w:rPr>
          <w:spacing w:val="-1"/>
        </w:rPr>
        <w:t>者逐渐增加，市场竞争逐渐加剧，导致市场份额下降及销售规模增速放缓的市场风险。公司将通过开拓新</w:t>
      </w:r>
      <w:r>
        <w:rPr>
          <w:spacing w:val="-83"/>
        </w:rPr>
        <w:t> </w:t>
      </w:r>
      <w:r>
        <w:rPr>
          <w:spacing w:val="-83"/>
        </w:rPr>
      </w:r>
      <w:r>
        <w:rPr>
          <w:spacing w:val="-1"/>
        </w:rPr>
        <w:t>的市场领域，加快产品国际化进程、加快技术升级速度和新产品产业化进程保证市场竞争力，实现销售规</w:t>
      </w:r>
      <w:r>
        <w:rPr>
          <w:spacing w:val="-83"/>
        </w:rPr>
        <w:t> </w:t>
      </w:r>
      <w:r>
        <w:rPr>
          <w:spacing w:val="-83"/>
        </w:rPr>
      </w:r>
      <w:r>
        <w:rPr/>
        <w:t>模稳定增长。</w:t>
      </w:r>
    </w:p>
    <w:p>
      <w:pPr>
        <w:pStyle w:val="BodyText"/>
        <w:spacing w:line="400" w:lineRule="auto" w:before="151"/>
        <w:ind w:left="153" w:right="147" w:firstLine="420"/>
        <w:jc w:val="both"/>
      </w:pPr>
      <w:r>
        <w:rPr/>
        <w:t>（</w:t>
      </w:r>
      <w:r>
        <w:rPr>
          <w:rFonts w:ascii="Times New Roman" w:hAnsi="Times New Roman" w:cs="Times New Roman" w:eastAsia="Times New Roman" w:hint="default"/>
        </w:rPr>
        <w:t>4</w:t>
      </w:r>
      <w:r>
        <w:rPr/>
        <w:t>）管理风险。企业经营规模的扩张，将对公司管理团队的管理和协调能力提出较高的要求，为此</w:t>
      </w:r>
      <w:r>
        <w:rPr>
          <w:spacing w:val="2"/>
        </w:rPr>
        <w:t> </w:t>
      </w:r>
      <w:r>
        <w:rPr>
          <w:spacing w:val="-1"/>
        </w:rPr>
        <w:t>公司将进一步加强管理队伍建设，通过加强对现有管理人员的培训，不断提高其管理水平和协调能力。完</w:t>
      </w:r>
      <w:r>
        <w:rPr>
          <w:spacing w:val="-83"/>
        </w:rPr>
        <w:t> </w:t>
      </w:r>
      <w:r>
        <w:rPr>
          <w:spacing w:val="-83"/>
        </w:rPr>
      </w:r>
      <w:r>
        <w:rPr>
          <w:spacing w:val="-1"/>
        </w:rPr>
        <w:t>善公司治理的经营管理机制，形成更加科学有效的决策机制，同时不断完善绩效考核机制，形成更加有效</w:t>
      </w:r>
      <w:r>
        <w:rPr>
          <w:spacing w:val="-83"/>
        </w:rPr>
        <w:t> </w:t>
      </w:r>
      <w:r>
        <w:rPr>
          <w:spacing w:val="-83"/>
        </w:rPr>
      </w:r>
      <w:r>
        <w:rPr/>
        <w:t>的激励约束机制，使公司的经营模式和管理机制能够更加符合公司发展需要。</w:t>
      </w:r>
    </w:p>
    <w:p>
      <w:pPr>
        <w:pStyle w:val="BodyText"/>
        <w:spacing w:line="393" w:lineRule="auto" w:before="152"/>
        <w:ind w:left="153" w:right="147" w:firstLine="420"/>
        <w:jc w:val="both"/>
      </w:pPr>
      <w:r>
        <w:rPr/>
        <w:t>（</w:t>
      </w:r>
      <w:r>
        <w:rPr>
          <w:rFonts w:ascii="Times New Roman" w:hAnsi="Times New Roman" w:cs="Times New Roman" w:eastAsia="Times New Roman" w:hint="default"/>
        </w:rPr>
        <w:t>5</w:t>
      </w:r>
      <w:r>
        <w:rPr/>
        <w:t>）订单取消风险。公司主导产品为定制化的产品，实行订单生产，由于公司订单执行期较长，报</w:t>
      </w:r>
      <w:r>
        <w:rPr>
          <w:spacing w:val="2"/>
        </w:rPr>
        <w:t> </w:t>
      </w:r>
      <w:r>
        <w:rPr/>
        <w:t>告期末，公司及控股子公司未执行合同</w:t>
      </w:r>
      <w:r>
        <w:rPr>
          <w:spacing w:val="-34"/>
        </w:rPr>
        <w:t> </w:t>
      </w:r>
      <w:r>
        <w:rPr>
          <w:rFonts w:ascii="Times New Roman" w:hAnsi="Times New Roman" w:cs="Times New Roman" w:eastAsia="Times New Roman" w:hint="default"/>
        </w:rPr>
        <w:t>211,459.71</w:t>
      </w:r>
      <w:r>
        <w:rPr>
          <w:rFonts w:ascii="Times New Roman" w:hAnsi="Times New Roman" w:cs="Times New Roman" w:eastAsia="Times New Roman" w:hint="default"/>
          <w:spacing w:val="19"/>
        </w:rPr>
        <w:t> </w:t>
      </w:r>
      <w:r>
        <w:rPr/>
        <w:t>万元（含税）结转至</w:t>
      </w:r>
      <w:r>
        <w:rPr>
          <w:spacing w:val="-3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9"/>
        </w:rPr>
        <w:t> </w:t>
      </w:r>
      <w:r>
        <w:rPr/>
        <w:t>年执行。未执行订单在履行 </w:t>
      </w:r>
      <w:r>
        <w:rPr>
          <w:spacing w:val="-1"/>
        </w:rPr>
        <w:t>过程中如果遇到宏观经济环境、客户经营状况发生不利变化等不可预计的或不可抗力等因素的影响，有可</w:t>
      </w:r>
      <w:r>
        <w:rPr>
          <w:spacing w:val="-81"/>
        </w:rPr>
        <w:t> </w:t>
      </w:r>
      <w:r>
        <w:rPr>
          <w:spacing w:val="-81"/>
        </w:rPr>
      </w:r>
      <w:r>
        <w:rPr/>
        <w:t>能会导致订单无法全部履行或终止的风险。</w:t>
      </w:r>
    </w:p>
    <w:p>
      <w:pPr>
        <w:spacing w:after="0" w:line="393"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137.88031pt;margin-top:269.760010pt;width:397.05pt;height:19.6pt;mso-position-horizontal-relative:page;mso-position-vertical-relative:page;z-index:-96412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1"/>
        <w:spacing w:line="240" w:lineRule="auto"/>
        <w:ind w:right="0"/>
        <w:jc w:val="center"/>
        <w:rPr>
          <w:b w:val="0"/>
          <w:bCs w:val="0"/>
        </w:rPr>
      </w:pPr>
      <w:bookmarkStart w:name="_TOC_250009"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2"/>
        <w:gridCol w:w="2953"/>
        <w:gridCol w:w="2156"/>
        <w:gridCol w:w="2177"/>
      </w:tblGrid>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荣信股份</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002123</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荣信股份</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RONGXIN POWER ELECTRONIC  </w:t>
            </w:r>
            <w:r>
              <w:rPr>
                <w:rFonts w:ascii="Times New Roman"/>
                <w:spacing w:val="42"/>
                <w:sz w:val="18"/>
              </w:rPr>
              <w:t> </w:t>
            </w:r>
            <w:r>
              <w:rPr>
                <w:rFonts w:ascii="Times New Roman"/>
                <w:spacing w:val="-3"/>
                <w:sz w:val="18"/>
              </w:rPr>
              <w:t>CO.,LTD.</w:t>
            </w:r>
          </w:p>
        </w:tc>
      </w:tr>
      <w:tr>
        <w:trPr>
          <w:trHeight w:val="402" w:hRule="exact"/>
        </w:trPr>
        <w:tc>
          <w:tcPr>
            <w:tcW w:w="2282"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9" w:space="0" w:color="FFFFFF"/>
              <w:bottom w:val="single" w:sz="4" w:space="0" w:color="000000"/>
              <w:right w:val="single" w:sz="9" w:space="0" w:color="FFFFFF"/>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z w:val="18"/>
              </w:rPr>
              <w:t>RXPE</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鞍山高新区鞍千路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114051</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鞍山高新区科技路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114051</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8">
              <w:r>
                <w:rPr>
                  <w:rFonts w:ascii="Times New Roman"/>
                  <w:sz w:val="18"/>
                </w:rPr>
                <w:t>www.rxpe.com</w:t>
              </w:r>
            </w:hyperlink>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zqb@rxpe.com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张洪涛</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鞍山高新区科技路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鞍山高新区科技路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0412-7213602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0412-7213602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0412-7213646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0412-7213646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zdb@rxpe.com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zht@rxpe.com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鞍山高新区科技路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号公司证券事务部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辽宁省工商行政管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2100001050674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2"/>
              <w:jc w:val="right"/>
              <w:rPr>
                <w:rFonts w:ascii="Times New Roman" w:hAnsi="Times New Roman" w:cs="Times New Roman" w:eastAsia="Times New Roman" w:hint="default"/>
                <w:sz w:val="18"/>
                <w:szCs w:val="18"/>
              </w:rPr>
            </w:pPr>
            <w:r>
              <w:rPr>
                <w:rFonts w:ascii="Times New Roman"/>
                <w:spacing w:val="-1"/>
                <w:w w:val="95"/>
                <w:sz w:val="18"/>
              </w:rPr>
              <w:t>210301118887313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11888731-3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辽宁省工商行政管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210000004920217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2"/>
              <w:jc w:val="right"/>
              <w:rPr>
                <w:rFonts w:ascii="Times New Roman" w:hAnsi="Times New Roman" w:cs="Times New Roman" w:eastAsia="Times New Roman" w:hint="default"/>
                <w:sz w:val="18"/>
                <w:szCs w:val="18"/>
              </w:rPr>
            </w:pPr>
            <w:r>
              <w:rPr>
                <w:rFonts w:ascii="Times New Roman"/>
                <w:spacing w:val="-1"/>
                <w:w w:val="95"/>
                <w:sz w:val="18"/>
              </w:rPr>
              <w:t>210301118887313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11888731-3</w:t>
            </w: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深圳市福田区滨河大厦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5020 </w:t>
            </w:r>
            <w:r>
              <w:rPr>
                <w:rFonts w:ascii="宋体" w:hAnsi="宋体" w:cs="宋体" w:eastAsia="宋体" w:hint="default"/>
                <w:sz w:val="18"/>
                <w:szCs w:val="18"/>
              </w:rPr>
              <w:t>号证券大厦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w:t>
            </w:r>
            <w:r>
              <w:rPr>
                <w:rFonts w:ascii="宋体" w:hAnsi="宋体" w:cs="宋体" w:eastAsia="宋体" w:hint="default"/>
                <w:sz w:val="18"/>
                <w:szCs w:val="18"/>
              </w:rPr>
              <w:t>、十六层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朱伟峰  赵国梁</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8"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9"/>
        <w:gridCol w:w="1735"/>
      </w:tblGrid>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1,287,133,495.51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1,630,819,959.31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1,336,892,015.01</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115,326,193.41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283,780,765.05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267,368,663.33</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104,376,211.64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266,906,235.30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223,304,140.50</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-176,363,519.26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-157,782,096.96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26,006,401.63</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18.51%</w:t>
            </w:r>
          </w:p>
        </w:tc>
      </w:tr>
      <w:tr>
        <w:trPr>
          <w:trHeight w:val="161" w:hRule="exact"/>
        </w:trPr>
        <w:tc>
          <w:tcPr>
            <w:tcW w:w="2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7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92" w:hRule="exact"/>
        </w:trPr>
        <w:tc>
          <w:tcPr>
            <w:tcW w:w="2620" w:type="dxa"/>
            <w:tcBorders>
              <w:top w:val="nil" w:sz="6" w:space="0" w:color="auto"/>
              <w:left w:val="single" w:sz="4" w:space="0" w:color="000000"/>
              <w:bottom w:val="nil" w:sz="6" w:space="0" w:color="auto"/>
              <w:right w:val="single" w:sz="4" w:space="0" w:color="000000"/>
            </w:tcBorders>
            <w:shd w:val="clear" w:color="auto" w:fill="D3D3D3"/>
          </w:tcPr>
          <w:p>
            <w:pPr/>
          </w:p>
        </w:tc>
        <w:tc>
          <w:tcPr>
            <w:tcW w:w="1738" w:type="dxa"/>
            <w:vMerge/>
            <w:tcBorders>
              <w:left w:val="single" w:sz="4" w:space="0" w:color="000000"/>
              <w:right w:val="single" w:sz="4" w:space="0" w:color="000000"/>
            </w:tcBorders>
            <w:shd w:val="clear" w:color="auto" w:fill="D3D3D3"/>
          </w:tcPr>
          <w:p>
            <w:pPr/>
          </w:p>
        </w:tc>
        <w:tc>
          <w:tcPr>
            <w:tcW w:w="1738" w:type="dxa"/>
            <w:vMerge/>
            <w:tcBorders>
              <w:left w:val="single" w:sz="4" w:space="0" w:color="000000"/>
              <w:right w:val="single" w:sz="4" w:space="0" w:color="000000"/>
            </w:tcBorders>
            <w:shd w:val="clear" w:color="auto" w:fill="D3D3D3"/>
          </w:tcPr>
          <w:p>
            <w:pPr/>
          </w:p>
        </w:tc>
        <w:tc>
          <w:tcPr>
            <w:tcW w:w="1739" w:type="dxa"/>
            <w:vMerge/>
            <w:tcBorders>
              <w:left w:val="single" w:sz="4" w:space="0" w:color="000000"/>
              <w:right w:val="single" w:sz="4" w:space="0" w:color="000000"/>
            </w:tcBorders>
            <w:shd w:val="clear" w:color="auto" w:fill="D3D3D3"/>
          </w:tcPr>
          <w:p>
            <w:pPr/>
          </w:p>
        </w:tc>
        <w:tc>
          <w:tcPr>
            <w:tcW w:w="1735" w:type="dxa"/>
            <w:vMerge/>
            <w:tcBorders>
              <w:left w:val="single" w:sz="4" w:space="0" w:color="000000"/>
              <w:right w:val="single" w:sz="4" w:space="0" w:color="000000"/>
            </w:tcBorders>
            <w:shd w:val="clear" w:color="auto" w:fill="D3D3D3"/>
          </w:tcPr>
          <w:p>
            <w:pPr/>
          </w:p>
        </w:tc>
      </w:tr>
      <w:tr>
        <w:trPr>
          <w:trHeight w:val="161" w:hRule="exact"/>
        </w:trPr>
        <w:tc>
          <w:tcPr>
            <w:tcW w:w="2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4,214,032,344.58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3,450,506,107.18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2,909,155,434.91</w:t>
            </w:r>
          </w:p>
        </w:tc>
      </w:tr>
      <w:tr>
        <w:trPr>
          <w:trHeight w:val="1026"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9" w:lineRule="auto" w:before="76"/>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5"/>
                <w:sz w:val="18"/>
                <w:szCs w:val="18"/>
              </w:rPr>
              <w:t>权益）（元）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2,120,142,051.68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1,952,187,476.43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1,582,304,582.31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4,938,865.84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3,602,378.77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386,742.14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9,496,039.96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16,220,915.34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22,672,795.76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25,612,700.00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-713,370.00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19"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259,612.64</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626,922.21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1,053,782.38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289,550.26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1,961,441.00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3,200,351.24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4,928,528.87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1,437,035.24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802,195.50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228,349.10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10,949,981.77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16,874,529.75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44,064,522.83</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3"/>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47"/>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6"/>
        <w:rPr>
          <w:rFonts w:ascii="宋体" w:hAnsi="宋体" w:cs="宋体" w:eastAsia="宋体" w:hint="default"/>
          <w:b/>
          <w:bCs/>
          <w:sz w:val="30"/>
          <w:szCs w:val="30"/>
        </w:rPr>
      </w:pPr>
    </w:p>
    <w:p>
      <w:pPr>
        <w:pStyle w:val="BodyText"/>
        <w:spacing w:line="400" w:lineRule="auto"/>
        <w:ind w:right="211" w:firstLine="480"/>
        <w:jc w:val="both"/>
      </w:pPr>
      <w:r>
        <w:rPr>
          <w:rFonts w:ascii="Times New Roman" w:hAnsi="Times New Roman" w:cs="Times New Roman" w:eastAsia="Times New Roman" w:hint="default"/>
          <w:spacing w:val="-2"/>
        </w:rPr>
        <w:t>2012</w:t>
      </w:r>
      <w:r>
        <w:rPr>
          <w:spacing w:val="-2"/>
        </w:rPr>
        <w:t>年，在全球经济低迷大潮下，中国经济亦呈现出自全球金融危机爆发以来的最低增速，国内各行</w:t>
      </w:r>
      <w:r>
        <w:rPr/>
        <w:t> </w:t>
      </w:r>
      <w:r>
        <w:rPr>
          <w:spacing w:val="-1"/>
        </w:rPr>
        <w:t>业深受其影响，尤其装备制造业成为重灾区。在这一形势之下，荣信公司也遇到了前所未有的冲击。上游</w:t>
      </w:r>
      <w:r>
        <w:rPr>
          <w:spacing w:val="-82"/>
        </w:rPr>
        <w:t> </w:t>
      </w:r>
      <w:r>
        <w:rPr>
          <w:spacing w:val="-82"/>
        </w:rPr>
      </w:r>
      <w:r>
        <w:rPr>
          <w:spacing w:val="-1"/>
        </w:rPr>
        <w:t>产业放缓，行业产能过剩，恶性竞争加剧，公司规模持续扩张而积累的管理上的弊端开始显现，影响了公</w:t>
      </w:r>
      <w:r>
        <w:rPr>
          <w:spacing w:val="-82"/>
        </w:rPr>
        <w:t> </w:t>
      </w:r>
      <w:r>
        <w:rPr>
          <w:spacing w:val="-82"/>
        </w:rPr>
      </w:r>
      <w:r>
        <w:rPr/>
        <w:t>司前进的脚步和经营业绩。</w:t>
      </w:r>
    </w:p>
    <w:p>
      <w:pPr>
        <w:pStyle w:val="BodyText"/>
        <w:spacing w:line="386" w:lineRule="auto" w:before="52"/>
        <w:ind w:right="209" w:firstLine="480"/>
        <w:jc w:val="both"/>
      </w:pPr>
      <w:r>
        <w:rPr>
          <w:rFonts w:ascii="Times New Roman" w:hAnsi="Times New Roman" w:cs="Times New Roman" w:eastAsia="Times New Roman" w:hint="default"/>
          <w:spacing w:val="-2"/>
        </w:rPr>
        <w:t>2012</w:t>
      </w:r>
      <w:r>
        <w:rPr>
          <w:spacing w:val="-2"/>
        </w:rPr>
        <w:t>年，公司在逆境中奋力搏击，经霜历雪，比以往任何时候都更加成熟起来，在全行业纷纷表现暗</w:t>
      </w:r>
      <w:r>
        <w:rPr/>
        <w:t> 淡的环境中仍然闪耀着诸多亮点。</w:t>
      </w:r>
    </w:p>
    <w:p>
      <w:pPr>
        <w:pStyle w:val="BodyText"/>
        <w:spacing w:line="408" w:lineRule="auto" w:before="65"/>
        <w:ind w:right="209" w:firstLine="480"/>
        <w:jc w:val="both"/>
      </w:pPr>
      <w:r>
        <w:rPr>
          <w:spacing w:val="-2"/>
        </w:rPr>
        <w:t>报告期，公司深化管理变革，初步达到预期效果。产品质量和服务更上一个台阶，设备一次投运率大</w:t>
      </w:r>
      <w:r>
        <w:rPr/>
        <w:t> </w:t>
      </w:r>
      <w:r>
        <w:rPr>
          <w:spacing w:val="-1"/>
        </w:rPr>
        <w:t>幅提升，覆盖全国的快速响应服务体系正在建成，在关乎企业命脉的关键环节为公司注入了正能量，并正</w:t>
      </w:r>
      <w:r>
        <w:rPr>
          <w:spacing w:val="-83"/>
        </w:rPr>
        <w:t> </w:t>
      </w:r>
      <w:r>
        <w:rPr>
          <w:spacing w:val="-83"/>
        </w:rPr>
      </w:r>
      <w:r>
        <w:rPr/>
        <w:t>在与竞争对手拉大差距，在此基础上，公司多项产品技术均取得了新突破。</w:t>
      </w:r>
    </w:p>
    <w:p>
      <w:pPr>
        <w:pStyle w:val="BodyText"/>
        <w:spacing w:line="386" w:lineRule="auto" w:before="46"/>
        <w:ind w:right="212" w:firstLine="480"/>
        <w:jc w:val="both"/>
      </w:pPr>
      <w:r>
        <w:rPr/>
        <w:t>（一）</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SVG</w:t>
      </w:r>
      <w:r>
        <w:rPr/>
        <w:t>业务继续快速发展，总装机量达到</w:t>
      </w:r>
      <w:r>
        <w:rPr>
          <w:rFonts w:ascii="Times New Roman" w:hAnsi="Times New Roman" w:cs="Times New Roman" w:eastAsia="Times New Roman" w:hint="default"/>
        </w:rPr>
        <w:t>800</w:t>
      </w:r>
      <w:r>
        <w:rPr/>
        <w:t>套，无论技术水平和市场占有率均在国内 稳居首位，创造了多项业界第一。</w:t>
      </w:r>
    </w:p>
    <w:p>
      <w:pPr>
        <w:pStyle w:val="BodyText"/>
        <w:spacing w:line="240" w:lineRule="auto" w:before="65"/>
        <w:ind w:left="633" w:right="0"/>
        <w:jc w:val="left"/>
      </w:pPr>
      <w:r>
        <w:rPr>
          <w:spacing w:val="2"/>
        </w:rPr>
        <w:t>继南方电网东莞局首台基于</w:t>
      </w:r>
      <w:r>
        <w:rPr>
          <w:rFonts w:ascii="Times New Roman" w:hAnsi="Times New Roman" w:cs="Times New Roman" w:eastAsia="Times New Roman" w:hint="default"/>
          <w:spacing w:val="2"/>
        </w:rPr>
        <w:t>IEGT</w:t>
      </w:r>
      <w:r>
        <w:rPr>
          <w:spacing w:val="2"/>
        </w:rPr>
        <w:t>技术</w:t>
      </w:r>
      <w:r>
        <w:rPr>
          <w:rFonts w:ascii="Times New Roman" w:hAnsi="Times New Roman" w:cs="Times New Roman" w:eastAsia="Times New Roman" w:hint="default"/>
          <w:spacing w:val="2"/>
        </w:rPr>
        <w:t>SVG</w:t>
      </w:r>
      <w:r>
        <w:rPr>
          <w:spacing w:val="2"/>
        </w:rPr>
        <w:t>成功投运后，又成功签约南网</w:t>
      </w:r>
      <w:r>
        <w:rPr>
          <w:rFonts w:ascii="Times New Roman" w:hAnsi="Times New Roman" w:cs="Times New Roman" w:eastAsia="Times New Roman" w:hint="default"/>
          <w:spacing w:val="2"/>
        </w:rPr>
        <w:t>3</w:t>
      </w:r>
      <w:r>
        <w:rPr>
          <w:spacing w:val="2"/>
        </w:rPr>
        <w:t>套</w:t>
      </w:r>
      <w:r>
        <w:rPr>
          <w:rFonts w:ascii="Times New Roman" w:hAnsi="Times New Roman" w:cs="Times New Roman" w:eastAsia="Times New Roman" w:hint="default"/>
          <w:spacing w:val="2"/>
        </w:rPr>
        <w:t>35KV/±200MVarSVG</w:t>
      </w:r>
      <w:r>
        <w:rPr>
          <w:spacing w:val="2"/>
        </w:rPr>
        <w:t>项</w:t>
      </w:r>
    </w:p>
    <w:p>
      <w:pPr>
        <w:pStyle w:val="BodyText"/>
        <w:spacing w:line="240" w:lineRule="auto" w:before="177"/>
        <w:ind w:left="153" w:right="0"/>
        <w:jc w:val="left"/>
      </w:pPr>
      <w:r>
        <w:rPr/>
        <w:t>目。</w:t>
      </w:r>
    </w:p>
    <w:p>
      <w:pPr>
        <w:spacing w:line="240" w:lineRule="auto" w:before="10"/>
        <w:rPr>
          <w:rFonts w:ascii="宋体" w:hAnsi="宋体" w:cs="宋体" w:eastAsia="宋体" w:hint="default"/>
          <w:sz w:val="14"/>
          <w:szCs w:val="14"/>
        </w:rPr>
      </w:pPr>
    </w:p>
    <w:p>
      <w:pPr>
        <w:pStyle w:val="BodyText"/>
        <w:spacing w:line="240" w:lineRule="auto"/>
        <w:ind w:left="633" w:right="0"/>
        <w:jc w:val="left"/>
      </w:pPr>
      <w:r>
        <w:rPr/>
        <w:t>同时</w:t>
      </w:r>
      <w:r>
        <w:rPr>
          <w:spacing w:val="-105"/>
        </w:rPr>
        <w:t>，</w:t>
      </w:r>
      <w:r>
        <w:rPr/>
        <w:t>公司SVG业务今年</w:t>
      </w:r>
      <w:r>
        <w:rPr>
          <w:spacing w:val="-2"/>
        </w:rPr>
        <w:t>在</w:t>
      </w:r>
      <w:r>
        <w:rPr/>
        <w:t>国际市场表现出色</w:t>
      </w:r>
      <w:r>
        <w:rPr>
          <w:spacing w:val="-105"/>
        </w:rPr>
        <w:t>，</w:t>
      </w:r>
      <w:r>
        <w:rPr/>
        <w:t>成功签约用于支撑肯尼亚国家电网风电接入的</w:t>
      </w:r>
      <w:r>
        <w:rPr>
          <w:rFonts w:ascii="Calibri" w:hAnsi="Calibri" w:cs="Calibri" w:eastAsia="Calibri" w:hint="default"/>
        </w:rPr>
        <w:t>3</w:t>
      </w:r>
      <w:r>
        <w:rPr/>
        <w:t>套</w:t>
      </w:r>
      <w:r>
        <w:rPr>
          <w:rFonts w:ascii="Calibri" w:hAnsi="Calibri" w:cs="Calibri" w:eastAsia="Calibri" w:hint="default"/>
        </w:rPr>
        <w:t>3</w:t>
      </w:r>
      <w:r>
        <w:rPr>
          <w:rFonts w:ascii="Calibri" w:hAnsi="Calibri" w:cs="Calibri" w:eastAsia="Calibri" w:hint="default"/>
          <w:spacing w:val="-1"/>
        </w:rPr>
        <w:t>0</w:t>
      </w:r>
      <w:r>
        <w:rPr>
          <w:rFonts w:ascii="Calibri" w:hAnsi="Calibri" w:cs="Calibri" w:eastAsia="Calibri" w:hint="default"/>
        </w:rPr>
        <w:t>K</w:t>
      </w:r>
      <w:r>
        <w:rPr>
          <w:rFonts w:ascii="Calibri" w:hAnsi="Calibri" w:cs="Calibri" w:eastAsia="Calibri" w:hint="default"/>
          <w:spacing w:val="-1"/>
        </w:rPr>
        <w:t>V</w:t>
      </w:r>
      <w:r>
        <w:rPr/>
        <w:t>，</w:t>
      </w:r>
    </w:p>
    <w:p>
      <w:pPr>
        <w:pStyle w:val="BodyText"/>
        <w:spacing w:line="372" w:lineRule="auto" w:before="166"/>
        <w:ind w:left="153" w:right="209"/>
        <w:jc w:val="left"/>
      </w:pPr>
      <w:r>
        <w:rPr/>
        <w:t>±</w:t>
      </w:r>
      <w:r>
        <w:rPr>
          <w:rFonts w:ascii="Calibri" w:hAnsi="Calibri" w:cs="Calibri" w:eastAsia="Calibri" w:hint="default"/>
        </w:rPr>
        <w:t>100MVar</w:t>
      </w:r>
      <w:r>
        <w:rPr>
          <w:rFonts w:ascii="Calibri" w:hAnsi="Calibri" w:cs="Calibri" w:eastAsia="Calibri" w:hint="default"/>
          <w:spacing w:val="13"/>
        </w:rPr>
        <w:t> </w:t>
      </w:r>
      <w:r>
        <w:rPr>
          <w:rFonts w:ascii="Calibri" w:hAnsi="Calibri" w:cs="Calibri" w:eastAsia="Calibri" w:hint="default"/>
          <w:spacing w:val="-4"/>
        </w:rPr>
        <w:t>SVG</w:t>
      </w:r>
      <w:r>
        <w:rPr>
          <w:spacing w:val="-4"/>
        </w:rPr>
        <w:t>，合同金额2.18亿。此外，先后承担了塞尔维亚钢厂、南非电网、莫桑比克电网等基于IEGT</w:t>
      </w:r>
      <w:r>
        <w:rPr>
          <w:spacing w:val="-100"/>
        </w:rPr>
        <w:t> </w:t>
      </w:r>
      <w:r>
        <w:rPr>
          <w:spacing w:val="-100"/>
        </w:rPr>
      </w:r>
      <w:r>
        <w:rPr/>
        <w:t>的SVG项目，逐步在海外市场占领了制高点。</w:t>
      </w:r>
    </w:p>
    <w:p>
      <w:pPr>
        <w:pStyle w:val="BodyText"/>
        <w:spacing w:line="386" w:lineRule="auto" w:before="77"/>
        <w:ind w:left="153" w:right="211" w:firstLine="480"/>
        <w:jc w:val="both"/>
      </w:pPr>
      <w:r>
        <w:rPr>
          <w:spacing w:val="-2"/>
        </w:rPr>
        <w:t>（二）</w:t>
      </w:r>
      <w:r>
        <w:rPr>
          <w:rFonts w:ascii="Times New Roman" w:hAnsi="Times New Roman" w:cs="Times New Roman" w:eastAsia="Times New Roman" w:hint="default"/>
          <w:spacing w:val="-2"/>
        </w:rPr>
        <w:t>2012</w:t>
      </w:r>
      <w:r>
        <w:rPr>
          <w:spacing w:val="-2"/>
        </w:rPr>
        <w:t>年，高压变频业务取得新进展。产品质量、服务进一步提升，产品设计、工艺改进、标准</w:t>
      </w:r>
      <w:r>
        <w:rPr/>
        <w:t> 化等方面迈上新台阶，大功率变频方面的国内领先地位进一步确立。</w:t>
      </w:r>
    </w:p>
    <w:p>
      <w:pPr>
        <w:pStyle w:val="BodyText"/>
        <w:spacing w:line="386" w:lineRule="auto" w:before="65"/>
        <w:ind w:left="153" w:right="208" w:firstLine="480"/>
        <w:jc w:val="both"/>
      </w:pPr>
      <w:r>
        <w:rPr/>
        <w:t>①中标中石油湖北</w:t>
      </w:r>
      <w:r>
        <w:rPr>
          <w:rFonts w:ascii="Times New Roman" w:hAnsi="Times New Roman" w:cs="Times New Roman" w:eastAsia="Times New Roman" w:hint="default"/>
        </w:rPr>
        <w:t>LNG</w:t>
      </w:r>
      <w:r>
        <w:rPr/>
        <w:t>国产化示范工程和山东泰安</w:t>
      </w:r>
      <w:r>
        <w:rPr>
          <w:rFonts w:ascii="Times New Roman" w:hAnsi="Times New Roman" w:cs="Times New Roman" w:eastAsia="Times New Roman" w:hint="default"/>
        </w:rPr>
        <w:t>LNG</w:t>
      </w:r>
      <w:r>
        <w:rPr/>
        <w:t>特大功率变频项目。其中湖北项目是国内最</w:t>
      </w:r>
      <w:r>
        <w:rPr>
          <w:spacing w:val="2"/>
        </w:rPr>
        <w:t> </w:t>
      </w:r>
      <w:r>
        <w:rPr/>
        <w:t>大的</w:t>
      </w:r>
      <w:r>
        <w:rPr>
          <w:rFonts w:ascii="Times New Roman" w:hAnsi="Times New Roman" w:cs="Times New Roman" w:eastAsia="Times New Roman" w:hint="default"/>
        </w:rPr>
        <w:t>LNG</w:t>
      </w:r>
      <w:r>
        <w:rPr/>
        <w:t>（液化天然气）工程和我国首个</w:t>
      </w:r>
      <w:r>
        <w:rPr>
          <w:rFonts w:ascii="Times New Roman" w:hAnsi="Times New Roman" w:cs="Times New Roman" w:eastAsia="Times New Roman" w:hint="default"/>
        </w:rPr>
        <w:t>LNG</w:t>
      </w:r>
      <w:r>
        <w:rPr/>
        <w:t>技术装备完全国产化项目。</w:t>
      </w:r>
    </w:p>
    <w:p>
      <w:pPr>
        <w:pStyle w:val="BodyText"/>
        <w:spacing w:line="386" w:lineRule="auto" w:before="35"/>
        <w:ind w:left="153" w:right="211" w:firstLine="480"/>
        <w:jc w:val="both"/>
      </w:pPr>
      <w:r>
        <w:rPr>
          <w:spacing w:val="-2"/>
        </w:rPr>
        <w:t>②公司在西气东输超大功率变频器领域进一步攻城拔寨，已承担西气东输二线工程</w:t>
      </w:r>
      <w:r>
        <w:rPr>
          <w:rFonts w:ascii="Times New Roman" w:hAnsi="Times New Roman" w:cs="Times New Roman" w:eastAsia="Times New Roman" w:hint="default"/>
          <w:spacing w:val="-2"/>
        </w:rPr>
        <w:t>3</w:t>
      </w:r>
      <w:r>
        <w:rPr>
          <w:spacing w:val="-2"/>
        </w:rPr>
        <w:t>套</w:t>
      </w:r>
      <w:r>
        <w:rPr>
          <w:rFonts w:ascii="Times New Roman" w:hAnsi="Times New Roman" w:cs="Times New Roman" w:eastAsia="Times New Roman" w:hint="default"/>
          <w:spacing w:val="-2"/>
        </w:rPr>
        <w:t>25MVA</w:t>
      </w:r>
      <w:r>
        <w:rPr>
          <w:spacing w:val="-2"/>
        </w:rPr>
        <w:t>大功率</w:t>
      </w:r>
      <w:r>
        <w:rPr/>
        <w:t> 变频系统，又签约西气东输三线工程</w:t>
      </w:r>
      <w:r>
        <w:rPr>
          <w:rFonts w:ascii="Times New Roman" w:hAnsi="Times New Roman" w:cs="Times New Roman" w:eastAsia="Times New Roman" w:hint="default"/>
        </w:rPr>
        <w:t>6</w:t>
      </w:r>
      <w:r>
        <w:rPr/>
        <w:t>套</w:t>
      </w:r>
      <w:r>
        <w:rPr>
          <w:rFonts w:ascii="Times New Roman" w:hAnsi="Times New Roman" w:cs="Times New Roman" w:eastAsia="Times New Roman" w:hint="default"/>
        </w:rPr>
        <w:t>25MVA</w:t>
      </w:r>
      <w:r>
        <w:rPr/>
        <w:t>大功率变频系统。</w:t>
      </w:r>
    </w:p>
    <w:p>
      <w:pPr>
        <w:pStyle w:val="BodyText"/>
        <w:spacing w:line="386" w:lineRule="auto" w:before="35"/>
        <w:ind w:left="153" w:right="212" w:firstLine="480"/>
        <w:jc w:val="both"/>
      </w:pPr>
      <w:r>
        <w:rPr>
          <w:spacing w:val="2"/>
        </w:rPr>
        <w:t>③成功研发出应用油浸式移相变频变压器的</w:t>
      </w:r>
      <w:r>
        <w:rPr>
          <w:rFonts w:ascii="Times New Roman" w:hAnsi="Times New Roman" w:cs="Times New Roman" w:eastAsia="Times New Roman" w:hint="default"/>
          <w:spacing w:val="2"/>
        </w:rPr>
        <w:t>25MVA</w:t>
      </w:r>
      <w:r>
        <w:rPr>
          <w:spacing w:val="2"/>
        </w:rPr>
        <w:t>级变频系统，全面推向工程应用。填补了国内</w:t>
      </w:r>
      <w:r>
        <w:rPr>
          <w:rFonts w:ascii="Times New Roman" w:hAnsi="Times New Roman" w:cs="Times New Roman" w:eastAsia="Times New Roman" w:hint="default"/>
          <w:spacing w:val="2"/>
        </w:rPr>
        <w:t>H</w:t>
      </w:r>
      <w:r>
        <w:rPr>
          <w:rFonts w:ascii="Times New Roman" w:hAnsi="Times New Roman" w:cs="Times New Roman" w:eastAsia="Times New Roman" w:hint="default"/>
        </w:rPr>
        <w:t> </w:t>
      </w:r>
      <w:r>
        <w:rPr/>
        <w:t>桥级联变频领域的空白，达到国外同期先进技术水平。</w:t>
      </w:r>
    </w:p>
    <w:p>
      <w:pPr>
        <w:pStyle w:val="BodyText"/>
        <w:spacing w:line="240" w:lineRule="auto" w:before="65"/>
        <w:ind w:left="633" w:right="0"/>
        <w:jc w:val="left"/>
      </w:pPr>
      <w:r>
        <w:rPr/>
        <w:t>④国内第一套使用矢量控制真正实现空中悬停的提升机变频在北票煤业投运成功。</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4"/>
        <w:ind w:left="634" w:right="0"/>
        <w:jc w:val="left"/>
      </w:pPr>
      <w:r>
        <w:rPr>
          <w:spacing w:val="3"/>
        </w:rPr>
        <w:t>⑤国内最大功率</w:t>
      </w:r>
      <w:r>
        <w:rPr>
          <w:rFonts w:ascii="Times New Roman" w:hAnsi="Times New Roman" w:cs="Times New Roman" w:eastAsia="Times New Roman" w:hint="default"/>
          <w:spacing w:val="3"/>
        </w:rPr>
        <w:t>25MW</w:t>
      </w:r>
      <w:r>
        <w:rPr>
          <w:spacing w:val="3"/>
        </w:rPr>
        <w:t>异步电动机变频软起动装置在中天钢铁集团投运成功，技术达到国际先进水</w:t>
      </w:r>
      <w:r>
        <w:rPr/>
      </w:r>
    </w:p>
    <w:p>
      <w:pPr>
        <w:spacing w:line="240" w:lineRule="auto" w:before="11"/>
        <w:rPr>
          <w:rFonts w:ascii="宋体" w:hAnsi="宋体" w:cs="宋体" w:eastAsia="宋体" w:hint="default"/>
          <w:sz w:val="10"/>
          <w:szCs w:val="10"/>
        </w:rPr>
      </w:pPr>
    </w:p>
    <w:p>
      <w:pPr>
        <w:pStyle w:val="BodyText"/>
        <w:spacing w:line="240" w:lineRule="auto" w:before="35"/>
        <w:ind w:left="153" w:right="0"/>
        <w:jc w:val="left"/>
      </w:pPr>
      <w:r>
        <w:rPr/>
        <w:t>平。</w:t>
      </w:r>
    </w:p>
    <w:p>
      <w:pPr>
        <w:spacing w:line="240" w:lineRule="auto" w:before="1"/>
        <w:rPr>
          <w:rFonts w:ascii="宋体" w:hAnsi="宋体" w:cs="宋体" w:eastAsia="宋体" w:hint="default"/>
          <w:sz w:val="12"/>
          <w:szCs w:val="12"/>
        </w:rPr>
      </w:pPr>
    </w:p>
    <w:p>
      <w:pPr>
        <w:pStyle w:val="BodyText"/>
        <w:spacing w:line="398" w:lineRule="auto" w:before="35"/>
        <w:ind w:left="153" w:right="210" w:firstLine="480"/>
        <w:jc w:val="both"/>
      </w:pPr>
      <w:r>
        <w:rPr>
          <w:spacing w:val="-2"/>
        </w:rPr>
        <w:t>（三）轻型直流输电技术趋于成熟。公司第二套轻型直流输电装置在国内最长海底电缆输送项目（中</w:t>
      </w:r>
      <w:r>
        <w:rPr/>
        <w:t> 海油文昌平台，</w:t>
      </w:r>
      <w:r>
        <w:rPr>
          <w:rFonts w:ascii="Times New Roman" w:hAnsi="Times New Roman" w:cs="Times New Roman" w:eastAsia="Times New Roman" w:hint="default"/>
        </w:rPr>
        <w:t>8MVA</w:t>
      </w:r>
      <w:r>
        <w:rPr>
          <w:rFonts w:ascii="Times New Roman" w:hAnsi="Times New Roman" w:cs="Times New Roman" w:eastAsia="Times New Roman" w:hint="default"/>
          <w:spacing w:val="4"/>
        </w:rPr>
        <w:t> </w:t>
      </w:r>
      <w:r>
        <w:rPr>
          <w:rFonts w:ascii="Times New Roman" w:hAnsi="Times New Roman" w:cs="Times New Roman" w:eastAsia="Times New Roman" w:hint="default"/>
        </w:rPr>
        <w:t>±15kV</w:t>
      </w:r>
      <w:r>
        <w:rPr/>
        <w:t>）中得到进一步应用和检验，继续在该领域保持国内领先，并有可能成为公 司未来新的增长点。</w:t>
      </w:r>
    </w:p>
    <w:p>
      <w:pPr>
        <w:pStyle w:val="BodyText"/>
        <w:spacing w:line="386" w:lineRule="auto" w:before="54"/>
        <w:ind w:left="153" w:right="206" w:firstLine="480"/>
        <w:jc w:val="both"/>
      </w:pPr>
      <w:r>
        <w:rPr/>
        <w:t>（四）</w:t>
      </w:r>
      <w:r>
        <w:rPr>
          <w:rFonts w:ascii="Times New Roman" w:hAnsi="Times New Roman" w:cs="Times New Roman" w:eastAsia="Times New Roman" w:hint="default"/>
        </w:rPr>
        <w:t>2012</w:t>
      </w:r>
      <w:r>
        <w:rPr/>
        <w:t>年，控股子公司荣科恒阳成功签约世界上技术难度最高的国际</w:t>
      </w:r>
      <w:r>
        <w:rPr>
          <w:rFonts w:ascii="Times New Roman" w:hAnsi="Times New Roman" w:cs="Times New Roman" w:eastAsia="Times New Roman" w:hint="default"/>
        </w:rPr>
        <w:t>ITER</w:t>
      </w:r>
      <w:r>
        <w:rPr/>
        <w:t>工程</w:t>
      </w:r>
      <w:r>
        <w:rPr>
          <w:rFonts w:ascii="Times New Roman" w:hAnsi="Times New Roman" w:cs="Times New Roman" w:eastAsia="Times New Roman" w:hint="default"/>
        </w:rPr>
        <w:t>14</w:t>
      </w:r>
      <w:r>
        <w:rPr/>
        <w:t>套大功率整流</w:t>
      </w:r>
      <w:r>
        <w:rPr>
          <w:spacing w:val="3"/>
        </w:rPr>
        <w:t> </w:t>
      </w:r>
      <w:r>
        <w:rPr/>
        <w:t>配套项目，合同金额</w:t>
      </w:r>
      <w:r>
        <w:rPr>
          <w:rFonts w:ascii="Times New Roman" w:hAnsi="Times New Roman" w:cs="Times New Roman" w:eastAsia="Times New Roman" w:hint="default"/>
        </w:rPr>
        <w:t>2.52</w:t>
      </w:r>
      <w:r>
        <w:rPr/>
        <w:t>亿。标志着公司在高端整流器市场站在了国际前列，为开拓海外市场、把握未来</w:t>
      </w:r>
      <w:r>
        <w:rPr>
          <w:spacing w:val="-80"/>
        </w:rPr>
        <w:t> </w:t>
      </w:r>
      <w:r>
        <w:rPr>
          <w:spacing w:val="-80"/>
        </w:rPr>
      </w:r>
      <w:r>
        <w:rPr/>
        <w:t>市场机遇和发展方向做好了准备。</w:t>
      </w:r>
    </w:p>
    <w:p>
      <w:pPr>
        <w:pStyle w:val="BodyText"/>
        <w:spacing w:line="386" w:lineRule="auto" w:before="65"/>
        <w:ind w:left="153" w:right="208" w:firstLine="480"/>
        <w:jc w:val="both"/>
      </w:pPr>
      <w:r>
        <w:rPr>
          <w:spacing w:val="-2"/>
        </w:rPr>
        <w:t>（五）</w:t>
      </w:r>
      <w:r>
        <w:rPr>
          <w:rFonts w:ascii="Times New Roman" w:hAnsi="Times New Roman" w:cs="Times New Roman" w:eastAsia="Times New Roman" w:hint="default"/>
          <w:spacing w:val="-2"/>
        </w:rPr>
        <w:t>2012</w:t>
      </w:r>
      <w:r>
        <w:rPr>
          <w:spacing w:val="-2"/>
        </w:rPr>
        <w:t>年，公司其他新产品稳中求进，已开发成功，并形成一定技术优势，可全面推广，为公司</w:t>
      </w:r>
      <w:r>
        <w:rPr/>
        <w:t> 未来发展注入新的活力。</w:t>
      </w:r>
    </w:p>
    <w:p>
      <w:pPr>
        <w:pStyle w:val="BodyText"/>
        <w:spacing w:line="240" w:lineRule="auto" w:before="65"/>
        <w:ind w:left="633" w:right="0"/>
        <w:jc w:val="left"/>
      </w:pPr>
      <w:r>
        <w:rPr/>
        <w:t>①由本公司研制的国内最大容量固态开关在南方电网贵阳供电局挂网投运。</w:t>
      </w:r>
    </w:p>
    <w:p>
      <w:pPr>
        <w:spacing w:line="240" w:lineRule="auto" w:before="10"/>
        <w:rPr>
          <w:rFonts w:ascii="宋体" w:hAnsi="宋体" w:cs="宋体" w:eastAsia="宋体" w:hint="default"/>
          <w:sz w:val="14"/>
          <w:szCs w:val="14"/>
        </w:rPr>
      </w:pPr>
    </w:p>
    <w:p>
      <w:pPr>
        <w:pStyle w:val="BodyText"/>
        <w:spacing w:line="386" w:lineRule="auto"/>
        <w:ind w:left="153" w:right="98" w:firstLine="480"/>
        <w:jc w:val="left"/>
      </w:pPr>
      <w:r>
        <w:rPr>
          <w:spacing w:val="-1"/>
        </w:rPr>
        <w:t>②国内首台全自动化高</w:t>
      </w:r>
      <w:r>
        <w:rPr>
          <w:rFonts w:ascii="Times New Roman" w:hAnsi="Times New Roman" w:cs="Times New Roman" w:eastAsia="Times New Roman" w:hint="default"/>
          <w:spacing w:val="-1"/>
        </w:rPr>
        <w:t>/</w:t>
      </w:r>
      <w:r>
        <w:rPr>
          <w:spacing w:val="-1"/>
        </w:rPr>
        <w:t>低电压穿越测试装置成功应用于北京官厅风电场、国网张北风光储示范基地，</w:t>
      </w:r>
      <w:r>
        <w:rPr/>
        <w:t> 并通过华北电网验收。</w:t>
      </w:r>
    </w:p>
    <w:p>
      <w:pPr>
        <w:pStyle w:val="BodyText"/>
        <w:spacing w:line="240" w:lineRule="auto" w:before="65"/>
        <w:ind w:left="633" w:right="0"/>
        <w:jc w:val="left"/>
      </w:pPr>
      <w:r>
        <w:rPr/>
        <w:t>③处于国内领先水平的</w:t>
      </w:r>
      <w:r>
        <w:rPr>
          <w:rFonts w:ascii="Times New Roman" w:hAnsi="Times New Roman" w:cs="Times New Roman" w:eastAsia="Times New Roman" w:hint="default"/>
        </w:rPr>
        <w:t>3.3KV</w:t>
      </w:r>
      <w:r>
        <w:rPr/>
        <w:t>和</w:t>
      </w:r>
      <w:r>
        <w:rPr>
          <w:rFonts w:ascii="Times New Roman" w:hAnsi="Times New Roman" w:cs="Times New Roman" w:eastAsia="Times New Roman" w:hint="default"/>
        </w:rPr>
        <w:t>6KV</w:t>
      </w:r>
      <w:r>
        <w:rPr/>
        <w:t>防爆</w:t>
      </w:r>
      <w:r>
        <w:rPr>
          <w:rFonts w:ascii="Times New Roman" w:hAnsi="Times New Roman" w:cs="Times New Roman" w:eastAsia="Times New Roman" w:hint="default"/>
        </w:rPr>
        <w:t>SVG</w:t>
      </w:r>
      <w:r>
        <w:rPr/>
        <w:t>产品已经成熟，即将批量推向市场。</w:t>
      </w:r>
    </w:p>
    <w:p>
      <w:pPr>
        <w:pStyle w:val="BodyText"/>
        <w:spacing w:line="386" w:lineRule="auto" w:before="177"/>
        <w:ind w:left="153" w:right="208" w:firstLine="480"/>
        <w:jc w:val="both"/>
      </w:pPr>
      <w:r>
        <w:rPr/>
        <w:t>④全国容量最大的</w:t>
      </w:r>
      <w:r>
        <w:rPr>
          <w:rFonts w:ascii="Times New Roman" w:hAnsi="Times New Roman" w:cs="Times New Roman" w:eastAsia="Times New Roman" w:hint="default"/>
        </w:rPr>
        <w:t>5MW</w:t>
      </w:r>
      <w:r>
        <w:rPr/>
        <w:t>风电场钒液流储能电池试验示范项目（龙源电力）进展顺利，为下一步大面</w:t>
      </w:r>
      <w:r>
        <w:rPr>
          <w:spacing w:val="1"/>
        </w:rPr>
        <w:t> </w:t>
      </w:r>
      <w:r>
        <w:rPr/>
        <w:t>积推广应用奠定了基础。</w:t>
      </w:r>
    </w:p>
    <w:p>
      <w:pPr>
        <w:pStyle w:val="BodyText"/>
        <w:spacing w:line="408" w:lineRule="auto" w:before="65"/>
        <w:ind w:left="153" w:right="210" w:firstLine="480"/>
        <w:jc w:val="both"/>
      </w:pPr>
      <w:r>
        <w:rPr>
          <w:spacing w:val="-2"/>
        </w:rPr>
        <w:t>在产品和技术不断创新的同时，公司继续深化管理体制改革，各个子公司及事业部实施的阿米巴管理</w:t>
      </w:r>
      <w:r>
        <w:rPr/>
        <w:t> 模式得到进一步的完善和优化，在转变观念、降低成本、提升效率等多方面的作用逐渐显现。</w:t>
      </w:r>
    </w:p>
    <w:p>
      <w:pPr>
        <w:pStyle w:val="BodyText"/>
        <w:spacing w:line="400" w:lineRule="auto" w:before="46"/>
        <w:ind w:left="153" w:right="210" w:firstLine="441"/>
        <w:jc w:val="both"/>
      </w:pPr>
      <w:r>
        <w:rPr>
          <w:spacing w:val="-2"/>
        </w:rPr>
        <w:t>经历</w:t>
      </w:r>
      <w:r>
        <w:rPr>
          <w:rFonts w:ascii="Times New Roman" w:hAnsi="Times New Roman" w:cs="Times New Roman" w:eastAsia="Times New Roman" w:hint="default"/>
          <w:spacing w:val="-2"/>
        </w:rPr>
        <w:t>2012</w:t>
      </w:r>
      <w:r>
        <w:rPr>
          <w:spacing w:val="-2"/>
        </w:rPr>
        <w:t>年度中国经济的起伏，我们既承担了巨大的压力又看到了光明的未来，对自身有了更清楚的</w:t>
      </w:r>
      <w:r>
        <w:rPr/>
        <w:t> </w:t>
      </w:r>
      <w:r>
        <w:rPr>
          <w:spacing w:val="-1"/>
        </w:rPr>
        <w:t>认知，在接下来的一年中，我们不仅要进一步强化自身优势，始终坚持技术领先的路线，拉大与竞争对手</w:t>
      </w:r>
      <w:r>
        <w:rPr>
          <w:spacing w:val="-82"/>
        </w:rPr>
        <w:t> </w:t>
      </w:r>
      <w:r>
        <w:rPr>
          <w:spacing w:val="-82"/>
        </w:rPr>
      </w:r>
      <w:r>
        <w:rPr>
          <w:spacing w:val="-1"/>
        </w:rPr>
        <w:t>的差距，同时我们也需要更加清醒，坚定，共同应对我们必须携手攻克的难关，加强管理、提高质量、完</w:t>
      </w:r>
      <w:r>
        <w:rPr>
          <w:spacing w:val="-83"/>
        </w:rPr>
        <w:t> </w:t>
      </w:r>
      <w:r>
        <w:rPr>
          <w:spacing w:val="-83"/>
        </w:rPr>
      </w:r>
      <w:r>
        <w:rPr/>
        <w:t>善服务，吐故纳新，提升自我。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636" w:right="0" w:hanging="3"/>
        <w:jc w:val="left"/>
      </w:pPr>
      <w:r>
        <w:rPr/>
        <w:t>本公司及控股子公司主要从事节能大功率电力电子设备的设计和制造业务，产品包括： </w:t>
      </w:r>
      <w:r>
        <w:rPr>
          <w:rFonts w:ascii="宋体" w:hAnsi="宋体" w:cs="宋体" w:eastAsia="宋体" w:hint="default"/>
          <w:b/>
          <w:bCs/>
          <w:spacing w:val="-2"/>
        </w:rPr>
        <w:t>电能质量与电力安全：</w:t>
      </w:r>
      <w:r>
        <w:rPr>
          <w:spacing w:val="-2"/>
        </w:rPr>
        <w:t>高压动态无功补偿装置（</w:t>
      </w:r>
      <w:r>
        <w:rPr>
          <w:rFonts w:ascii="Times New Roman" w:hAnsi="Times New Roman" w:cs="Times New Roman" w:eastAsia="Times New Roman" w:hint="default"/>
          <w:spacing w:val="-2"/>
        </w:rPr>
        <w:t>SVC</w:t>
      </w:r>
      <w:r>
        <w:rPr>
          <w:spacing w:val="-2"/>
        </w:rPr>
        <w:t>）、高压静止无功发生器（</w:t>
      </w:r>
      <w:r>
        <w:rPr>
          <w:rFonts w:ascii="Times New Roman" w:hAnsi="Times New Roman" w:cs="Times New Roman" w:eastAsia="Times New Roman" w:hint="default"/>
          <w:spacing w:val="-2"/>
        </w:rPr>
        <w:t>SVG</w:t>
      </w:r>
      <w:r>
        <w:rPr>
          <w:spacing w:val="-2"/>
        </w:rPr>
        <w:t>）、串补</w:t>
      </w:r>
      <w:r>
        <w:rPr>
          <w:rFonts w:ascii="Times New Roman" w:hAnsi="Times New Roman" w:cs="Times New Roman" w:eastAsia="Times New Roman" w:hint="default"/>
          <w:spacing w:val="-2"/>
        </w:rPr>
        <w:t>(FSC)</w:t>
      </w:r>
      <w:r>
        <w:rPr>
          <w:spacing w:val="-2"/>
        </w:rPr>
        <w:t>、</w:t>
      </w:r>
    </w:p>
    <w:p>
      <w:pPr>
        <w:pStyle w:val="BodyText"/>
        <w:spacing w:line="386" w:lineRule="auto" w:before="14"/>
        <w:ind w:left="636" w:right="118" w:hanging="483"/>
        <w:jc w:val="left"/>
      </w:pPr>
      <w:r>
        <w:rPr/>
        <w:t>电力滤波装置（</w:t>
      </w:r>
      <w:r>
        <w:rPr>
          <w:rFonts w:ascii="Times New Roman" w:hAnsi="Times New Roman" w:cs="Times New Roman" w:eastAsia="Times New Roman" w:hint="default"/>
        </w:rPr>
        <w:t>FC</w:t>
      </w:r>
      <w:r>
        <w:rPr/>
        <w:t>）、有源滤波装置（</w:t>
      </w:r>
      <w:r>
        <w:rPr>
          <w:rFonts w:ascii="Times New Roman" w:hAnsi="Times New Roman" w:cs="Times New Roman" w:eastAsia="Times New Roman" w:hint="default"/>
        </w:rPr>
        <w:t>APF</w:t>
      </w:r>
      <w:r>
        <w:rPr/>
        <w:t>）、高压固态开关（</w:t>
      </w:r>
      <w:r>
        <w:rPr>
          <w:rFonts w:ascii="Times New Roman" w:hAnsi="Times New Roman" w:cs="Times New Roman" w:eastAsia="Times New Roman" w:hint="default"/>
        </w:rPr>
        <w:t>FCL</w:t>
      </w:r>
      <w:r>
        <w:rPr/>
        <w:t>）。 </w:t>
      </w:r>
      <w:r>
        <w:rPr>
          <w:rFonts w:ascii="宋体" w:hAnsi="宋体" w:cs="宋体" w:eastAsia="宋体" w:hint="default"/>
          <w:b/>
          <w:bCs/>
          <w:spacing w:val="-4"/>
        </w:rPr>
        <w:t>电机传动与节能：</w:t>
      </w:r>
      <w:r>
        <w:rPr>
          <w:spacing w:val="-4"/>
        </w:rPr>
        <w:t>高压变频装置（</w:t>
      </w:r>
      <w:r>
        <w:rPr>
          <w:rFonts w:ascii="Times New Roman" w:hAnsi="Times New Roman" w:cs="Times New Roman" w:eastAsia="Times New Roman" w:hint="default"/>
          <w:spacing w:val="-4"/>
        </w:rPr>
        <w:t>HVC</w:t>
      </w:r>
      <w:r>
        <w:rPr>
          <w:spacing w:val="-4"/>
        </w:rPr>
        <w:t>）、高压软启动装置（</w:t>
      </w:r>
      <w:r>
        <w:rPr>
          <w:rFonts w:ascii="Times New Roman" w:hAnsi="Times New Roman" w:cs="Times New Roman" w:eastAsia="Times New Roman" w:hint="default"/>
          <w:spacing w:val="-4"/>
        </w:rPr>
        <w:t>VFS</w:t>
      </w:r>
      <w:r>
        <w:rPr>
          <w:spacing w:val="-4"/>
        </w:rPr>
        <w:t>）、智能瓦斯排放装置（</w:t>
      </w:r>
      <w:r>
        <w:rPr>
          <w:rFonts w:ascii="Times New Roman" w:hAnsi="Times New Roman" w:cs="Times New Roman" w:eastAsia="Times New Roman" w:hint="default"/>
          <w:spacing w:val="-4"/>
        </w:rPr>
        <w:t>MABZ</w:t>
      </w:r>
      <w:r>
        <w:rPr>
          <w:spacing w:val="-4"/>
        </w:rPr>
        <w:t>）、</w:t>
      </w:r>
      <w:r>
        <w:rPr/>
      </w:r>
    </w:p>
    <w:p>
      <w:pPr>
        <w:spacing w:after="0" w:line="386"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398" w:lineRule="auto" w:before="174"/>
        <w:ind w:left="537" w:right="0" w:hanging="384"/>
        <w:jc w:val="left"/>
      </w:pPr>
      <w:r>
        <w:rPr/>
        <w:t>新能源控制装置及矿井传动和自动化控制设备。 </w:t>
      </w:r>
      <w:r>
        <w:rPr>
          <w:rFonts w:ascii="宋体" w:hAnsi="宋体" w:cs="宋体" w:eastAsia="宋体" w:hint="default"/>
          <w:b/>
          <w:bCs/>
        </w:rPr>
        <w:t>余热余压节能发电系统：</w:t>
      </w:r>
      <w:r>
        <w:rPr/>
        <w:t>高炉炉顶余压发电节能系统（</w:t>
      </w:r>
      <w:r>
        <w:rPr>
          <w:rFonts w:ascii="Times New Roman" w:hAnsi="Times New Roman" w:cs="Times New Roman" w:eastAsia="Times New Roman" w:hint="default"/>
        </w:rPr>
        <w:t>TRT</w:t>
      </w:r>
      <w:r>
        <w:rPr/>
        <w:t>）、余热节能发电系统等。 </w:t>
      </w:r>
      <w:r>
        <w:rPr>
          <w:spacing w:val="-2"/>
        </w:rPr>
        <w:t>报告期内，公司实现营业收入</w:t>
      </w:r>
      <w:r>
        <w:rPr>
          <w:rFonts w:ascii="Times New Roman" w:hAnsi="Times New Roman" w:cs="Times New Roman" w:eastAsia="Times New Roman" w:hint="default"/>
          <w:spacing w:val="-2"/>
        </w:rPr>
        <w:t>128,713.35</w:t>
      </w:r>
      <w:r>
        <w:rPr>
          <w:spacing w:val="-2"/>
        </w:rPr>
        <w:t>万元，实现营业利润</w:t>
      </w:r>
      <w:r>
        <w:rPr>
          <w:rFonts w:ascii="Times New Roman" w:hAnsi="Times New Roman" w:cs="Times New Roman" w:eastAsia="Times New Roman" w:hint="default"/>
          <w:spacing w:val="-2"/>
        </w:rPr>
        <w:t>5,301.63</w:t>
      </w:r>
      <w:r>
        <w:rPr>
          <w:spacing w:val="-2"/>
        </w:rPr>
        <w:t>万元，实现净利润</w:t>
      </w:r>
      <w:r>
        <w:rPr>
          <w:rFonts w:ascii="Times New Roman" w:hAnsi="Times New Roman" w:cs="Times New Roman" w:eastAsia="Times New Roman" w:hint="default"/>
          <w:spacing w:val="-2"/>
        </w:rPr>
        <w:t>11,532.62</w:t>
      </w:r>
      <w:r>
        <w:rPr>
          <w:spacing w:val="-2"/>
        </w:rPr>
        <w:t>万元，</w:t>
      </w:r>
    </w:p>
    <w:p>
      <w:pPr>
        <w:pStyle w:val="BodyText"/>
        <w:spacing w:line="420" w:lineRule="auto" w:before="24"/>
        <w:ind w:left="573" w:right="0" w:hanging="420"/>
        <w:jc w:val="left"/>
      </w:pPr>
      <w:r>
        <w:rPr/>
        <w:t>经营活动产生的现金流量净额为</w:t>
      </w:r>
      <w:r>
        <w:rPr>
          <w:rFonts w:ascii="Times New Roman" w:hAnsi="Times New Roman" w:cs="Times New Roman" w:eastAsia="Times New Roman" w:hint="default"/>
        </w:rPr>
        <w:t>-17,636.35</w:t>
      </w:r>
      <w:r>
        <w:rPr/>
        <w:t>万元。 报告期，受国内外低迷经济形势影响，公司下游客户订单交付时间延长，销售收入同比减少</w:t>
      </w:r>
      <w:r>
        <w:rPr>
          <w:rFonts w:ascii="Times New Roman" w:hAnsi="Times New Roman" w:cs="Times New Roman" w:eastAsia="Times New Roman" w:hint="default"/>
        </w:rPr>
        <w:t>21.07%</w:t>
      </w:r>
      <w:r>
        <w:rPr/>
        <w:t>。 </w:t>
      </w:r>
      <w:r>
        <w:rPr>
          <w:spacing w:val="-4"/>
        </w:rPr>
        <w:t>报告期，公司营业利润同比下降</w:t>
      </w:r>
      <w:r>
        <w:rPr>
          <w:rFonts w:ascii="Times New Roman" w:hAnsi="Times New Roman" w:cs="Times New Roman" w:eastAsia="Times New Roman" w:hint="default"/>
          <w:spacing w:val="-4"/>
        </w:rPr>
        <w:t>77.27%</w:t>
      </w:r>
      <w:r>
        <w:rPr>
          <w:spacing w:val="-4"/>
        </w:rPr>
        <w:t>，主要是由于销售收入减少，且公司期间费用居高不下，其中：</w:t>
      </w:r>
    </w:p>
    <w:p>
      <w:pPr>
        <w:pStyle w:val="BodyText"/>
        <w:spacing w:line="386" w:lineRule="auto" w:before="3"/>
        <w:ind w:left="153" w:right="202"/>
        <w:jc w:val="left"/>
      </w:pPr>
      <w:r>
        <w:rPr>
          <w:spacing w:val="-1"/>
        </w:rPr>
        <w:t>管理费用同比增长</w:t>
      </w:r>
      <w:r>
        <w:rPr>
          <w:rFonts w:ascii="Times New Roman" w:hAnsi="Times New Roman" w:cs="Times New Roman" w:eastAsia="Times New Roman" w:hint="default"/>
          <w:spacing w:val="-1"/>
        </w:rPr>
        <w:t>14.58%</w:t>
      </w:r>
      <w:r>
        <w:rPr>
          <w:spacing w:val="-1"/>
        </w:rPr>
        <w:t>，主要是由于公司新设立众多子公司，体量增加较快，管理成本增加；财务费用</w:t>
      </w:r>
      <w:r>
        <w:rPr>
          <w:spacing w:val="-98"/>
        </w:rPr>
        <w:t> </w:t>
      </w:r>
      <w:r>
        <w:rPr>
          <w:spacing w:val="-98"/>
        </w:rPr>
      </w:r>
      <w:r>
        <w:rPr/>
        <w:t>同比增加</w:t>
      </w:r>
      <w:r>
        <w:rPr>
          <w:rFonts w:ascii="Times New Roman" w:hAnsi="Times New Roman" w:cs="Times New Roman" w:eastAsia="Times New Roman" w:hint="default"/>
        </w:rPr>
        <w:t>66.37%</w:t>
      </w:r>
      <w:r>
        <w:rPr/>
        <w:t>，主要是由于</w:t>
      </w:r>
      <w:r>
        <w:rPr>
          <w:rFonts w:ascii="Times New Roman" w:hAnsi="Times New Roman" w:cs="Times New Roman" w:eastAsia="Times New Roman" w:hint="default"/>
        </w:rPr>
        <w:t>2012</w:t>
      </w:r>
      <w:r>
        <w:rPr/>
        <w:t>年借款增加，且融资成本较高的原因。</w:t>
      </w:r>
    </w:p>
    <w:p>
      <w:pPr>
        <w:pStyle w:val="BodyText"/>
        <w:spacing w:line="398" w:lineRule="auto" w:before="74"/>
        <w:ind w:left="153" w:right="210" w:firstLine="420"/>
        <w:jc w:val="both"/>
      </w:pPr>
      <w:r>
        <w:rPr>
          <w:spacing w:val="-1"/>
        </w:rPr>
        <w:t>报告期，公司归属于上市公司股东的净利润同比下降</w:t>
      </w:r>
      <w:r>
        <w:rPr>
          <w:rFonts w:ascii="Times New Roman" w:hAnsi="Times New Roman" w:cs="Times New Roman" w:eastAsia="Times New Roman" w:hint="default"/>
          <w:spacing w:val="-1"/>
        </w:rPr>
        <w:t>59.36%</w:t>
      </w:r>
      <w:r>
        <w:rPr>
          <w:spacing w:val="-1"/>
        </w:rPr>
        <w:t>，主要是由于销售收入下降和期间费用较</w:t>
      </w:r>
      <w:r>
        <w:rPr/>
        <w:t> </w:t>
      </w:r>
      <w:r>
        <w:rPr>
          <w:spacing w:val="-1"/>
        </w:rPr>
        <w:t>高的原因，另外，销售收入下降导致增值税退税减少，营业外收入同比下降也是归属于上市公司股东的净</w:t>
      </w:r>
      <w:r>
        <w:rPr>
          <w:spacing w:val="-83"/>
        </w:rPr>
        <w:t> </w:t>
      </w:r>
      <w:r>
        <w:rPr>
          <w:spacing w:val="-83"/>
        </w:rPr>
      </w:r>
      <w:r>
        <w:rPr/>
        <w:t>利润同比下降的原因。</w:t>
      </w:r>
    </w:p>
    <w:p>
      <w:pPr>
        <w:pStyle w:val="BodyText"/>
        <w:spacing w:line="398" w:lineRule="auto" w:before="93"/>
        <w:ind w:left="153" w:right="211" w:firstLine="357"/>
        <w:jc w:val="both"/>
      </w:pPr>
      <w:r>
        <w:rPr/>
        <w:t>报告期，经营活动产生的现金流量净额同比减少</w:t>
      </w:r>
      <w:r>
        <w:rPr>
          <w:rFonts w:ascii="Times New Roman" w:hAnsi="Times New Roman" w:cs="Times New Roman" w:eastAsia="Times New Roman" w:hint="default"/>
        </w:rPr>
        <w:t>11.78%</w:t>
      </w:r>
      <w:r>
        <w:rPr/>
        <w:t>，公司经营性现金流面临较大压力，主要是因 </w:t>
      </w:r>
      <w:r>
        <w:rPr>
          <w:spacing w:val="-1"/>
        </w:rPr>
        <w:t>为业务规模持续扩大、新增业务订单，导致材料采购及各项费用支出增加，同时，公司给予客户更加宽松</w:t>
      </w:r>
      <w:r>
        <w:rPr>
          <w:spacing w:val="-82"/>
        </w:rPr>
        <w:t> </w:t>
      </w:r>
      <w:r>
        <w:rPr>
          <w:spacing w:val="-82"/>
        </w:rPr>
      </w:r>
      <w:r>
        <w:rPr/>
        <w:t>的信用政策，客户付款周期有所延长，导致经营活动的现金流入较慢造成。</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441" w:lineRule="auto"/>
        <w:ind w:left="574" w:right="0" w:hanging="420"/>
        <w:jc w:val="left"/>
      </w:pPr>
      <w:r>
        <w:rPr/>
        <w:t>公司回顾总结前期披露的发展战略和经营计划在报告期内的进展情况 </w:t>
      </w:r>
      <w:r>
        <w:rPr>
          <w:spacing w:val="-1"/>
        </w:rPr>
        <w:t>报告期，公司以节能大功率电力电子设备制造为主营业务方向，在不断提高现有业务经营管理水平的</w:t>
      </w:r>
    </w:p>
    <w:p>
      <w:pPr>
        <w:pStyle w:val="BodyText"/>
        <w:spacing w:line="408" w:lineRule="auto" w:before="17"/>
        <w:ind w:right="205"/>
        <w:jc w:val="both"/>
      </w:pPr>
      <w:r>
        <w:rPr/>
        <w:t>同时，通过新产品研制开发、引进培养人才、自主创新、积极开拓国内国际市场等手段，保持公司SVC、</w:t>
      </w:r>
      <w:r>
        <w:rPr>
          <w:spacing w:val="-34"/>
        </w:rPr>
        <w:t> </w:t>
      </w:r>
      <w:r>
        <w:rPr>
          <w:spacing w:val="-34"/>
        </w:rPr>
      </w:r>
      <w:r>
        <w:rPr>
          <w:spacing w:val="-1"/>
        </w:rPr>
        <w:t>SVG、HVC等主导产品优势并不断拓宽产品线与产品业务，巩固公司在节能大功率电力电子设备制造业的领</w:t>
      </w:r>
      <w:r>
        <w:rPr>
          <w:spacing w:val="-80"/>
        </w:rPr>
        <w:t> </w:t>
      </w:r>
      <w:r>
        <w:rPr>
          <w:spacing w:val="-80"/>
        </w:rPr>
      </w:r>
      <w:r>
        <w:rPr>
          <w:spacing w:val="-1"/>
        </w:rPr>
        <w:t>先地位，公司在订单获取、产品质量和服务水平提升、深化管理体制改革、推进2009年非公开发行募集资</w:t>
      </w:r>
      <w:r>
        <w:rPr>
          <w:spacing w:val="-82"/>
        </w:rPr>
        <w:t> </w:t>
      </w:r>
      <w:r>
        <w:rPr>
          <w:spacing w:val="-82"/>
        </w:rPr>
      </w:r>
      <w:r>
        <w:rPr>
          <w:spacing w:val="-1"/>
        </w:rPr>
        <w:t>金项目建设等方面完成了年初制定的经营计划。但由于报告期受国内外低迷经济形势影响，公司下游客户</w:t>
      </w:r>
      <w:r>
        <w:rPr>
          <w:spacing w:val="-81"/>
        </w:rPr>
        <w:t> </w:t>
      </w:r>
      <w:r>
        <w:rPr>
          <w:spacing w:val="-81"/>
        </w:rPr>
      </w:r>
      <w:r>
        <w:rPr/>
        <w:t>订单交付时间延长，销售收入减少，同时公司未能实现期间费用降低，公司2012年经营业绩低于预期。</w:t>
      </w:r>
    </w:p>
    <w:p>
      <w:pPr>
        <w:pStyle w:val="BodyText"/>
        <w:spacing w:line="240" w:lineRule="auto" w:before="87"/>
        <w:ind w:right="0"/>
        <w:jc w:val="left"/>
      </w:pPr>
      <w:r>
        <w:rPr/>
        <w:t>公司实际经营业绩较曾公开披露过的本年度盈利预测低于或高于20%以上的差异原因：</w:t>
      </w:r>
    </w:p>
    <w:p>
      <w:pPr>
        <w:spacing w:line="240" w:lineRule="auto" w:before="10"/>
        <w:rPr>
          <w:rFonts w:ascii="宋体" w:hAnsi="宋体" w:cs="宋体" w:eastAsia="宋体" w:hint="default"/>
          <w:sz w:val="17"/>
          <w:szCs w:val="17"/>
        </w:rPr>
      </w:pPr>
    </w:p>
    <w:p>
      <w:pPr>
        <w:pStyle w:val="BodyText"/>
        <w:spacing w:line="240" w:lineRule="auto"/>
        <w:ind w:right="0"/>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4"/>
        <w:spacing w:line="240" w:lineRule="auto" w:before="152"/>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30"/>
          <w:szCs w:val="30"/>
        </w:rPr>
      </w:pPr>
    </w:p>
    <w:p>
      <w:pPr>
        <w:pStyle w:val="BodyText"/>
        <w:spacing w:line="441" w:lineRule="auto"/>
        <w:ind w:left="574" w:right="100"/>
        <w:jc w:val="left"/>
      </w:pPr>
      <w:r>
        <w:rPr/>
        <w:t>公司主导产品为定制化的产品，订单生产，量身定制，实行以销定产。 </w:t>
      </w:r>
      <w:r>
        <w:rPr>
          <w:spacing w:val="-1"/>
        </w:rPr>
        <w:t>报告期内，公司实现营业收入</w:t>
      </w:r>
      <w:r>
        <w:rPr>
          <w:rFonts w:ascii="Times New Roman" w:hAnsi="Times New Roman" w:cs="Times New Roman" w:eastAsia="Times New Roman" w:hint="default"/>
          <w:spacing w:val="-1"/>
        </w:rPr>
        <w:t>128,713.35</w:t>
      </w:r>
      <w:r>
        <w:rPr>
          <w:spacing w:val="-1"/>
        </w:rPr>
        <w:t>万元，同比下降</w:t>
      </w:r>
      <w:r>
        <w:rPr>
          <w:rFonts w:ascii="Times New Roman" w:hAnsi="Times New Roman" w:cs="Times New Roman" w:eastAsia="Times New Roman" w:hint="default"/>
          <w:spacing w:val="-1"/>
        </w:rPr>
        <w:t>21.07%</w:t>
      </w:r>
      <w:r>
        <w:rPr>
          <w:spacing w:val="-1"/>
        </w:rPr>
        <w:t>，主要是受国内外低迷经济形势影响，</w:t>
      </w:r>
    </w:p>
    <w:p>
      <w:pPr>
        <w:pStyle w:val="BodyText"/>
        <w:spacing w:line="258" w:lineRule="exact"/>
        <w:ind w:right="0"/>
        <w:jc w:val="left"/>
      </w:pPr>
      <w:r>
        <w:rPr/>
        <w:t>公司下游客户订单交付时间延长，收入确认减少。</w:t>
      </w:r>
    </w:p>
    <w:p>
      <w:pPr>
        <w:spacing w:after="0" w:line="258" w:lineRule="exact"/>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386" w:lineRule="auto" w:before="174"/>
        <w:ind w:right="221" w:firstLine="419"/>
        <w:jc w:val="left"/>
      </w:pPr>
      <w:r>
        <w:rPr/>
        <w:t>报告期内，凭借</w:t>
      </w:r>
      <w:r>
        <w:rPr>
          <w:rFonts w:ascii="Times New Roman" w:hAnsi="Times New Roman" w:cs="Times New Roman" w:eastAsia="Times New Roman" w:hint="default"/>
        </w:rPr>
        <w:t>SVG</w:t>
      </w:r>
      <w:r>
        <w:rPr/>
        <w:t>、</w:t>
      </w:r>
      <w:r>
        <w:rPr>
          <w:rFonts w:ascii="Times New Roman" w:hAnsi="Times New Roman" w:cs="Times New Roman" w:eastAsia="Times New Roman" w:hint="default"/>
        </w:rPr>
        <w:t>HPR</w:t>
      </w:r>
      <w:r>
        <w:rPr/>
        <w:t>、海外业务及煤炭</w:t>
      </w:r>
      <w:r>
        <w:rPr>
          <w:rFonts w:ascii="Times New Roman" w:hAnsi="Times New Roman" w:cs="Times New Roman" w:eastAsia="Times New Roman" w:hint="default"/>
        </w:rPr>
        <w:t>EPC</w:t>
      </w:r>
      <w:r>
        <w:rPr/>
        <w:t>业务的迅猛增长，公司本部及控股子公司（不包括 信力筑正）新签订订单</w:t>
      </w:r>
      <w:r>
        <w:rPr>
          <w:rFonts w:ascii="Times New Roman" w:hAnsi="Times New Roman" w:cs="Times New Roman" w:eastAsia="Times New Roman" w:hint="default"/>
        </w:rPr>
        <w:t>228,122.48</w:t>
      </w:r>
      <w:r>
        <w:rPr/>
        <w:t>万元（含税），同比增长</w:t>
      </w:r>
      <w:r>
        <w:rPr>
          <w:rFonts w:ascii="Times New Roman" w:hAnsi="Times New Roman" w:cs="Times New Roman" w:eastAsia="Times New Roman" w:hint="default"/>
        </w:rPr>
        <w:t>29.34%</w:t>
      </w:r>
      <w:r>
        <w:rPr/>
        <w:t>。</w:t>
      </w:r>
    </w:p>
    <w:p>
      <w:pPr>
        <w:pStyle w:val="BodyText"/>
        <w:tabs>
          <w:tab w:pos="7661" w:val="left" w:leader="none"/>
        </w:tabs>
        <w:spacing w:line="288" w:lineRule="exact"/>
        <w:ind w:left="574" w:right="221"/>
        <w:jc w:val="left"/>
      </w:pPr>
      <w:r>
        <w:rPr>
          <w:spacing w:val="-1"/>
        </w:rPr>
        <w:t>（</w:t>
      </w:r>
      <w:r>
        <w:rPr>
          <w:rFonts w:ascii="Times New Roman" w:hAnsi="Times New Roman" w:cs="Times New Roman" w:eastAsia="Times New Roman" w:hint="default"/>
          <w:spacing w:val="-1"/>
        </w:rPr>
        <w:t>1</w:t>
      </w:r>
      <w:r>
        <w:rPr>
          <w:spacing w:val="-1"/>
        </w:rPr>
        <w:t>）订单行业分布</w:t>
        <w:tab/>
      </w:r>
      <w:r>
        <w:rPr/>
        <w:t>单位</w:t>
      </w:r>
      <w:r>
        <w:rPr>
          <w:rFonts w:ascii="Times New Roman" w:hAnsi="Times New Roman" w:cs="Times New Roman" w:eastAsia="Times New Roman" w:hint="default"/>
        </w:rPr>
        <w:t>:</w:t>
      </w:r>
      <w:r>
        <w:rPr/>
        <w:t>万元</w:t>
      </w:r>
    </w:p>
    <w:p>
      <w:pPr>
        <w:spacing w:line="240" w:lineRule="auto" w:before="1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562"/>
        <w:gridCol w:w="1160"/>
        <w:gridCol w:w="1162"/>
        <w:gridCol w:w="1160"/>
        <w:gridCol w:w="1061"/>
        <w:gridCol w:w="1162"/>
        <w:gridCol w:w="1160"/>
        <w:gridCol w:w="1162"/>
        <w:gridCol w:w="1266"/>
      </w:tblGrid>
      <w:tr>
        <w:trPr>
          <w:trHeight w:val="426"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行业</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冶金</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发电</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煤炭</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石油石化</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电网</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有色</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2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23,728.04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56,714.17</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50,680.30</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10,815.56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60,068.73</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7,786.99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Times New Roman" w:hAnsi="Times New Roman" w:cs="Times New Roman" w:eastAsia="Times New Roman" w:hint="default"/>
                <w:sz w:val="21"/>
                <w:szCs w:val="21"/>
              </w:rPr>
            </w:pPr>
            <w:r>
              <w:rPr>
                <w:rFonts w:ascii="Times New Roman"/>
                <w:sz w:val="21"/>
              </w:rPr>
              <w:t>18,328.69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228,122.48</w:t>
            </w:r>
          </w:p>
        </w:tc>
      </w:tr>
      <w:tr>
        <w:trPr>
          <w:trHeight w:val="428"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10.40%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24.86%</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22.22%</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4.74%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26.33%</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3.41%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8.03%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sz w:val="26"/>
          <w:szCs w:val="26"/>
        </w:rPr>
      </w:pPr>
    </w:p>
    <w:p>
      <w:pPr>
        <w:pStyle w:val="BodyText"/>
        <w:tabs>
          <w:tab w:pos="7765" w:val="left" w:leader="none"/>
        </w:tabs>
        <w:spacing w:line="240" w:lineRule="auto" w:before="35"/>
        <w:ind w:left="636" w:right="221"/>
        <w:jc w:val="left"/>
      </w:pPr>
      <w:r>
        <w:rPr>
          <w:spacing w:val="-1"/>
        </w:rPr>
        <w:t>（</w:t>
      </w:r>
      <w:r>
        <w:rPr>
          <w:rFonts w:ascii="Times New Roman" w:hAnsi="Times New Roman" w:cs="Times New Roman" w:eastAsia="Times New Roman" w:hint="default"/>
          <w:spacing w:val="-1"/>
        </w:rPr>
        <w:t>2</w:t>
      </w:r>
      <w:r>
        <w:rPr>
          <w:spacing w:val="-1"/>
        </w:rPr>
        <w:t>）订单分产品情况</w:t>
        <w:tab/>
      </w:r>
      <w:r>
        <w:rPr/>
        <w:t>单位：万元</w:t>
      </w:r>
    </w:p>
    <w:p>
      <w:pPr>
        <w:spacing w:line="240" w:lineRule="auto" w:before="1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650"/>
        <w:gridCol w:w="1160"/>
        <w:gridCol w:w="1145"/>
        <w:gridCol w:w="1122"/>
        <w:gridCol w:w="1162"/>
        <w:gridCol w:w="1160"/>
        <w:gridCol w:w="1152"/>
        <w:gridCol w:w="1152"/>
        <w:gridCol w:w="1151"/>
      </w:tblGrid>
      <w:tr>
        <w:trPr>
          <w:trHeight w:val="1362"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35"/>
              <w:ind w:left="212" w:right="211"/>
              <w:jc w:val="center"/>
              <w:rPr>
                <w:rFonts w:ascii="宋体" w:hAnsi="宋体" w:cs="宋体" w:eastAsia="宋体" w:hint="default"/>
                <w:sz w:val="21"/>
                <w:szCs w:val="21"/>
              </w:rPr>
            </w:pPr>
            <w:r>
              <w:rPr>
                <w:rFonts w:ascii="宋体" w:hAnsi="宋体" w:cs="宋体" w:eastAsia="宋体" w:hint="default"/>
                <w:sz w:val="21"/>
                <w:szCs w:val="21"/>
              </w:rPr>
              <w:t>产 品</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7"/>
              <w:ind w:left="37" w:right="31" w:hanging="5"/>
              <w:jc w:val="left"/>
              <w:rPr>
                <w:rFonts w:ascii="Times New Roman" w:hAnsi="Times New Roman" w:cs="Times New Roman" w:eastAsia="Times New Roman" w:hint="default"/>
                <w:sz w:val="18"/>
                <w:szCs w:val="18"/>
              </w:rPr>
            </w:pPr>
            <w:r>
              <w:rPr>
                <w:rFonts w:ascii="宋体" w:hAnsi="宋体" w:cs="宋体" w:eastAsia="宋体" w:hint="default"/>
                <w:sz w:val="18"/>
                <w:szCs w:val="18"/>
              </w:rPr>
              <w:t>高压动态无功 补偿装置</w:t>
            </w:r>
            <w:r>
              <w:rPr>
                <w:rFonts w:ascii="Times New Roman" w:hAnsi="Times New Roman" w:cs="Times New Roman" w:eastAsia="Times New Roman" w:hint="default"/>
                <w:sz w:val="18"/>
                <w:szCs w:val="18"/>
              </w:rPr>
              <w:t>SVC</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整流器</w:t>
            </w: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HPR</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98" w:right="12" w:hanging="286"/>
              <w:jc w:val="left"/>
              <w:rPr>
                <w:rFonts w:ascii="宋体" w:hAnsi="宋体" w:cs="宋体" w:eastAsia="宋体" w:hint="default"/>
                <w:sz w:val="18"/>
                <w:szCs w:val="18"/>
              </w:rPr>
            </w:pPr>
            <w:r>
              <w:rPr>
                <w:rFonts w:ascii="宋体" w:hAnsi="宋体" w:cs="宋体" w:eastAsia="宋体" w:hint="default"/>
                <w:sz w:val="18"/>
                <w:szCs w:val="18"/>
              </w:rPr>
              <w:t>轻型直流输电 系统</w:t>
            </w:r>
          </w:p>
          <w:p>
            <w:pPr>
              <w:pStyle w:val="TableParagraph"/>
              <w:spacing w:line="240" w:lineRule="auto" w:before="98"/>
              <w:ind w:left="298" w:right="0"/>
              <w:jc w:val="left"/>
              <w:rPr>
                <w:rFonts w:ascii="Times New Roman" w:hAnsi="Times New Roman" w:cs="Times New Roman" w:eastAsia="Times New Roman" w:hint="default"/>
                <w:sz w:val="18"/>
                <w:szCs w:val="18"/>
              </w:rPr>
            </w:pPr>
            <w:r>
              <w:rPr>
                <w:rFonts w:ascii="Times New Roman"/>
                <w:sz w:val="18"/>
              </w:rPr>
              <w:t>HVDC</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7"/>
              <w:ind w:left="303" w:right="31" w:hanging="270"/>
              <w:jc w:val="left"/>
              <w:rPr>
                <w:rFonts w:ascii="Times New Roman" w:hAnsi="Times New Roman" w:cs="Times New Roman" w:eastAsia="Times New Roman" w:hint="default"/>
                <w:sz w:val="18"/>
                <w:szCs w:val="18"/>
              </w:rPr>
            </w:pPr>
            <w:r>
              <w:rPr>
                <w:rFonts w:ascii="宋体" w:hAnsi="宋体" w:cs="宋体" w:eastAsia="宋体" w:hint="default"/>
                <w:sz w:val="18"/>
                <w:szCs w:val="18"/>
              </w:rPr>
              <w:t>静止无功发生 器</w:t>
            </w:r>
            <w:r>
              <w:rPr>
                <w:rFonts w:ascii="Times New Roman" w:hAnsi="Times New Roman" w:cs="Times New Roman" w:eastAsia="Times New Roman" w:hint="default"/>
                <w:sz w:val="18"/>
                <w:szCs w:val="18"/>
              </w:rPr>
              <w:t>SVG</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2" w:right="31"/>
              <w:jc w:val="center"/>
              <w:rPr>
                <w:rFonts w:ascii="宋体" w:hAnsi="宋体" w:cs="宋体" w:eastAsia="宋体" w:hint="default"/>
                <w:sz w:val="18"/>
                <w:szCs w:val="18"/>
              </w:rPr>
            </w:pPr>
            <w:r>
              <w:rPr>
                <w:rFonts w:ascii="宋体" w:hAnsi="宋体" w:cs="宋体" w:eastAsia="宋体" w:hint="default"/>
                <w:sz w:val="18"/>
                <w:szCs w:val="18"/>
              </w:rPr>
              <w:t>高压变频调速 装置及高压软 启动装置</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HVC/VFS</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7"/>
              <w:ind w:left="129" w:right="26" w:hanging="101"/>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智能瓦斯排放 装置</w:t>
            </w:r>
            <w:r>
              <w:rPr>
                <w:rFonts w:ascii="Times New Roman" w:hAnsi="Times New Roman" w:cs="Times New Roman" w:eastAsia="Times New Roman" w:hint="default"/>
                <w:sz w:val="18"/>
                <w:szCs w:val="18"/>
              </w:rPr>
              <w:t>MABZ</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煤炭</w:t>
            </w:r>
            <w:r>
              <w:rPr>
                <w:rFonts w:ascii="Times New Roman" w:hAnsi="Times New Roman" w:cs="Times New Roman" w:eastAsia="Times New Roman" w:hint="default"/>
                <w:spacing w:val="-1"/>
                <w:sz w:val="18"/>
                <w:szCs w:val="18"/>
              </w:rPr>
              <w:t>EPC</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备件及其他</w:t>
            </w:r>
          </w:p>
        </w:tc>
      </w:tr>
      <w:tr>
        <w:trPr>
          <w:trHeight w:val="42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7"/>
              <w:jc w:val="right"/>
              <w:rPr>
                <w:rFonts w:ascii="宋体" w:hAnsi="宋体" w:cs="宋体" w:eastAsia="宋体" w:hint="default"/>
                <w:sz w:val="21"/>
                <w:szCs w:val="21"/>
              </w:rPr>
            </w:pPr>
            <w:r>
              <w:rPr>
                <w:rFonts w:ascii="宋体" w:hAnsi="宋体" w:cs="宋体" w:eastAsia="宋体" w:hint="default"/>
                <w:sz w:val="21"/>
                <w:szCs w:val="21"/>
              </w:rPr>
              <w:t>金额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21,784.64</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25,163</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1,300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95,701.70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31,410.11</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5,935.30</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79" w:right="0"/>
              <w:jc w:val="left"/>
              <w:rPr>
                <w:rFonts w:ascii="Times New Roman" w:hAnsi="Times New Roman" w:cs="Times New Roman" w:eastAsia="Times New Roman" w:hint="default"/>
                <w:sz w:val="21"/>
                <w:szCs w:val="21"/>
              </w:rPr>
            </w:pPr>
            <w:r>
              <w:rPr>
                <w:rFonts w:ascii="Times New Roman"/>
                <w:sz w:val="21"/>
              </w:rPr>
              <w:t>33,000</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13,827.75</w:t>
            </w:r>
          </w:p>
        </w:tc>
      </w:tr>
      <w:tr>
        <w:trPr>
          <w:trHeight w:val="428"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7"/>
              <w:jc w:val="right"/>
              <w:rPr>
                <w:rFonts w:ascii="宋体" w:hAnsi="宋体" w:cs="宋体" w:eastAsia="宋体" w:hint="default"/>
                <w:sz w:val="21"/>
                <w:szCs w:val="21"/>
              </w:rPr>
            </w:pPr>
            <w:r>
              <w:rPr>
                <w:rFonts w:ascii="宋体" w:hAnsi="宋体" w:cs="宋体" w:eastAsia="宋体" w:hint="default"/>
                <w:sz w:val="21"/>
                <w:szCs w:val="21"/>
              </w:rPr>
              <w:t>比例</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9.55%</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11.03%</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0.57%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Times New Roman" w:hAnsi="Times New Roman" w:cs="Times New Roman" w:eastAsia="Times New Roman" w:hint="default"/>
                <w:sz w:val="21"/>
                <w:szCs w:val="21"/>
              </w:rPr>
            </w:pPr>
            <w:r>
              <w:rPr>
                <w:rFonts w:ascii="Times New Roman"/>
                <w:sz w:val="21"/>
              </w:rPr>
              <w:t>41.95%</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13.77%</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2.60%</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42"/>
              <w:jc w:val="right"/>
              <w:rPr>
                <w:rFonts w:ascii="Times New Roman" w:hAnsi="Times New Roman" w:cs="Times New Roman" w:eastAsia="Times New Roman" w:hint="default"/>
                <w:sz w:val="21"/>
                <w:szCs w:val="21"/>
              </w:rPr>
            </w:pPr>
            <w:r>
              <w:rPr>
                <w:rFonts w:ascii="Times New Roman"/>
                <w:spacing w:val="-1"/>
                <w:sz w:val="21"/>
              </w:rPr>
              <w:t>14.47%</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6.06%</w:t>
            </w:r>
          </w:p>
        </w:tc>
      </w:tr>
    </w:tbl>
    <w:p>
      <w:pPr>
        <w:pStyle w:val="BodyText"/>
        <w:spacing w:line="273" w:lineRule="auto" w:before="26"/>
        <w:ind w:right="221" w:firstLine="420"/>
        <w:jc w:val="left"/>
      </w:pPr>
      <w:r>
        <w:rPr>
          <w:spacing w:val="-1"/>
        </w:rPr>
        <w:t>公司订单分布与上年相比未发生重大变化，公司收入结构以及业务订单的行业分布日趋合理，保证了</w:t>
      </w:r>
      <w:r>
        <w:rPr/>
        <w:t> 公司营业收入的相对稳定。</w:t>
      </w:r>
    </w:p>
    <w:p>
      <w:pPr>
        <w:pStyle w:val="BodyText"/>
        <w:spacing w:line="420" w:lineRule="auto" w:before="125"/>
        <w:ind w:left="658" w:right="221" w:firstLine="21"/>
        <w:jc w:val="left"/>
      </w:pPr>
      <w:r>
        <w:rPr/>
        <w:t>报告期，公司出口业务开始放量，海外订单</w:t>
      </w:r>
      <w:r>
        <w:rPr>
          <w:rFonts w:ascii="Times New Roman" w:hAnsi="Times New Roman" w:cs="Times New Roman" w:eastAsia="Times New Roman" w:hint="default"/>
        </w:rPr>
        <w:t>32,933.39</w:t>
      </w:r>
      <w:r>
        <w:rPr/>
        <w:t>（含税）万元，同比增长</w:t>
      </w:r>
      <w:r>
        <w:rPr>
          <w:rFonts w:ascii="Times New Roman" w:hAnsi="Times New Roman" w:cs="Times New Roman" w:eastAsia="Times New Roman" w:hint="default"/>
        </w:rPr>
        <w:t>195.75%</w:t>
      </w:r>
      <w:r>
        <w:rPr/>
        <w:t>。 报告期，北京信力筑正公司新签订单</w:t>
      </w:r>
      <w:r>
        <w:rPr>
          <w:rFonts w:ascii="Times New Roman" w:hAnsi="Times New Roman" w:cs="Times New Roman" w:eastAsia="Times New Roman" w:hint="default"/>
        </w:rPr>
        <w:t>35,600</w:t>
      </w:r>
      <w:r>
        <w:rPr/>
        <w:t>（含税）万元，同比下降</w:t>
      </w:r>
      <w:r>
        <w:rPr>
          <w:rFonts w:ascii="Times New Roman" w:hAnsi="Times New Roman" w:cs="Times New Roman" w:eastAsia="Times New Roman" w:hint="default"/>
        </w:rPr>
        <w:t>55.21%</w:t>
      </w:r>
      <w:r>
        <w:rPr/>
        <w:t>。 </w:t>
      </w:r>
      <w:r>
        <w:rPr>
          <w:spacing w:val="-3"/>
        </w:rPr>
        <w:t>报告期，公司签订的泰国光伏变电站项目</w:t>
      </w:r>
      <w:r>
        <w:rPr>
          <w:rFonts w:ascii="Times New Roman" w:hAnsi="Times New Roman" w:cs="Times New Roman" w:eastAsia="Times New Roman" w:hint="default"/>
          <w:spacing w:val="-3"/>
        </w:rPr>
        <w:t>EPC</w:t>
      </w:r>
      <w:r>
        <w:rPr>
          <w:spacing w:val="-3"/>
        </w:rPr>
        <w:t>工程总包合同</w:t>
      </w:r>
      <w:r>
        <w:rPr>
          <w:rFonts w:ascii="Times New Roman" w:hAnsi="Times New Roman" w:cs="Times New Roman" w:eastAsia="Times New Roman" w:hint="default"/>
          <w:spacing w:val="-3"/>
        </w:rPr>
        <w:t>11,024</w:t>
      </w:r>
      <w:r>
        <w:rPr>
          <w:spacing w:val="-3"/>
        </w:rPr>
        <w:t>万元，由于泰国相关政策变化原因，</w:t>
      </w:r>
    </w:p>
    <w:p>
      <w:pPr>
        <w:pStyle w:val="BodyText"/>
        <w:spacing w:line="420" w:lineRule="auto" w:before="4"/>
        <w:ind w:right="6066" w:hanging="1"/>
        <w:jc w:val="left"/>
      </w:pPr>
      <w:r>
        <w:rPr/>
        <w:t>导致项目无法执行，于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月末取消。 公司实物销售收入是否大于劳务收入</w:t>
      </w:r>
    </w:p>
    <w:p>
      <w:pPr>
        <w:spacing w:before="24"/>
        <w:ind w:left="154" w:right="2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4" w:type="dxa"/>
            <w:vMerge w:val="restart"/>
            <w:tcBorders>
              <w:top w:val="single" w:sz="4" w:space="0" w:color="000000"/>
              <w:left w:val="single" w:sz="4" w:space="0" w:color="000000"/>
              <w:right w:val="single" w:sz="4" w:space="0" w:color="000000"/>
            </w:tcBorders>
          </w:tcPr>
          <w:p>
            <w:pPr>
              <w:pStyle w:val="TableParagraph"/>
              <w:spacing w:line="316" w:lineRule="auto" w:before="97"/>
              <w:ind w:left="22" w:right="79"/>
              <w:jc w:val="left"/>
              <w:rPr>
                <w:rFonts w:ascii="宋体" w:hAnsi="宋体" w:cs="宋体" w:eastAsia="宋体" w:hint="default"/>
                <w:sz w:val="18"/>
                <w:szCs w:val="18"/>
              </w:rPr>
            </w:pPr>
            <w:r>
              <w:rPr>
                <w:rFonts w:ascii="宋体" w:hAnsi="宋体" w:cs="宋体" w:eastAsia="宋体" w:hint="default"/>
                <w:sz w:val="18"/>
                <w:szCs w:val="18"/>
              </w:rPr>
              <w:t>节能大功率电力电子装 备制造业</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销售量（订单）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2,637,224,800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2,558,575,000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w:t>
            </w:r>
          </w:p>
        </w:tc>
      </w:tr>
      <w:tr>
        <w:trPr>
          <w:trHeight w:val="402" w:hRule="exact"/>
        </w:trPr>
        <w:tc>
          <w:tcPr>
            <w:tcW w:w="191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生产量（销售收入）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1,287,133,495.51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1,630,819,959.31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-21.07%</w:t>
            </w:r>
          </w:p>
        </w:tc>
      </w:tr>
    </w:tbl>
    <w:p>
      <w:pPr>
        <w:spacing w:line="240" w:lineRule="auto" w:before="3"/>
        <w:rPr>
          <w:rFonts w:ascii="宋体" w:hAnsi="宋体" w:cs="宋体" w:eastAsia="宋体" w:hint="default"/>
          <w:sz w:val="5"/>
          <w:szCs w:val="5"/>
        </w:rPr>
      </w:pPr>
    </w:p>
    <w:p>
      <w:pPr>
        <w:pStyle w:val="BodyText"/>
        <w:spacing w:line="240" w:lineRule="auto" w:before="35"/>
        <w:ind w:right="221"/>
        <w:jc w:val="left"/>
      </w:pPr>
      <w:r>
        <w:rPr/>
        <w:t>相关数据同比发生变动</w:t>
      </w:r>
      <w:r>
        <w:rPr>
          <w:rFonts w:ascii="Times New Roman" w:hAnsi="Times New Roman" w:cs="Times New Roman" w:eastAsia="Times New Roman" w:hint="default"/>
        </w:rPr>
        <w:t>30%</w:t>
      </w:r>
      <w:r>
        <w:rPr/>
        <w:t>以上的原因说明</w:t>
      </w:r>
    </w:p>
    <w:p>
      <w:pPr>
        <w:spacing w:line="240" w:lineRule="auto" w:before="9"/>
        <w:rPr>
          <w:rFonts w:ascii="宋体" w:hAnsi="宋体" w:cs="宋体" w:eastAsia="宋体" w:hint="default"/>
          <w:sz w:val="16"/>
          <w:szCs w:val="16"/>
        </w:rPr>
      </w:pPr>
    </w:p>
    <w:p>
      <w:pPr>
        <w:pStyle w:val="BodyText"/>
        <w:spacing w:line="420" w:lineRule="auto"/>
        <w:ind w:left="153" w:right="76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 公司重大的在手订单情况</w:t>
      </w:r>
    </w:p>
    <w:p>
      <w:pPr>
        <w:pStyle w:val="BodyText"/>
        <w:spacing w:line="240" w:lineRule="auto" w:before="76"/>
        <w:ind w:left="153" w:right="2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16"/>
          <w:szCs w:val="16"/>
        </w:rPr>
      </w:pPr>
    </w:p>
    <w:p>
      <w:pPr>
        <w:pStyle w:val="BodyText"/>
        <w:spacing w:line="386" w:lineRule="auto"/>
        <w:ind w:left="295" w:right="325" w:firstLine="400"/>
        <w:jc w:val="left"/>
      </w:pPr>
      <w:r>
        <w:rPr>
          <w:spacing w:val="-1"/>
        </w:rPr>
        <w:t>报告期末，公司及控股子公司（不包括信力筑正）未执行合同</w:t>
      </w:r>
      <w:r>
        <w:rPr>
          <w:rFonts w:ascii="Times New Roman" w:hAnsi="Times New Roman" w:cs="Times New Roman" w:eastAsia="Times New Roman" w:hint="default"/>
          <w:spacing w:val="-1"/>
        </w:rPr>
        <w:t>166,304.71</w:t>
      </w:r>
      <w:r>
        <w:rPr>
          <w:spacing w:val="-1"/>
        </w:rPr>
        <w:t>万元（含税），转入</w:t>
      </w:r>
      <w:r>
        <w:rPr>
          <w:rFonts w:ascii="Times New Roman" w:hAnsi="Times New Roman" w:cs="Times New Roman" w:eastAsia="Times New Roman" w:hint="default"/>
          <w:spacing w:val="-1"/>
        </w:rPr>
        <w:t>2013</w:t>
      </w:r>
      <w:r>
        <w:rPr>
          <w:spacing w:val="-1"/>
        </w:rPr>
        <w:t>年</w:t>
      </w:r>
      <w:r>
        <w:rPr/>
        <w:t> 执行。</w:t>
      </w:r>
    </w:p>
    <w:p>
      <w:pPr>
        <w:pStyle w:val="BodyText"/>
        <w:spacing w:line="240" w:lineRule="auto" w:before="104"/>
        <w:ind w:left="659" w:right="221"/>
        <w:jc w:val="left"/>
      </w:pPr>
      <w:r>
        <w:rPr/>
        <w:t>报告期末，北京信力筑正公司未执行合同</w:t>
      </w:r>
      <w:r>
        <w:rPr>
          <w:rFonts w:ascii="Times New Roman" w:hAnsi="Times New Roman" w:cs="Times New Roman" w:eastAsia="Times New Roman" w:hint="default"/>
        </w:rPr>
        <w:t>45,155</w:t>
      </w:r>
      <w:r>
        <w:rPr/>
        <w:t>万元（含税），转入</w:t>
      </w:r>
      <w:r>
        <w:rPr>
          <w:rFonts w:ascii="Times New Roman" w:hAnsi="Times New Roman" w:cs="Times New Roman" w:eastAsia="Times New Roman" w:hint="default"/>
        </w:rPr>
        <w:t>2013</w:t>
      </w:r>
      <w:r>
        <w:rPr/>
        <w:t>年执行。</w:t>
      </w:r>
    </w:p>
    <w:p>
      <w:pPr>
        <w:spacing w:after="0" w:line="240" w:lineRule="auto"/>
        <w:jc w:val="left"/>
        <w:sectPr>
          <w:pgSz w:w="11910" w:h="16840"/>
          <w:pgMar w:header="747" w:footer="982" w:top="1060" w:bottom="1180" w:left="980" w:right="800"/>
        </w:sectPr>
      </w:pPr>
    </w:p>
    <w:p>
      <w:pPr>
        <w:spacing w:line="240" w:lineRule="auto" w:before="0"/>
        <w:rPr>
          <w:rFonts w:ascii="宋体" w:hAnsi="宋体" w:cs="宋体" w:eastAsia="宋体" w:hint="default"/>
          <w:sz w:val="20"/>
          <w:szCs w:val="20"/>
        </w:rPr>
      </w:pPr>
    </w:p>
    <w:p>
      <w:pPr>
        <w:pStyle w:val="BodyText"/>
        <w:spacing w:line="398" w:lineRule="auto" w:before="174"/>
        <w:ind w:left="153" w:right="151" w:firstLine="420"/>
        <w:jc w:val="both"/>
      </w:pPr>
      <w:r>
        <w:rPr>
          <w:spacing w:val="-1"/>
        </w:rPr>
        <w:t>公司主导产品为定制化的产品，实行订单生产，由于公司订单执行期较长，报告期末，公司及控股子</w:t>
      </w:r>
      <w:r>
        <w:rPr/>
        <w:t> </w:t>
      </w:r>
      <w:r>
        <w:rPr>
          <w:spacing w:val="-1"/>
        </w:rPr>
        <w:t>公司未执行合同结转至</w:t>
      </w:r>
      <w:r>
        <w:rPr>
          <w:rFonts w:ascii="Times New Roman" w:hAnsi="Times New Roman" w:cs="Times New Roman" w:eastAsia="Times New Roman" w:hint="default"/>
          <w:spacing w:val="-1"/>
        </w:rPr>
        <w:t>2013</w:t>
      </w:r>
      <w:r>
        <w:rPr>
          <w:spacing w:val="-1"/>
        </w:rPr>
        <w:t>年执行。未执行订单在履行过程中如果遇到宏观经济环境、客户经营状况发生</w:t>
      </w:r>
      <w:r>
        <w:rPr>
          <w:spacing w:val="-82"/>
        </w:rPr>
        <w:t> </w:t>
      </w:r>
      <w:r>
        <w:rPr>
          <w:spacing w:val="-82"/>
        </w:rPr>
      </w:r>
      <w:r>
        <w:rPr/>
        <w:t>不利变化等不可预计的或不可抗力等因素的影响，有可能会导致订单无法全部履行或终止的风险。</w:t>
      </w:r>
    </w:p>
    <w:p>
      <w:pPr>
        <w:pStyle w:val="BodyText"/>
        <w:spacing w:line="240" w:lineRule="auto" w:before="94"/>
        <w:ind w:left="153" w:right="0"/>
        <w:jc w:val="left"/>
      </w:pPr>
      <w:r>
        <w:rPr/>
        <w:t>公司报告期内产品或服务发生重大变化或调整有关情况</w:t>
      </w:r>
    </w:p>
    <w:p>
      <w:pPr>
        <w:spacing w:line="240" w:lineRule="auto" w:before="12"/>
        <w:rPr>
          <w:rFonts w:ascii="宋体" w:hAnsi="宋体" w:cs="宋体" w:eastAsia="宋体" w:hint="default"/>
          <w:sz w:val="17"/>
          <w:szCs w:val="17"/>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p>
    <w:p>
      <w:pPr>
        <w:spacing w:before="164"/>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301,092,393.23</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溧阳昌兴钢铁配套设施有限公司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81,679,487.23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中国国际核聚变能源技术执行中心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76,923,076.92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w:t>
            </w:r>
          </w:p>
        </w:tc>
      </w:tr>
      <w:tr>
        <w:trPr>
          <w:trHeight w:val="714"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5"/>
              <w:jc w:val="left"/>
              <w:rPr>
                <w:rFonts w:ascii="宋体" w:hAnsi="宋体" w:cs="宋体" w:eastAsia="宋体" w:hint="default"/>
                <w:sz w:val="18"/>
                <w:szCs w:val="18"/>
              </w:rPr>
            </w:pPr>
            <w:r>
              <w:rPr>
                <w:rFonts w:ascii="宋体" w:hAnsi="宋体" w:cs="宋体" w:eastAsia="宋体" w:hint="default"/>
                <w:sz w:val="18"/>
                <w:szCs w:val="18"/>
              </w:rPr>
              <w:t>沈阳鼓风机集团自动控制系统工程有限公 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66,139,401.73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龙源沈阳风力发电有限公司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51,282,051.28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中海石油</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25,068,376.07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301,092,393.23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617,144,962.42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763,734,185.48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-19.19%</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11,645,493.02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7,429,631.72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56.74%</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32,885,284.26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27,721,314.05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18.63%</w:t>
            </w:r>
          </w:p>
        </w:tc>
      </w:tr>
    </w:tbl>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pict>
          <v:shape style="position:absolute;margin-left:263.579712pt;margin-top:39.772316pt;width:271.3pt;height:19.650pt;mso-position-horizontal-relative:page;mso-position-vertical-relative:paragraph;z-index:-96409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110,171,025.72</w:t>
            </w:r>
          </w:p>
        </w:tc>
      </w:tr>
      <w:tr>
        <w:trPr>
          <w:trHeight w:val="402" w:hRule="exact"/>
        </w:trPr>
        <w:tc>
          <w:tcPr>
            <w:tcW w:w="4257"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12.45%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53" w:right="221"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2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北京晶川电子科技发展有限公司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35,211,943.37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新华都特种电气股份有限公司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30,633,962.88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北京科佳信电容器研究所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17,926,858.17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深圳意杰（</w:t>
            </w:r>
            <w:r>
              <w:rPr>
                <w:rFonts w:ascii="Times New Roman" w:hAnsi="Times New Roman" w:cs="Times New Roman" w:eastAsia="Times New Roman" w:hint="default"/>
                <w:sz w:val="18"/>
                <w:szCs w:val="18"/>
              </w:rPr>
              <w:t>EBG</w:t>
            </w:r>
            <w:r>
              <w:rPr>
                <w:rFonts w:ascii="宋体" w:hAnsi="宋体" w:cs="宋体" w:eastAsia="宋体" w:hint="default"/>
                <w:sz w:val="18"/>
                <w:szCs w:val="18"/>
              </w:rPr>
              <w:t>）电子有限公司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14,974,702.53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北京奥智四方科技有限公司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11,423,558.78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110,171,025.72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12.45%</w:t>
            </w:r>
          </w:p>
        </w:tc>
      </w:tr>
    </w:tbl>
    <w:p>
      <w:pPr>
        <w:spacing w:line="240" w:lineRule="auto" w:before="2"/>
        <w:rPr>
          <w:rFonts w:ascii="宋体" w:hAnsi="宋体" w:cs="宋体" w:eastAsia="宋体" w:hint="default"/>
          <w:sz w:val="19"/>
          <w:szCs w:val="19"/>
        </w:rPr>
      </w:pPr>
    </w:p>
    <w:p>
      <w:pPr>
        <w:pStyle w:val="Heading4"/>
        <w:spacing w:line="240" w:lineRule="auto" w:before="35"/>
        <w:ind w:right="221"/>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3" w:right="331" w:firstLine="420"/>
        <w:jc w:val="both"/>
      </w:pPr>
      <w:r>
        <w:rPr>
          <w:spacing w:val="-2"/>
        </w:rPr>
        <w:t>报告期，公司销售费用</w:t>
      </w:r>
      <w:r>
        <w:rPr>
          <w:rFonts w:ascii="Times New Roman" w:hAnsi="Times New Roman" w:cs="Times New Roman" w:eastAsia="Times New Roman" w:hint="default"/>
          <w:spacing w:val="-2"/>
        </w:rPr>
        <w:t>19,270.69</w:t>
      </w:r>
      <w:r>
        <w:rPr>
          <w:spacing w:val="-2"/>
        </w:rPr>
        <w:t>万元，同比下降</w:t>
      </w:r>
      <w:r>
        <w:rPr>
          <w:rFonts w:ascii="Times New Roman" w:hAnsi="Times New Roman" w:cs="Times New Roman" w:eastAsia="Times New Roman" w:hint="default"/>
          <w:spacing w:val="-2"/>
        </w:rPr>
        <w:t>27.15%</w:t>
      </w:r>
      <w:r>
        <w:rPr>
          <w:spacing w:val="-2"/>
        </w:rPr>
        <w:t>，主要是运费、包装费及维修费减少所致；管</w:t>
      </w:r>
      <w:r>
        <w:rPr/>
        <w:t> </w:t>
      </w:r>
      <w:r>
        <w:rPr>
          <w:spacing w:val="-1"/>
        </w:rPr>
        <w:t>理费用</w:t>
      </w:r>
      <w:r>
        <w:rPr>
          <w:rFonts w:ascii="Times New Roman" w:hAnsi="Times New Roman" w:cs="Times New Roman" w:eastAsia="Times New Roman" w:hint="default"/>
          <w:spacing w:val="-1"/>
        </w:rPr>
        <w:t>26,061.84</w:t>
      </w:r>
      <w:r>
        <w:rPr>
          <w:spacing w:val="-1"/>
        </w:rPr>
        <w:t>万元，同比增长</w:t>
      </w:r>
      <w:r>
        <w:rPr>
          <w:rFonts w:ascii="Times New Roman" w:hAnsi="Times New Roman" w:cs="Times New Roman" w:eastAsia="Times New Roman" w:hint="default"/>
          <w:spacing w:val="-1"/>
        </w:rPr>
        <w:t>14.58%</w:t>
      </w:r>
      <w:r>
        <w:rPr>
          <w:spacing w:val="-1"/>
        </w:rPr>
        <w:t>，主要是由于公司新设立众多子公司，体量增加较快，管理成本增</w:t>
      </w:r>
      <w:r>
        <w:rPr>
          <w:spacing w:val="-99"/>
        </w:rPr>
        <w:t> </w:t>
      </w:r>
      <w:r>
        <w:rPr>
          <w:spacing w:val="-99"/>
        </w:rPr>
      </w:r>
      <w:r>
        <w:rPr/>
        <w:t>加；财务费用</w:t>
      </w:r>
      <w:r>
        <w:rPr>
          <w:rFonts w:ascii="Times New Roman" w:hAnsi="Times New Roman" w:cs="Times New Roman" w:eastAsia="Times New Roman" w:hint="default"/>
        </w:rPr>
        <w:t>6,797.59</w:t>
      </w:r>
      <w:r>
        <w:rPr/>
        <w:t>万元，同比增加</w:t>
      </w:r>
      <w:r>
        <w:rPr>
          <w:rFonts w:ascii="Times New Roman" w:hAnsi="Times New Roman" w:cs="Times New Roman" w:eastAsia="Times New Roman" w:hint="default"/>
        </w:rPr>
        <w:t>66.37%</w:t>
      </w:r>
      <w:r>
        <w:rPr/>
        <w:t>，主要是由于</w:t>
      </w:r>
      <w:r>
        <w:rPr>
          <w:rFonts w:ascii="Times New Roman" w:hAnsi="Times New Roman" w:cs="Times New Roman" w:eastAsia="Times New Roman" w:hint="default"/>
        </w:rPr>
        <w:t>2012</w:t>
      </w:r>
      <w:r>
        <w:rPr/>
        <w:t>年借款增加，且融资成本较高的原因。</w:t>
      </w:r>
    </w:p>
    <w:p>
      <w:pPr>
        <w:spacing w:line="240" w:lineRule="auto" w:before="10"/>
        <w:rPr>
          <w:rFonts w:ascii="宋体" w:hAnsi="宋体" w:cs="宋体" w:eastAsia="宋体" w:hint="default"/>
          <w:sz w:val="19"/>
          <w:szCs w:val="19"/>
        </w:rPr>
      </w:pPr>
    </w:p>
    <w:p>
      <w:pPr>
        <w:pStyle w:val="Heading4"/>
        <w:spacing w:line="240" w:lineRule="auto"/>
        <w:ind w:right="221"/>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329" w:firstLine="482"/>
        <w:jc w:val="both"/>
      </w:pPr>
      <w:r>
        <w:rPr>
          <w:spacing w:val="-2"/>
        </w:rPr>
        <w:t>报告期，公司根据国际上节能大功率电力电子设备制造业发展趋势和国内市场需要，有针对性地进行</w:t>
      </w:r>
      <w:r>
        <w:rPr/>
        <w:t> </w:t>
      </w:r>
      <w:r>
        <w:rPr>
          <w:spacing w:val="-1"/>
        </w:rPr>
        <w:t>电力电子等技术领域的基础研究和专项技术开发，保证公司产品的技术水平保持国内领先，并开发行业前</w:t>
      </w:r>
      <w:r>
        <w:rPr>
          <w:spacing w:val="-81"/>
        </w:rPr>
        <w:t> </w:t>
      </w:r>
      <w:r>
        <w:rPr>
          <w:spacing w:val="-81"/>
        </w:rPr>
      </w:r>
      <w:r>
        <w:rPr/>
        <w:t>沿技术，力争与国际先进技术水平同步。</w:t>
      </w:r>
    </w:p>
    <w:p>
      <w:pPr>
        <w:spacing w:line="240" w:lineRule="auto" w:before="5"/>
        <w:rPr>
          <w:rFonts w:ascii="宋体" w:hAnsi="宋体" w:cs="宋体" w:eastAsia="宋体" w:hint="default"/>
          <w:sz w:val="21"/>
          <w:szCs w:val="21"/>
        </w:rPr>
      </w:pPr>
    </w:p>
    <w:p>
      <w:pPr>
        <w:pStyle w:val="BodyText"/>
        <w:tabs>
          <w:tab w:pos="8989" w:val="left" w:leader="none"/>
        </w:tabs>
        <w:spacing w:line="240" w:lineRule="auto"/>
        <w:ind w:left="634" w:right="221"/>
        <w:jc w:val="left"/>
        <w:rPr>
          <w:rFonts w:ascii="宋体" w:hAnsi="宋体" w:cs="宋体" w:eastAsia="宋体" w:hint="default"/>
          <w:sz w:val="18"/>
          <w:szCs w:val="18"/>
        </w:rPr>
      </w:pPr>
      <w:r>
        <w:rPr>
          <w:spacing w:val="-1"/>
        </w:rPr>
        <w:t>报告期，公司共计投入研发资金16,882.36万元，占2012年销售收入13.12%。</w:t>
        <w:tab/>
      </w:r>
      <w:r>
        <w:rPr>
          <w:rFonts w:ascii="宋体" w:hAnsi="宋体" w:cs="宋体" w:eastAsia="宋体" w:hint="default"/>
          <w:b/>
          <w:bCs/>
          <w:sz w:val="18"/>
          <w:szCs w:val="18"/>
        </w:rPr>
        <w:t>单位</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宋体" w:hAnsi="宋体" w:cs="宋体" w:eastAsia="宋体" w:hint="default"/>
          <w:sz w:val="18"/>
          <w:szCs w:val="18"/>
        </w:rPr>
      </w:r>
    </w:p>
    <w:p>
      <w:pPr>
        <w:spacing w:line="240" w:lineRule="auto" w:before="3"/>
        <w:rPr>
          <w:rFonts w:ascii="宋体" w:hAnsi="宋体" w:cs="宋体" w:eastAsia="宋体" w:hint="default"/>
          <w:b/>
          <w:bCs/>
          <w:sz w:val="3"/>
          <w:szCs w:val="3"/>
        </w:rPr>
      </w:pPr>
    </w:p>
    <w:tbl>
      <w:tblPr>
        <w:tblW w:w="0" w:type="auto"/>
        <w:jc w:val="left"/>
        <w:tblInd w:w="146" w:type="dxa"/>
        <w:tblLayout w:type="fixed"/>
        <w:tblCellMar>
          <w:top w:w="0" w:type="dxa"/>
          <w:left w:w="0" w:type="dxa"/>
          <w:bottom w:w="0" w:type="dxa"/>
          <w:right w:w="0" w:type="dxa"/>
        </w:tblCellMar>
        <w:tblLook w:val="01E0"/>
      </w:tblPr>
      <w:tblGrid>
        <w:gridCol w:w="2971"/>
        <w:gridCol w:w="2458"/>
        <w:gridCol w:w="2178"/>
        <w:gridCol w:w="2248"/>
      </w:tblGrid>
      <w:tr>
        <w:trPr>
          <w:trHeight w:val="347" w:hRule="exact"/>
        </w:trPr>
        <w:tc>
          <w:tcPr>
            <w:tcW w:w="2971" w:type="dxa"/>
            <w:tcBorders>
              <w:top w:val="single" w:sz="6" w:space="0" w:color="000000"/>
              <w:left w:val="single" w:sz="6" w:space="0" w:color="000000"/>
              <w:bottom w:val="single" w:sz="6" w:space="0" w:color="000000"/>
              <w:right w:val="single" w:sz="6" w:space="0" w:color="000000"/>
            </w:tcBorders>
            <w:shd w:val="clear" w:color="auto" w:fill="969696"/>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458" w:type="dxa"/>
            <w:tcBorders>
              <w:top w:val="single" w:sz="6" w:space="0" w:color="000000"/>
              <w:left w:val="single" w:sz="6" w:space="0" w:color="000000"/>
              <w:bottom w:val="single" w:sz="6" w:space="0" w:color="000000"/>
              <w:right w:val="single" w:sz="6" w:space="0" w:color="000000"/>
            </w:tcBorders>
            <w:shd w:val="clear" w:color="auto" w:fill="969696"/>
          </w:tcPr>
          <w:p>
            <w:pPr>
              <w:pStyle w:val="TableParagraph"/>
              <w:spacing w:line="30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p>
        </w:tc>
        <w:tc>
          <w:tcPr>
            <w:tcW w:w="2178" w:type="dxa"/>
            <w:tcBorders>
              <w:top w:val="single" w:sz="6" w:space="0" w:color="000000"/>
              <w:left w:val="single" w:sz="6" w:space="0" w:color="000000"/>
              <w:bottom w:val="single" w:sz="6" w:space="0" w:color="000000"/>
              <w:right w:val="single" w:sz="6" w:space="0" w:color="000000"/>
            </w:tcBorders>
            <w:shd w:val="clear" w:color="auto" w:fill="969696"/>
          </w:tcPr>
          <w:p>
            <w:pPr>
              <w:pStyle w:val="TableParagraph"/>
              <w:spacing w:line="304" w:lineRule="exact"/>
              <w:ind w:left="72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2248" w:type="dxa"/>
            <w:tcBorders>
              <w:top w:val="single" w:sz="6" w:space="0" w:color="000000"/>
              <w:left w:val="single" w:sz="6" w:space="0" w:color="000000"/>
              <w:bottom w:val="single" w:sz="6" w:space="0" w:color="000000"/>
              <w:right w:val="single" w:sz="6" w:space="0" w:color="000000"/>
            </w:tcBorders>
            <w:shd w:val="clear" w:color="auto" w:fill="969696"/>
          </w:tcPr>
          <w:p>
            <w:pPr>
              <w:pStyle w:val="TableParagraph"/>
              <w:spacing w:line="304" w:lineRule="exact"/>
              <w:ind w:left="1"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34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研发支出总额</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16,882.36</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13,206.44</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15,269.82</w:t>
            </w:r>
          </w:p>
        </w:tc>
      </w:tr>
      <w:tr>
        <w:trPr>
          <w:trHeight w:val="34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占销售收入比重</w:t>
            </w:r>
            <w:r>
              <w:rPr>
                <w:rFonts w:ascii="Times New Roman" w:hAnsi="Times New Roman" w:cs="Times New Roman" w:eastAsia="Times New Roman" w:hint="default"/>
                <w:sz w:val="18"/>
                <w:szCs w:val="18"/>
              </w:rPr>
              <w:t>%</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13.12%</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8.10%</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11.42%</w:t>
            </w:r>
          </w:p>
        </w:tc>
      </w:tr>
    </w:tbl>
    <w:p>
      <w:pPr>
        <w:spacing w:line="240" w:lineRule="auto" w:before="13"/>
        <w:rPr>
          <w:rFonts w:ascii="宋体" w:hAnsi="宋体" w:cs="宋体" w:eastAsia="宋体" w:hint="default"/>
          <w:b/>
          <w:bCs/>
          <w:sz w:val="25"/>
          <w:szCs w:val="25"/>
        </w:rPr>
      </w:pPr>
    </w:p>
    <w:p>
      <w:pPr>
        <w:pStyle w:val="BodyText"/>
        <w:spacing w:line="408" w:lineRule="auto" w:before="35"/>
        <w:ind w:right="333" w:firstLine="482"/>
        <w:jc w:val="left"/>
      </w:pPr>
      <w:r>
        <w:rPr/>
        <w:t>报告期，公司及控股子公司有57项专利获得授权，其中：发明专利6项，实用新型专利51项；申请并 已受理的专利52项，其中：发明专利14项，实用新型38项；取得软件著作权37项。</w:t>
      </w:r>
    </w:p>
    <w:p>
      <w:pPr>
        <w:spacing w:after="0" w:line="408" w:lineRule="auto"/>
        <w:jc w:val="left"/>
        <w:sectPr>
          <w:pgSz w:w="11910" w:h="16840"/>
          <w:pgMar w:header="747" w:footer="982" w:top="1060" w:bottom="1180" w:left="980" w:right="80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1,456,321,093.77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1,538,972,959.07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1,632,684,613.03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1,696,755,056.03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-176,363,519.26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-157,782,096.96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6,961,792.46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30,438,771.88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-77.13%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108,239,787.45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86,907,197.12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-101,277,994.99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-56,468,425.24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79.35%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1,049,091,504.53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474,042,700.00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776,096,332.28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480,506,205.44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61.52%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272,995,172.25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-6,463,505.44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4,323.64%</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-5,089,828.33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-220,190,968.48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101" w:firstLine="525"/>
        <w:jc w:val="left"/>
      </w:pPr>
      <w:r>
        <w:rPr/>
        <w:t>报告期，公司经营活动产生的现金流量为净现金流出-17,636.35万元，主要原因是：公司业务规模 扩大、新增业务订单以及由此带来的原材料采购等快速增长导致经营活动现金流出较快；同时，公司给予 </w:t>
      </w:r>
      <w:r>
        <w:rPr>
          <w:spacing w:val="-3"/>
        </w:rPr>
        <w:t>客户更加宽松的信用政策，销售回款期长，及公司部分客户采用银行承兑汇票进行结算，现金回笼率较低，</w:t>
      </w:r>
      <w:r>
        <w:rPr>
          <w:spacing w:val="-90"/>
        </w:rPr>
        <w:t> </w:t>
      </w:r>
      <w:r>
        <w:rPr>
          <w:spacing w:val="-90"/>
        </w:rPr>
      </w:r>
      <w:r>
        <w:rPr/>
        <w:t>公司应收账款和应收票据增加，导致经营活动的现金流入较慢，这与公司所处行业以及公司业务发展的阶</w:t>
      </w:r>
      <w:r>
        <w:rPr/>
        <w:t> 段性特点有关。</w:t>
      </w:r>
    </w:p>
    <w:p>
      <w:pPr>
        <w:pStyle w:val="BodyText"/>
        <w:spacing w:line="240" w:lineRule="auto" w:before="46"/>
        <w:ind w:left="636" w:right="0"/>
        <w:jc w:val="left"/>
      </w:pPr>
      <w:r>
        <w:rPr/>
        <w:t>本公司为改善经营活动现金流状况，采取了以下措施：</w:t>
      </w:r>
    </w:p>
    <w:p>
      <w:pPr>
        <w:spacing w:line="240" w:lineRule="auto" w:before="10"/>
        <w:rPr>
          <w:rFonts w:ascii="宋体" w:hAnsi="宋体" w:cs="宋体" w:eastAsia="宋体" w:hint="default"/>
          <w:sz w:val="14"/>
          <w:szCs w:val="14"/>
        </w:rPr>
      </w:pPr>
    </w:p>
    <w:p>
      <w:pPr>
        <w:pStyle w:val="BodyText"/>
        <w:spacing w:line="408" w:lineRule="auto"/>
        <w:ind w:right="196" w:firstLine="482"/>
        <w:jc w:val="left"/>
      </w:pPr>
      <w:r>
        <w:rPr>
          <w:spacing w:val="-2"/>
        </w:rPr>
        <w:t>①加大应收账款催收力度：公司已采取加大应收账款催收力度、将客户回款情况作为关键指标对公司</w:t>
      </w:r>
      <w:r>
        <w:rPr/>
        <w:t> 销售人员进行考核等多种措施以缩短销售回款周期等，这在一定程度上增加了现金流的流入。</w:t>
      </w:r>
    </w:p>
    <w:p>
      <w:pPr>
        <w:pStyle w:val="BodyText"/>
        <w:spacing w:line="408" w:lineRule="auto" w:before="46"/>
        <w:ind w:right="210" w:firstLine="482"/>
        <w:jc w:val="both"/>
      </w:pPr>
      <w:r>
        <w:rPr>
          <w:spacing w:val="-2"/>
        </w:rPr>
        <w:t>②应收账款保理融资：为了加强应收账款回收、加快资金周转，报告期内，公司开展了应收账款保理</w:t>
      </w:r>
      <w:r>
        <w:rPr/>
        <w:t> </w:t>
      </w:r>
      <w:r>
        <w:rPr>
          <w:spacing w:val="-1"/>
        </w:rPr>
        <w:t>业务，公司通过保理业务获取银行融资，相当于应收账款提前收回。应收账款保理业务的开展有助于公司</w:t>
      </w:r>
      <w:r>
        <w:rPr>
          <w:spacing w:val="-83"/>
        </w:rPr>
        <w:t> </w:t>
      </w:r>
      <w:r>
        <w:rPr>
          <w:spacing w:val="-83"/>
        </w:rPr>
      </w:r>
      <w:r>
        <w:rPr/>
        <w:t>提前收取货款，盘活资金并缓解现金流压力。</w:t>
      </w:r>
    </w:p>
    <w:p>
      <w:pPr>
        <w:pStyle w:val="BodyText"/>
        <w:spacing w:line="408" w:lineRule="auto" w:before="46"/>
        <w:ind w:right="200" w:firstLine="482"/>
        <w:jc w:val="left"/>
      </w:pPr>
      <w:r>
        <w:rPr>
          <w:spacing w:val="-2"/>
        </w:rPr>
        <w:t>③应收账款投保：自2008年开始，公司已通过中国出口信用保险公司，对部分应收账款投保了“国内</w:t>
      </w:r>
      <w:r>
        <w:rPr/>
        <w:t> 贸易信用保险”。公司在该部分应收账款不能收回的情况下可以获得相应的保险赔偿。</w:t>
      </w:r>
    </w:p>
    <w:p>
      <w:pPr>
        <w:pStyle w:val="BodyText"/>
        <w:spacing w:line="240" w:lineRule="auto" w:before="46"/>
        <w:ind w:left="636" w:right="0"/>
        <w:jc w:val="left"/>
      </w:pPr>
      <w:r>
        <w:rPr/>
        <w:t>④</w:t>
      </w:r>
      <w:r>
        <w:rPr>
          <w:spacing w:val="-2"/>
        </w:rPr>
        <w:t> </w:t>
      </w:r>
      <w:r>
        <w:rPr/>
        <w:t>提高上游议价能力：报告期内，公司不断提高对上游供应商议价能力，延长采购款支付期限，从</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而减少现金流出。</w:t>
      </w:r>
    </w:p>
    <w:p>
      <w:pPr>
        <w:spacing w:line="240" w:lineRule="auto" w:before="10"/>
        <w:rPr>
          <w:rFonts w:ascii="宋体" w:hAnsi="宋体" w:cs="宋体" w:eastAsia="宋体" w:hint="default"/>
          <w:sz w:val="14"/>
          <w:szCs w:val="14"/>
        </w:rPr>
      </w:pPr>
    </w:p>
    <w:p>
      <w:pPr>
        <w:pStyle w:val="BodyText"/>
        <w:spacing w:line="408" w:lineRule="auto"/>
        <w:ind w:right="136" w:firstLine="482"/>
        <w:jc w:val="left"/>
      </w:pPr>
      <w:r>
        <w:rPr>
          <w:spacing w:val="-2"/>
        </w:rPr>
        <w:t>⑤应收票据贴现或转让：由于公司应收票据同样具有现金的高流动性，公司可将持有的银行承兑汇票</w:t>
      </w:r>
      <w:r>
        <w:rPr/>
        <w:t> 随时向银行贴现或背书转让，从而增加现金流入。</w:t>
      </w:r>
    </w:p>
    <w:p>
      <w:pPr>
        <w:pStyle w:val="BodyText"/>
        <w:spacing w:line="408" w:lineRule="auto" w:before="46"/>
        <w:ind w:right="142" w:firstLine="482"/>
        <w:jc w:val="left"/>
      </w:pPr>
      <w:r>
        <w:rPr>
          <w:spacing w:val="-2"/>
        </w:rPr>
        <w:t>报告期，投资活动产生的现金流量净额同比变动79.35%，主要是报告期处置固定资产收回的现金同比</w:t>
      </w:r>
      <w:r>
        <w:rPr/>
        <w:t> 减少，而质押的定期存款形成支付现金同比增加所致。</w:t>
      </w:r>
    </w:p>
    <w:p>
      <w:pPr>
        <w:pStyle w:val="BodyText"/>
        <w:spacing w:line="240" w:lineRule="auto" w:before="46"/>
        <w:ind w:left="636" w:right="0"/>
        <w:jc w:val="left"/>
      </w:pPr>
      <w:r>
        <w:rPr/>
        <w:t>报告期，筹资活动产生的现金流量净额同比变动4,323.64%，主要是银行借款及发行短融融资增加所</w:t>
      </w:r>
    </w:p>
    <w:p>
      <w:pPr>
        <w:spacing w:line="240" w:lineRule="auto" w:before="10"/>
        <w:rPr>
          <w:rFonts w:ascii="宋体" w:hAnsi="宋体" w:cs="宋体" w:eastAsia="宋体" w:hint="default"/>
          <w:sz w:val="14"/>
          <w:szCs w:val="14"/>
        </w:rPr>
      </w:pPr>
    </w:p>
    <w:p>
      <w:pPr>
        <w:pStyle w:val="BodyText"/>
        <w:spacing w:line="240" w:lineRule="auto"/>
        <w:ind w:right="0"/>
        <w:jc w:val="both"/>
      </w:pPr>
      <w:r>
        <w:rPr/>
        <w:t>致。</w:t>
      </w:r>
    </w:p>
    <w:p>
      <w:pPr>
        <w:spacing w:line="240" w:lineRule="auto" w:before="10"/>
        <w:rPr>
          <w:rFonts w:ascii="宋体" w:hAnsi="宋体" w:cs="宋体" w:eastAsia="宋体" w:hint="default"/>
          <w:sz w:val="14"/>
          <w:szCs w:val="14"/>
        </w:rPr>
      </w:pPr>
    </w:p>
    <w:p>
      <w:pPr>
        <w:pStyle w:val="BodyText"/>
        <w:spacing w:line="408" w:lineRule="auto"/>
        <w:ind w:left="153" w:right="143" w:firstLine="482"/>
        <w:jc w:val="left"/>
      </w:pPr>
      <w:r>
        <w:rPr>
          <w:spacing w:val="-2"/>
        </w:rPr>
        <w:t>报告期内现金及现金等价物净额同比变动97.69%，主要是报告期内筹资活动产生的现金流量净额同比</w:t>
      </w:r>
      <w:r>
        <w:rPr/>
        <w:t> 增加所致。</w:t>
      </w:r>
    </w:p>
    <w:p>
      <w:pPr>
        <w:pStyle w:val="BodyText"/>
        <w:spacing w:line="240" w:lineRule="auto" w:before="46"/>
        <w:ind w:left="636" w:right="0"/>
        <w:jc w:val="left"/>
      </w:pPr>
      <w:r>
        <w:rPr/>
        <w:t>报告期内公司经营活动的现金流量与本年度净利润存在重大差异的原因说明</w:t>
      </w:r>
    </w:p>
    <w:p>
      <w:pPr>
        <w:spacing w:line="240" w:lineRule="auto" w:before="10"/>
        <w:rPr>
          <w:rFonts w:ascii="宋体" w:hAnsi="宋体" w:cs="宋体" w:eastAsia="宋体" w:hint="default"/>
          <w:sz w:val="14"/>
          <w:szCs w:val="14"/>
        </w:rPr>
      </w:pPr>
    </w:p>
    <w:p>
      <w:pPr>
        <w:pStyle w:val="BodyText"/>
        <w:spacing w:line="408" w:lineRule="auto"/>
        <w:ind w:left="679" w:right="215" w:hanging="43"/>
        <w:jc w:val="left"/>
      </w:pPr>
      <w:r>
        <w:rPr/>
        <w:t>√ 适用 □</w:t>
      </w:r>
      <w:r>
        <w:rPr>
          <w:spacing w:val="-2"/>
        </w:rPr>
        <w:t> </w:t>
      </w:r>
      <w:r>
        <w:rPr/>
        <w:t>不适用</w:t>
      </w:r>
      <w:r>
        <w:rPr/>
        <w:t> 报告期内，导致公司经营性现金流与净利润存在差异的主要原因是存货和经营性应收项目与经营性</w:t>
      </w:r>
    </w:p>
    <w:p>
      <w:pPr>
        <w:pStyle w:val="BodyText"/>
        <w:spacing w:line="408" w:lineRule="auto" w:before="46"/>
        <w:ind w:left="636" w:right="136" w:hanging="483"/>
        <w:jc w:val="left"/>
      </w:pPr>
      <w:r>
        <w:rPr/>
        <w:t>应付项目的变化幅度不同。 </w:t>
      </w:r>
      <w:r>
        <w:rPr>
          <w:spacing w:val="-2"/>
        </w:rPr>
        <w:t>报告期内，公司业务规模扩大、新增业务订单以及由此带来的原材料采购等快速增长导致经营活动现</w:t>
      </w:r>
    </w:p>
    <w:p>
      <w:pPr>
        <w:pStyle w:val="BodyText"/>
        <w:spacing w:line="408" w:lineRule="auto" w:before="46"/>
        <w:ind w:left="153" w:right="151"/>
        <w:jc w:val="both"/>
      </w:pPr>
      <w:r>
        <w:rPr>
          <w:spacing w:val="-1"/>
        </w:rPr>
        <w:t>金流出较快；同时，公司给予客户更加宽松的信用政策，销售回款期长，及公司部分客户采用银行承兑汇</w:t>
      </w:r>
      <w:r>
        <w:rPr>
          <w:spacing w:val="-82"/>
        </w:rPr>
        <w:t> </w:t>
      </w:r>
      <w:r>
        <w:rPr>
          <w:spacing w:val="-82"/>
        </w:rPr>
      </w:r>
      <w:r>
        <w:rPr>
          <w:spacing w:val="-1"/>
        </w:rPr>
        <w:t>票进行结算，现金回笼率较低，公司应收账款和应收票据增加，导致经营活动的现金流入较慢，这与公司</w:t>
      </w:r>
      <w:r>
        <w:rPr>
          <w:spacing w:val="-82"/>
        </w:rPr>
        <w:t> </w:t>
      </w:r>
      <w:r>
        <w:rPr>
          <w:spacing w:val="-82"/>
        </w:rPr>
      </w:r>
      <w:r>
        <w:rPr/>
        <w:t>所处行业以及公司业务发展的阶段性特点有关。</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r>
        <w:rPr/>
        <w:t>三、主营业务构成情况</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1,287,133,495.51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661,675,739.70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电能质量与电力 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725,506,096.44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364,434,628.18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电机传动与节能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330,682,641.63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179,170,883.02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余热余压节能发 电系统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88,111,777.83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59,968,671.08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142,832,979.61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58,101,557.42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1,221,651,013.92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632,318,844.96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65,482,481.59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29,356,894.74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3"/>
        <w:gridCol w:w="1063"/>
        <w:gridCol w:w="1195"/>
        <w:gridCol w:w="1063"/>
        <w:gridCol w:w="799"/>
        <w:gridCol w:w="2917"/>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3"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802,703,546.3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571,184,812.26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1,346,980,224.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1,216,708,175.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566,152,867.2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438,349,348.47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0.73%</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left"/>
              <w:rPr>
                <w:rFonts w:ascii="Times New Roman" w:hAnsi="Times New Roman" w:cs="Times New Roman" w:eastAsia="Times New Roman" w:hint="default"/>
                <w:sz w:val="18"/>
                <w:szCs w:val="18"/>
              </w:rPr>
            </w:pPr>
            <w:r>
              <w:rPr>
                <w:rFonts w:ascii="Times New Roman"/>
                <w:sz w:val="18"/>
              </w:rPr>
              <w:t>50,276,099.76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47,933,876.85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510,742,018.9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410,694,041.16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106,420,064.2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106,931,048.25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pStyle w:val="BodyText"/>
        <w:spacing w:line="391" w:lineRule="auto" w:before="35"/>
        <w:ind w:right="146" w:firstLine="420"/>
        <w:jc w:val="both"/>
      </w:pPr>
      <w:r>
        <w:rPr>
          <w:spacing w:val="-1"/>
        </w:rPr>
        <w:t>报告期内本公司应收账款期末余额较大的原因是：</w:t>
      </w:r>
      <w:r>
        <w:rPr>
          <w:rFonts w:ascii="Times New Roman" w:hAnsi="Times New Roman" w:cs="Times New Roman" w:eastAsia="Times New Roman" w:hint="default"/>
          <w:spacing w:val="-1"/>
        </w:rPr>
        <w:t>A.</w:t>
      </w:r>
      <w:r>
        <w:rPr>
          <w:spacing w:val="-1"/>
        </w:rPr>
        <w:t>公司产品主要为大型定制化设备，单笔业务金额</w:t>
      </w:r>
      <w:r>
        <w:rPr/>
        <w:t> 较大，在收入确认后完全收款之前，相应应收账款规模较大。</w:t>
      </w:r>
      <w:r>
        <w:rPr>
          <w:rFonts w:ascii="Times New Roman" w:hAnsi="Times New Roman" w:cs="Times New Roman" w:eastAsia="Times New Roman" w:hint="default"/>
        </w:rPr>
        <w:t>B.</w:t>
      </w:r>
      <w:r>
        <w:rPr/>
        <w:t>公司产品主要面向冶金、煤炭、发电、电 </w:t>
      </w:r>
      <w:r>
        <w:rPr>
          <w:spacing w:val="-1"/>
        </w:rPr>
        <w:t>气化铁路、有色金属等基础性行业，该等行业内客户以国有大中型企业居多，内部审批流程相对复杂、付</w:t>
      </w:r>
      <w:r>
        <w:rPr>
          <w:spacing w:val="-82"/>
        </w:rPr>
        <w:t> </w:t>
      </w:r>
      <w:r>
        <w:rPr>
          <w:spacing w:val="-82"/>
        </w:rPr>
      </w:r>
      <w:r>
        <w:rPr/>
        <w:t>款周期较长。</w:t>
      </w:r>
      <w:r>
        <w:rPr>
          <w:rFonts w:ascii="Times New Roman" w:hAnsi="Times New Roman" w:cs="Times New Roman" w:eastAsia="Times New Roman" w:hint="default"/>
        </w:rPr>
        <w:t>C.</w:t>
      </w:r>
      <w:r>
        <w:rPr/>
        <w:t>报告期内，公司为进一步开拓市场，实行较为宽松的信用政策，客户付款周期有所延长。 为了使应收账款的增加不会对公司持续经营构成不利影响。</w:t>
      </w:r>
    </w:p>
    <w:p>
      <w:pPr>
        <w:pStyle w:val="BodyText"/>
        <w:spacing w:line="240" w:lineRule="auto" w:before="99"/>
        <w:ind w:left="574" w:right="0"/>
        <w:jc w:val="left"/>
      </w:pPr>
      <w:r>
        <w:rPr/>
        <w:t>公司主要采取了以下措施：</w:t>
      </w:r>
      <w:r>
        <w:rPr>
          <w:rFonts w:ascii="Times New Roman" w:hAnsi="Times New Roman" w:cs="Times New Roman" w:eastAsia="Times New Roman" w:hint="default"/>
        </w:rPr>
        <w:t>A.</w:t>
      </w:r>
      <w:r>
        <w:rPr/>
        <w:t>公司对应收账款均按照账龄进行坏账准备的计提，计提方式为</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年以内</w:t>
      </w:r>
    </w:p>
    <w:p>
      <w:pPr>
        <w:pStyle w:val="BodyText"/>
        <w:spacing w:line="393" w:lineRule="auto" w:before="177"/>
        <w:ind w:right="149" w:hanging="1"/>
        <w:jc w:val="both"/>
      </w:pPr>
      <w:r>
        <w:rPr/>
        <w:t>（含</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年）计提</w:t>
      </w:r>
      <w:r>
        <w:rPr>
          <w:spacing w:val="-51"/>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年计提</w:t>
      </w:r>
      <w:r>
        <w:rPr>
          <w:spacing w:val="-52"/>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年计提</w:t>
      </w:r>
      <w:r>
        <w:rPr>
          <w:spacing w:val="-51"/>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年以上计提</w:t>
      </w:r>
      <w:r>
        <w:rPr>
          <w:spacing w:val="-51"/>
        </w:rPr>
        <w:t> </w:t>
      </w:r>
      <w:r>
        <w:rPr>
          <w:rFonts w:ascii="Times New Roman" w:hAnsi="Times New Roman" w:cs="Times New Roman" w:eastAsia="Times New Roman" w:hint="default"/>
        </w:rPr>
        <w:t>30%</w:t>
      </w:r>
      <w:r>
        <w:rPr/>
        <w:t>。公司在报告期内采取了严格 </w:t>
      </w:r>
      <w:r>
        <w:rPr>
          <w:spacing w:val="-1"/>
        </w:rPr>
        <w:t>的信用政策，并建立了良好的应收账款内部控制制度和严格的资金回款责任制度，因此，报告期内公司的</w:t>
      </w:r>
      <w:r>
        <w:rPr>
          <w:spacing w:val="-84"/>
        </w:rPr>
        <w:t> </w:t>
      </w:r>
      <w:r>
        <w:rPr>
          <w:spacing w:val="-84"/>
        </w:rPr>
      </w:r>
      <w:r>
        <w:rPr>
          <w:spacing w:val="-1"/>
        </w:rPr>
        <w:t>货款回收情况良好，未发生重大坏账风险。</w:t>
      </w:r>
      <w:r>
        <w:rPr>
          <w:rFonts w:ascii="Times New Roman" w:hAnsi="Times New Roman" w:cs="Times New Roman" w:eastAsia="Times New Roman" w:hint="default"/>
          <w:spacing w:val="-1"/>
        </w:rPr>
        <w:t>B.</w:t>
      </w:r>
      <w:r>
        <w:rPr>
          <w:spacing w:val="-1"/>
        </w:rPr>
        <w:t>为了加强应收账款回收、加快资金周转，报告期内公司开展</w:t>
      </w:r>
      <w:r>
        <w:rPr>
          <w:spacing w:val="-68"/>
        </w:rPr>
        <w:t> </w:t>
      </w:r>
      <w:r>
        <w:rPr>
          <w:spacing w:val="-68"/>
        </w:rPr>
      </w:r>
      <w:r>
        <w:rPr>
          <w:spacing w:val="-1"/>
        </w:rPr>
        <w:t>了应收账款保理业务，公司通过保理业务获取银行融资，相当于应收账款提前收回。应收账款保理业务的</w:t>
      </w:r>
    </w:p>
    <w:p>
      <w:pPr>
        <w:spacing w:after="0" w:line="393"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398" w:lineRule="auto" w:before="174"/>
        <w:ind w:left="153" w:right="150"/>
        <w:jc w:val="both"/>
      </w:pPr>
      <w:r>
        <w:rPr>
          <w:spacing w:val="-1"/>
        </w:rPr>
        <w:t>开展有助于公司提前收取货款，盘活和缓解流动资金压力。通过开展应收账款保理业务，一方面可以将账</w:t>
      </w:r>
      <w:r>
        <w:rPr>
          <w:spacing w:val="-83"/>
        </w:rPr>
        <w:t> </w:t>
      </w:r>
      <w:r>
        <w:rPr>
          <w:spacing w:val="-83"/>
        </w:rPr>
      </w:r>
      <w:r>
        <w:rPr>
          <w:spacing w:val="-1"/>
        </w:rPr>
        <w:t>期较长的应收账款提前收回，从而加快周转；另一方面，公司所开展的保理业务的相关成本及条件相对其</w:t>
      </w:r>
      <w:r>
        <w:rPr>
          <w:spacing w:val="-83"/>
        </w:rPr>
        <w:t> </w:t>
      </w:r>
      <w:r>
        <w:rPr>
          <w:spacing w:val="-83"/>
        </w:rPr>
      </w:r>
      <w:r>
        <w:rPr/>
        <w:t>他融资方式（银行借款）较为优惠，可降低公司整体融资成本。</w:t>
      </w:r>
      <w:r>
        <w:rPr>
          <w:rFonts w:ascii="Times New Roman" w:hAnsi="Times New Roman" w:cs="Times New Roman" w:eastAsia="Times New Roman" w:hint="default"/>
        </w:rPr>
        <w:t>C.</w:t>
      </w:r>
      <w:r>
        <w:rPr/>
        <w:t>自 </w:t>
      </w:r>
      <w:r>
        <w:rPr>
          <w:rFonts w:ascii="Times New Roman" w:hAnsi="Times New Roman" w:cs="Times New Roman" w:eastAsia="Times New Roman" w:hint="default"/>
        </w:rPr>
        <w:t>2008</w:t>
      </w:r>
      <w:r>
        <w:rPr>
          <w:rFonts w:ascii="Times New Roman" w:hAnsi="Times New Roman" w:cs="Times New Roman" w:eastAsia="Times New Roman" w:hint="default"/>
          <w:spacing w:val="44"/>
        </w:rPr>
        <w:t> </w:t>
      </w:r>
      <w:r>
        <w:rPr/>
        <w:t>年开始，公司已通过中国出口 信用保险公司对部分应收账款投保了</w:t>
      </w:r>
      <w:r>
        <w:rPr>
          <w:rFonts w:ascii="Times New Roman" w:hAnsi="Times New Roman" w:cs="Times New Roman" w:eastAsia="Times New Roman" w:hint="default"/>
        </w:rPr>
        <w:t>“</w:t>
      </w:r>
      <w:r>
        <w:rPr/>
        <w:t>国内贸易信用保险</w:t>
      </w:r>
      <w:r>
        <w:rPr>
          <w:rFonts w:ascii="Times New Roman" w:hAnsi="Times New Roman" w:cs="Times New Roman" w:eastAsia="Times New Roman" w:hint="default"/>
        </w:rPr>
        <w:t>”</w:t>
      </w:r>
      <w:r>
        <w:rPr/>
        <w:t>，在该部分应收账款不能收回的情况下可以获得 </w:t>
      </w:r>
      <w:r>
        <w:rPr>
          <w:spacing w:val="-1"/>
        </w:rPr>
        <w:t>相应的保险赔偿。</w:t>
      </w:r>
      <w:r>
        <w:rPr>
          <w:rFonts w:ascii="Times New Roman" w:hAnsi="Times New Roman" w:cs="Times New Roman" w:eastAsia="Times New Roman" w:hint="default"/>
          <w:spacing w:val="-1"/>
        </w:rPr>
        <w:t>D.</w:t>
      </w:r>
      <w:r>
        <w:rPr>
          <w:spacing w:val="-1"/>
        </w:rPr>
        <w:t>公司已采取加大应收款项催收力度、将客户回款情况作为关键指标对公司销售人员进</w:t>
      </w:r>
      <w:r>
        <w:rPr>
          <w:spacing w:val="-77"/>
        </w:rPr>
        <w:t> </w:t>
      </w:r>
      <w:r>
        <w:rPr>
          <w:spacing w:val="-77"/>
        </w:rPr>
      </w:r>
      <w:r>
        <w:rPr>
          <w:spacing w:val="-1"/>
        </w:rPr>
        <w:t>行考核等多种措施以缩短销售回款周期等，这将在一定程度上使公司应收账款增速得到放缓，从而减小公</w:t>
      </w:r>
      <w:r>
        <w:rPr>
          <w:spacing w:val="-81"/>
        </w:rPr>
        <w:t> </w:t>
      </w:r>
      <w:r>
        <w:rPr>
          <w:spacing w:val="-81"/>
        </w:rPr>
      </w:r>
      <w:r>
        <w:rPr/>
        <w:t>司应收账款持续快速增加对公司盈利能力指标的影响。</w:t>
      </w:r>
    </w:p>
    <w:p>
      <w:pPr>
        <w:spacing w:line="240" w:lineRule="auto" w:before="1"/>
        <w:rPr>
          <w:rFonts w:ascii="宋体" w:hAnsi="宋体" w:cs="宋体" w:eastAsia="宋体" w:hint="default"/>
          <w:sz w:val="21"/>
          <w:szCs w:val="21"/>
        </w:rPr>
      </w:pPr>
    </w:p>
    <w:p>
      <w:pPr>
        <w:pStyle w:val="Heading4"/>
        <w:spacing w:line="240" w:lineRule="auto"/>
        <w:ind w:left="153" w:right="0"/>
        <w:jc w:val="both"/>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3"/>
        <w:gridCol w:w="1063"/>
        <w:gridCol w:w="1195"/>
        <w:gridCol w:w="1063"/>
        <w:gridCol w:w="799"/>
        <w:gridCol w:w="2917"/>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3"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230,209,000.00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6"/>
        <w:gridCol w:w="1196"/>
        <w:gridCol w:w="1195"/>
        <w:gridCol w:w="1196"/>
        <w:gridCol w:w="1196"/>
        <w:gridCol w:w="1195"/>
        <w:gridCol w:w="1194"/>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2" w:right="53"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4" w:right="50"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70"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132,900,000.00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174,150,000.00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207,900,000.00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207,900,000.00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五、核心竞争力分析</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spacing w:val="-1"/>
        </w:rPr>
        <w:t>公司的竞争优势是立足高端，实施蓝海战略。与国际竞争对手相比，公司的竞争优势主要体现在较高</w:t>
      </w:r>
      <w:r>
        <w:rPr/>
        <w:t> </w:t>
      </w:r>
      <w:r>
        <w:rPr>
          <w:spacing w:val="-1"/>
        </w:rPr>
        <w:t>的产品性价比和及时有效的低成本售后服务。与国内竞争对手相比，公司又具有全面的技术创新能力、完</w:t>
      </w:r>
    </w:p>
    <w:p>
      <w:pPr>
        <w:spacing w:after="0" w:line="40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善的试验和检测设备、领先的生产制造成本和强大的品牌影响力，具体包括如下竞争优势和竞争劣势：</w:t>
      </w:r>
    </w:p>
    <w:p>
      <w:pPr>
        <w:spacing w:line="240" w:lineRule="auto" w:before="12"/>
        <w:rPr>
          <w:rFonts w:ascii="宋体" w:hAnsi="宋体" w:cs="宋体" w:eastAsia="宋体" w:hint="default"/>
          <w:sz w:val="23"/>
          <w:szCs w:val="23"/>
        </w:rPr>
      </w:pPr>
    </w:p>
    <w:p>
      <w:pPr>
        <w:pStyle w:val="Heading4"/>
        <w:spacing w:line="240" w:lineRule="auto"/>
        <w:ind w:left="633" w:right="0"/>
        <w:jc w:val="left"/>
        <w:rPr>
          <w:b w:val="0"/>
          <w:bCs w:val="0"/>
        </w:rPr>
      </w:pPr>
      <w:r>
        <w:rPr>
          <w:rFonts w:ascii="Times New Roman" w:hAnsi="Times New Roman" w:cs="Times New Roman" w:eastAsia="Times New Roman" w:hint="default"/>
        </w:rPr>
        <w:t>1</w:t>
      </w:r>
      <w:r>
        <w:rPr/>
        <w:t>、竞争优势</w:t>
      </w:r>
      <w:r>
        <w:rPr>
          <w:b w:val="0"/>
          <w:bCs w:val="0"/>
        </w:rPr>
      </w:r>
    </w:p>
    <w:p>
      <w:pPr>
        <w:pStyle w:val="BodyText"/>
        <w:spacing w:line="580" w:lineRule="atLeast" w:before="8"/>
        <w:ind w:left="634" w:right="0" w:hanging="1"/>
        <w:jc w:val="left"/>
      </w:pPr>
      <w:r>
        <w:rPr/>
        <w:t>（</w:t>
      </w:r>
      <w:r>
        <w:rPr>
          <w:rFonts w:ascii="Times New Roman" w:hAnsi="Times New Roman" w:cs="Times New Roman" w:eastAsia="Times New Roman" w:hint="default"/>
        </w:rPr>
        <w:t>1</w:t>
      </w:r>
      <w:r>
        <w:rPr/>
        <w:t>）品牌与声誉优势 </w:t>
      </w:r>
      <w:r>
        <w:rPr>
          <w:spacing w:val="-2"/>
        </w:rPr>
        <w:t>公司</w:t>
      </w:r>
      <w:r>
        <w:rPr>
          <w:rFonts w:ascii="Times New Roman" w:hAnsi="Times New Roman" w:cs="Times New Roman" w:eastAsia="Times New Roman" w:hint="default"/>
          <w:spacing w:val="-2"/>
        </w:rPr>
        <w:t>SVC</w:t>
      </w:r>
      <w:r>
        <w:rPr>
          <w:spacing w:val="-2"/>
        </w:rPr>
        <w:t>国内市场份额大，应用量多，在线运行率较高，成为业内具有较强品牌影响力的产品。公司</w:t>
      </w:r>
    </w:p>
    <w:p>
      <w:pPr>
        <w:pStyle w:val="BodyText"/>
        <w:spacing w:line="386" w:lineRule="auto" w:before="177"/>
        <w:ind w:right="0"/>
        <w:jc w:val="left"/>
      </w:pPr>
      <w:r>
        <w:rPr>
          <w:rFonts w:ascii="Times New Roman" w:hAnsi="Times New Roman" w:cs="Times New Roman" w:eastAsia="Times New Roman" w:hint="default"/>
        </w:rPr>
        <w:t>SVG</w:t>
      </w:r>
      <w:r>
        <w:rPr/>
        <w:t>、</w:t>
      </w:r>
      <w:r>
        <w:rPr>
          <w:rFonts w:ascii="Times New Roman" w:hAnsi="Times New Roman" w:cs="Times New Roman" w:eastAsia="Times New Roman" w:hint="default"/>
        </w:rPr>
        <w:t>HVC</w:t>
      </w:r>
      <w:r>
        <w:rPr/>
        <w:t>、</w:t>
      </w:r>
      <w:r>
        <w:rPr>
          <w:rFonts w:ascii="Times New Roman" w:hAnsi="Times New Roman" w:cs="Times New Roman" w:eastAsia="Times New Roman" w:hint="default"/>
        </w:rPr>
        <w:t>MABZ</w:t>
      </w:r>
      <w:r>
        <w:rPr/>
        <w:t>、</w:t>
      </w:r>
      <w:r>
        <w:rPr>
          <w:rFonts w:ascii="Times New Roman" w:hAnsi="Times New Roman" w:cs="Times New Roman" w:eastAsia="Times New Roman" w:hint="default"/>
        </w:rPr>
        <w:t>PVVC</w:t>
      </w:r>
      <w:r>
        <w:rPr/>
        <w:t>、</w:t>
      </w:r>
      <w:r>
        <w:rPr>
          <w:rFonts w:ascii="Times New Roman" w:hAnsi="Times New Roman" w:cs="Times New Roman" w:eastAsia="Times New Roman" w:hint="default"/>
        </w:rPr>
        <w:t>HVDC</w:t>
      </w:r>
      <w:r>
        <w:rPr/>
        <w:t>等产品自投放市场以来，发展顺利，也正在逐渐成为业内有影响力</w:t>
      </w:r>
      <w:r>
        <w:rPr>
          <w:spacing w:val="-45"/>
        </w:rPr>
        <w:t> </w:t>
      </w:r>
      <w:r>
        <w:rPr>
          <w:spacing w:val="-45"/>
        </w:rPr>
      </w:r>
      <w:r>
        <w:rPr/>
        <w:t>的品牌。</w:t>
      </w:r>
    </w:p>
    <w:p>
      <w:pPr>
        <w:spacing w:line="240" w:lineRule="auto" w:before="2"/>
        <w:rPr>
          <w:rFonts w:ascii="宋体" w:hAnsi="宋体" w:cs="宋体" w:eastAsia="宋体" w:hint="default"/>
          <w:sz w:val="14"/>
          <w:szCs w:val="14"/>
        </w:rPr>
      </w:pPr>
    </w:p>
    <w:p>
      <w:pPr>
        <w:pStyle w:val="BodyText"/>
        <w:spacing w:line="240" w:lineRule="auto"/>
        <w:ind w:left="633" w:right="0"/>
        <w:jc w:val="left"/>
      </w:pPr>
      <w:r>
        <w:rPr/>
        <w:t>（</w:t>
      </w:r>
      <w:r>
        <w:rPr>
          <w:rFonts w:ascii="Times New Roman" w:hAnsi="Times New Roman" w:cs="Times New Roman" w:eastAsia="Times New Roman" w:hint="default"/>
        </w:rPr>
        <w:t>2</w:t>
      </w:r>
      <w:r>
        <w:rPr/>
        <w:t>）研发与创新能力优势</w:t>
      </w:r>
    </w:p>
    <w:p>
      <w:pPr>
        <w:spacing w:line="240" w:lineRule="auto" w:before="9"/>
        <w:rPr>
          <w:rFonts w:ascii="宋体" w:hAnsi="宋体" w:cs="宋体" w:eastAsia="宋体" w:hint="default"/>
          <w:sz w:val="22"/>
          <w:szCs w:val="22"/>
        </w:rPr>
      </w:pPr>
    </w:p>
    <w:p>
      <w:pPr>
        <w:pStyle w:val="BodyText"/>
        <w:spacing w:line="386" w:lineRule="auto"/>
        <w:ind w:left="153" w:right="210" w:firstLine="480"/>
        <w:jc w:val="both"/>
      </w:pPr>
      <w:r>
        <w:rPr>
          <w:spacing w:val="-8"/>
        </w:rPr>
        <w:t>公司具有国内同行业中较为全面的技术创新能力，同时拥有</w:t>
      </w:r>
      <w:r>
        <w:rPr>
          <w:rFonts w:ascii="Times New Roman" w:hAnsi="Times New Roman" w:cs="Times New Roman" w:eastAsia="Times New Roman" w:hint="default"/>
          <w:spacing w:val="-8"/>
        </w:rPr>
        <w:t>SVC</w:t>
      </w:r>
      <w:r>
        <w:rPr>
          <w:spacing w:val="-8"/>
        </w:rPr>
        <w:t>、</w:t>
      </w:r>
      <w:r>
        <w:rPr>
          <w:rFonts w:ascii="Times New Roman" w:hAnsi="Times New Roman" w:cs="Times New Roman" w:eastAsia="Times New Roman" w:hint="default"/>
          <w:spacing w:val="-8"/>
        </w:rPr>
        <w:t>SVG</w:t>
      </w:r>
      <w:r>
        <w:rPr>
          <w:spacing w:val="-8"/>
        </w:rPr>
        <w:t>、</w:t>
      </w:r>
      <w:r>
        <w:rPr>
          <w:rFonts w:ascii="Times New Roman" w:hAnsi="Times New Roman" w:cs="Times New Roman" w:eastAsia="Times New Roman" w:hint="default"/>
          <w:spacing w:val="-8"/>
        </w:rPr>
        <w:t>HVC</w:t>
      </w:r>
      <w:r>
        <w:rPr>
          <w:spacing w:val="-8"/>
        </w:rPr>
        <w:t>、</w:t>
      </w:r>
      <w:r>
        <w:rPr>
          <w:rFonts w:ascii="Times New Roman" w:hAnsi="Times New Roman" w:cs="Times New Roman" w:eastAsia="Times New Roman" w:hint="default"/>
          <w:spacing w:val="-8"/>
        </w:rPr>
        <w:t>MABZ</w:t>
      </w:r>
      <w:r>
        <w:rPr>
          <w:spacing w:val="-8"/>
        </w:rPr>
        <w:t>、</w:t>
      </w:r>
      <w:r>
        <w:rPr>
          <w:rFonts w:ascii="Times New Roman" w:hAnsi="Times New Roman" w:cs="Times New Roman" w:eastAsia="Times New Roman" w:hint="default"/>
          <w:spacing w:val="-8"/>
        </w:rPr>
        <w:t>PVVC</w:t>
      </w:r>
      <w:r>
        <w:rPr>
          <w:spacing w:val="-8"/>
        </w:rPr>
        <w:t>、</w:t>
      </w:r>
      <w:r>
        <w:rPr>
          <w:rFonts w:ascii="Times New Roman" w:hAnsi="Times New Roman" w:cs="Times New Roman" w:eastAsia="Times New Roman" w:hint="default"/>
          <w:spacing w:val="-8"/>
        </w:rPr>
        <w:t>HVDC</w:t>
      </w:r>
      <w:r>
        <w:rPr>
          <w:rFonts w:ascii="Times New Roman" w:hAnsi="Times New Roman" w:cs="Times New Roman" w:eastAsia="Times New Roman" w:hint="default"/>
        </w:rPr>
        <w:t> </w:t>
      </w:r>
      <w:r>
        <w:rPr>
          <w:spacing w:val="-2"/>
        </w:rPr>
        <w:t>等产品与技术。公司</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-2010</w:t>
      </w:r>
      <w:r>
        <w:rPr>
          <w:spacing w:val="-2"/>
        </w:rPr>
        <w:t>年均被认定为国家规划布局内重点软件企业，</w:t>
      </w:r>
      <w:r>
        <w:rPr>
          <w:rFonts w:ascii="Times New Roman" w:hAnsi="Times New Roman" w:cs="Times New Roman" w:eastAsia="Times New Roman" w:hint="default"/>
          <w:spacing w:val="-2"/>
        </w:rPr>
        <w:t>2011</w:t>
      </w:r>
      <w:r>
        <w:rPr>
          <w:spacing w:val="-2"/>
        </w:rPr>
        <w:t>年被认定为高新技术企</w:t>
      </w:r>
      <w:r>
        <w:rPr>
          <w:spacing w:val="-99"/>
        </w:rPr>
        <w:t> </w:t>
      </w:r>
      <w:r>
        <w:rPr>
          <w:spacing w:val="-99"/>
        </w:rPr>
      </w:r>
      <w:r>
        <w:rPr/>
        <w:t>业，是首部</w:t>
      </w:r>
      <w:r>
        <w:rPr>
          <w:rFonts w:ascii="Times New Roman" w:hAnsi="Times New Roman" w:cs="Times New Roman" w:eastAsia="Times New Roman" w:hint="default"/>
        </w:rPr>
        <w:t>SVC</w:t>
      </w:r>
      <w:r>
        <w:rPr/>
        <w:t>国家标准主要起草单位，先后获得</w:t>
      </w:r>
      <w:r>
        <w:rPr>
          <w:rFonts w:ascii="Times New Roman" w:hAnsi="Times New Roman" w:cs="Times New Roman" w:eastAsia="Times New Roman" w:hint="default"/>
        </w:rPr>
        <w:t>122</w:t>
      </w:r>
      <w:r>
        <w:rPr/>
        <w:t>项专利和</w:t>
      </w:r>
      <w:r>
        <w:rPr>
          <w:rFonts w:ascii="Times New Roman" w:hAnsi="Times New Roman" w:cs="Times New Roman" w:eastAsia="Times New Roman" w:hint="default"/>
        </w:rPr>
        <w:t>84</w:t>
      </w:r>
      <w:r>
        <w:rPr/>
        <w:t>项软件著作权。公司自成立以来，承担</w:t>
      </w:r>
      <w:r>
        <w:rPr>
          <w:spacing w:val="-30"/>
        </w:rPr>
        <w:t> </w:t>
      </w:r>
      <w:r>
        <w:rPr>
          <w:spacing w:val="-30"/>
        </w:rPr>
      </w:r>
      <w:r>
        <w:rPr>
          <w:spacing w:val="-1"/>
        </w:rPr>
        <w:t>了多项国家级项目，包括：国家重点工业性试验项目</w:t>
      </w:r>
      <w:r>
        <w:rPr>
          <w:rFonts w:ascii="Times New Roman" w:hAnsi="Times New Roman" w:cs="Times New Roman" w:eastAsia="Times New Roman" w:hint="default"/>
          <w:spacing w:val="-1"/>
        </w:rPr>
        <w:t>1</w:t>
      </w:r>
      <w:r>
        <w:rPr>
          <w:spacing w:val="-1"/>
        </w:rPr>
        <w:t>项、国家高技术产业化专项</w:t>
      </w:r>
      <w:r>
        <w:rPr>
          <w:rFonts w:ascii="Times New Roman" w:hAnsi="Times New Roman" w:cs="Times New Roman" w:eastAsia="Times New Roman" w:hint="default"/>
          <w:spacing w:val="-1"/>
        </w:rPr>
        <w:t>2</w:t>
      </w:r>
      <w:r>
        <w:rPr>
          <w:spacing w:val="-1"/>
        </w:rPr>
        <w:t>项、国家高技术产业化</w:t>
      </w:r>
      <w:r>
        <w:rPr>
          <w:spacing w:val="-82"/>
        </w:rPr>
        <w:t> </w:t>
      </w:r>
      <w:r>
        <w:rPr>
          <w:spacing w:val="-82"/>
        </w:rPr>
      </w:r>
      <w:r>
        <w:rPr>
          <w:spacing w:val="-1"/>
        </w:rPr>
        <w:t>推广项目</w:t>
      </w:r>
      <w:r>
        <w:rPr>
          <w:rFonts w:ascii="Times New Roman" w:hAnsi="Times New Roman" w:cs="Times New Roman" w:eastAsia="Times New Roman" w:hint="default"/>
          <w:spacing w:val="-1"/>
        </w:rPr>
        <w:t>1</w:t>
      </w:r>
      <w:r>
        <w:rPr>
          <w:spacing w:val="-1"/>
        </w:rPr>
        <w:t>项、国家火炬计划</w:t>
      </w:r>
      <w:r>
        <w:rPr>
          <w:rFonts w:ascii="Times New Roman" w:hAnsi="Times New Roman" w:cs="Times New Roman" w:eastAsia="Times New Roman" w:hint="default"/>
          <w:spacing w:val="-1"/>
        </w:rPr>
        <w:t>4</w:t>
      </w:r>
      <w:r>
        <w:rPr>
          <w:spacing w:val="-1"/>
        </w:rPr>
        <w:t>项、国家重大技术装备国产化项目</w:t>
      </w:r>
      <w:r>
        <w:rPr>
          <w:rFonts w:ascii="Times New Roman" w:hAnsi="Times New Roman" w:cs="Times New Roman" w:eastAsia="Times New Roman" w:hint="default"/>
          <w:spacing w:val="-1"/>
        </w:rPr>
        <w:t>1</w:t>
      </w:r>
      <w:r>
        <w:rPr>
          <w:spacing w:val="-1"/>
        </w:rPr>
        <w:t>项、国家重点新产品</w:t>
      </w:r>
      <w:r>
        <w:rPr>
          <w:rFonts w:ascii="Times New Roman" w:hAnsi="Times New Roman" w:cs="Times New Roman" w:eastAsia="Times New Roman" w:hint="default"/>
          <w:spacing w:val="-1"/>
        </w:rPr>
        <w:t>6</w:t>
      </w:r>
      <w:r>
        <w:rPr>
          <w:spacing w:val="-1"/>
        </w:rPr>
        <w:t>项、国家中小企业</w:t>
      </w:r>
      <w:r>
        <w:rPr>
          <w:spacing w:val="-83"/>
        </w:rPr>
        <w:t> </w:t>
      </w:r>
      <w:r>
        <w:rPr>
          <w:spacing w:val="-83"/>
        </w:rPr>
      </w:r>
      <w:r>
        <w:rPr/>
        <w:t>创新基金项目</w:t>
      </w:r>
      <w:r>
        <w:rPr>
          <w:rFonts w:ascii="Times New Roman" w:hAnsi="Times New Roman" w:cs="Times New Roman" w:eastAsia="Times New Roman" w:hint="default"/>
        </w:rPr>
        <w:t>3</w:t>
      </w:r>
      <w:r>
        <w:rPr/>
        <w:t>项。</w:t>
      </w:r>
    </w:p>
    <w:p>
      <w:pPr>
        <w:pStyle w:val="BodyText"/>
        <w:spacing w:line="240" w:lineRule="auto" w:before="155"/>
        <w:ind w:left="634" w:right="0"/>
        <w:jc w:val="left"/>
      </w:pPr>
      <w:r>
        <w:rPr/>
        <w:t>（</w:t>
      </w:r>
      <w:r>
        <w:rPr>
          <w:rFonts w:ascii="Times New Roman" w:hAnsi="Times New Roman" w:cs="Times New Roman" w:eastAsia="Times New Roman" w:hint="default"/>
        </w:rPr>
        <w:t>3</w:t>
      </w:r>
      <w:r>
        <w:rPr/>
        <w:t>）专用试验检测设备与质量控制优势</w:t>
      </w:r>
    </w:p>
    <w:p>
      <w:pPr>
        <w:spacing w:line="240" w:lineRule="auto" w:before="9"/>
        <w:rPr>
          <w:rFonts w:ascii="宋体" w:hAnsi="宋体" w:cs="宋体" w:eastAsia="宋体" w:hint="default"/>
          <w:sz w:val="22"/>
          <w:szCs w:val="22"/>
        </w:rPr>
      </w:pPr>
    </w:p>
    <w:p>
      <w:pPr>
        <w:pStyle w:val="BodyText"/>
        <w:spacing w:line="386" w:lineRule="auto"/>
        <w:ind w:right="207" w:firstLine="480"/>
        <w:jc w:val="both"/>
      </w:pPr>
      <w:r>
        <w:rPr/>
        <w:t>公司拥有齐全的系列专业试验检测设备，包括：</w:t>
      </w:r>
      <w:r>
        <w:rPr>
          <w:rFonts w:ascii="Times New Roman" w:hAnsi="Times New Roman" w:cs="Times New Roman" w:eastAsia="Times New Roman" w:hint="default"/>
        </w:rPr>
        <w:t>SVC</w:t>
      </w:r>
      <w:r>
        <w:rPr/>
        <w:t>高压全载试验检测中心（</w:t>
      </w:r>
      <w:r>
        <w:rPr>
          <w:rFonts w:ascii="Times New Roman" w:hAnsi="Times New Roman" w:cs="Times New Roman" w:eastAsia="Times New Roman" w:hint="default"/>
        </w:rPr>
        <w:t>66/10000A</w:t>
      </w:r>
      <w:r>
        <w:rPr/>
        <w:t>）、</w:t>
      </w:r>
      <w:r>
        <w:rPr>
          <w:rFonts w:ascii="Times New Roman" w:hAnsi="Times New Roman" w:cs="Times New Roman" w:eastAsia="Times New Roman" w:hint="default"/>
        </w:rPr>
        <w:t>HVC</w:t>
      </w:r>
      <w:r>
        <w:rPr/>
        <w:t>高 压全载试验检测中心（</w:t>
      </w:r>
      <w:r>
        <w:rPr>
          <w:rFonts w:ascii="Times New Roman" w:hAnsi="Times New Roman" w:cs="Times New Roman" w:eastAsia="Times New Roman" w:hint="default"/>
        </w:rPr>
        <w:t>10/2500KW</w:t>
      </w:r>
      <w:r>
        <w:rPr/>
        <w:t>）、试验电源系统（</w:t>
      </w:r>
      <w:r>
        <w:rPr>
          <w:rFonts w:ascii="Times New Roman" w:hAnsi="Times New Roman" w:cs="Times New Roman" w:eastAsia="Times New Roman" w:hint="default"/>
        </w:rPr>
        <w:t>66/16000A</w:t>
      </w:r>
      <w:r>
        <w:rPr/>
        <w:t>）、光伏逆变器全载试验检测中心等。</w:t>
      </w:r>
      <w:r>
        <w:rPr>
          <w:spacing w:val="-33"/>
        </w:rPr>
        <w:t> </w:t>
      </w:r>
      <w:r>
        <w:rPr>
          <w:spacing w:val="-33"/>
        </w:rPr>
      </w:r>
      <w:r>
        <w:rPr>
          <w:spacing w:val="-2"/>
        </w:rPr>
        <w:t>公司为行业内最早通过</w:t>
      </w:r>
      <w:r>
        <w:rPr>
          <w:rFonts w:ascii="Times New Roman" w:hAnsi="Times New Roman" w:cs="Times New Roman" w:eastAsia="Times New Roman" w:hint="default"/>
          <w:spacing w:val="-2"/>
        </w:rPr>
        <w:t>ISO9001</w:t>
      </w:r>
      <w:r>
        <w:rPr>
          <w:spacing w:val="-2"/>
        </w:rPr>
        <w:t>专业认证（</w:t>
      </w:r>
      <w:r>
        <w:rPr>
          <w:rFonts w:ascii="Times New Roman" w:hAnsi="Times New Roman" w:cs="Times New Roman" w:eastAsia="Times New Roman" w:hint="default"/>
          <w:spacing w:val="-2"/>
        </w:rPr>
        <w:t>2000</w:t>
      </w:r>
      <w:r>
        <w:rPr>
          <w:spacing w:val="-2"/>
        </w:rPr>
        <w:t>年，瑞士</w:t>
      </w:r>
      <w:r>
        <w:rPr>
          <w:rFonts w:ascii="Times New Roman" w:hAnsi="Times New Roman" w:cs="Times New Roman" w:eastAsia="Times New Roman" w:hint="default"/>
          <w:spacing w:val="-2"/>
        </w:rPr>
        <w:t>SGS</w:t>
      </w:r>
      <w:r>
        <w:rPr>
          <w:spacing w:val="-2"/>
        </w:rPr>
        <w:t>认证）的公司，采用国际标准</w:t>
      </w:r>
      <w:r>
        <w:rPr>
          <w:rFonts w:ascii="Times New Roman" w:hAnsi="Times New Roman" w:cs="Times New Roman" w:eastAsia="Times New Roman" w:hint="default"/>
          <w:spacing w:val="-2"/>
        </w:rPr>
        <w:t>IEC</w:t>
      </w:r>
      <w:r>
        <w:rPr>
          <w:spacing w:val="-2"/>
        </w:rPr>
        <w:t>、</w:t>
      </w:r>
      <w:r>
        <w:rPr>
          <w:rFonts w:ascii="Times New Roman" w:hAnsi="Times New Roman" w:cs="Times New Roman" w:eastAsia="Times New Roman" w:hint="default"/>
          <w:spacing w:val="-2"/>
        </w:rPr>
        <w:t>IEEE</w:t>
      </w:r>
      <w:r>
        <w:rPr>
          <w:spacing w:val="-2"/>
        </w:rPr>
        <w:t>制造</w:t>
      </w:r>
      <w:r>
        <w:rPr>
          <w:spacing w:val="-74"/>
        </w:rPr>
        <w:t> </w:t>
      </w:r>
      <w:r>
        <w:rPr>
          <w:rFonts w:ascii="Times New Roman" w:hAnsi="Times New Roman" w:cs="Times New Roman" w:eastAsia="Times New Roman" w:hint="default"/>
        </w:rPr>
        <w:t>SVC</w:t>
      </w:r>
      <w:r>
        <w:rPr/>
        <w:t>（</w:t>
      </w:r>
      <w:r>
        <w:rPr>
          <w:rFonts w:ascii="Times New Roman" w:hAnsi="Times New Roman" w:cs="Times New Roman" w:eastAsia="Times New Roman" w:hint="default"/>
        </w:rPr>
        <w:t>2005</w:t>
      </w:r>
      <w:r>
        <w:rPr/>
        <w:t>年，国际标准认证证书），并于</w:t>
      </w:r>
      <w:r>
        <w:rPr>
          <w:rFonts w:ascii="Times New Roman" w:hAnsi="Times New Roman" w:cs="Times New Roman" w:eastAsia="Times New Roman" w:hint="default"/>
        </w:rPr>
        <w:t>2010</w:t>
      </w:r>
      <w:r>
        <w:rPr/>
        <w:t>年取得金太阳认证及</w:t>
      </w:r>
      <w:r>
        <w:rPr>
          <w:rFonts w:ascii="Times New Roman" w:hAnsi="Times New Roman" w:cs="Times New Roman" w:eastAsia="Times New Roman" w:hint="default"/>
        </w:rPr>
        <w:t>TUV</w:t>
      </w:r>
      <w:r>
        <w:rPr/>
        <w:t>认证。</w:t>
      </w:r>
    </w:p>
    <w:p>
      <w:pPr>
        <w:pStyle w:val="BodyText"/>
        <w:spacing w:line="240" w:lineRule="auto" w:before="155"/>
        <w:ind w:left="633" w:right="0"/>
        <w:jc w:val="left"/>
      </w:pPr>
      <w:r>
        <w:rPr/>
        <w:t>（</w:t>
      </w:r>
      <w:r>
        <w:rPr>
          <w:rFonts w:ascii="Times New Roman" w:hAnsi="Times New Roman" w:cs="Times New Roman" w:eastAsia="Times New Roman" w:hint="default"/>
        </w:rPr>
        <w:t>4</w:t>
      </w:r>
      <w:r>
        <w:rPr/>
        <w:t>）技术支持与服务能力优势</w:t>
      </w:r>
    </w:p>
    <w:p>
      <w:pPr>
        <w:spacing w:line="240" w:lineRule="auto" w:before="9"/>
        <w:rPr>
          <w:rFonts w:ascii="宋体" w:hAnsi="宋体" w:cs="宋体" w:eastAsia="宋体" w:hint="default"/>
          <w:sz w:val="22"/>
          <w:szCs w:val="22"/>
        </w:rPr>
      </w:pPr>
    </w:p>
    <w:p>
      <w:pPr>
        <w:pStyle w:val="BodyText"/>
        <w:spacing w:line="393" w:lineRule="auto"/>
        <w:ind w:left="153" w:right="209" w:firstLine="480"/>
        <w:jc w:val="both"/>
      </w:pPr>
      <w:r>
        <w:rPr/>
        <w:t>公司在业内率先建立专业技术支持流程，可为用户提供最优的一体化解决方案。公司建立了</w:t>
      </w:r>
      <w:r>
        <w:rPr>
          <w:rFonts w:ascii="Times New Roman" w:hAnsi="Times New Roman" w:cs="Times New Roman" w:eastAsia="Times New Roman" w:hint="default"/>
        </w:rPr>
        <w:t>2</w:t>
      </w:r>
      <w:r>
        <w:rPr/>
        <w:t>小时反 </w:t>
      </w:r>
      <w:r>
        <w:rPr>
          <w:spacing w:val="-1"/>
        </w:rPr>
        <w:t>应、</w:t>
      </w:r>
      <w:r>
        <w:rPr>
          <w:rFonts w:ascii="Times New Roman" w:hAnsi="Times New Roman" w:cs="Times New Roman" w:eastAsia="Times New Roman" w:hint="default"/>
          <w:spacing w:val="-1"/>
        </w:rPr>
        <w:t>24</w:t>
      </w:r>
      <w:r>
        <w:rPr>
          <w:spacing w:val="-1"/>
        </w:rPr>
        <w:t>小时到现场、</w:t>
      </w:r>
      <w:r>
        <w:rPr>
          <w:rFonts w:ascii="Times New Roman" w:hAnsi="Times New Roman" w:cs="Times New Roman" w:eastAsia="Times New Roman" w:hint="default"/>
          <w:spacing w:val="-1"/>
        </w:rPr>
        <w:t>48</w:t>
      </w:r>
      <w:r>
        <w:rPr>
          <w:spacing w:val="-1"/>
        </w:rPr>
        <w:t>小时解决任何问题的保证机制，独家建立了远程数字监控与支持系统，为用户产品</w:t>
      </w:r>
      <w:r>
        <w:rPr>
          <w:spacing w:val="-83"/>
        </w:rPr>
        <w:t> </w:t>
      </w:r>
      <w:r>
        <w:rPr>
          <w:spacing w:val="-83"/>
        </w:rPr>
      </w:r>
      <w:r>
        <w:rPr>
          <w:spacing w:val="-1"/>
        </w:rPr>
        <w:t>的运行提供远端（公司总部）实时诊断、趋势判断、参数调整、现场指导等一系列技术支持，极大地缩短</w:t>
      </w:r>
      <w:r>
        <w:rPr>
          <w:spacing w:val="-83"/>
        </w:rPr>
        <w:t> </w:t>
      </w:r>
      <w:r>
        <w:rPr>
          <w:spacing w:val="-83"/>
        </w:rPr>
      </w:r>
      <w:r>
        <w:rPr/>
        <w:t>了设备维修时间，降低了维修支出成本。目前，公司</w:t>
      </w:r>
      <w:r>
        <w:rPr>
          <w:rFonts w:ascii="Times New Roman" w:hAnsi="Times New Roman" w:cs="Times New Roman" w:eastAsia="Times New Roman" w:hint="default"/>
        </w:rPr>
        <w:t>SVC</w:t>
      </w:r>
      <w:r>
        <w:rPr/>
        <w:t>、</w:t>
      </w:r>
      <w:r>
        <w:rPr>
          <w:rFonts w:ascii="Times New Roman" w:hAnsi="Times New Roman" w:cs="Times New Roman" w:eastAsia="Times New Roman" w:hint="default"/>
        </w:rPr>
        <w:t>SVG</w:t>
      </w:r>
      <w:r>
        <w:rPr/>
        <w:t>均实现了业内在线最高运行率</w:t>
      </w:r>
      <w:r>
        <w:rPr>
          <w:rFonts w:ascii="Times New Roman" w:hAnsi="Times New Roman" w:cs="Times New Roman" w:eastAsia="Times New Roman" w:hint="default"/>
        </w:rPr>
        <w:t>100%</w:t>
      </w:r>
      <w:r>
        <w:rPr/>
        <w:t>。</w:t>
      </w:r>
    </w:p>
    <w:p>
      <w:pPr>
        <w:pStyle w:val="Heading4"/>
        <w:spacing w:line="240" w:lineRule="auto" w:before="148"/>
        <w:ind w:left="720" w:right="0"/>
        <w:jc w:val="left"/>
        <w:rPr>
          <w:b w:val="0"/>
          <w:bCs w:val="0"/>
        </w:rPr>
      </w:pPr>
      <w:r>
        <w:rPr>
          <w:rFonts w:ascii="Times New Roman" w:hAnsi="Times New Roman" w:cs="Times New Roman" w:eastAsia="Times New Roman" w:hint="default"/>
        </w:rPr>
        <w:t>2</w:t>
      </w:r>
      <w:r>
        <w:rPr/>
        <w:t>、竞争劣势</w:t>
      </w:r>
      <w:r>
        <w:rPr>
          <w:b w:val="0"/>
          <w:bCs w:val="0"/>
        </w:rPr>
      </w:r>
    </w:p>
    <w:p>
      <w:pPr>
        <w:spacing w:line="240" w:lineRule="auto" w:before="9"/>
        <w:rPr>
          <w:rFonts w:ascii="宋体" w:hAnsi="宋体" w:cs="宋体" w:eastAsia="宋体" w:hint="default"/>
          <w:b/>
          <w:bCs/>
          <w:sz w:val="22"/>
          <w:szCs w:val="22"/>
        </w:rPr>
      </w:pPr>
    </w:p>
    <w:p>
      <w:pPr>
        <w:pStyle w:val="BodyText"/>
        <w:spacing w:line="484" w:lineRule="auto"/>
        <w:ind w:left="634" w:right="0" w:hanging="1"/>
        <w:jc w:val="left"/>
      </w:pPr>
      <w:r>
        <w:rPr/>
        <w:t>（</w:t>
      </w:r>
      <w:r>
        <w:rPr>
          <w:rFonts w:ascii="Times New Roman" w:hAnsi="Times New Roman" w:cs="Times New Roman" w:eastAsia="Times New Roman" w:hint="default"/>
        </w:rPr>
        <w:t>1</w:t>
      </w:r>
      <w:r>
        <w:rPr/>
        <w:t>）国际品牌尚未建立，影响国际市场的开拓 </w:t>
      </w:r>
      <w:r>
        <w:rPr>
          <w:spacing w:val="-4"/>
        </w:rPr>
        <w:t>公司</w:t>
      </w:r>
      <w:r>
        <w:rPr>
          <w:rFonts w:ascii="Times New Roman" w:hAnsi="Times New Roman" w:cs="Times New Roman" w:eastAsia="Times New Roman" w:hint="default"/>
          <w:spacing w:val="-4"/>
        </w:rPr>
        <w:t>SVC</w:t>
      </w:r>
      <w:r>
        <w:rPr>
          <w:spacing w:val="-4"/>
        </w:rPr>
        <w:t>、</w:t>
      </w:r>
      <w:r>
        <w:rPr>
          <w:rFonts w:ascii="Times New Roman" w:hAnsi="Times New Roman" w:cs="Times New Roman" w:eastAsia="Times New Roman" w:hint="default"/>
          <w:spacing w:val="-4"/>
        </w:rPr>
        <w:t>SVG</w:t>
      </w:r>
      <w:r>
        <w:rPr>
          <w:spacing w:val="-4"/>
        </w:rPr>
        <w:t>等产品自</w:t>
      </w:r>
      <w:r>
        <w:rPr>
          <w:rFonts w:ascii="Times New Roman" w:hAnsi="Times New Roman" w:cs="Times New Roman" w:eastAsia="Times New Roman" w:hint="default"/>
          <w:spacing w:val="-4"/>
        </w:rPr>
        <w:t>2006</w:t>
      </w:r>
      <w:r>
        <w:rPr>
          <w:spacing w:val="-4"/>
        </w:rPr>
        <w:t>年开始进入国际市场，时间较短，公司产品在国际市场的知名度还较低。</w:t>
      </w:r>
    </w:p>
    <w:p>
      <w:pPr>
        <w:spacing w:after="0" w:line="484"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4"/>
        <w:ind w:left="634" w:right="0"/>
        <w:jc w:val="left"/>
      </w:pPr>
      <w:r>
        <w:rPr/>
        <w:t>（</w:t>
      </w:r>
      <w:r>
        <w:rPr>
          <w:rFonts w:ascii="Times New Roman" w:hAnsi="Times New Roman" w:cs="Times New Roman" w:eastAsia="Times New Roman" w:hint="default"/>
        </w:rPr>
        <w:t>2</w:t>
      </w:r>
      <w:r>
        <w:rPr/>
        <w:t>）电网领域影响力较弱，影响电力市场开拓</w:t>
      </w:r>
    </w:p>
    <w:p>
      <w:pPr>
        <w:spacing w:line="240" w:lineRule="auto" w:before="9"/>
        <w:rPr>
          <w:rFonts w:ascii="宋体" w:hAnsi="宋体" w:cs="宋体" w:eastAsia="宋体" w:hint="default"/>
          <w:sz w:val="22"/>
          <w:szCs w:val="22"/>
        </w:rPr>
      </w:pPr>
    </w:p>
    <w:p>
      <w:pPr>
        <w:pStyle w:val="BodyText"/>
        <w:spacing w:line="386" w:lineRule="auto"/>
        <w:ind w:right="142" w:firstLine="480"/>
        <w:jc w:val="left"/>
      </w:pPr>
      <w:r>
        <w:rPr>
          <w:spacing w:val="-2"/>
        </w:rPr>
        <w:t>虽然公司凭借较强的技术实力，</w:t>
      </w:r>
      <w:r>
        <w:rPr>
          <w:rFonts w:ascii="Times New Roman" w:hAnsi="Times New Roman" w:cs="Times New Roman" w:eastAsia="Times New Roman" w:hint="default"/>
          <w:spacing w:val="-2"/>
        </w:rPr>
        <w:t>2008</w:t>
      </w:r>
      <w:r>
        <w:rPr>
          <w:spacing w:val="-2"/>
        </w:rPr>
        <w:t>年已实现电网领域的突破，但与电科院等大型科研公司相比，进</w:t>
      </w:r>
      <w:r>
        <w:rPr/>
        <w:t> 入电网领域较晚，在电网领域的品牌影响力较弱。</w:t>
      </w:r>
    </w:p>
    <w:p>
      <w:pPr>
        <w:spacing w:line="240" w:lineRule="auto" w:before="2"/>
        <w:rPr>
          <w:rFonts w:ascii="宋体" w:hAnsi="宋体" w:cs="宋体" w:eastAsia="宋体" w:hint="default"/>
          <w:sz w:val="14"/>
          <w:szCs w:val="14"/>
        </w:rPr>
      </w:pPr>
    </w:p>
    <w:p>
      <w:pPr>
        <w:pStyle w:val="BodyText"/>
        <w:spacing w:line="484" w:lineRule="auto"/>
        <w:ind w:left="634" w:right="138" w:hanging="1"/>
        <w:jc w:val="left"/>
      </w:pPr>
      <w:r>
        <w:rPr/>
        <w:t>（</w:t>
      </w:r>
      <w:r>
        <w:rPr>
          <w:rFonts w:ascii="Times New Roman" w:hAnsi="Times New Roman" w:cs="Times New Roman" w:eastAsia="Times New Roman" w:hint="default"/>
        </w:rPr>
        <w:t>3</w:t>
      </w:r>
      <w:r>
        <w:rPr/>
        <w:t>）资金实力不足，制约公司进一步发展 </w:t>
      </w:r>
      <w:r>
        <w:rPr>
          <w:spacing w:val="-2"/>
        </w:rPr>
        <w:t>目前公司仍处于快速成长阶段，技术改造和研发规模的扩大需要大量资金，资金来源局限性制约了公</w:t>
      </w:r>
    </w:p>
    <w:p>
      <w:pPr>
        <w:pStyle w:val="BodyText"/>
        <w:spacing w:line="254" w:lineRule="exact"/>
        <w:ind w:right="0"/>
        <w:jc w:val="left"/>
      </w:pPr>
      <w:r>
        <w:rPr/>
        <w:t>司的发展步伐，影响了经营规模的扩大。</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170,338,917.00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125,133,700.00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36.13%</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3"/>
              <w:jc w:val="righ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北京诚和龙盛工程技术有限公司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短网补偿设备、电能质量检测仪等电气 设备的生产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哈密荣信新能源有限公司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太阳能光伏发电、风力发电项目投资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图木舒克市荣信新能源有限公司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太阳能光伏发电、风力发电项目投资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新疆荣信节能电气有限公司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无功补偿等电气设备设计生产和销售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荣信电力工程</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JLT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电气设备销售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泰信新能源科技有限公司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太阳能光伏发电项目投资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pict>
          <v:shape style="position:absolute;margin-left:276.540009pt;margin-top:33.573963pt;width:85.15pt;height:35.25pt;mso-position-horizontal-relative:page;mso-position-vertical-relative:paragraph;z-index:-964072" type="#_x0000_t202" filled="false" stroked="false">
            <v:textbox inset="0,0,0,0">
              <w:txbxContent>
                <w:p>
                  <w:pPr>
                    <w:spacing w:line="240" w:lineRule="auto" w:before="0"/>
                    <w:rPr>
                      <w:rFonts w:ascii="宋体" w:hAnsi="宋体" w:cs="宋体" w:eastAsia="宋体" w:hint="default"/>
                      <w:b/>
                      <w:bCs/>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t>（</w:t>
      </w:r>
      <w:r>
        <w:rPr>
          <w:rFonts w:ascii="Times New Roman" w:hAnsi="Times New Roman" w:cs="Times New Roman" w:eastAsia="Times New Roman" w:hint="default"/>
        </w:rPr>
        <w:t>2</w:t>
      </w:r>
      <w:r>
        <w:rPr/>
        <w:t>）持有其他上市公司股权情况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80"/>
        <w:gridCol w:w="882"/>
        <w:gridCol w:w="870"/>
        <w:gridCol w:w="870"/>
        <w:gridCol w:w="868"/>
        <w:gridCol w:w="868"/>
        <w:gridCol w:w="869"/>
        <w:gridCol w:w="868"/>
        <w:gridCol w:w="868"/>
        <w:gridCol w:w="869"/>
        <w:gridCol w:w="856"/>
      </w:tblGrid>
      <w:tr>
        <w:trPr>
          <w:trHeight w:val="714" w:hRule="exact"/>
        </w:trPr>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3" w:firstLine="46"/>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6"/>
                <w:sz w:val="18"/>
                <w:szCs w:val="18"/>
              </w:rPr>
              <w:t>成本（元）</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3" w:firstLine="46"/>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6"/>
                <w:sz w:val="18"/>
                <w:szCs w:val="18"/>
              </w:rPr>
              <w:t>数量（股）</w:t>
            </w:r>
            <w:r>
              <w:rPr>
                <w:rFonts w:ascii="宋体" w:hAnsi="宋体" w:cs="宋体" w:eastAsia="宋体" w:hint="default"/>
                <w:sz w:val="18"/>
                <w:szCs w:val="18"/>
              </w:rPr>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4"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7"/>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8" w:right="68"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338"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青岛市恒 顺电气股 份有限公 司</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10.71%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15,000,000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10.71%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207,900,00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114"/>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78"/>
              <w:jc w:val="center"/>
              <w:rPr>
                <w:rFonts w:ascii="宋体" w:hAnsi="宋体" w:cs="宋体" w:eastAsia="宋体" w:hint="default"/>
                <w:sz w:val="18"/>
                <w:szCs w:val="18"/>
              </w:rPr>
            </w:pPr>
            <w:r>
              <w:rPr>
                <w:rFonts w:ascii="宋体" w:hAnsi="宋体" w:cs="宋体" w:eastAsia="宋体" w:hint="default"/>
                <w:sz w:val="18"/>
                <w:szCs w:val="18"/>
              </w:rPr>
              <w:t>协议购买</w:t>
            </w:r>
          </w:p>
        </w:tc>
      </w:tr>
      <w:tr>
        <w:trPr>
          <w:trHeight w:val="714" w:hRule="exact"/>
        </w:trPr>
        <w:tc>
          <w:tcPr>
            <w:tcW w:w="17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15,000,000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207,900,00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44"/>
        <w:ind w:left="0" w:right="159" w:firstLine="0"/>
        <w:jc w:val="right"/>
        <w:rPr>
          <w:rFonts w:ascii="宋体" w:hAnsi="宋体" w:cs="宋体" w:eastAsia="宋体" w:hint="default"/>
          <w:sz w:val="18"/>
          <w:szCs w:val="18"/>
        </w:rPr>
      </w:pPr>
      <w:r>
        <w:rPr/>
        <w:pict>
          <v:shape style="position:absolute;margin-left:56.459999pt;margin-top:-96.848038pt;width:479.1pt;height:179.0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00"/>
                    <w:gridCol w:w="546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49,813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3,775.12</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45,986.2</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本公司以前年度已使用募集资金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42,211.09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3,775.12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23"/>
                            <w:sz w:val="18"/>
                            <w:szCs w:val="18"/>
                          </w:rPr>
                          <w:t> </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日，公</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司全部募投项目已实施完毕并达到预计可使用状态，累计使用募集资金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45,986.20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万元，结余的募集资金为</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3,826.80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w:t>
                        </w:r>
                        <w:r>
                          <w:rPr>
                            <w:rFonts w:ascii="宋体" w:hAnsi="宋体" w:cs="宋体" w:eastAsia="宋体" w:hint="default"/>
                            <w:spacing w:val="1"/>
                            <w:sz w:val="18"/>
                            <w:szCs w:val="18"/>
                          </w:rPr>
                          <w:t>资</w:t>
                        </w:r>
                        <w:r>
                          <w:rPr>
                            <w:rFonts w:ascii="宋体" w:hAnsi="宋体" w:cs="宋体" w:eastAsia="宋体" w:hint="default"/>
                            <w:sz w:val="18"/>
                            <w:szCs w:val="18"/>
                          </w:rPr>
                          <w:t>金专户及定期存单存放募集资金总计为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4,650.76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74"/>
                            <w:sz w:val="18"/>
                            <w:szCs w:val="18"/>
                          </w:rPr>
                          <w:t>，</w:t>
                        </w:r>
                        <w:r>
                          <w:rPr>
                            <w:rFonts w:ascii="宋体" w:hAnsi="宋体" w:cs="宋体" w:eastAsia="宋体" w:hint="default"/>
                            <w:sz w:val="18"/>
                            <w:szCs w:val="18"/>
                          </w:rPr>
                          <w:t>与结余的募集资金余额的差异 </w:t>
                        </w:r>
                        <w:r>
                          <w:rPr>
                            <w:rFonts w:ascii="Times New Roman" w:hAnsi="Times New Roman" w:cs="Times New Roman" w:eastAsia="Times New Roman" w:hint="default"/>
                            <w:sz w:val="18"/>
                            <w:szCs w:val="18"/>
                          </w:rPr>
                          <w:t>823.96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万元，系累计收到的银行存款利息扣除银行手续费等的净额。</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日公司第四届董事会第十七次会议审议通过</w:t>
                        </w:r>
                      </w:p>
                      <w:p>
                        <w:pPr>
                          <w:pStyle w:val="TableParagraph"/>
                          <w:spacing w:line="302" w:lineRule="auto" w:before="63"/>
                          <w:ind w:left="22" w:right="83"/>
                          <w:jc w:val="left"/>
                          <w:rPr>
                            <w:rFonts w:ascii="宋体" w:hAnsi="宋体" w:cs="宋体" w:eastAsia="宋体" w:hint="default"/>
                            <w:sz w:val="18"/>
                            <w:szCs w:val="18"/>
                          </w:rPr>
                        </w:pPr>
                        <w:r>
                          <w:rPr>
                            <w:rFonts w:ascii="宋体" w:hAnsi="宋体" w:cs="宋体" w:eastAsia="宋体" w:hint="default"/>
                            <w:spacing w:val="-3"/>
                            <w:sz w:val="18"/>
                            <w:szCs w:val="18"/>
                          </w:rPr>
                          <w:t>了《关于节余募集资金永久补充流动资金的议案》，公司已将节余募集资金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4,650.76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万元（含利息收入）永久补充流动资 金。</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10kV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特大功率变频装 置国产化项目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18,259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2,921.42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876.02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电抗器产业化建设项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661.19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1.5MW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风电变流器研 发及中试项目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2,079.7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组建北京研发中心项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8,764.5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8,764.5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177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7,000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6,997</w:t>
            </w:r>
          </w:p>
        </w:tc>
        <w:tc>
          <w:tcPr>
            <w:tcW w:w="779"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18"/>
                <w:szCs w:val="18"/>
              </w:rPr>
            </w:pPr>
            <w:r>
              <w:rPr>
                <w:rFonts w:ascii="Times New Roman"/>
                <w:sz w:val="18"/>
              </w:rPr>
              <w:t>6,997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327"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177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45,986.2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3,775.12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45,986.2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1,364.15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44"/>
        <w:ind w:left="0" w:right="160" w:firstLine="0"/>
        <w:jc w:val="right"/>
        <w:rPr>
          <w:rFonts w:ascii="宋体" w:hAnsi="宋体" w:cs="宋体" w:eastAsia="宋体" w:hint="default"/>
          <w:sz w:val="18"/>
          <w:szCs w:val="18"/>
        </w:rPr>
      </w:pPr>
      <w:r>
        <w:rPr/>
        <w:pict>
          <v:shape style="position:absolute;margin-left:56.459999pt;margin-top:-409.147919pt;width:479.1pt;height:531.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49,816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45,986.2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3,775.12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45,986.2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1,364.15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日公司第三届董事会第二十三次会议审议通过了《关于用募集资金置换预先已投入募 </w:t>
                        </w:r>
                        <w:r>
                          <w:rPr>
                            <w:rFonts w:ascii="宋体" w:hAnsi="宋体" w:cs="宋体" w:eastAsia="宋体" w:hint="default"/>
                            <w:spacing w:val="-5"/>
                            <w:sz w:val="18"/>
                            <w:szCs w:val="18"/>
                          </w:rPr>
                          <w:t>集资金投资项目的自筹资金的议案》。为了加速投资项目的进程，公司前期已使用自筹资金投入募集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资金投资项目。截至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日止，公司以自筹资金预先投入募集资金投资项目的总金额为</w:t>
                        </w:r>
                      </w:p>
                      <w:p>
                        <w:pPr>
                          <w:pStyle w:val="TableParagraph"/>
                          <w:spacing w:line="240" w:lineRule="auto" w:before="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12,342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1.5MW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风电变流器研发及中试项目研发周期较预计延长，根据市场需求变化，公司减少样机产 </w:t>
                        </w:r>
                        <w:r>
                          <w:rPr>
                            <w:rFonts w:ascii="宋体" w:hAnsi="宋体" w:cs="宋体" w:eastAsia="宋体" w:hint="default"/>
                            <w:spacing w:val="-10"/>
                            <w:sz w:val="18"/>
                            <w:szCs w:val="18"/>
                          </w:rPr>
                          <w:t>量，募集资金实际投入比计划减少，结余</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2913.30</w:t>
                        </w:r>
                        <w:r>
                          <w:rPr>
                            <w:rFonts w:ascii="Times New Roman" w:hAnsi="Times New Roman" w:cs="Times New Roman" w:eastAsia="Times New Roman" w:hint="default"/>
                            <w:spacing w:val="-12"/>
                            <w:sz w:val="18"/>
                            <w:szCs w:val="18"/>
                          </w:rPr>
                          <w:t> </w:t>
                        </w:r>
                        <w:r>
                          <w:rPr>
                            <w:rFonts w:ascii="宋体" w:hAnsi="宋体" w:cs="宋体" w:eastAsia="宋体" w:hint="default"/>
                            <w:spacing w:val="-9"/>
                            <w:sz w:val="18"/>
                            <w:szCs w:val="18"/>
                          </w:rPr>
                          <w:t>万元。</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、组建北京研发中心项目募集资金结余</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913.50 </w:t>
                        </w:r>
                        <w:r>
                          <w:rPr>
                            <w:rFonts w:ascii="宋体" w:hAnsi="宋体" w:cs="宋体" w:eastAsia="宋体" w:hint="default"/>
                            <w:sz w:val="18"/>
                            <w:szCs w:val="18"/>
                          </w:rPr>
                          <w:t>万元，产生结余的原因是该项目根据实际设备需求及采购价格变化，实际投入比计划投入减少。</w:t>
                        </w:r>
                        <w:r>
                          <w:rPr>
                            <w:rFonts w:ascii="Times New Roman" w:hAnsi="Times New Roman" w:cs="Times New Roman" w:eastAsia="Times New Roman" w:hint="default"/>
                            <w:sz w:val="18"/>
                            <w:szCs w:val="18"/>
                          </w:rPr>
                          <w:t>3 </w:t>
                        </w:r>
                        <w:r>
                          <w:rPr>
                            <w:rFonts w:ascii="宋体" w:hAnsi="宋体" w:cs="宋体" w:eastAsia="宋体" w:hint="default"/>
                            <w:sz w:val="18"/>
                            <w:szCs w:val="18"/>
                          </w:rPr>
                          <w:t>募集资金账户累计收到银行存款利息扣除银行手续费等的净额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823.96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日公司第四届董事会第十七次会议审议通过了《关于节余募集资金永久补充流动资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金的议案</w:t>
                        </w:r>
                        <w:r>
                          <w:rPr>
                            <w:rFonts w:ascii="宋体" w:hAnsi="宋体" w:cs="宋体" w:eastAsia="宋体" w:hint="default"/>
                            <w:spacing w:val="-90"/>
                            <w:sz w:val="18"/>
                            <w:szCs w:val="18"/>
                          </w:rPr>
                          <w:t>》</w:t>
                        </w:r>
                        <w:r>
                          <w:rPr>
                            <w:rFonts w:ascii="宋体" w:hAnsi="宋体" w:cs="宋体" w:eastAsia="宋体" w:hint="default"/>
                            <w:sz w:val="18"/>
                            <w:szCs w:val="18"/>
                          </w:rPr>
                          <w:t>，公司已将节余募集资金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4,650.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万元（含利息收入）永久补充流动资金。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5" w:right="107"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37"/>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诚和伟业 </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 发展有限 责任公司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电气设备 </w:t>
            </w:r>
            <w:r>
              <w:rPr>
                <w:rFonts w:ascii="宋体" w:hAnsi="宋体" w:cs="宋体" w:eastAsia="宋体" w:hint="default"/>
                <w:spacing w:val="-3"/>
                <w:sz w:val="18"/>
                <w:szCs w:val="18"/>
              </w:rPr>
              <w:t>的设计、销</w:t>
            </w:r>
            <w:r>
              <w:rPr>
                <w:rFonts w:ascii="宋体" w:hAnsi="宋体" w:cs="宋体" w:eastAsia="宋体" w:hint="default"/>
                <w:sz w:val="18"/>
                <w:szCs w:val="18"/>
              </w:rPr>
              <w:t> 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7,171,963.1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-11,078,689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34,318,761.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-5,955,49</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1.78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-2,837,203.66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荣信嘉时 </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 发展有限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电气设备 </w:t>
            </w:r>
            <w:r>
              <w:rPr>
                <w:rFonts w:ascii="宋体" w:hAnsi="宋体" w:cs="宋体" w:eastAsia="宋体" w:hint="default"/>
                <w:spacing w:val="-3"/>
                <w:sz w:val="18"/>
                <w:szCs w:val="18"/>
              </w:rPr>
              <w:t>的设计、销</w:t>
            </w:r>
            <w:r>
              <w:rPr>
                <w:rFonts w:ascii="宋体" w:hAnsi="宋体" w:cs="宋体" w:eastAsia="宋体" w:hint="default"/>
                <w:sz w:val="18"/>
                <w:szCs w:val="18"/>
              </w:rPr>
              <w:t> 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3,112,335.3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-16,205,904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2,847,870.2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-11,897,9</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47.22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-12,085,856.5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荣信电气 传动系统</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pacing w:val="-3"/>
                <w:sz w:val="18"/>
                <w:szCs w:val="18"/>
              </w:rPr>
              <w:t>（上海）有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电气设备 </w:t>
            </w:r>
            <w:r>
              <w:rPr>
                <w:rFonts w:ascii="宋体" w:hAnsi="宋体" w:cs="宋体" w:eastAsia="宋体" w:hint="default"/>
                <w:spacing w:val="-3"/>
                <w:sz w:val="18"/>
                <w:szCs w:val="18"/>
              </w:rPr>
              <w:t>的设计、销</w:t>
            </w:r>
            <w:r>
              <w:rPr>
                <w:rFonts w:ascii="宋体" w:hAnsi="宋体" w:cs="宋体" w:eastAsia="宋体" w:hint="default"/>
                <w:sz w:val="18"/>
                <w:szCs w:val="18"/>
              </w:rPr>
              <w:t> 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0" w:right="0"/>
              <w:jc w:val="left"/>
              <w:rPr>
                <w:rFonts w:ascii="Times New Roman" w:hAnsi="Times New Roman" w:cs="Times New Roman" w:eastAsia="Times New Roman" w:hint="default"/>
                <w:sz w:val="18"/>
                <w:szCs w:val="18"/>
              </w:rPr>
            </w:pPr>
            <w:r>
              <w:rPr>
                <w:rFonts w:ascii="Times New Roman"/>
                <w:sz w:val="18"/>
              </w:rPr>
              <w:t>299,820.24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-3,567,077.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left"/>
              <w:rPr>
                <w:rFonts w:ascii="Times New Roman" w:hAnsi="Times New Roman" w:cs="Times New Roman" w:eastAsia="Times New Roman" w:hint="default"/>
                <w:sz w:val="18"/>
                <w:szCs w:val="18"/>
              </w:rPr>
            </w:pPr>
            <w:r>
              <w:rPr>
                <w:rFonts w:ascii="Times New Roman"/>
                <w:sz w:val="18"/>
              </w:rPr>
              <w:t>84,905.64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-1,083,42</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7.01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-1,080,770.76</w:t>
            </w:r>
          </w:p>
        </w:tc>
      </w:tr>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短网补偿</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北京诚和</w:t>
            </w: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设备、电能</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龙盛工程 技术有限</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left"/>
              <w:rPr>
                <w:rFonts w:ascii="宋体" w:hAnsi="宋体" w:cs="宋体" w:eastAsia="宋体" w:hint="default"/>
                <w:sz w:val="18"/>
                <w:szCs w:val="18"/>
              </w:rPr>
            </w:pPr>
            <w:r>
              <w:rPr>
                <w:rFonts w:ascii="宋体" w:hAnsi="宋体" w:cs="宋体" w:eastAsia="宋体" w:hint="default"/>
                <w:sz w:val="18"/>
                <w:szCs w:val="18"/>
              </w:rPr>
              <w:t>质量检测 仪等电气</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40,660,801.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17,065,146.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23,682,450.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301,244.0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357,857.15</w:t>
            </w:r>
          </w:p>
        </w:tc>
      </w:tr>
      <w:tr>
        <w:trPr>
          <w:trHeight w:val="309"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设备的生</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北京荣科</w:t>
            </w: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整流设备、</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恒阳整流 技术有限</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
              <w:jc w:val="left"/>
              <w:rPr>
                <w:rFonts w:ascii="宋体" w:hAnsi="宋体" w:cs="宋体" w:eastAsia="宋体" w:hint="default"/>
                <w:sz w:val="18"/>
                <w:szCs w:val="18"/>
              </w:rPr>
            </w:pPr>
            <w:r>
              <w:rPr>
                <w:rFonts w:ascii="宋体" w:hAnsi="宋体" w:cs="宋体" w:eastAsia="宋体" w:hint="default"/>
                <w:sz w:val="18"/>
                <w:szCs w:val="18"/>
              </w:rPr>
              <w:t>变流设备、 设计、开</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28,548,086.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14,854,898.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30</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14,618,377.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946,811.0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684,736.97</w:t>
            </w:r>
          </w:p>
        </w:tc>
      </w:tr>
      <w:tr>
        <w:trPr>
          <w:trHeight w:val="351" w:hRule="exact"/>
        </w:trPr>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发、销售</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北京荣华 恒信开关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88"/>
              <w:jc w:val="both"/>
              <w:rPr>
                <w:rFonts w:ascii="宋体" w:hAnsi="宋体" w:cs="宋体" w:eastAsia="宋体" w:hint="default"/>
                <w:sz w:val="18"/>
                <w:szCs w:val="18"/>
              </w:rPr>
            </w:pPr>
            <w:r>
              <w:rPr>
                <w:rFonts w:ascii="宋体" w:hAnsi="宋体" w:cs="宋体" w:eastAsia="宋体" w:hint="default"/>
                <w:sz w:val="18"/>
                <w:szCs w:val="18"/>
              </w:rPr>
              <w:t>开关技术 研发与推 广</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15,645,253.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11,615,386.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17,726,160.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8,503,053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7,884,935.04</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辽宁荣信 防爆电气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88"/>
              <w:jc w:val="both"/>
              <w:rPr>
                <w:rFonts w:ascii="宋体" w:hAnsi="宋体" w:cs="宋体" w:eastAsia="宋体" w:hint="default"/>
                <w:sz w:val="18"/>
                <w:szCs w:val="18"/>
              </w:rPr>
            </w:pPr>
            <w:r>
              <w:rPr>
                <w:rFonts w:ascii="宋体" w:hAnsi="宋体" w:cs="宋体" w:eastAsia="宋体" w:hint="default"/>
                <w:sz w:val="18"/>
                <w:szCs w:val="18"/>
              </w:rPr>
              <w:t>防爆电气 设备的研 发与制造</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89,691,147.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65,705,965.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64,743,002.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18,322,73</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6.34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25,515,347.7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电机控制</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辽宁荣信</w:t>
            </w: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装置、启动</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电机控制 技术有限</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left"/>
              <w:rPr>
                <w:rFonts w:ascii="宋体" w:hAnsi="宋体" w:cs="宋体" w:eastAsia="宋体" w:hint="default"/>
                <w:sz w:val="18"/>
                <w:szCs w:val="18"/>
              </w:rPr>
            </w:pPr>
            <w:r>
              <w:rPr>
                <w:rFonts w:ascii="宋体" w:hAnsi="宋体" w:cs="宋体" w:eastAsia="宋体" w:hint="default"/>
                <w:sz w:val="18"/>
                <w:szCs w:val="18"/>
              </w:rPr>
              <w:t>装置及其 他电力电</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29,345,770.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6,157,926.6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38,635,637.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2,910,953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3,174,477.37</w:t>
            </w:r>
          </w:p>
        </w:tc>
      </w:tr>
      <w:tr>
        <w:trPr>
          <w:trHeight w:val="309"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子装置的</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设计、制造</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91"/>
              <w:jc w:val="both"/>
              <w:rPr>
                <w:rFonts w:ascii="宋体" w:hAnsi="宋体" w:cs="宋体" w:eastAsia="宋体" w:hint="default"/>
                <w:sz w:val="18"/>
                <w:szCs w:val="18"/>
              </w:rPr>
            </w:pPr>
            <w:r>
              <w:rPr>
                <w:rFonts w:ascii="宋体" w:hAnsi="宋体" w:cs="宋体" w:eastAsia="宋体" w:hint="default"/>
                <w:sz w:val="18"/>
                <w:szCs w:val="18"/>
              </w:rPr>
              <w:t>辽宁荣信 众腾科技 有限公司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
              <w:jc w:val="left"/>
              <w:rPr>
                <w:rFonts w:ascii="宋体" w:hAnsi="宋体" w:cs="宋体" w:eastAsia="宋体" w:hint="default"/>
                <w:sz w:val="18"/>
                <w:szCs w:val="18"/>
              </w:rPr>
            </w:pPr>
            <w:r>
              <w:rPr>
                <w:rFonts w:ascii="宋体" w:hAnsi="宋体" w:cs="宋体" w:eastAsia="宋体" w:hint="default"/>
                <w:sz w:val="18"/>
                <w:szCs w:val="18"/>
              </w:rPr>
              <w:t>技术开发、 技术服务 及技术推</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2,517,862.1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99" w:right="0"/>
              <w:jc w:val="left"/>
              <w:rPr>
                <w:rFonts w:ascii="Times New Roman" w:hAnsi="Times New Roman" w:cs="Times New Roman" w:eastAsia="Times New Roman" w:hint="default"/>
                <w:sz w:val="18"/>
                <w:szCs w:val="18"/>
              </w:rPr>
            </w:pPr>
            <w:r>
              <w:rPr>
                <w:rFonts w:ascii="Times New Roman"/>
                <w:sz w:val="18"/>
              </w:rPr>
              <w:t>615,893.12</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6,034,516.3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-2,642,06</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8.13</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-2,442,168.13</w:t>
            </w:r>
          </w:p>
        </w:tc>
      </w:tr>
      <w:tr>
        <w:trPr>
          <w:trHeight w:val="355"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太阳能光</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91"/>
              <w:jc w:val="both"/>
              <w:rPr>
                <w:rFonts w:ascii="宋体" w:hAnsi="宋体" w:cs="宋体" w:eastAsia="宋体" w:hint="default"/>
                <w:sz w:val="18"/>
                <w:szCs w:val="18"/>
              </w:rPr>
            </w:pPr>
            <w:r>
              <w:rPr>
                <w:rFonts w:ascii="宋体" w:hAnsi="宋体" w:cs="宋体" w:eastAsia="宋体" w:hint="default"/>
                <w:sz w:val="18"/>
                <w:szCs w:val="18"/>
              </w:rPr>
              <w:t>辽宁荣信 光伏技术 有限公司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
              <w:jc w:val="left"/>
              <w:rPr>
                <w:rFonts w:ascii="宋体" w:hAnsi="宋体" w:cs="宋体" w:eastAsia="宋体" w:hint="default"/>
                <w:sz w:val="18"/>
                <w:szCs w:val="18"/>
              </w:rPr>
            </w:pPr>
            <w:r>
              <w:rPr>
                <w:rFonts w:ascii="宋体" w:hAnsi="宋体" w:cs="宋体" w:eastAsia="宋体" w:hint="default"/>
                <w:sz w:val="18"/>
                <w:szCs w:val="18"/>
              </w:rPr>
              <w:t>伏技术应 </w:t>
            </w:r>
            <w:r>
              <w:rPr>
                <w:rFonts w:ascii="宋体" w:hAnsi="宋体" w:cs="宋体" w:eastAsia="宋体" w:hint="default"/>
                <w:spacing w:val="-3"/>
                <w:sz w:val="18"/>
                <w:szCs w:val="18"/>
              </w:rPr>
              <w:t>用、风能技</w:t>
            </w:r>
            <w:r>
              <w:rPr>
                <w:rFonts w:ascii="宋体" w:hAnsi="宋体" w:cs="宋体" w:eastAsia="宋体" w:hint="default"/>
                <w:sz w:val="18"/>
                <w:szCs w:val="18"/>
              </w:rPr>
              <w:t> 术的研发、</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52,326,899.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11,279,745.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81,615,628.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3,267,550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3"/>
                <w:sz w:val="18"/>
              </w:rPr>
              <w:t>.11</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4,789,047.71</w:t>
            </w:r>
          </w:p>
        </w:tc>
      </w:tr>
      <w:tr>
        <w:trPr>
          <w:trHeight w:val="355"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生产、销售</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电气传动</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辽宁荣信</w:t>
            </w: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与控制系</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电气传动 技术有限</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left"/>
              <w:rPr>
                <w:rFonts w:ascii="宋体" w:hAnsi="宋体" w:cs="宋体" w:eastAsia="宋体" w:hint="default"/>
                <w:sz w:val="18"/>
                <w:szCs w:val="18"/>
              </w:rPr>
            </w:pPr>
            <w:r>
              <w:rPr>
                <w:rFonts w:ascii="宋体" w:hAnsi="宋体" w:cs="宋体" w:eastAsia="宋体" w:hint="default"/>
                <w:sz w:val="18"/>
                <w:szCs w:val="18"/>
              </w:rPr>
              <w:t>列变频器 相关产品</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232,284,55</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4.40</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82,681,476.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35</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97,385,832.</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923,029.5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5,251,895.07</w:t>
            </w:r>
          </w:p>
        </w:tc>
      </w:tr>
      <w:tr>
        <w:trPr>
          <w:trHeight w:val="309"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的研发、生</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产、销售</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南京荣信</w:t>
            </w: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输配电及</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电力自动 化有限公</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left"/>
              <w:rPr>
                <w:rFonts w:ascii="宋体" w:hAnsi="宋体" w:cs="宋体" w:eastAsia="宋体" w:hint="default"/>
                <w:sz w:val="18"/>
                <w:szCs w:val="18"/>
              </w:rPr>
            </w:pPr>
            <w:r>
              <w:rPr>
                <w:rFonts w:ascii="宋体" w:hAnsi="宋体" w:cs="宋体" w:eastAsia="宋体" w:hint="default"/>
                <w:sz w:val="18"/>
                <w:szCs w:val="18"/>
              </w:rPr>
              <w:t>控制设备 研发、制</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2,409,902.5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-53,656.14</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2,471,995.7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85" w:right="0"/>
              <w:jc w:val="left"/>
              <w:rPr>
                <w:rFonts w:ascii="Times New Roman" w:hAnsi="Times New Roman" w:cs="Times New Roman" w:eastAsia="Times New Roman" w:hint="default"/>
                <w:sz w:val="18"/>
                <w:szCs w:val="18"/>
              </w:rPr>
            </w:pPr>
            <w:r>
              <w:rPr>
                <w:rFonts w:ascii="Times New Roman"/>
                <w:sz w:val="18"/>
              </w:rPr>
              <w:t>-2,954,39</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7.26</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-2,936,981.26</w:t>
            </w:r>
          </w:p>
        </w:tc>
      </w:tr>
      <w:tr>
        <w:trPr>
          <w:trHeight w:val="351" w:hRule="exact"/>
        </w:trPr>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造、销售</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北京荣信 慧科科技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软件、设备</w:t>
            </w:r>
            <w:r>
              <w:rPr>
                <w:rFonts w:ascii="宋体" w:hAnsi="宋体" w:cs="宋体" w:eastAsia="宋体" w:hint="default"/>
                <w:sz w:val="18"/>
                <w:szCs w:val="18"/>
              </w:rPr>
              <w:t> 的设计与 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1,077,696.0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1,054,127.9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13,004,700.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340,708.8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340,708.82</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北京荣科 博信科技 发展有限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电气设备 </w:t>
            </w:r>
            <w:r>
              <w:rPr>
                <w:rFonts w:ascii="宋体" w:hAnsi="宋体" w:cs="宋体" w:eastAsia="宋体" w:hint="default"/>
                <w:spacing w:val="-3"/>
                <w:sz w:val="18"/>
                <w:szCs w:val="18"/>
              </w:rPr>
              <w:t>的设计、销</w:t>
            </w:r>
            <w:r>
              <w:rPr>
                <w:rFonts w:ascii="宋体" w:hAnsi="宋体" w:cs="宋体" w:eastAsia="宋体" w:hint="default"/>
                <w:sz w:val="18"/>
                <w:szCs w:val="18"/>
              </w:rPr>
              <w:t> 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4,110,296.8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-6,337,319.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18,747,310.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-6,911,92</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0.70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-6,928,291.39</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广州邦建 电力技术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电力技术 </w:t>
            </w:r>
            <w:r>
              <w:rPr>
                <w:rFonts w:ascii="宋体" w:hAnsi="宋体" w:cs="宋体" w:eastAsia="宋体" w:hint="default"/>
                <w:spacing w:val="-3"/>
                <w:sz w:val="18"/>
                <w:szCs w:val="18"/>
              </w:rPr>
              <w:t>的研究、开</w:t>
            </w:r>
            <w:r>
              <w:rPr>
                <w:rFonts w:ascii="宋体" w:hAnsi="宋体" w:cs="宋体" w:eastAsia="宋体" w:hint="default"/>
                <w:sz w:val="18"/>
                <w:szCs w:val="18"/>
              </w:rPr>
              <w:t> 发、销售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3,830,536.6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-9,977,796.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-10,993,2</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52.85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-10,993,252.8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北京荣信 瑞科科技 发展有限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3"/>
                <w:sz w:val="18"/>
                <w:szCs w:val="18"/>
              </w:rPr>
              <w:t>软件、设备</w:t>
            </w:r>
            <w:r>
              <w:rPr>
                <w:rFonts w:ascii="宋体" w:hAnsi="宋体" w:cs="宋体" w:eastAsia="宋体" w:hint="default"/>
                <w:sz w:val="18"/>
                <w:szCs w:val="18"/>
              </w:rPr>
              <w:t> 的设计与 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14,360,851.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-4,188,603.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31,612,334.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-5,770,97</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4.27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-5,789,874.27</w:t>
            </w:r>
          </w:p>
        </w:tc>
      </w:tr>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高压连续</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电容器</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91"/>
              <w:jc w:val="both"/>
              <w:rPr>
                <w:rFonts w:ascii="宋体" w:hAnsi="宋体" w:cs="宋体" w:eastAsia="宋体" w:hint="default"/>
                <w:sz w:val="18"/>
                <w:szCs w:val="18"/>
              </w:rPr>
            </w:pPr>
            <w:r>
              <w:rPr>
                <w:rFonts w:ascii="宋体" w:hAnsi="宋体" w:cs="宋体" w:eastAsia="宋体" w:hint="default"/>
                <w:sz w:val="18"/>
                <w:szCs w:val="18"/>
              </w:rPr>
              <w:t>荣西电力 传输技术 有限公司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(HVSC)</w:t>
            </w:r>
            <w:r>
              <w:rPr>
                <w:rFonts w:ascii="宋体" w:hAnsi="宋体" w:cs="宋体" w:eastAsia="宋体" w:hint="default"/>
                <w:spacing w:val="-74"/>
                <w:sz w:val="18"/>
                <w:szCs w:val="18"/>
              </w:rPr>
              <w:t>、</w:t>
            </w:r>
            <w:r>
              <w:rPr>
                <w:rFonts w:ascii="宋体" w:hAnsi="宋体" w:cs="宋体" w:eastAsia="宋体" w:hint="default"/>
                <w:sz w:val="18"/>
                <w:szCs w:val="18"/>
              </w:rPr>
              <w:t>静</w:t>
            </w:r>
          </w:p>
          <w:p>
            <w:pPr>
              <w:pStyle w:val="TableParagraph"/>
              <w:spacing w:line="316" w:lineRule="auto" w:before="63"/>
              <w:ind w:left="22"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态无功补 偿器</w:t>
            </w:r>
            <w:r>
              <w:rPr>
                <w:rFonts w:ascii="Times New Roman" w:hAnsi="Times New Roman" w:cs="Times New Roman" w:eastAsia="Times New Roman" w:hint="default"/>
                <w:sz w:val="18"/>
                <w:szCs w:val="18"/>
              </w:rPr>
              <w:t>(FSC)</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39,548,647.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34,536,091.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1,885,550.5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-10,382,2</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58.04</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-13,698,949.0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308"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的开发、销</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图木舒克 市荣信新 能源有限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太阳能光 伏发电设 </w:t>
            </w:r>
            <w:r>
              <w:rPr>
                <w:rFonts w:ascii="宋体" w:hAnsi="宋体" w:cs="宋体" w:eastAsia="宋体" w:hint="default"/>
                <w:spacing w:val="-3"/>
                <w:sz w:val="18"/>
                <w:szCs w:val="18"/>
              </w:rPr>
              <w:t>备投资；机</w:t>
            </w:r>
            <w:r>
              <w:rPr>
                <w:rFonts w:ascii="宋体" w:hAnsi="宋体" w:cs="宋体" w:eastAsia="宋体" w:hint="default"/>
                <w:sz w:val="18"/>
                <w:szCs w:val="18"/>
              </w:rPr>
              <w:t> 电设备安 装、销售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10,787,472.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10,633,167.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5" w:right="0"/>
              <w:jc w:val="left"/>
              <w:rPr>
                <w:rFonts w:ascii="Times New Roman" w:hAnsi="Times New Roman" w:cs="Times New Roman" w:eastAsia="Times New Roman" w:hint="default"/>
                <w:sz w:val="18"/>
                <w:szCs w:val="18"/>
              </w:rPr>
            </w:pPr>
            <w:r>
              <w:rPr>
                <w:rFonts w:ascii="Times New Roman"/>
                <w:sz w:val="18"/>
              </w:rPr>
              <w:t>-1,366,83</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2.73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-1,366,832.73</w:t>
            </w:r>
          </w:p>
        </w:tc>
      </w:tr>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太阳能光</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哈密荣信 新能源有 限公司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3"/>
                <w:sz w:val="18"/>
                <w:szCs w:val="18"/>
              </w:rPr>
              <w:t>伏发电、风</w:t>
            </w:r>
            <w:r>
              <w:rPr>
                <w:rFonts w:ascii="宋体" w:hAnsi="宋体" w:cs="宋体" w:eastAsia="宋体" w:hint="default"/>
                <w:sz w:val="18"/>
                <w:szCs w:val="18"/>
              </w:rPr>
              <w:t> 力发电项 </w:t>
            </w:r>
            <w:r>
              <w:rPr>
                <w:rFonts w:ascii="宋体" w:hAnsi="宋体" w:cs="宋体" w:eastAsia="宋体" w:hint="default"/>
                <w:spacing w:val="-3"/>
                <w:sz w:val="18"/>
                <w:szCs w:val="18"/>
              </w:rPr>
              <w:t>目投资；机</w:t>
            </w:r>
            <w:r>
              <w:rPr>
                <w:rFonts w:ascii="宋体" w:hAnsi="宋体" w:cs="宋体" w:eastAsia="宋体" w:hint="default"/>
                <w:sz w:val="18"/>
                <w:szCs w:val="18"/>
              </w:rPr>
              <w:t> 电设备安</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9,201,358.2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9,195,534.2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-804,465.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-804,465.74</w:t>
            </w:r>
          </w:p>
        </w:tc>
      </w:tr>
      <w:tr>
        <w:trPr>
          <w:trHeight w:val="356"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装、销售</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新疆荣信 节能电气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电力电子 装置的设 计、销售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15,299,364.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8,648,364.6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-1,421,63</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5.37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-1,351,635.37</w:t>
            </w:r>
          </w:p>
        </w:tc>
      </w:tr>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北京信力</w:t>
            </w: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新能源、节</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1"/>
              <w:jc w:val="both"/>
              <w:rPr>
                <w:rFonts w:ascii="宋体" w:hAnsi="宋体" w:cs="宋体" w:eastAsia="宋体" w:hint="default"/>
                <w:sz w:val="18"/>
                <w:szCs w:val="18"/>
              </w:rPr>
            </w:pPr>
            <w:r>
              <w:rPr>
                <w:rFonts w:ascii="宋体" w:hAnsi="宋体" w:cs="宋体" w:eastAsia="宋体" w:hint="default"/>
                <w:sz w:val="18"/>
                <w:szCs w:val="18"/>
              </w:rPr>
              <w:t>筑正新能 源技术股 份有限公</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pacing w:val="-3"/>
                <w:sz w:val="18"/>
                <w:szCs w:val="18"/>
              </w:rPr>
              <w:t>能设备、环</w:t>
            </w:r>
            <w:r>
              <w:rPr>
                <w:rFonts w:ascii="宋体" w:hAnsi="宋体" w:cs="宋体" w:eastAsia="宋体" w:hint="default"/>
                <w:sz w:val="18"/>
                <w:szCs w:val="18"/>
              </w:rPr>
              <w:t> </w:t>
            </w:r>
            <w:r>
              <w:rPr>
                <w:rFonts w:ascii="宋体" w:hAnsi="宋体" w:cs="宋体" w:eastAsia="宋体" w:hint="default"/>
                <w:spacing w:val="-3"/>
                <w:sz w:val="18"/>
                <w:szCs w:val="18"/>
              </w:rPr>
              <w:t>保设备、余</w:t>
            </w:r>
            <w:r>
              <w:rPr>
                <w:rFonts w:ascii="宋体" w:hAnsi="宋体" w:cs="宋体" w:eastAsia="宋体" w:hint="default"/>
                <w:sz w:val="18"/>
                <w:szCs w:val="18"/>
              </w:rPr>
              <w:t> 热余压发</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371,943,70</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3.31</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265,281,36</w:t>
            </w:r>
          </w:p>
          <w:p>
            <w:pPr>
              <w:pStyle w:val="TableParagraph"/>
              <w:spacing w:line="240" w:lineRule="auto" w:before="106"/>
              <w:ind w:left="595" w:right="0"/>
              <w:jc w:val="left"/>
              <w:rPr>
                <w:rFonts w:ascii="Times New Roman" w:hAnsi="Times New Roman" w:cs="Times New Roman" w:eastAsia="Times New Roman" w:hint="default"/>
                <w:sz w:val="18"/>
                <w:szCs w:val="18"/>
              </w:rPr>
            </w:pPr>
            <w:r>
              <w:rPr>
                <w:rFonts w:ascii="Times New Roman"/>
                <w:sz w:val="18"/>
              </w:rPr>
              <w:t>1.07</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87,941,966.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-1,310,91</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6.77</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604,602.12</w:t>
            </w:r>
          </w:p>
        </w:tc>
      </w:tr>
      <w:tr>
        <w:trPr>
          <w:trHeight w:val="356" w:hRule="exact"/>
        </w:trPr>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自动化科 技有限公</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88"/>
              <w:jc w:val="left"/>
              <w:rPr>
                <w:rFonts w:ascii="宋体" w:hAnsi="宋体" w:cs="宋体" w:eastAsia="宋体" w:hint="default"/>
                <w:sz w:val="18"/>
                <w:szCs w:val="18"/>
              </w:rPr>
            </w:pPr>
            <w:r>
              <w:rPr>
                <w:rFonts w:ascii="宋体" w:hAnsi="宋体" w:cs="宋体" w:eastAsia="宋体" w:hint="default"/>
                <w:sz w:val="18"/>
                <w:szCs w:val="18"/>
              </w:rPr>
              <w:t>井下防爆 变频设备</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54,837,865.</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25,849,676.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30,281,142.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227,935.9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353,054.37</w:t>
            </w:r>
          </w:p>
        </w:tc>
      </w:tr>
      <w:tr>
        <w:trPr>
          <w:trHeight w:val="351" w:hRule="exact"/>
        </w:trPr>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荣信电力 工程</w:t>
            </w:r>
            <w:r>
              <w:rPr>
                <w:rFonts w:ascii="宋体" w:hAnsi="宋体" w:cs="宋体" w:eastAsia="宋体" w:hint="default"/>
                <w:spacing w:val="-53"/>
                <w:sz w:val="18"/>
                <w:szCs w:val="18"/>
              </w:rPr>
              <w:t> </w:t>
            </w:r>
            <w:r>
              <w:rPr>
                <w:rFonts w:ascii="Times New Roman" w:hAnsi="Times New Roman" w:cs="Times New Roman" w:eastAsia="Times New Roman" w:hint="default"/>
                <w:spacing w:val="-6"/>
                <w:sz w:val="18"/>
                <w:szCs w:val="18"/>
              </w:rPr>
              <w:t>JLT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电气设备 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88"/>
              <w:jc w:val="left"/>
              <w:rPr>
                <w:rFonts w:ascii="宋体" w:hAnsi="宋体" w:cs="宋体" w:eastAsia="宋体" w:hint="default"/>
                <w:sz w:val="18"/>
                <w:szCs w:val="18"/>
              </w:rPr>
            </w:pPr>
            <w:r>
              <w:rPr>
                <w:rFonts w:ascii="宋体" w:hAnsi="宋体" w:cs="宋体" w:eastAsia="宋体" w:hint="default"/>
                <w:sz w:val="18"/>
                <w:szCs w:val="18"/>
              </w:rPr>
              <w:t>电气设备 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万迪拉 母</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5,091,559.2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5,091,559.2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w:t>
      </w:r>
    </w:p>
    <w:p>
      <w:pPr>
        <w:spacing w:line="240" w:lineRule="auto" w:before="12"/>
        <w:rPr>
          <w:rFonts w:ascii="宋体" w:hAnsi="宋体" w:cs="宋体" w:eastAsia="宋体" w:hint="default"/>
          <w:sz w:val="12"/>
          <w:szCs w:val="12"/>
        </w:rPr>
      </w:pPr>
    </w:p>
    <w:p>
      <w:pPr>
        <w:pStyle w:val="BodyText"/>
        <w:spacing w:line="408" w:lineRule="auto"/>
        <w:ind w:right="128" w:firstLine="372"/>
        <w:jc w:val="both"/>
      </w:pPr>
      <w:r>
        <w:rPr/>
        <w:t>本公司纳入合并报表范围内的控股子公司包括销售类子公司、研发类子公司和产品类子公司。其中： </w:t>
      </w:r>
      <w:r>
        <w:rPr>
          <w:spacing w:val="-1"/>
        </w:rPr>
        <w:t>销售类子公司负责本公司产品的销售，研发类子公司负责本公司产品的研发，因此，本公司销售类和研发</w:t>
      </w:r>
      <w:r>
        <w:rPr>
          <w:spacing w:val="-83"/>
        </w:rPr>
        <w:t> </w:t>
      </w:r>
      <w:r>
        <w:rPr>
          <w:spacing w:val="-83"/>
        </w:rPr>
      </w:r>
      <w:r>
        <w:rPr/>
        <w:t>类子公司的营业收入及净利润受母公司定价影响，不完全反映市场的公允价格，从而产生亏损。报告期， 产生亏损的销售类子公司有诚和伟业、荣信嘉实、荣信电气（上海）、荣科博信、荣信瑞科、广州邦建； 产生亏损的研发类公司有荣信众腾。</w:t>
      </w:r>
    </w:p>
    <w:p>
      <w:pPr>
        <w:pStyle w:val="BodyText"/>
        <w:spacing w:line="408" w:lineRule="auto" w:before="46"/>
        <w:ind w:right="211" w:firstLine="336"/>
        <w:jc w:val="both"/>
      </w:pPr>
      <w:r>
        <w:rPr/>
        <w:t>产品类子公司产生亏损的主要原因包括：荣西电力、南京荣信的主要产品为公司研制的次新产品，目 前处于市场开拓初期，销售规模较小，出现经营性亏损。</w:t>
      </w:r>
    </w:p>
    <w:p>
      <w:pPr>
        <w:pStyle w:val="BodyText"/>
        <w:spacing w:line="240" w:lineRule="auto" w:before="46"/>
        <w:ind w:left="490" w:right="0"/>
        <w:jc w:val="left"/>
      </w:pPr>
      <w:r>
        <w:rPr/>
        <w:t>新疆荣信、图木舒克荣信、哈密荣信为</w:t>
      </w:r>
      <w:r>
        <w:rPr>
          <w:rFonts w:ascii="Times New Roman" w:hAnsi="Times New Roman" w:cs="Times New Roman" w:eastAsia="Times New Roman" w:hint="default"/>
        </w:rPr>
        <w:t>2012</w:t>
      </w:r>
      <w:r>
        <w:rPr/>
        <w:t>年新设公司，尚未投产，出现阶段性亏损。</w:t>
      </w:r>
    </w:p>
    <w:p>
      <w:pPr>
        <w:spacing w:line="240" w:lineRule="auto" w:before="0"/>
        <w:rPr>
          <w:rFonts w:ascii="宋体" w:hAnsi="宋体" w:cs="宋体" w:eastAsia="宋体" w:hint="default"/>
          <w:sz w:val="22"/>
          <w:szCs w:val="22"/>
        </w:rPr>
      </w:pPr>
    </w:p>
    <w:p>
      <w:pPr>
        <w:spacing w:before="189"/>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0" w:right="158" w:firstLine="0"/>
        <w:jc w:val="right"/>
        <w:rPr>
          <w:rFonts w:ascii="宋体" w:hAnsi="宋体" w:cs="宋体" w:eastAsia="宋体" w:hint="default"/>
          <w:sz w:val="18"/>
          <w:szCs w:val="18"/>
        </w:rPr>
      </w:pPr>
      <w:r>
        <w:rPr/>
        <w:pict>
          <v:shape style="position:absolute;margin-left:56.459999pt;margin-top:-126.907967pt;width:479.1pt;height:174.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1"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该公司主要负责哈密地区光</w:t>
                        </w: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哈密荣信新能源有限公司</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伏电站项目、风光互补项目以 及为周边新建新能源电厂的</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02"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新设立，详见公司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半年 度报告</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报告期，该公司未产生销售收 入，净利润为</w:t>
                        </w:r>
                        <w:r>
                          <w:rPr>
                            <w:rFonts w:ascii="Times New Roman" w:hAnsi="Times New Roman" w:cs="Times New Roman" w:eastAsia="Times New Roman" w:hint="default"/>
                            <w:sz w:val="18"/>
                            <w:szCs w:val="18"/>
                          </w:rPr>
                          <w:t>-804,465.74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50"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建设提供</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等服务</w:t>
                        </w: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图木舒克市荣信新能源有限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7"/>
                          <w:jc w:val="both"/>
                          <w:rPr>
                            <w:rFonts w:ascii="宋体" w:hAnsi="宋体" w:cs="宋体" w:eastAsia="宋体" w:hint="default"/>
                            <w:sz w:val="18"/>
                            <w:szCs w:val="18"/>
                          </w:rPr>
                        </w:pPr>
                        <w:r>
                          <w:rPr>
                            <w:rFonts w:ascii="宋体" w:hAnsi="宋体" w:cs="宋体" w:eastAsia="宋体" w:hint="default"/>
                            <w:sz w:val="18"/>
                            <w:szCs w:val="18"/>
                          </w:rPr>
                          <w:t>该公司是本公司专门为在南 疆地区申请建立光伏电站而 成立的公司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08"/>
                          <w:jc w:val="left"/>
                          <w:rPr>
                            <w:rFonts w:ascii="宋体" w:hAnsi="宋体" w:cs="宋体" w:eastAsia="宋体" w:hint="default"/>
                            <w:sz w:val="18"/>
                            <w:szCs w:val="18"/>
                          </w:rPr>
                        </w:pPr>
                        <w:r>
                          <w:rPr>
                            <w:rFonts w:ascii="宋体" w:hAnsi="宋体" w:cs="宋体" w:eastAsia="宋体" w:hint="default"/>
                            <w:sz w:val="18"/>
                            <w:szCs w:val="18"/>
                          </w:rPr>
                          <w:t>新设立，详见公司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半年 度报告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报告期，该公司未产生销售收 </w:t>
                        </w:r>
                        <w:r>
                          <w:rPr>
                            <w:rFonts w:ascii="宋体" w:hAnsi="宋体" w:cs="宋体" w:eastAsia="宋体" w:hint="default"/>
                            <w:spacing w:val="-4"/>
                            <w:sz w:val="18"/>
                            <w:szCs w:val="18"/>
                          </w:rPr>
                          <w:t>入，净利润为</w:t>
                        </w:r>
                        <w:r>
                          <w:rPr>
                            <w:rFonts w:ascii="Times New Roman" w:hAnsi="Times New Roman" w:cs="Times New Roman" w:eastAsia="Times New Roman" w:hint="default"/>
                            <w:spacing w:val="-4"/>
                            <w:sz w:val="18"/>
                            <w:szCs w:val="18"/>
                          </w:rPr>
                          <w:t>-1,366,832.73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新疆荣信节能电气有限公司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新疆地区电气设备市场开拓</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新设立，详见公司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半年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报告期，该公司未产生销售收</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6"/>
          <w:szCs w:val="26"/>
        </w:rPr>
      </w:pPr>
    </w:p>
    <w:p>
      <w:pPr>
        <w:spacing w:before="44"/>
        <w:ind w:left="0" w:right="158" w:firstLine="0"/>
        <w:jc w:val="right"/>
        <w:rPr>
          <w:rFonts w:ascii="宋体" w:hAnsi="宋体" w:cs="宋体" w:eastAsia="宋体" w:hint="default"/>
          <w:sz w:val="18"/>
          <w:szCs w:val="18"/>
        </w:rPr>
      </w:pPr>
      <w:r>
        <w:rPr/>
        <w:pict>
          <v:shape style="position:absolute;margin-left:254.039993pt;margin-top:55.432007pt;width:161.25pt;height:144.450pt;mso-position-horizontal-relative:page;mso-position-vertical-relative:paragraph;z-index:-9639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项目执行、</w:t>
                  </w:r>
                </w:p>
              </w:txbxContent>
            </v:textbox>
            <w10:wrap type="none"/>
          </v:shape>
        </w:pict>
      </w:r>
      <w:r>
        <w:rPr/>
        <w:pict>
          <v:shape style="position:absolute;margin-left:56.459999pt;margin-top:1.131967pt;width:479.1pt;height:348.6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度报告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4"/>
                            <w:sz w:val="18"/>
                            <w:szCs w:val="18"/>
                          </w:rPr>
                          <w:t>入，净利润为</w:t>
                        </w:r>
                        <w:r>
                          <w:rPr>
                            <w:rFonts w:ascii="Times New Roman" w:hAnsi="Times New Roman" w:cs="Times New Roman" w:eastAsia="Times New Roman" w:hint="default"/>
                            <w:spacing w:val="-4"/>
                            <w:sz w:val="18"/>
                            <w:szCs w:val="18"/>
                          </w:rPr>
                          <w:t>-1,351,635.37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泰信新能源科技有限公司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为开拓泰国光伏业务市场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新设立，详见公司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三季 度报告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报告期，该公司对本公司业绩 无影响。</w:t>
                        </w: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为进一步开拓海外市场，公司</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万美元在阿拉伯联</w:t>
                        </w:r>
                      </w:p>
                    </w:tc>
                    <w:tc>
                      <w:tcPr>
                        <w:tcW w:w="2392"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荣信电力工程</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JLT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新公司主要从事新能源发电 与输变电项目产品的海外市 </w:t>
                        </w:r>
                        <w:r>
                          <w:rPr>
                            <w:rFonts w:ascii="宋体" w:hAnsi="宋体" w:cs="宋体" w:eastAsia="宋体" w:hint="default"/>
                            <w:spacing w:val="-6"/>
                            <w:sz w:val="18"/>
                            <w:szCs w:val="18"/>
                          </w:rPr>
                          <w:t>场销售，开展售前、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售后等方面技术支持与服务</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合酋长国迪拜多种商品中心 管理局设立全资子公司荣信 电力工程</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JLT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公司，新公司主 要从事新能源发电与输变电 项目产品的海外市场销售，开</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报告期，该公司未产生销售收 入，净利润为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13"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展售前、项目执行、售后等方</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9" w:space="0" w:color="FFFFFF"/>
                        </w:tcBorders>
                      </w:tcPr>
                      <w:p>
                        <w:pPr/>
                      </w:p>
                    </w:tc>
                    <w:tc>
                      <w:tcPr>
                        <w:tcW w:w="2392" w:type="dxa"/>
                        <w:tcBorders>
                          <w:top w:val="nil" w:sz="6" w:space="0" w:color="auto"/>
                          <w:left w:val="single" w:sz="9" w:space="0" w:color="FFFFFF"/>
                          <w:bottom w:val="single" w:sz="4" w:space="0" w:color="000000"/>
                          <w:right w:val="single" w:sz="13" w:space="0" w:color="FFFFFF"/>
                        </w:tcBorders>
                      </w:tcPr>
                      <w:p>
                        <w:pPr>
                          <w:pStyle w:val="TableParagraph"/>
                          <w:spacing w:line="240" w:lineRule="auto" w:before="11"/>
                          <w:ind w:left="16" w:right="0"/>
                          <w:jc w:val="left"/>
                          <w:rPr>
                            <w:rFonts w:ascii="宋体" w:hAnsi="宋体" w:cs="宋体" w:eastAsia="宋体" w:hint="default"/>
                            <w:sz w:val="18"/>
                            <w:szCs w:val="18"/>
                          </w:rPr>
                        </w:pPr>
                        <w:r>
                          <w:rPr>
                            <w:rFonts w:ascii="宋体" w:hAnsi="宋体" w:cs="宋体" w:eastAsia="宋体" w:hint="default"/>
                            <w:sz w:val="18"/>
                            <w:szCs w:val="18"/>
                          </w:rPr>
                          <w:t>面技术支持与服务。</w:t>
                        </w:r>
                      </w:p>
                    </w:tc>
                    <w:tc>
                      <w:tcPr>
                        <w:tcW w:w="2392" w:type="dxa"/>
                        <w:tcBorders>
                          <w:top w:val="nil" w:sz="6" w:space="0" w:color="auto"/>
                          <w:left w:val="single" w:sz="13" w:space="0" w:color="FFFFFF"/>
                          <w:bottom w:val="single" w:sz="4" w:space="0" w:color="000000"/>
                          <w:right w:val="single" w:sz="4" w:space="0" w:color="000000"/>
                        </w:tcBorders>
                      </w:tcPr>
                      <w:p>
                        <w:pPr/>
                      </w:p>
                    </w:tc>
                  </w:tr>
                  <w:tr>
                    <w:trPr>
                      <w:trHeight w:val="19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鞍山荣信节能服务有限公司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业务整合，收回投资。</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报告期内，公司将所持有的鞍 山荣信节能服务有限公司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49% </w:t>
                        </w:r>
                        <w:r>
                          <w:rPr>
                            <w:rFonts w:ascii="宋体" w:hAnsi="宋体" w:cs="宋体" w:eastAsia="宋体" w:hint="default"/>
                            <w:sz w:val="18"/>
                            <w:szCs w:val="18"/>
                          </w:rPr>
                          <w:t>的股权转让给上海鼎则创业 </w:t>
                        </w:r>
                        <w:r>
                          <w:rPr>
                            <w:rFonts w:ascii="宋体" w:hAnsi="宋体" w:cs="宋体" w:eastAsia="宋体" w:hint="default"/>
                            <w:spacing w:val="-7"/>
                            <w:sz w:val="18"/>
                            <w:szCs w:val="18"/>
                          </w:rPr>
                          <w:t>投资中心（有限合伙），转让</w:t>
                        </w:r>
                        <w:r>
                          <w:rPr>
                            <w:rFonts w:ascii="宋体" w:hAnsi="宋体" w:cs="宋体" w:eastAsia="宋体" w:hint="default"/>
                            <w:sz w:val="18"/>
                            <w:szCs w:val="18"/>
                          </w:rPr>
                          <w:t> 价格为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万元，工商变更手 续已经完成。</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0"/>
                          <w:jc w:val="left"/>
                          <w:rPr>
                            <w:rFonts w:ascii="宋体" w:hAnsi="宋体" w:cs="宋体" w:eastAsia="宋体" w:hint="default"/>
                            <w:sz w:val="18"/>
                            <w:szCs w:val="18"/>
                          </w:rPr>
                        </w:pPr>
                        <w:r>
                          <w:rPr>
                            <w:rFonts w:ascii="宋体" w:hAnsi="宋体" w:cs="宋体" w:eastAsia="宋体" w:hint="default"/>
                            <w:sz w:val="18"/>
                            <w:szCs w:val="18"/>
                          </w:rPr>
                          <w:t>公司以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万元将所持有的荣 信节能公司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股权全部转 让，按出售所得价款与长期股 权投资账面价值的差额确认 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490 </w:t>
                        </w:r>
                        <w:r>
                          <w:rPr>
                            <w:rFonts w:ascii="宋体" w:hAnsi="宋体" w:cs="宋体" w:eastAsia="宋体" w:hint="default"/>
                            <w:sz w:val="18"/>
                            <w:szCs w:val="18"/>
                          </w:rPr>
                          <w:t>万元。</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北京荣信电通科技发展有限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该项投资已实际发生损失，无 法收回投资</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0"/>
                          <w:jc w:val="left"/>
                          <w:rPr>
                            <w:rFonts w:ascii="宋体" w:hAnsi="宋体" w:cs="宋体" w:eastAsia="宋体" w:hint="default"/>
                            <w:sz w:val="18"/>
                            <w:szCs w:val="18"/>
                          </w:rPr>
                        </w:pPr>
                        <w:r>
                          <w:rPr>
                            <w:rFonts w:ascii="宋体" w:hAnsi="宋体" w:cs="宋体" w:eastAsia="宋体" w:hint="default"/>
                            <w:sz w:val="18"/>
                            <w:szCs w:val="18"/>
                          </w:rPr>
                          <w:t>核销此项长期股权投资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公司已对此项长期股权投资 </w:t>
                        </w:r>
                        <w:r>
                          <w:rPr>
                            <w:rFonts w:ascii="Times New Roman" w:hAnsi="Times New Roman" w:cs="Times New Roman" w:eastAsia="Times New Roman" w:hint="default"/>
                            <w:spacing w:val="-5"/>
                            <w:sz w:val="18"/>
                            <w:szCs w:val="18"/>
                          </w:rPr>
                          <w:t>100%</w:t>
                        </w:r>
                        <w:r>
                          <w:rPr>
                            <w:rFonts w:ascii="宋体" w:hAnsi="宋体" w:cs="宋体" w:eastAsia="宋体" w:hint="default"/>
                            <w:spacing w:val="-5"/>
                            <w:sz w:val="18"/>
                            <w:szCs w:val="18"/>
                          </w:rPr>
                          <w:t>计提了减值准备，对报告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期业绩无影响。</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3"/>
        <w:ind w:right="0"/>
        <w:jc w:val="both"/>
        <w:rPr>
          <w:b w:val="0"/>
          <w:bCs w:val="0"/>
        </w:rPr>
      </w:pPr>
      <w:r>
        <w:rPr/>
        <w:t>七、公司未来发展的展望</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left="636" w:right="0"/>
        <w:jc w:val="left"/>
        <w:rPr>
          <w:b w:val="0"/>
          <w:bCs w:val="0"/>
        </w:rPr>
      </w:pPr>
      <w:r>
        <w:rPr>
          <w:rFonts w:ascii="Times New Roman" w:hAnsi="Times New Roman" w:cs="Times New Roman" w:eastAsia="Times New Roman" w:hint="default"/>
        </w:rPr>
        <w:t>1</w:t>
      </w:r>
      <w:r>
        <w:rPr/>
        <w:t>、公司所处行业的发展趋势及面临的市场竞争格局</w:t>
      </w:r>
      <w:r>
        <w:rPr>
          <w:b w:val="0"/>
          <w:bCs w:val="0"/>
        </w:rPr>
      </w:r>
    </w:p>
    <w:p>
      <w:pPr>
        <w:spacing w:line="240" w:lineRule="auto" w:before="8"/>
        <w:rPr>
          <w:rFonts w:ascii="宋体" w:hAnsi="宋体" w:cs="宋体" w:eastAsia="宋体" w:hint="default"/>
          <w:b/>
          <w:bCs/>
          <w:sz w:val="16"/>
          <w:szCs w:val="16"/>
        </w:rPr>
      </w:pPr>
    </w:p>
    <w:p>
      <w:pPr>
        <w:pStyle w:val="BodyText"/>
        <w:spacing w:line="444" w:lineRule="auto"/>
        <w:ind w:left="634" w:right="138"/>
        <w:jc w:val="left"/>
      </w:pPr>
      <w:r>
        <w:rPr/>
        <w:t>①行业发展的趋势 </w:t>
      </w:r>
      <w:r>
        <w:rPr>
          <w:spacing w:val="-2"/>
        </w:rPr>
        <w:t>节能大功率电力电子设备制造业是一个新兴行业，涉及重大节能技术，为先进制造业、国家重大装备</w:t>
      </w:r>
    </w:p>
    <w:p>
      <w:pPr>
        <w:pStyle w:val="BodyText"/>
        <w:spacing w:line="441" w:lineRule="auto" w:before="16"/>
        <w:ind w:left="634" w:right="138" w:hanging="480"/>
        <w:jc w:val="left"/>
      </w:pPr>
      <w:r>
        <w:rPr/>
        <w:t>制造业及高技术产业，受国家多项政策支持。 </w:t>
      </w:r>
      <w:r>
        <w:rPr>
          <w:spacing w:val="-2"/>
        </w:rPr>
        <w:t>节能大功率电力电子设备制造业运用的技术主要为电力电子技术。近年来，电力电子技术和相关产业</w:t>
      </w:r>
    </w:p>
    <w:p>
      <w:pPr>
        <w:pStyle w:val="BodyText"/>
        <w:spacing w:line="398" w:lineRule="auto" w:before="17"/>
        <w:ind w:right="148"/>
        <w:jc w:val="both"/>
      </w:pPr>
      <w:r>
        <w:rPr>
          <w:spacing w:val="-1"/>
        </w:rPr>
        <w:t>在国内外飞速发展，已经渗透到电能的产生、输送、分配和应用的各个环节，广泛应用到工业系统、电力</w:t>
      </w:r>
      <w:r>
        <w:rPr>
          <w:spacing w:val="-83"/>
        </w:rPr>
        <w:t> </w:t>
      </w:r>
      <w:r>
        <w:rPr>
          <w:spacing w:val="-83"/>
        </w:rPr>
      </w:r>
      <w:r>
        <w:rPr>
          <w:spacing w:val="-1"/>
        </w:rPr>
        <w:t>系统、交通系统、通信系统、计算机系统、新能源系统和日常生活中，是使用电能的其他所有产业的基础</w:t>
      </w:r>
      <w:r>
        <w:rPr>
          <w:spacing w:val="-83"/>
        </w:rPr>
        <w:t> </w:t>
      </w:r>
      <w:r>
        <w:rPr>
          <w:spacing w:val="-83"/>
        </w:rPr>
      </w:r>
      <w:r>
        <w:rPr>
          <w:spacing w:val="-2"/>
        </w:rPr>
        <w:t>技术，主要包括以</w:t>
      </w:r>
      <w:r>
        <w:rPr>
          <w:rFonts w:ascii="Times New Roman" w:hAnsi="Times New Roman" w:cs="Times New Roman" w:eastAsia="Times New Roman" w:hint="default"/>
          <w:spacing w:val="-2"/>
        </w:rPr>
        <w:t>SVC</w:t>
      </w:r>
      <w:r>
        <w:rPr>
          <w:spacing w:val="-2"/>
        </w:rPr>
        <w:t>、</w:t>
      </w:r>
      <w:r>
        <w:rPr>
          <w:rFonts w:ascii="Times New Roman" w:hAnsi="Times New Roman" w:cs="Times New Roman" w:eastAsia="Times New Roman" w:hint="default"/>
          <w:spacing w:val="-2"/>
        </w:rPr>
        <w:t>SVG</w:t>
      </w:r>
      <w:r>
        <w:rPr>
          <w:spacing w:val="-2"/>
        </w:rPr>
        <w:t>为代表的柔性交流输电系列技术（</w:t>
      </w:r>
      <w:r>
        <w:rPr>
          <w:rFonts w:ascii="Times New Roman" w:hAnsi="Times New Roman" w:cs="Times New Roman" w:eastAsia="Times New Roman" w:hint="default"/>
          <w:spacing w:val="-2"/>
        </w:rPr>
        <w:t>FACTS</w:t>
      </w:r>
      <w:r>
        <w:rPr>
          <w:spacing w:val="-2"/>
        </w:rPr>
        <w:t>），以</w:t>
      </w:r>
      <w:r>
        <w:rPr>
          <w:rFonts w:ascii="Times New Roman" w:hAnsi="Times New Roman" w:cs="Times New Roman" w:eastAsia="Times New Roman" w:hint="default"/>
          <w:spacing w:val="-2"/>
        </w:rPr>
        <w:t>HVC</w:t>
      </w:r>
      <w:r>
        <w:rPr>
          <w:spacing w:val="-2"/>
        </w:rPr>
        <w:t>为代表的电气传动系列</w:t>
      </w:r>
      <w:r>
        <w:rPr>
          <w:spacing w:val="-71"/>
        </w:rPr>
        <w:t> </w:t>
      </w:r>
      <w:r>
        <w:rPr/>
        <w:t>技术，以大功率</w:t>
      </w:r>
      <w:r>
        <w:rPr>
          <w:rFonts w:ascii="Times New Roman" w:hAnsi="Times New Roman" w:cs="Times New Roman" w:eastAsia="Times New Roman" w:hint="default"/>
        </w:rPr>
        <w:t>UPS</w:t>
      </w:r>
      <w:r>
        <w:rPr/>
        <w:t>为代表的大功率电源系列技术和以高压直流输电（</w:t>
      </w:r>
      <w:r>
        <w:rPr>
          <w:rFonts w:ascii="Times New Roman" w:hAnsi="Times New Roman" w:cs="Times New Roman" w:eastAsia="Times New Roman" w:hint="default"/>
        </w:rPr>
        <w:t>HVDC</w:t>
      </w:r>
      <w:r>
        <w:rPr/>
        <w:t>）为代表的新型超高压输电</w:t>
      </w:r>
      <w:r>
        <w:rPr>
          <w:spacing w:val="-69"/>
        </w:rPr>
        <w:t> </w:t>
      </w:r>
      <w:r>
        <w:rPr>
          <w:spacing w:val="-69"/>
        </w:rPr>
      </w:r>
      <w:r>
        <w:rPr/>
        <w:t>系列技术等，面临着巨大的市场需求。</w:t>
      </w:r>
    </w:p>
    <w:p>
      <w:pPr>
        <w:pStyle w:val="BodyText"/>
        <w:spacing w:line="386" w:lineRule="auto" w:before="93"/>
        <w:ind w:right="0" w:firstLine="480"/>
        <w:jc w:val="left"/>
      </w:pPr>
      <w:r>
        <w:rPr/>
        <w:t>国际上本行业的技术领先者主要以瑞士</w:t>
      </w:r>
      <w:r>
        <w:rPr>
          <w:rFonts w:ascii="Times New Roman" w:hAnsi="Times New Roman" w:cs="Times New Roman" w:eastAsia="Times New Roman" w:hint="default"/>
        </w:rPr>
        <w:t>ABB</w:t>
      </w:r>
      <w:r>
        <w:rPr/>
        <w:t>、德国</w:t>
      </w:r>
      <w:r>
        <w:rPr>
          <w:rFonts w:ascii="Times New Roman" w:hAnsi="Times New Roman" w:cs="Times New Roman" w:eastAsia="Times New Roman" w:hint="default"/>
        </w:rPr>
        <w:t>SIEMENS</w:t>
      </w:r>
      <w:r>
        <w:rPr/>
        <w:t>、法国</w:t>
      </w:r>
      <w:r>
        <w:rPr>
          <w:rFonts w:ascii="Times New Roman" w:hAnsi="Times New Roman" w:cs="Times New Roman" w:eastAsia="Times New Roman" w:hint="default"/>
        </w:rPr>
        <w:t>AREVA</w:t>
      </w:r>
      <w:r>
        <w:rPr/>
        <w:t>、日本</w:t>
      </w:r>
      <w:r>
        <w:rPr>
          <w:rFonts w:ascii="Times New Roman" w:hAnsi="Times New Roman" w:cs="Times New Roman" w:eastAsia="Times New Roman" w:hint="default"/>
        </w:rPr>
        <w:t>TOSHIBA</w:t>
      </w:r>
      <w:r>
        <w:rPr/>
        <w:t>等大企</w:t>
      </w:r>
      <w:r>
        <w:rPr>
          <w:spacing w:val="3"/>
        </w:rPr>
        <w:t> </w:t>
      </w:r>
      <w:r>
        <w:rPr/>
        <w:t>业为主。</w:t>
      </w:r>
    </w:p>
    <w:p>
      <w:pPr>
        <w:spacing w:after="0" w:line="386"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398" w:lineRule="auto" w:before="174"/>
        <w:ind w:right="101" w:firstLine="480"/>
        <w:jc w:val="left"/>
      </w:pPr>
      <w:r>
        <w:rPr>
          <w:spacing w:val="-2"/>
        </w:rPr>
        <w:t>国内企业均是</w:t>
      </w:r>
      <w:r>
        <w:rPr>
          <w:rFonts w:ascii="Times New Roman" w:hAnsi="Times New Roman" w:cs="Times New Roman" w:eastAsia="Times New Roman" w:hint="default"/>
          <w:spacing w:val="-2"/>
        </w:rPr>
        <w:t>20</w:t>
      </w:r>
      <w:r>
        <w:rPr>
          <w:spacing w:val="-2"/>
        </w:rPr>
        <w:t>世纪</w:t>
      </w:r>
      <w:r>
        <w:rPr>
          <w:rFonts w:ascii="Times New Roman" w:hAnsi="Times New Roman" w:cs="Times New Roman" w:eastAsia="Times New Roman" w:hint="default"/>
          <w:spacing w:val="-2"/>
        </w:rPr>
        <w:t>90</w:t>
      </w:r>
      <w:r>
        <w:rPr>
          <w:spacing w:val="-2"/>
        </w:rPr>
        <w:t>年代开始，在学习消化吸收国外先进技术的基础上成长起来的，基本上都属于</w:t>
      </w:r>
      <w:r>
        <w:rPr/>
        <w:t> </w:t>
      </w:r>
      <w:r>
        <w:rPr>
          <w:spacing w:val="-3"/>
        </w:rPr>
        <w:t>中小企业。但依靠自主创新能力、本土化制造的优势以及国家政策的引导与支持，这些企业正在迅速成长，</w:t>
      </w:r>
      <w:r>
        <w:rPr>
          <w:spacing w:val="-90"/>
        </w:rPr>
        <w:t> </w:t>
      </w:r>
      <w:r>
        <w:rPr>
          <w:spacing w:val="-90"/>
        </w:rPr>
      </w:r>
      <w:r>
        <w:rPr/>
        <w:t>并已在</w:t>
      </w:r>
      <w:r>
        <w:rPr>
          <w:rFonts w:ascii="Times New Roman" w:hAnsi="Times New Roman" w:cs="Times New Roman" w:eastAsia="Times New Roman" w:hint="default"/>
        </w:rPr>
        <w:t>SVC</w:t>
      </w:r>
      <w:r>
        <w:rPr/>
        <w:t>、</w:t>
      </w:r>
      <w:r>
        <w:rPr>
          <w:rFonts w:ascii="Times New Roman" w:hAnsi="Times New Roman" w:cs="Times New Roman" w:eastAsia="Times New Roman" w:hint="default"/>
        </w:rPr>
        <w:t>SVG</w:t>
      </w:r>
      <w:r>
        <w:rPr/>
        <w:t>、</w:t>
      </w:r>
      <w:r>
        <w:rPr>
          <w:rFonts w:ascii="Times New Roman" w:hAnsi="Times New Roman" w:cs="Times New Roman" w:eastAsia="Times New Roman" w:hint="default"/>
        </w:rPr>
        <w:t>HVC</w:t>
      </w:r>
      <w:r>
        <w:rPr/>
        <w:t>等诸多领域完成了替代进口的任务。</w:t>
      </w:r>
    </w:p>
    <w:p>
      <w:pPr>
        <w:pStyle w:val="BodyText"/>
        <w:spacing w:line="408" w:lineRule="auto" w:before="24"/>
        <w:ind w:left="634" w:right="198" w:firstLine="2"/>
        <w:jc w:val="left"/>
      </w:pPr>
      <w:r>
        <w:rPr/>
        <w:t>②面临的市场竞争格局 </w:t>
      </w:r>
      <w:r>
        <w:rPr>
          <w:spacing w:val="-2"/>
        </w:rPr>
        <w:t>节能大功率电力电子设备制造业目前处于新兴产业的初级阶段，成为国内外公司重点研发和投资的领</w:t>
      </w:r>
    </w:p>
    <w:p>
      <w:pPr>
        <w:pStyle w:val="BodyText"/>
        <w:spacing w:line="408" w:lineRule="auto" w:before="46"/>
        <w:ind w:right="211"/>
        <w:jc w:val="both"/>
      </w:pPr>
      <w:r>
        <w:rPr>
          <w:spacing w:val="-1"/>
        </w:rPr>
        <w:t>域，该行业受国家政策支持和高层的重视，在节能减排的宏观背景下，市场空间急剧放大，导致包括许多</w:t>
      </w:r>
      <w:r>
        <w:rPr>
          <w:spacing w:val="-82"/>
        </w:rPr>
        <w:t> </w:t>
      </w:r>
      <w:r>
        <w:rPr>
          <w:spacing w:val="-82"/>
        </w:rPr>
      </w:r>
      <w:r>
        <w:rPr/>
        <w:t>上市公司在内的企业加入到电力电子高端设备生产制造中来，市场竞争逐渐加剧。</w:t>
      </w:r>
    </w:p>
    <w:p>
      <w:pPr>
        <w:spacing w:line="420" w:lineRule="auto" w:before="46"/>
        <w:ind w:left="636" w:right="1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、机遇与挑战及公司的发展战略</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在国家颁布的《中共中央关于制定国民经济和社会发展第十二个五年规划的建议》以及国务院《关于</w:t>
      </w:r>
    </w:p>
    <w:p>
      <w:pPr>
        <w:pStyle w:val="BodyText"/>
        <w:spacing w:line="405" w:lineRule="auto" w:before="34"/>
        <w:ind w:right="209"/>
        <w:jc w:val="both"/>
      </w:pPr>
      <w:r>
        <w:rPr>
          <w:spacing w:val="-1"/>
        </w:rPr>
        <w:t>加快培育和发展战略性新兴产业的决定》中明确的七大战略新兴产业中，荣信股份就融入了其中三个，分</w:t>
      </w:r>
      <w:r>
        <w:rPr>
          <w:spacing w:val="-83"/>
        </w:rPr>
        <w:t> </w:t>
      </w:r>
      <w:r>
        <w:rPr>
          <w:spacing w:val="-83"/>
        </w:rPr>
      </w:r>
      <w:r>
        <w:rPr>
          <w:spacing w:val="-1"/>
        </w:rPr>
        <w:t>别是：高端装备制造业、节能环保产业、新能源产业。同时，国家发改委发布的《当前优先发展的高技术</w:t>
      </w:r>
      <w:r>
        <w:rPr>
          <w:spacing w:val="-83"/>
        </w:rPr>
        <w:t> </w:t>
      </w:r>
      <w:r>
        <w:rPr>
          <w:spacing w:val="-83"/>
        </w:rPr>
      </w:r>
      <w:r>
        <w:rPr>
          <w:spacing w:val="-1"/>
        </w:rPr>
        <w:t>产业化重点领域指南（</w:t>
      </w:r>
      <w:r>
        <w:rPr>
          <w:rFonts w:ascii="Times New Roman" w:hAnsi="Times New Roman" w:cs="Times New Roman" w:eastAsia="Times New Roman" w:hint="default"/>
          <w:spacing w:val="-1"/>
        </w:rPr>
        <w:t>2011</w:t>
      </w:r>
      <w:r>
        <w:rPr>
          <w:spacing w:val="-1"/>
        </w:rPr>
        <w:t>年度）》，几乎所有荣信公司当前技术领域的产品均位列其中，包括：电机节</w:t>
      </w:r>
      <w:r>
        <w:rPr>
          <w:spacing w:val="-84"/>
        </w:rPr>
        <w:t> </w:t>
      </w:r>
      <w:r>
        <w:rPr>
          <w:spacing w:val="-84"/>
        </w:rPr>
      </w:r>
      <w:r>
        <w:rPr>
          <w:spacing w:val="-1"/>
        </w:rPr>
        <w:t>能高压变频装置，大功率高端电机调速系统；新能源风电、光伏、储能等并网逆变器和高压直流输变电交</w:t>
      </w:r>
      <w:r>
        <w:rPr>
          <w:spacing w:val="-82"/>
        </w:rPr>
        <w:t> </w:t>
      </w:r>
      <w:r>
        <w:rPr>
          <w:spacing w:val="-82"/>
        </w:rPr>
      </w:r>
      <w:r>
        <w:rPr>
          <w:spacing w:val="-1"/>
        </w:rPr>
        <w:t>流器，新型动态无功补偿及谐波治理装置，高精度、高性能开关电源、工业余压余热利用技术等，公司未</w:t>
      </w:r>
      <w:r>
        <w:rPr>
          <w:spacing w:val="-83"/>
        </w:rPr>
        <w:t> </w:t>
      </w:r>
      <w:r>
        <w:rPr>
          <w:spacing w:val="-83"/>
        </w:rPr>
      </w:r>
      <w:r>
        <w:rPr/>
        <w:t>来发展面临重大机遇。</w:t>
      </w:r>
    </w:p>
    <w:p>
      <w:pPr>
        <w:pStyle w:val="BodyText"/>
        <w:spacing w:line="396" w:lineRule="auto" w:before="88"/>
        <w:ind w:right="216" w:firstLine="482"/>
        <w:jc w:val="left"/>
      </w:pPr>
      <w:r>
        <w:rPr>
          <w:spacing w:val="-2"/>
        </w:rPr>
        <w:t>公司秉承</w:t>
      </w:r>
      <w:r>
        <w:rPr>
          <w:rFonts w:ascii="Times New Roman" w:hAnsi="Times New Roman" w:cs="Times New Roman" w:eastAsia="Times New Roman" w:hint="default"/>
          <w:spacing w:val="-2"/>
        </w:rPr>
        <w:t>“</w:t>
      </w:r>
      <w:r>
        <w:rPr>
          <w:spacing w:val="-2"/>
        </w:rPr>
        <w:t>发展世界一流的电力电子技术，创建世界一流的电力电子企业；创造中国的世界名牌，创</w:t>
      </w:r>
      <w:r>
        <w:rPr/>
        <w:t> 造世界的中国名牌，为振兴中国的民族工业做出贡献</w:t>
      </w:r>
      <w:r>
        <w:rPr>
          <w:rFonts w:ascii="Times New Roman" w:hAnsi="Times New Roman" w:cs="Times New Roman" w:eastAsia="Times New Roman" w:hint="default"/>
        </w:rPr>
        <w:t>”</w:t>
      </w:r>
      <w:r>
        <w:rPr/>
        <w:t>经营愿景，以节能大功率电力电子设备制造为主营 </w:t>
      </w:r>
      <w:r>
        <w:rPr>
          <w:spacing w:val="-1"/>
        </w:rPr>
        <w:t>业务方向，在不断提高现有业务经营管理水平的同时，通过新产品研制开发、引进培养人才、自主创新、</w:t>
      </w:r>
      <w:r>
        <w:rPr>
          <w:spacing w:val="-95"/>
        </w:rPr>
        <w:t> </w:t>
      </w:r>
      <w:r>
        <w:rPr>
          <w:spacing w:val="-95"/>
        </w:rPr>
      </w:r>
      <w:r>
        <w:rPr/>
        <w:t>积极开拓国内国际市场等手段，保持公司</w:t>
      </w:r>
      <w:r>
        <w:rPr>
          <w:rFonts w:ascii="Times New Roman" w:hAnsi="Times New Roman" w:cs="Times New Roman" w:eastAsia="Times New Roman" w:hint="default"/>
        </w:rPr>
        <w:t>SVC</w:t>
      </w:r>
      <w:r>
        <w:rPr/>
        <w:t>、</w:t>
      </w:r>
      <w:r>
        <w:rPr>
          <w:rFonts w:ascii="Times New Roman" w:hAnsi="Times New Roman" w:cs="Times New Roman" w:eastAsia="Times New Roman" w:hint="default"/>
        </w:rPr>
        <w:t>SVG</w:t>
      </w:r>
      <w:r>
        <w:rPr/>
        <w:t>、</w:t>
      </w:r>
      <w:r>
        <w:rPr>
          <w:rFonts w:ascii="Times New Roman" w:hAnsi="Times New Roman" w:cs="Times New Roman" w:eastAsia="Times New Roman" w:hint="default"/>
        </w:rPr>
        <w:t>HVC</w:t>
      </w:r>
      <w:r>
        <w:rPr/>
        <w:t>等主导产品优势并不断拓宽产品线与产品业 务，巩固公司在节能大功率电力电子设备制造业的领先地位，确保公司持续、快速、健康发展，争取成 为中国输配电业务与工业电气业务的第一领导者及全球输配电与工业电气业务的主要制造商之一。</w:t>
      </w:r>
    </w:p>
    <w:p>
      <w:pPr>
        <w:pStyle w:val="Heading4"/>
        <w:spacing w:line="240" w:lineRule="auto" w:before="56"/>
        <w:ind w:left="636" w:right="0"/>
        <w:jc w:val="left"/>
        <w:rPr>
          <w:b w:val="0"/>
          <w:bCs w:val="0"/>
        </w:rPr>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2013</w:t>
      </w:r>
      <w:r>
        <w:rPr/>
        <w:t>年的经营计划和主要目标</w:t>
      </w:r>
      <w:r>
        <w:rPr>
          <w:b w:val="0"/>
          <w:bCs w:val="0"/>
        </w:rPr>
      </w:r>
    </w:p>
    <w:p>
      <w:pPr>
        <w:spacing w:line="240" w:lineRule="auto" w:before="9"/>
        <w:rPr>
          <w:rFonts w:ascii="宋体" w:hAnsi="宋体" w:cs="宋体" w:eastAsia="宋体" w:hint="default"/>
          <w:b/>
          <w:bCs/>
          <w:sz w:val="16"/>
          <w:szCs w:val="16"/>
        </w:rPr>
      </w:pPr>
    </w:p>
    <w:p>
      <w:pPr>
        <w:pStyle w:val="BodyText"/>
        <w:spacing w:line="386" w:lineRule="auto"/>
        <w:ind w:right="0" w:firstLine="48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年公司市场开拓重点在国际市场，要加强储备和培养国际化人才力度，进一步加快公司产 品国际化进程，继续提高出口产品比重，提高订单质量，实现公司订单和经营业绩稳定、持续增长。</w:t>
      </w:r>
    </w:p>
    <w:p>
      <w:pPr>
        <w:pStyle w:val="BodyText"/>
        <w:spacing w:line="386" w:lineRule="auto" w:before="103"/>
        <w:ind w:right="0" w:firstLine="480"/>
        <w:jc w:val="left"/>
      </w:pPr>
      <w:r>
        <w:rPr/>
        <w:t>（</w:t>
      </w:r>
      <w:r>
        <w:rPr>
          <w:rFonts w:ascii="Times New Roman" w:hAnsi="Times New Roman" w:cs="Times New Roman" w:eastAsia="Times New Roman" w:hint="default"/>
        </w:rPr>
        <w:t>2</w:t>
      </w:r>
      <w:r>
        <w:rPr/>
        <w:t>）加强品牌建设，把</w:t>
      </w:r>
      <w:r>
        <w:rPr>
          <w:rFonts w:ascii="Times New Roman" w:hAnsi="Times New Roman" w:cs="Times New Roman" w:eastAsia="Times New Roman" w:hint="default"/>
        </w:rPr>
        <w:t>“</w:t>
      </w:r>
      <w:r>
        <w:rPr/>
        <w:t>以客户为中心</w:t>
      </w:r>
      <w:r>
        <w:rPr>
          <w:rFonts w:ascii="Times New Roman" w:hAnsi="Times New Roman" w:cs="Times New Roman" w:eastAsia="Times New Roman" w:hint="default"/>
        </w:rPr>
        <w:t>”</w:t>
      </w:r>
      <w:r>
        <w:rPr/>
        <w:t>的经营理念落实到实处，进一步提高产品质量和服务水平， 满足国际化发展需求。</w:t>
      </w:r>
    </w:p>
    <w:p>
      <w:pPr>
        <w:pStyle w:val="BodyText"/>
        <w:spacing w:line="240" w:lineRule="auto" w:before="104"/>
        <w:ind w:left="636" w:right="0"/>
        <w:jc w:val="left"/>
      </w:pPr>
      <w:r>
        <w:rPr/>
        <w:t>（</w:t>
      </w:r>
      <w:r>
        <w:rPr>
          <w:rFonts w:ascii="Times New Roman" w:hAnsi="Times New Roman" w:cs="Times New Roman" w:eastAsia="Times New Roman" w:hint="default"/>
        </w:rPr>
        <w:t>3</w:t>
      </w:r>
      <w:r>
        <w:rPr/>
        <w:t>）加强企业文化建设，创造宽容、和谐的人文环境，为更多优秀的人才提供更好的舞台。</w:t>
      </w:r>
    </w:p>
    <w:p>
      <w:pPr>
        <w:pStyle w:val="BodyText"/>
        <w:spacing w:line="386" w:lineRule="auto" w:before="177"/>
        <w:ind w:right="213" w:firstLine="482"/>
        <w:jc w:val="left"/>
      </w:pPr>
      <w:r>
        <w:rPr/>
        <w:t>（</w:t>
      </w:r>
      <w:r>
        <w:rPr>
          <w:rFonts w:ascii="Times New Roman" w:hAnsi="Times New Roman" w:cs="Times New Roman" w:eastAsia="Times New Roman" w:hint="default"/>
        </w:rPr>
        <w:t>4</w:t>
      </w:r>
      <w:r>
        <w:rPr/>
        <w:t>）阿米巴制度进一步完善、优化，各控股子公司及集团各部门要建成简单、有效、正向的量化或 绩效考核体系。</w:t>
      </w:r>
    </w:p>
    <w:p>
      <w:pPr>
        <w:spacing w:after="0" w:line="386"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398" w:lineRule="auto" w:before="174"/>
        <w:ind w:right="191" w:firstLine="480"/>
        <w:jc w:val="both"/>
      </w:pPr>
      <w:r>
        <w:rPr/>
        <w:t>（</w:t>
      </w:r>
      <w:r>
        <w:rPr>
          <w:rFonts w:ascii="Times New Roman" w:hAnsi="Times New Roman" w:cs="Times New Roman" w:eastAsia="Times New Roman" w:hint="default"/>
        </w:rPr>
        <w:t>5</w:t>
      </w:r>
      <w:r>
        <w:rPr/>
        <w:t>）公司加强集团管控，在给各控股子公司充分授权的情况下，建立清晰有效的集团管控制度，在 </w:t>
      </w:r>
      <w:r>
        <w:rPr>
          <w:spacing w:val="-1"/>
        </w:rPr>
        <w:t>保持各独立公司活力的同时，加强集团的引导、监督功能，保证各独立公司能健康、良性地发展，并发挥</w:t>
      </w:r>
      <w:r>
        <w:rPr>
          <w:spacing w:val="-83"/>
        </w:rPr>
        <w:t> </w:t>
      </w:r>
      <w:r>
        <w:rPr>
          <w:spacing w:val="-83"/>
        </w:rPr>
      </w:r>
      <w:r>
        <w:rPr/>
        <w:t>集团的整体优势。</w:t>
      </w:r>
    </w:p>
    <w:p>
      <w:pPr>
        <w:spacing w:line="386" w:lineRule="auto" w:before="54"/>
        <w:ind w:left="633" w:right="9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、为实现公司发展战略的资金使用安排</w:t>
      </w:r>
      <w:r>
        <w:rPr>
          <w:rFonts w:ascii="宋体" w:hAnsi="宋体" w:cs="宋体" w:eastAsia="宋体" w:hint="default"/>
          <w:b/>
          <w:bCs/>
          <w:w w:val="99"/>
          <w:sz w:val="21"/>
          <w:szCs w:val="21"/>
        </w:rPr>
        <w:t> </w:t>
      </w:r>
      <w:r>
        <w:rPr>
          <w:rFonts w:ascii="宋体" w:hAnsi="宋体" w:cs="宋体" w:eastAsia="宋体" w:hint="default"/>
          <w:sz w:val="21"/>
          <w:szCs w:val="21"/>
        </w:rPr>
        <w:t>实现公司的发展战略需要更多的资金支持。公司一方面加强应收账款催收力度，加快资产使用效率，</w:t>
      </w:r>
    </w:p>
    <w:p>
      <w:pPr>
        <w:pStyle w:val="BodyText"/>
        <w:spacing w:line="408" w:lineRule="auto" w:before="65"/>
        <w:ind w:right="91"/>
        <w:jc w:val="left"/>
      </w:pPr>
      <w:r>
        <w:rPr>
          <w:spacing w:val="-1"/>
        </w:rPr>
        <w:t>努力降低资金成本。另一方面根据资金需求情况将利用自有资金、银行贷款、发行公司债等保证营运资金</w:t>
      </w:r>
      <w:r>
        <w:rPr>
          <w:spacing w:val="-83"/>
        </w:rPr>
        <w:t> </w:t>
      </w:r>
      <w:r>
        <w:rPr>
          <w:spacing w:val="-83"/>
        </w:rPr>
      </w:r>
      <w:r>
        <w:rPr/>
        <w:t>的需求。</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r>
        <w:rPr/>
        <w:t>八、董事会对会计师事务所本报告期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r>
        <w:rPr/>
        <w:t>九、与上年度财务报告相比，会计政策、会计估计和核算方法发生变化的情况说明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r>
        <w:rPr/>
        <w:t>十、报告期内发生重大会计差错更正需追溯重述的情况说明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r>
        <w:rPr/>
        <w:t>十一、与上年度财务报告相比，合并报表范围发生变化的情况说明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153" w:right="188" w:firstLine="458"/>
        <w:jc w:val="both"/>
      </w:pPr>
      <w:r>
        <w:rPr>
          <w:spacing w:val="-2"/>
        </w:rPr>
        <w:t>报告期，公司新投资设立了哈密荣信新能源有限公司、图木舒克市荣信新能源有限公司、新疆荣信节</w:t>
      </w:r>
      <w:r>
        <w:rPr/>
        <w:t> 能电气有限公司、荣信电力工程</w:t>
      </w:r>
      <w:r>
        <w:rPr>
          <w:rFonts w:ascii="Times New Roman" w:hAnsi="Times New Roman" w:cs="Times New Roman" w:eastAsia="Times New Roman" w:hint="default"/>
        </w:rPr>
        <w:t>JLT</w:t>
      </w:r>
      <w:r>
        <w:rPr/>
        <w:t>公司等</w:t>
      </w:r>
      <w:r>
        <w:rPr>
          <w:rFonts w:ascii="Times New Roman" w:hAnsi="Times New Roman" w:cs="Times New Roman" w:eastAsia="Times New Roman" w:hint="default"/>
        </w:rPr>
        <w:t>4</w:t>
      </w:r>
      <w:r>
        <w:rPr/>
        <w:t>家控股子公司，纳入合并报表。</w:t>
      </w:r>
    </w:p>
    <w:p>
      <w:pPr>
        <w:spacing w:line="240" w:lineRule="auto" w:before="5"/>
        <w:rPr>
          <w:rFonts w:ascii="宋体" w:hAnsi="宋体" w:cs="宋体" w:eastAsia="宋体" w:hint="default"/>
          <w:sz w:val="16"/>
          <w:szCs w:val="16"/>
        </w:rPr>
      </w:pPr>
    </w:p>
    <w:p>
      <w:pPr>
        <w:pStyle w:val="Heading2"/>
        <w:spacing w:line="240" w:lineRule="auto"/>
        <w:ind w:right="0"/>
        <w:jc w:val="both"/>
        <w:rPr>
          <w:b w:val="0"/>
          <w:bCs w:val="0"/>
        </w:rPr>
      </w:pPr>
      <w:r>
        <w:rPr/>
        <w:t>十二、公司利润分配及分红派息情况</w:t>
      </w:r>
      <w:r>
        <w:rPr>
          <w:b w:val="0"/>
          <w:bCs w:val="0"/>
        </w:rPr>
      </w:r>
    </w:p>
    <w:p>
      <w:pPr>
        <w:spacing w:line="240" w:lineRule="auto" w:before="8"/>
        <w:rPr>
          <w:rFonts w:ascii="宋体" w:hAnsi="宋体" w:cs="宋体" w:eastAsia="宋体" w:hint="default"/>
          <w:b/>
          <w:bCs/>
          <w:sz w:val="30"/>
          <w:szCs w:val="30"/>
        </w:rPr>
      </w:pPr>
    </w:p>
    <w:p>
      <w:pPr>
        <w:pStyle w:val="BodyText"/>
        <w:spacing w:line="444" w:lineRule="auto"/>
        <w:ind w:left="489" w:right="235" w:hanging="336"/>
        <w:jc w:val="left"/>
      </w:pPr>
      <w:r>
        <w:rPr/>
        <w:t>报告期内利润分配政策特别是现金分红政策的制定、执行或调整情况 报告期内，公司根据中国证监会《关于进一步落实上市公司现金分红有关事项的通知》的规定，为充</w:t>
      </w:r>
    </w:p>
    <w:p>
      <w:pPr>
        <w:pStyle w:val="BodyText"/>
        <w:spacing w:line="400" w:lineRule="auto" w:before="14"/>
        <w:ind w:left="153" w:right="189"/>
        <w:jc w:val="both"/>
      </w:pPr>
      <w:r>
        <w:rPr>
          <w:spacing w:val="-1"/>
        </w:rPr>
        <w:t>分维护公司股东依法享有的资产收益等权利，不断完善董事会、股东大会对公司利润分配事项的决策程序</w:t>
      </w:r>
      <w:r>
        <w:rPr>
          <w:spacing w:val="-81"/>
        </w:rPr>
        <w:t> </w:t>
      </w:r>
      <w:r>
        <w:rPr>
          <w:spacing w:val="-81"/>
        </w:rPr>
      </w:r>
      <w:r>
        <w:rPr>
          <w:spacing w:val="-1"/>
        </w:rPr>
        <w:t>和机制，进一步细化《公司章程》关于股利分配原则的条款，增加股利分配决策的透明度和可操作性，公</w:t>
      </w:r>
      <w:r>
        <w:rPr>
          <w:spacing w:val="-83"/>
        </w:rPr>
        <w:t> </w:t>
      </w:r>
      <w:r>
        <w:rPr>
          <w:spacing w:val="-83"/>
        </w:rPr>
      </w:r>
      <w:r>
        <w:rPr>
          <w:spacing w:val="-10"/>
        </w:rPr>
        <w:t>司董事会修改了《公司章程》相关条款，并制定了《荣信电力电子股份有限公司股东分红回报规划（</w:t>
      </w:r>
      <w:r>
        <w:rPr>
          <w:rFonts w:ascii="Times New Roman" w:hAnsi="Times New Roman" w:cs="Times New Roman" w:eastAsia="Times New Roman" w:hint="default"/>
          <w:spacing w:val="-10"/>
        </w:rPr>
        <w:t>2012-2014</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spacing w:val="-2"/>
        </w:rPr>
        <w:t>年）》。公司本次修订的公司利润分配政策及制定的《股东分红回报规划（</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-2014</w:t>
      </w:r>
      <w:r>
        <w:rPr>
          <w:spacing w:val="-2"/>
        </w:rPr>
        <w:t>年）》充分重视投</w:t>
      </w:r>
      <w:r>
        <w:rPr/>
        <w:t> </w:t>
      </w:r>
      <w:r>
        <w:rPr>
          <w:spacing w:val="-1"/>
        </w:rPr>
        <w:t>资者特别是中小投资者的合理要求和意见，兼顾了股东取得合理投资回报的意愿和公司可持续性发展的要</w:t>
      </w:r>
      <w:r>
        <w:rPr>
          <w:spacing w:val="-81"/>
        </w:rPr>
        <w:t> </w:t>
      </w:r>
      <w:r>
        <w:rPr>
          <w:spacing w:val="-81"/>
        </w:rPr>
      </w:r>
      <w:r>
        <w:rPr>
          <w:spacing w:val="-1"/>
        </w:rPr>
        <w:t>求，在保证公司正常经营发展的前提下，进一步明确了公司进行利润分配的原则、形式、时间间隔、条件</w:t>
      </w:r>
      <w:r>
        <w:rPr>
          <w:spacing w:val="-83"/>
        </w:rPr>
        <w:t> </w:t>
      </w:r>
      <w:r>
        <w:rPr>
          <w:spacing w:val="-83"/>
        </w:rPr>
      </w:r>
      <w:r>
        <w:rPr>
          <w:spacing w:val="-1"/>
        </w:rPr>
        <w:t>以及利润分配政策的决策机制和审批程序等，符合有关上市公司股利分配政策的法律法规及规范性文件的</w:t>
      </w:r>
    </w:p>
    <w:p>
      <w:pPr>
        <w:spacing w:after="0" w:line="400" w:lineRule="auto"/>
        <w:jc w:val="both"/>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要求，建立了对投资者持续、稳定、科学的回报机制，并能有效保护广大投资者的权益，不存在损害公司</w:t>
      </w:r>
      <w:r>
        <w:rPr>
          <w:spacing w:val="-83"/>
        </w:rPr>
        <w:t> </w:t>
      </w:r>
      <w:r>
        <w:rPr>
          <w:spacing w:val="-83"/>
        </w:rPr>
      </w:r>
      <w:r>
        <w:rPr/>
        <w:t>和中小股东权益的情形。</w:t>
      </w:r>
    </w:p>
    <w:p>
      <w:pPr>
        <w:pStyle w:val="BodyText"/>
        <w:spacing w:line="240" w:lineRule="auto" w:before="87"/>
        <w:ind w:left="153" w:right="0"/>
        <w:jc w:val="left"/>
      </w:pPr>
      <w:r>
        <w:rPr/>
        <w:t>本年度利润分配及资本公积金转增股本预案</w:t>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spacing w:line="240" w:lineRule="auto" w:before="4"/>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768"/>
        <w:gridCol w:w="8060"/>
      </w:tblGrid>
      <w:tr>
        <w:trPr>
          <w:trHeight w:val="416" w:hRule="exact"/>
        </w:trPr>
        <w:tc>
          <w:tcPr>
            <w:tcW w:w="176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分配年度</w:t>
            </w:r>
          </w:p>
        </w:tc>
        <w:tc>
          <w:tcPr>
            <w:tcW w:w="8060"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股利分配情况或资本公积转增股本情况</w:t>
            </w:r>
          </w:p>
        </w:tc>
      </w:tr>
      <w:tr>
        <w:trPr>
          <w:trHeight w:val="433" w:hRule="exact"/>
        </w:trPr>
        <w:tc>
          <w:tcPr>
            <w:tcW w:w="176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6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80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年度利润分配方案为：本年利润不分配，不转增。</w:t>
            </w:r>
          </w:p>
        </w:tc>
      </w:tr>
      <w:tr>
        <w:trPr>
          <w:trHeight w:val="427" w:hRule="exact"/>
        </w:trPr>
        <w:tc>
          <w:tcPr>
            <w:tcW w:w="176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8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年度利润分配方案为：本年利润不分配，不转增。</w:t>
            </w:r>
          </w:p>
        </w:tc>
      </w:tr>
      <w:tr>
        <w:trPr>
          <w:trHeight w:val="427" w:hRule="exact"/>
        </w:trPr>
        <w:tc>
          <w:tcPr>
            <w:tcW w:w="176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p>
        </w:tc>
        <w:tc>
          <w:tcPr>
            <w:tcW w:w="8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年度利润分配方案为：本年利润不分配，</w:t>
            </w:r>
            <w:r>
              <w:rPr>
                <w:rFonts w:ascii="Times New Roman" w:hAnsi="Times New Roman" w:cs="Times New Roman" w:eastAsia="Times New Roman" w:hint="default"/>
                <w:sz w:val="18"/>
                <w:szCs w:val="18"/>
              </w:rPr>
              <w:t>10</w:t>
            </w:r>
            <w:r>
              <w:rPr>
                <w:rFonts w:ascii="宋体" w:hAnsi="宋体" w:cs="宋体" w:eastAsia="宋体" w:hint="default"/>
                <w:sz w:val="18"/>
                <w:szCs w:val="18"/>
              </w:rPr>
              <w:t>转增</w:t>
            </w:r>
            <w:r>
              <w:rPr>
                <w:rFonts w:ascii="Times New Roman" w:hAnsi="Times New Roman" w:cs="Times New Roman" w:eastAsia="Times New Roman" w:hint="default"/>
                <w:sz w:val="18"/>
                <w:szCs w:val="18"/>
              </w:rPr>
              <w:t>5</w:t>
            </w:r>
            <w:r>
              <w:rPr>
                <w:rFonts w:ascii="宋体" w:hAnsi="宋体" w:cs="宋体" w:eastAsia="宋体" w:hint="default"/>
                <w:sz w:val="18"/>
                <w:szCs w:val="18"/>
              </w:rPr>
              <w:t>股。</w:t>
            </w: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161"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5"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115,326,193.41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283,780,765.05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267,368,663.33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46" w:right="47" w:hanging="1800"/>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57" w:hRule="exact"/>
        </w:trPr>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公司订单增长较快，且订单执行特点是前期垫付款较大，回</w:t>
            </w:r>
          </w:p>
        </w:tc>
        <w:tc>
          <w:tcPr>
            <w:tcW w:w="478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款周期较长，对流动资金需求较大，</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年度公司经营性现</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金流为负，同时，公司债务融资规模不断扩大，财务费用增</w:t>
            </w: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未分配利润用于补充公司流动资金</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长较快，为满足生产和经营发展需要，董事会提议本年利润</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暂不分配，不转增。</w:t>
            </w:r>
          </w:p>
        </w:tc>
        <w:tc>
          <w:tcPr>
            <w:tcW w:w="4783"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十三、社会责任情况</w:t>
      </w:r>
      <w:r>
        <w:rPr>
          <w:b w:val="0"/>
          <w:bCs w:val="0"/>
        </w:rPr>
      </w:r>
    </w:p>
    <w:p>
      <w:pPr>
        <w:spacing w:line="240" w:lineRule="auto" w:before="6"/>
        <w:rPr>
          <w:rFonts w:ascii="宋体" w:hAnsi="宋体" w:cs="宋体" w:eastAsia="宋体" w:hint="default"/>
          <w:b/>
          <w:bCs/>
          <w:sz w:val="30"/>
          <w:szCs w:val="30"/>
        </w:rPr>
      </w:pPr>
    </w:p>
    <w:p>
      <w:pPr>
        <w:pStyle w:val="BodyText"/>
        <w:spacing w:line="398" w:lineRule="auto"/>
        <w:ind w:right="0" w:firstLine="362"/>
        <w:jc w:val="left"/>
      </w:pPr>
      <w:r>
        <w:rPr>
          <w:spacing w:val="-2"/>
        </w:rPr>
        <w:t>公司秉承</w:t>
      </w:r>
      <w:r>
        <w:rPr>
          <w:rFonts w:ascii="Times New Roman" w:hAnsi="Times New Roman" w:cs="Times New Roman" w:eastAsia="Times New Roman" w:hint="default"/>
          <w:spacing w:val="-2"/>
        </w:rPr>
        <w:t>“</w:t>
      </w:r>
      <w:r>
        <w:rPr>
          <w:spacing w:val="-2"/>
        </w:rPr>
        <w:t>发展世界一流的电力电子技术，创建世界一流的电力电子企业，为振兴民族装备制造业做出</w:t>
      </w:r>
      <w:r>
        <w:rPr/>
        <w:t> 贡献</w:t>
      </w:r>
      <w:r>
        <w:rPr>
          <w:rFonts w:ascii="Times New Roman" w:hAnsi="Times New Roman" w:cs="Times New Roman" w:eastAsia="Times New Roman" w:hint="default"/>
        </w:rPr>
        <w:t>”</w:t>
      </w:r>
      <w:r>
        <w:rPr/>
        <w:t>经营愿景，报告期，公司合法合规运营，把为社会创造繁荣作为应当承担社会责任的一项承诺，长 </w:t>
      </w:r>
      <w:r>
        <w:rPr>
          <w:spacing w:val="-1"/>
        </w:rPr>
        <w:t>期致力于经济发展，积极回报投资者；以自身发展影响和带动地方经济的振兴。与客户建立良好关系，为</w:t>
      </w:r>
      <w:r>
        <w:rPr>
          <w:spacing w:val="-82"/>
        </w:rPr>
        <w:t> </w:t>
      </w:r>
      <w:r>
        <w:rPr>
          <w:spacing w:val="-82"/>
        </w:rPr>
      </w:r>
      <w:r>
        <w:rPr>
          <w:spacing w:val="-1"/>
        </w:rPr>
        <w:t>客户提供优质产品，完善售后服务，实现共赢。在追求经济效益的同时注重环境保护和节能降耗，把建设</w:t>
      </w:r>
      <w:r>
        <w:rPr>
          <w:spacing w:val="-82"/>
        </w:rPr>
        <w:t> </w:t>
      </w:r>
      <w:r>
        <w:rPr>
          <w:spacing w:val="-82"/>
        </w:rPr>
      </w:r>
      <w:r>
        <w:rPr>
          <w:spacing w:val="-1"/>
        </w:rPr>
        <w:t>资源节约型和环境友好型企业作为可持续发展战略的重要内容，通过自身节能大功率电力电子产品技术创</w:t>
      </w:r>
    </w:p>
    <w:p>
      <w:pPr>
        <w:spacing w:after="0" w:line="398" w:lineRule="auto"/>
        <w:jc w:val="left"/>
        <w:sectPr>
          <w:pgSz w:w="11910" w:h="16840"/>
          <w:pgMar w:header="747" w:footer="982" w:top="1060" w:bottom="1180" w:left="980" w:right="820"/>
        </w:sectPr>
      </w:pPr>
    </w:p>
    <w:p>
      <w:pPr>
        <w:spacing w:line="240" w:lineRule="auto" w:before="0"/>
        <w:rPr>
          <w:rFonts w:ascii="宋体" w:hAnsi="宋体" w:cs="宋体" w:eastAsia="宋体" w:hint="default"/>
          <w:sz w:val="20"/>
          <w:szCs w:val="20"/>
        </w:rPr>
      </w:pPr>
      <w:r>
        <w:rPr/>
        <w:pict>
          <v:shape style="position:absolute;margin-left:397.859985pt;margin-top:337.73999pt;width:137.050pt;height:35.25pt;mso-position-horizontal-relative:page;mso-position-vertical-relative:page;z-index:-96392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周紫光、</w:t>
                  </w:r>
                </w:p>
              </w:txbxContent>
            </v:textbox>
            <w10:wrap type="none"/>
          </v:shape>
        </w:pict>
      </w:r>
      <w:r>
        <w:rPr/>
        <w:pict>
          <v:shape style="position:absolute;margin-left:397.859985pt;margin-top:587.640015pt;width:137.050pt;height:82.05pt;mso-position-horizontal-relative:page;mso-position-vertical-relative:page;z-index:-96390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徐海波、</w:t>
                  </w:r>
                </w:p>
              </w:txbxContent>
            </v:textbox>
            <w10:wrap type="none"/>
          </v:shape>
        </w:pict>
      </w:r>
      <w:r>
        <w:rPr/>
        <w:pict>
          <v:shape style="position:absolute;margin-left:397.859985pt;margin-top:670.140015pt;width:137.050pt;height:35.25pt;mso-position-horizontal-relative:page;mso-position-vertical-relative:page;z-index:-96388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李化松、</w:t>
                  </w:r>
                </w:p>
              </w:txbxContent>
            </v:textbox>
            <w10:wrap type="none"/>
          </v:shape>
        </w:pict>
      </w:r>
      <w:r>
        <w:rPr/>
        <w:pict>
          <v:shape style="position:absolute;margin-left:406.859985pt;margin-top:741.539978pt;width:128.0500pt;height:19.650pt;mso-position-horizontal-relative:page;mso-position-vertical-relative:page;z-index:-963856" type="#_x0000_t202" filled="false" stroked="false">
            <v:textbox inset="0,0,0,0">
              <w:txbxContent>
                <w:p>
                  <w:pPr>
                    <w:spacing w:before="71"/>
                    <w:ind w:left="0" w:right="0" w:firstLine="0"/>
                    <w:jc w:val="left"/>
                    <w:rPr>
                      <w:rFonts w:ascii="宋体" w:hAnsi="宋体" w:cs="宋体" w:eastAsia="宋体" w:hint="default"/>
                      <w:sz w:val="18"/>
                      <w:szCs w:val="18"/>
                    </w:rPr>
                  </w:pPr>
                  <w:r>
                    <w:rPr>
                      <w:rFonts w:ascii="宋体" w:hAnsi="宋体" w:cs="宋体" w:eastAsia="宋体" w:hint="default"/>
                      <w:sz w:val="18"/>
                      <w:szCs w:val="18"/>
                    </w:rPr>
                    <w:t>张伟、</w:t>
                  </w:r>
                </w:p>
              </w:txbxContent>
            </v:textbox>
            <w10:wrap type="none"/>
          </v:shape>
        </w:pict>
      </w:r>
      <w:r>
        <w:rPr/>
        <w:pict>
          <v:group style="position:absolute;margin-left:431.040009pt;margin-top:337.73999pt;width:103.9pt;height:35.25pt;mso-position-horizontal-relative:page;mso-position-vertical-relative:page;z-index:-963832" coordorigin="8621,6755" coordsize="2078,705">
            <v:group style="position:absolute;left:8621;top:6755;width:2078;height:705" coordorigin="8621,6755" coordsize="2078,705">
              <v:shape style="position:absolute;left:8621;top:6755;width:2078;height:705" coordorigin="8621,6755" coordsize="2078,705" path="m8621,7459l10698,7459,10698,6755,8621,6755,8621,7459xe" filled="true" fillcolor="#ffffff" stroked="false">
                <v:path arrowok="t"/>
                <v:fill type="solid"/>
              </v:shape>
            </v:group>
            <v:group style="position:absolute;left:8644;top:6911;width:2032;height:393" coordorigin="8644,6911" coordsize="2032,393">
              <v:shape style="position:absolute;left:8644;top:6911;width:2032;height:393" coordorigin="8644,6911" coordsize="2032,393" path="m8644,7303l10675,7303,10675,6911,8644,6911,8644,7303xe" filled="true" fillcolor="#ffffff" stroked="false">
                <v:path arrowok="t"/>
                <v:fill type="solid"/>
              </v:shape>
            </v:group>
            <w10:wrap type="none"/>
          </v:group>
        </w:pict>
      </w:r>
      <w:r>
        <w:rPr/>
        <w:pict>
          <v:group style="position:absolute;margin-left:431.040009pt;margin-top:587.640015pt;width:103.9pt;height:117.75pt;mso-position-horizontal-relative:page;mso-position-vertical-relative:page;z-index:-963808" coordorigin="8621,11753" coordsize="2078,2355">
            <v:group style="position:absolute;left:8621;top:11753;width:2078;height:1641" coordorigin="8621,11753" coordsize="2078,1641">
              <v:shape style="position:absolute;left:8621;top:11753;width:2078;height:1641" coordorigin="8621,11753" coordsize="2078,1641" path="m8621,13393l10698,13393,10698,11753,8621,11753,8621,13393xe" filled="true" fillcolor="#ffffff" stroked="false">
                <v:path arrowok="t"/>
                <v:fill type="solid"/>
              </v:shape>
            </v:group>
            <v:group style="position:absolute;left:8644;top:12377;width:2032;height:393" coordorigin="8644,12377" coordsize="2032,393">
              <v:shape style="position:absolute;left:8644;top:12377;width:2032;height:393" coordorigin="8644,12377" coordsize="2032,393" path="m8644,12769l10675,12769,10675,12377,8644,12377,8644,12769xe" filled="true" fillcolor="#ffffff" stroked="false">
                <v:path arrowok="t"/>
                <v:fill type="solid"/>
              </v:shape>
            </v:group>
            <v:group style="position:absolute;left:8621;top:13403;width:2078;height:705" coordorigin="8621,13403" coordsize="2078,705">
              <v:shape style="position:absolute;left:8621;top:13403;width:2078;height:705" coordorigin="8621,13403" coordsize="2078,705" path="m8621,14107l10698,14107,10698,13403,8621,13403,8621,14107xe" filled="true" fillcolor="#ffffff" stroked="false">
                <v:path arrowok="t"/>
                <v:fill type="solid"/>
              </v:shape>
            </v:group>
            <v:group style="position:absolute;left:8644;top:13559;width:2032;height:393" coordorigin="8644,13559" coordsize="2032,393">
              <v:shape style="position:absolute;left:8644;top:13559;width:2032;height:393" coordorigin="8644,13559" coordsize="2032,393" path="m8644,13951l10675,13951,10675,13559,8644,13559,8644,13951xe" filled="true" fillcolor="#ffffff" stroked="false">
                <v:path arrowok="t"/>
                <v:fill type="solid"/>
              </v:shape>
            </v:group>
            <w10:wrap type="none"/>
          </v:group>
        </w:pict>
      </w:r>
    </w:p>
    <w:p>
      <w:pPr>
        <w:pStyle w:val="BodyText"/>
        <w:spacing w:line="408" w:lineRule="auto" w:before="174"/>
        <w:ind w:right="150"/>
        <w:jc w:val="both"/>
      </w:pPr>
      <w:r>
        <w:rPr>
          <w:spacing w:val="-1"/>
        </w:rPr>
        <w:t>新和推广应用，推动全社会节能降耗目标的实现。同时，公司坚持以人为本，把对员工负责视为自身的责</w:t>
      </w:r>
      <w:r>
        <w:rPr>
          <w:spacing w:val="-82"/>
        </w:rPr>
        <w:t> </w:t>
      </w:r>
      <w:r>
        <w:rPr>
          <w:spacing w:val="-82"/>
        </w:rPr>
      </w:r>
      <w:r>
        <w:rPr>
          <w:spacing w:val="-1"/>
        </w:rPr>
        <w:t>任，把为员工创造未来当成长期坚持的重要使命。公司注重对员工职业发展进行规划，为员工提供平等的</w:t>
      </w:r>
      <w:r>
        <w:rPr>
          <w:spacing w:val="-83"/>
        </w:rPr>
        <w:t> </w:t>
      </w:r>
      <w:r>
        <w:rPr>
          <w:spacing w:val="-83"/>
        </w:rPr>
      </w:r>
      <w:r>
        <w:rPr>
          <w:spacing w:val="-1"/>
        </w:rPr>
        <w:t>发展机会，尊重和维护员工的个人利益。未来，公司将积极履行社会责任，在兼顾环境保护的同时，致力</w:t>
      </w:r>
      <w:r>
        <w:rPr>
          <w:spacing w:val="-83"/>
        </w:rPr>
        <w:t> </w:t>
      </w:r>
      <w:r>
        <w:rPr>
          <w:spacing w:val="-83"/>
        </w:rPr>
      </w:r>
      <w:r>
        <w:rPr>
          <w:spacing w:val="-1"/>
        </w:rPr>
        <w:t>于打造广受客户青睐、赢得社会信赖的知名品牌，创造中国的世界名牌，创造世界的中国名牌，实现商业</w:t>
      </w:r>
      <w:r>
        <w:rPr>
          <w:spacing w:val="-82"/>
        </w:rPr>
        <w:t> </w:t>
      </w:r>
      <w:r>
        <w:rPr>
          <w:spacing w:val="-82"/>
        </w:rPr>
      </w:r>
      <w:r>
        <w:rPr/>
        <w:t>利益与社会责任的高度统一。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ind w:right="0"/>
        <w:jc w:val="both"/>
        <w:rPr>
          <w:b w:val="0"/>
          <w:bCs w:val="0"/>
        </w:rPr>
      </w:pPr>
      <w:r>
        <w:rPr/>
        <w:t>十四、报告期内接待调研、沟通、采访等活动登记表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国泰君安</w:t>
            </w:r>
            <w:r>
              <w:rPr>
                <w:rFonts w:ascii="宋体" w:hAnsi="宋体" w:cs="宋体" w:eastAsia="宋体" w:hint="default"/>
                <w:spacing w:val="2"/>
                <w:sz w:val="18"/>
                <w:szCs w:val="18"/>
              </w:rPr>
              <w:t> </w:t>
            </w:r>
            <w:r>
              <w:rPr>
                <w:rFonts w:ascii="宋体" w:hAnsi="宋体" w:cs="宋体" w:eastAsia="宋体" w:hint="default"/>
                <w:spacing w:val="-23"/>
                <w:sz w:val="18"/>
                <w:szCs w:val="18"/>
              </w:rPr>
              <w:t>刘骁、华</w:t>
            </w:r>
            <w:r>
              <w:rPr>
                <w:rFonts w:ascii="宋体" w:hAnsi="宋体" w:cs="宋体" w:eastAsia="宋体" w:hint="default"/>
                <w:sz w:val="18"/>
                <w:szCs w:val="18"/>
              </w:rPr>
              <w:t> 安基金 </w:t>
            </w:r>
            <w:r>
              <w:rPr>
                <w:rFonts w:ascii="宋体" w:hAnsi="宋体" w:cs="宋体" w:eastAsia="宋体" w:hint="default"/>
                <w:spacing w:val="-18"/>
                <w:sz w:val="18"/>
                <w:szCs w:val="18"/>
              </w:rPr>
              <w:t>韩守晖、华</w:t>
            </w:r>
            <w:r>
              <w:rPr>
                <w:rFonts w:ascii="宋体" w:hAnsi="宋体" w:cs="宋体" w:eastAsia="宋体" w:hint="default"/>
                <w:sz w:val="18"/>
                <w:szCs w:val="18"/>
              </w:rPr>
              <w:t> 夏基金 邓彬彬</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3"/>
              <w:jc w:val="left"/>
              <w:rPr>
                <w:rFonts w:ascii="宋体" w:hAnsi="宋体" w:cs="宋体" w:eastAsia="宋体" w:hint="default"/>
                <w:sz w:val="18"/>
                <w:szCs w:val="18"/>
              </w:rPr>
            </w:pPr>
            <w:r>
              <w:rPr>
                <w:rFonts w:ascii="宋体" w:hAnsi="宋体" w:cs="宋体" w:eastAsia="宋体" w:hint="default"/>
                <w:sz w:val="18"/>
                <w:szCs w:val="18"/>
              </w:rPr>
              <w:t>平安证券 宏源证券 赵曦</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东兴证券 李根 卢 洋</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中信建投证券 徐 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方正富邦基金 扈 波</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安信证券 黄守宏 刑达</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景顺长城  杨锐文</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中信建投证券 徐 </w:t>
            </w:r>
            <w:r>
              <w:rPr>
                <w:rFonts w:ascii="宋体" w:hAnsi="宋体" w:cs="宋体" w:eastAsia="宋体" w:hint="default"/>
                <w:spacing w:val="-13"/>
                <w:sz w:val="18"/>
                <w:szCs w:val="18"/>
              </w:rPr>
              <w:t>超、易方达基金</w:t>
            </w:r>
            <w:r>
              <w:rPr>
                <w:rFonts w:ascii="宋体" w:hAnsi="宋体" w:cs="宋体" w:eastAsia="宋体" w:hint="default"/>
                <w:spacing w:val="1"/>
                <w:sz w:val="18"/>
                <w:szCs w:val="18"/>
              </w:rPr>
              <w:t> </w:t>
            </w:r>
            <w:r>
              <w:rPr>
                <w:rFonts w:ascii="宋体" w:hAnsi="宋体" w:cs="宋体" w:eastAsia="宋体" w:hint="default"/>
                <w:sz w:val="18"/>
                <w:szCs w:val="18"/>
              </w:rPr>
              <w:t>樊</w:t>
            </w:r>
            <w:r>
              <w:rPr>
                <w:rFonts w:ascii="宋体" w:hAnsi="宋体" w:cs="宋体" w:eastAsia="宋体" w:hint="default"/>
                <w:sz w:val="18"/>
                <w:szCs w:val="18"/>
              </w:rPr>
              <w:t> 正伟</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湘财证券 华泰联合证券 郑 丹丹 </w:t>
            </w:r>
            <w:r>
              <w:rPr>
                <w:rFonts w:ascii="宋体" w:hAnsi="宋体" w:cs="宋体" w:eastAsia="宋体" w:hint="default"/>
                <w:spacing w:val="-15"/>
                <w:sz w:val="18"/>
                <w:szCs w:val="18"/>
              </w:rPr>
              <w:t>江艳、建信基</w:t>
            </w:r>
            <w:r>
              <w:rPr>
                <w:rFonts w:ascii="宋体" w:hAnsi="宋体" w:cs="宋体" w:eastAsia="宋体" w:hint="default"/>
                <w:sz w:val="18"/>
                <w:szCs w:val="18"/>
              </w:rPr>
              <w:t> 金 邱杰 、益民基 金 马哲峰</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嘉实基金 银华基金 李晓星</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阳光保险集团 黄 抒雁 肖丹 郭堃</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海富通基金</w:t>
            </w:r>
          </w:p>
        </w:tc>
        <w:tc>
          <w:tcPr>
            <w:tcW w:w="2087" w:type="dxa"/>
            <w:tcBorders>
              <w:top w:val="single" w:sz="4" w:space="0" w:color="000000"/>
              <w:left w:val="single" w:sz="13" w:space="0" w:color="FFFFFF"/>
              <w:bottom w:val="single" w:sz="4" w:space="0" w:color="000000"/>
              <w:right w:val="single" w:sz="9" w:space="0" w:color="FFFFFF"/>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97.859985pt;margin-top:72.480003pt;width:137.050pt;height:95.65pt;mso-position-horizontal-relative:page;mso-position-vertical-relative:page;z-index:-963760"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刑志刚、</w:t>
                  </w:r>
                </w:p>
              </w:txbxContent>
            </v:textbox>
            <w10:wrap type="none"/>
          </v:shape>
        </w:pict>
      </w:r>
      <w:r>
        <w:rPr/>
        <w:pict>
          <v:shape style="position:absolute;margin-left:397.859985pt;margin-top:224.399994pt;width:137.050pt;height:35.25pt;mso-position-horizontal-relative:page;mso-position-vertical-relative:page;z-index:-96373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孙兆辉、</w:t>
                  </w:r>
                </w:p>
              </w:txbxContent>
            </v:textbox>
            <w10:wrap type="none"/>
          </v:shape>
        </w:pict>
      </w:r>
      <w:r>
        <w:rPr/>
        <w:pict>
          <v:shape style="position:absolute;margin-left:397.859985pt;margin-top:382.799988pt;width:137.050pt;height:50.85pt;mso-position-horizontal-relative:page;mso-position-vertical-relative:page;z-index:-96371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王祥麒、</w:t>
                  </w:r>
                </w:p>
              </w:txbxContent>
            </v:textbox>
            <w10:wrap type="none"/>
          </v:shape>
        </w:pict>
      </w:r>
      <w:r>
        <w:rPr/>
        <w:pict>
          <v:group style="position:absolute;margin-left:431.040009pt;margin-top:224.399994pt;width:103.9pt;height:35.25pt;mso-position-horizontal-relative:page;mso-position-vertical-relative:page;z-index:-963688" coordorigin="8621,4488" coordsize="2078,705">
            <v:group style="position:absolute;left:8621;top:4488;width:2078;height:705" coordorigin="8621,4488" coordsize="2078,705">
              <v:shape style="position:absolute;left:8621;top:4488;width:2078;height:705" coordorigin="8621,4488" coordsize="2078,705" path="m8621,5192l10698,5192,10698,4488,8621,4488,8621,5192xe" filled="true" fillcolor="#ffffff" stroked="false">
                <v:path arrowok="t"/>
                <v:fill type="solid"/>
              </v:shape>
            </v:group>
            <v:group style="position:absolute;left:8644;top:4644;width:2032;height:393" coordorigin="8644,4644" coordsize="2032,393">
              <v:shape style="position:absolute;left:8644;top:4644;width:2032;height:393" coordorigin="8644,4644" coordsize="2032,393" path="m8644,5036l10675,5036,10675,4644,8644,4644,8644,5036xe" filled="true" fillcolor="#ffffff" stroked="false">
                <v:path arrowok="t"/>
                <v:fill type="solid"/>
              </v:shape>
            </v:group>
            <w10:wrap type="none"/>
          </v:group>
        </w:pict>
      </w:r>
      <w:r>
        <w:rPr/>
        <w:pict>
          <v:group style="position:absolute;margin-left:431.040009pt;margin-top:382.799988pt;width:103.9pt;height:50.85pt;mso-position-horizontal-relative:page;mso-position-vertical-relative:page;z-index:-963664" coordorigin="8621,7656" coordsize="2078,1017">
            <v:group style="position:absolute;left:8621;top:7656;width:2078;height:1017" coordorigin="8621,7656" coordsize="2078,1017">
              <v:shape style="position:absolute;left:8621;top:7656;width:2078;height:1017" coordorigin="8621,7656" coordsize="2078,1017" path="m8621,8672l10698,8672,10698,7656,8621,7656,8621,8672xe" filled="true" fillcolor="#ffffff" stroked="false">
                <v:path arrowok="t"/>
                <v:fill type="solid"/>
              </v:shape>
            </v:group>
            <v:group style="position:absolute;left:8644;top:7968;width:2032;height:393" coordorigin="8644,7968" coordsize="2032,393">
              <v:shape style="position:absolute;left:8644;top:7968;width:2032;height:393" coordorigin="8644,7968" coordsize="2032,393" path="m8644,8360l10675,8360,10675,7968,8644,7968,8644,836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1922"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国金证券 光大保德信基金 董伟炜、国泰君安 </w:t>
            </w:r>
            <w:r>
              <w:rPr>
                <w:rFonts w:ascii="宋体" w:hAnsi="宋体" w:cs="宋体" w:eastAsia="宋体" w:hint="default"/>
                <w:spacing w:val="-13"/>
                <w:sz w:val="18"/>
                <w:szCs w:val="18"/>
              </w:rPr>
              <w:t>景健、富国基金</w:t>
            </w:r>
            <w:r>
              <w:rPr>
                <w:rFonts w:ascii="宋体" w:hAnsi="宋体" w:cs="宋体" w:eastAsia="宋体" w:hint="default"/>
                <w:spacing w:val="1"/>
                <w:sz w:val="18"/>
                <w:szCs w:val="18"/>
              </w:rPr>
              <w:t> </w:t>
            </w:r>
            <w:r>
              <w:rPr>
                <w:rFonts w:ascii="宋体" w:hAnsi="宋体" w:cs="宋体" w:eastAsia="宋体" w:hint="default"/>
                <w:sz w:val="18"/>
                <w:szCs w:val="18"/>
              </w:rPr>
              <w:t>杨</w:t>
            </w:r>
            <w:r>
              <w:rPr>
                <w:rFonts w:ascii="宋体" w:hAnsi="宋体" w:cs="宋体" w:eastAsia="宋体" w:hint="default"/>
                <w:sz w:val="18"/>
                <w:szCs w:val="18"/>
              </w:rPr>
              <w:t> 栋、广发基金 曹 </w:t>
            </w:r>
            <w:r>
              <w:rPr>
                <w:rFonts w:ascii="宋体" w:hAnsi="宋体" w:cs="宋体" w:eastAsia="宋体" w:hint="default"/>
                <w:spacing w:val="-15"/>
                <w:sz w:val="18"/>
                <w:szCs w:val="18"/>
              </w:rPr>
              <w:t>崴、融通基金</w:t>
            </w:r>
            <w:r>
              <w:rPr>
                <w:rFonts w:ascii="宋体" w:hAnsi="宋体" w:cs="宋体" w:eastAsia="宋体" w:hint="default"/>
                <w:spacing w:val="1"/>
                <w:sz w:val="18"/>
                <w:szCs w:val="18"/>
              </w:rPr>
              <w:t> </w:t>
            </w:r>
            <w:r>
              <w:rPr>
                <w:rFonts w:ascii="宋体" w:hAnsi="宋体" w:cs="宋体" w:eastAsia="宋体" w:hint="default"/>
                <w:sz w:val="18"/>
                <w:szCs w:val="18"/>
              </w:rPr>
              <w:t>刘祎</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19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103.9pt;height:95.65pt;mso-position-horizontal-relative:char;mso-position-vertical-relative:line" coordorigin="0,0" coordsize="2078,1913">
                  <v:group style="position:absolute;left:0;top:0;width:2078;height:1913" coordorigin="0,0" coordsize="2078,1913">
                    <v:shape style="position:absolute;left:0;top:0;width:2078;height:1913" coordorigin="0,0" coordsize="2078,1913" path="m0,1913l2077,1913,2077,0,0,0,0,1913xe" filled="true" fillcolor="#ffffff" stroked="false">
                      <v:path arrowok="t"/>
                      <v:fill type="solid"/>
                    </v:shape>
                  </v:group>
                </v:group>
              </w:pict>
            </w:r>
            <w:r>
              <w:rPr>
                <w:rFonts w:ascii="Times New Roman" w:hAnsi="Times New Roman" w:cs="Times New Roman" w:eastAsia="Times New Roman" w:hint="default"/>
                <w:position w:val="-37"/>
                <w:sz w:val="20"/>
                <w:szCs w:val="20"/>
              </w:rPr>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德意志银行 佟江 桥等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民族证券 符彩霞</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璟琦投资 英大证券 叶旭晨</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国都证券 曹宇宁 中信建投 孙勇</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华夏基金 邓彬彬 郑煜</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GE </w:t>
            </w:r>
            <w:r>
              <w:rPr>
                <w:rFonts w:ascii="宋体" w:hAnsi="宋体" w:cs="宋体" w:eastAsia="宋体" w:hint="default"/>
                <w:sz w:val="18"/>
                <w:szCs w:val="18"/>
              </w:rPr>
              <w:t>资产管理</w:t>
            </w:r>
            <w:r>
              <w:rPr>
                <w:rFonts w:ascii="宋体" w:hAnsi="宋体" w:cs="宋体" w:eastAsia="宋体" w:hint="default"/>
                <w:spacing w:val="-2"/>
                <w:sz w:val="18"/>
                <w:szCs w:val="18"/>
              </w:rPr>
              <w:t> </w:t>
            </w:r>
            <w:r>
              <w:rPr>
                <w:rFonts w:ascii="宋体" w:hAnsi="宋体" w:cs="宋体" w:eastAsia="宋体" w:hint="default"/>
                <w:sz w:val="18"/>
                <w:szCs w:val="18"/>
              </w:rPr>
              <w:t>周 </w:t>
            </w:r>
            <w:r>
              <w:rPr>
                <w:rFonts w:ascii="宋体" w:hAnsi="宋体" w:cs="宋体" w:eastAsia="宋体" w:hint="default"/>
                <w:spacing w:val="-23"/>
                <w:sz w:val="18"/>
                <w:szCs w:val="18"/>
              </w:rPr>
              <w:t>平、李睿</w:t>
            </w:r>
            <w:r>
              <w:rPr>
                <w:rFonts w:ascii="宋体" w:hAnsi="宋体" w:cs="宋体" w:eastAsia="宋体" w:hint="default"/>
                <w:spacing w:val="2"/>
                <w:sz w:val="18"/>
                <w:szCs w:val="18"/>
              </w:rPr>
              <w:t> </w:t>
            </w:r>
            <w:r>
              <w:rPr>
                <w:rFonts w:ascii="宋体" w:hAnsi="宋体" w:cs="宋体" w:eastAsia="宋体" w:hint="default"/>
                <w:sz w:val="18"/>
                <w:szCs w:val="18"/>
              </w:rPr>
              <w:t>嘉实基金</w:t>
            </w:r>
            <w:r>
              <w:rPr>
                <w:rFonts w:ascii="宋体" w:hAnsi="宋体" w:cs="宋体" w:eastAsia="宋体" w:hint="default"/>
                <w:sz w:val="18"/>
                <w:szCs w:val="18"/>
              </w:rPr>
              <w:t> 李化松</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3"/>
              <w:jc w:val="left"/>
              <w:rPr>
                <w:rFonts w:ascii="宋体" w:hAnsi="宋体" w:cs="宋体" w:eastAsia="宋体" w:hint="default"/>
                <w:sz w:val="18"/>
                <w:szCs w:val="18"/>
              </w:rPr>
            </w:pPr>
            <w:r>
              <w:rPr>
                <w:rFonts w:ascii="宋体" w:hAnsi="宋体" w:cs="宋体" w:eastAsia="宋体" w:hint="default"/>
                <w:sz w:val="18"/>
                <w:szCs w:val="18"/>
              </w:rPr>
              <w:t>中信证券 天弘基金 刘冬 东兴证券 李根</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光大证券  吴志芳</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新华资产  刘磊</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日信证券  黄鹤</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新价值投资 黄云 轩</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公司运营情况</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0"/>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一、资产交易事项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84"/>
        <w:gridCol w:w="683"/>
        <w:gridCol w:w="685"/>
        <w:gridCol w:w="685"/>
        <w:gridCol w:w="685"/>
        <w:gridCol w:w="684"/>
        <w:gridCol w:w="684"/>
        <w:gridCol w:w="684"/>
        <w:gridCol w:w="683"/>
        <w:gridCol w:w="683"/>
        <w:gridCol w:w="683"/>
        <w:gridCol w:w="682"/>
        <w:gridCol w:w="680"/>
        <w:gridCol w:w="679"/>
      </w:tblGrid>
      <w:tr>
        <w:trPr>
          <w:trHeight w:val="358" w:hRule="exact"/>
        </w:trPr>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本期初</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资产出</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0" w:type="dxa"/>
            <w:tcBorders>
              <w:top w:val="single" w:sz="4" w:space="0" w:color="000000"/>
              <w:left w:val="single" w:sz="4" w:space="0" w:color="000000"/>
              <w:bottom w:val="nil" w:sz="6" w:space="0" w:color="auto"/>
              <w:right w:val="single" w:sz="4" w:space="0" w:color="000000"/>
            </w:tcBorders>
            <w:shd w:val="clear" w:color="auto" w:fill="D3D3D3"/>
          </w:tcPr>
          <w:p>
            <w:pPr/>
          </w:p>
        </w:tc>
        <w:tc>
          <w:tcPr>
            <w:tcW w:w="67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6"/>
              <w:jc w:val="right"/>
              <w:rPr>
                <w:rFonts w:ascii="宋体" w:hAnsi="宋体" w:cs="宋体" w:eastAsia="宋体" w:hint="default"/>
                <w:sz w:val="18"/>
                <w:szCs w:val="18"/>
              </w:rPr>
            </w:pPr>
            <w:r>
              <w:rPr>
                <w:rFonts w:ascii="宋体" w:hAnsi="宋体" w:cs="宋体" w:eastAsia="宋体" w:hint="default"/>
                <w:sz w:val="18"/>
                <w:szCs w:val="18"/>
              </w:rPr>
              <w:t>起至出</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6"/>
              <w:jc w:val="right"/>
              <w:rPr>
                <w:rFonts w:ascii="宋体" w:hAnsi="宋体" w:cs="宋体" w:eastAsia="宋体" w:hint="default"/>
                <w:sz w:val="18"/>
                <w:szCs w:val="18"/>
              </w:rPr>
            </w:pPr>
            <w:r>
              <w:rPr>
                <w:rFonts w:ascii="宋体" w:hAnsi="宋体" w:cs="宋体" w:eastAsia="宋体" w:hint="default"/>
                <w:sz w:val="18"/>
                <w:szCs w:val="18"/>
              </w:rPr>
              <w:t>售为上</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65"/>
              <w:jc w:val="right"/>
              <w:rPr>
                <w:rFonts w:ascii="宋体" w:hAnsi="宋体" w:cs="宋体" w:eastAsia="宋体" w:hint="default"/>
                <w:sz w:val="18"/>
                <w:szCs w:val="18"/>
              </w:rPr>
            </w:pPr>
            <w:r>
              <w:rPr>
                <w:rFonts w:ascii="宋体" w:hAnsi="宋体" w:cs="宋体" w:eastAsia="宋体" w:hint="default"/>
                <w:sz w:val="18"/>
                <w:szCs w:val="18"/>
              </w:rPr>
              <w:t>与交易</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0" w:type="dxa"/>
            <w:tcBorders>
              <w:top w:val="nil" w:sz="6" w:space="0" w:color="auto"/>
              <w:left w:val="single" w:sz="4" w:space="0" w:color="000000"/>
              <w:bottom w:val="nil" w:sz="6" w:space="0" w:color="auto"/>
              <w:right w:val="single" w:sz="4" w:space="0" w:color="000000"/>
            </w:tcBorders>
            <w:shd w:val="clear" w:color="auto" w:fill="D3D3D3"/>
          </w:tcPr>
          <w:p>
            <w:pPr/>
          </w:p>
        </w:tc>
        <w:tc>
          <w:tcPr>
            <w:tcW w:w="679"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0"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67"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7" w:right="66"/>
              <w:jc w:val="both"/>
              <w:rPr>
                <w:rFonts w:ascii="宋体" w:hAnsi="宋体" w:cs="宋体" w:eastAsia="宋体" w:hint="default"/>
                <w:sz w:val="18"/>
                <w:szCs w:val="18"/>
              </w:rPr>
            </w:pPr>
            <w:r>
              <w:rPr>
                <w:rFonts w:ascii="宋体" w:hAnsi="宋体" w:cs="宋体" w:eastAsia="宋体" w:hint="default"/>
                <w:sz w:val="18"/>
                <w:szCs w:val="18"/>
              </w:rPr>
              <w:t>售日该 资产为 上市公 司贡献 的净利</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5" w:right="66"/>
              <w:jc w:val="both"/>
              <w:rPr>
                <w:rFonts w:ascii="宋体" w:hAnsi="宋体" w:cs="宋体" w:eastAsia="宋体" w:hint="default"/>
                <w:sz w:val="18"/>
                <w:szCs w:val="18"/>
              </w:rPr>
            </w:pPr>
            <w:r>
              <w:rPr>
                <w:rFonts w:ascii="宋体" w:hAnsi="宋体" w:cs="宋体" w:eastAsia="宋体" w:hint="default"/>
                <w:sz w:val="18"/>
                <w:szCs w:val="18"/>
              </w:rPr>
              <w:t>市公司 贡献的 净利润 占利润 总额的</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5" w:right="65"/>
              <w:jc w:val="both"/>
              <w:rPr>
                <w:rFonts w:ascii="宋体" w:hAnsi="宋体" w:cs="宋体" w:eastAsia="宋体" w:hint="default"/>
                <w:sz w:val="18"/>
                <w:szCs w:val="18"/>
              </w:rPr>
            </w:pPr>
            <w:r>
              <w:rPr>
                <w:rFonts w:ascii="宋体" w:hAnsi="宋体" w:cs="宋体" w:eastAsia="宋体" w:hint="default"/>
                <w:sz w:val="18"/>
                <w:szCs w:val="18"/>
              </w:rPr>
              <w:t>对方的 关联关 系（适 用关联 交易情</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6"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4"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316" w:lineRule="auto"/>
              <w:ind w:left="243"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13"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6"/>
              <w:jc w:val="right"/>
              <w:rPr>
                <w:rFonts w:ascii="宋体" w:hAnsi="宋体" w:cs="宋体" w:eastAsia="宋体" w:hint="default"/>
                <w:sz w:val="18"/>
                <w:szCs w:val="18"/>
              </w:rPr>
            </w:pPr>
            <w:r>
              <w:rPr>
                <w:rFonts w:ascii="宋体" w:hAnsi="宋体" w:cs="宋体" w:eastAsia="宋体" w:hint="default"/>
                <w:sz w:val="18"/>
                <w:szCs w:val="18"/>
              </w:rPr>
              <w:t>润（万</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5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55"/>
              <w:jc w:val="right"/>
              <w:rPr>
                <w:rFonts w:ascii="宋体" w:hAnsi="宋体" w:cs="宋体" w:eastAsia="宋体" w:hint="default"/>
                <w:sz w:val="18"/>
                <w:szCs w:val="18"/>
              </w:rPr>
            </w:pPr>
            <w:r>
              <w:rPr>
                <w:rFonts w:ascii="宋体" w:hAnsi="宋体" w:cs="宋体" w:eastAsia="宋体" w:hint="default"/>
                <w:sz w:val="18"/>
                <w:szCs w:val="18"/>
              </w:rPr>
              <w:t>形）</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0" w:type="dxa"/>
            <w:tcBorders>
              <w:top w:val="nil" w:sz="6" w:space="0" w:color="auto"/>
              <w:left w:val="single" w:sz="4" w:space="0" w:color="000000"/>
              <w:bottom w:val="nil" w:sz="6" w:space="0" w:color="auto"/>
              <w:right w:val="single" w:sz="4" w:space="0" w:color="000000"/>
            </w:tcBorders>
            <w:shd w:val="clear" w:color="auto" w:fill="D3D3D3"/>
          </w:tcPr>
          <w:p>
            <w:pPr/>
          </w:p>
        </w:tc>
        <w:tc>
          <w:tcPr>
            <w:tcW w:w="679"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5" w:hRule="exact"/>
        </w:trPr>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5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0"/>
              <w:ind w:left="201"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0" w:type="dxa"/>
            <w:tcBorders>
              <w:top w:val="nil" w:sz="6" w:space="0" w:color="auto"/>
              <w:left w:val="single" w:sz="4" w:space="0" w:color="000000"/>
              <w:bottom w:val="single" w:sz="4" w:space="0" w:color="000000"/>
              <w:right w:val="single" w:sz="4" w:space="0" w:color="000000"/>
            </w:tcBorders>
            <w:shd w:val="clear" w:color="auto" w:fill="D3D3D3"/>
          </w:tcPr>
          <w:p>
            <w:pPr/>
          </w:p>
        </w:tc>
        <w:tc>
          <w:tcPr>
            <w:tcW w:w="67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8" w:hRule="exact"/>
        </w:trPr>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鞍山荣</w:t>
            </w:r>
          </w:p>
        </w:tc>
        <w:tc>
          <w:tcPr>
            <w:tcW w:w="685"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0"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r>
      <w:tr>
        <w:trPr>
          <w:trHeight w:val="1253"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上海鼎 则创业 投资中 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信节能 服务有 限公司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股</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490</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490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2" w:hRule="exact"/>
        </w:trPr>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5"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出售资产情况概述</w:t>
      </w:r>
    </w:p>
    <w:p>
      <w:pPr>
        <w:spacing w:line="240" w:lineRule="auto" w:before="10"/>
        <w:rPr>
          <w:rFonts w:ascii="宋体" w:hAnsi="宋体" w:cs="宋体" w:eastAsia="宋体" w:hint="default"/>
          <w:sz w:val="12"/>
          <w:szCs w:val="12"/>
        </w:rPr>
      </w:pPr>
    </w:p>
    <w:p>
      <w:pPr>
        <w:pStyle w:val="BodyText"/>
        <w:spacing w:line="386" w:lineRule="auto"/>
        <w:ind w:right="211" w:firstLine="372"/>
        <w:jc w:val="both"/>
      </w:pPr>
      <w:r>
        <w:rPr/>
        <w:t>报告期内，本公司将所持有的鞍山荣信节能服务有限公司</w:t>
      </w:r>
      <w:r>
        <w:rPr>
          <w:rFonts w:ascii="Times New Roman" w:hAnsi="Times New Roman" w:cs="Times New Roman" w:eastAsia="Times New Roman" w:hint="default"/>
        </w:rPr>
        <w:t>49%</w:t>
      </w:r>
      <w:r>
        <w:rPr/>
        <w:t>股权转让给上海鼎则创业投资中心，转 让价格</w:t>
      </w:r>
      <w:r>
        <w:rPr>
          <w:rFonts w:ascii="Times New Roman" w:hAnsi="Times New Roman" w:cs="Times New Roman" w:eastAsia="Times New Roman" w:hint="default"/>
        </w:rPr>
        <w:t>490</w:t>
      </w:r>
      <w:r>
        <w:rPr/>
        <w:t>万元，本次股权转让后，荣信股份不再持有鞍山荣信节能服务有限公司股权，已办理完毕工商 变更手续。</w:t>
      </w:r>
    </w:p>
    <w:p>
      <w:pPr>
        <w:pStyle w:val="BodyText"/>
        <w:spacing w:line="386" w:lineRule="auto" w:before="65"/>
        <w:ind w:right="151" w:firstLine="335"/>
        <w:jc w:val="both"/>
      </w:pPr>
      <w:r>
        <w:rPr>
          <w:spacing w:val="-1"/>
        </w:rPr>
        <w:t>报告期，公司以</w:t>
      </w:r>
      <w:r>
        <w:rPr>
          <w:rFonts w:ascii="Times New Roman" w:hAnsi="Times New Roman" w:cs="Times New Roman" w:eastAsia="Times New Roman" w:hint="default"/>
          <w:spacing w:val="-1"/>
        </w:rPr>
        <w:t>490</w:t>
      </w:r>
      <w:r>
        <w:rPr>
          <w:spacing w:val="-1"/>
        </w:rPr>
        <w:t>万元将所持有的荣信节能公司</w:t>
      </w:r>
      <w:r>
        <w:rPr>
          <w:rFonts w:ascii="Times New Roman" w:hAnsi="Times New Roman" w:cs="Times New Roman" w:eastAsia="Times New Roman" w:hint="default"/>
          <w:spacing w:val="-1"/>
        </w:rPr>
        <w:t>49%</w:t>
      </w:r>
      <w:r>
        <w:rPr>
          <w:spacing w:val="-1"/>
        </w:rPr>
        <w:t>股权全部转让，按出售所得价款与长期股权投资</w:t>
      </w:r>
      <w:r>
        <w:rPr/>
        <w:t> 账面价值的差额确认投资收益</w:t>
      </w:r>
      <w:r>
        <w:rPr>
          <w:rFonts w:ascii="Times New Roman" w:hAnsi="Times New Roman" w:cs="Times New Roman" w:eastAsia="Times New Roman" w:hint="default"/>
        </w:rPr>
        <w:t>490</w:t>
      </w:r>
      <w:r>
        <w:rPr/>
        <w:t>万元。</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r>
        <w:rPr/>
        <w:t>二、重大合同及其履行情况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、担保情况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6"/>
        <w:gridCol w:w="943"/>
        <w:gridCol w:w="932"/>
        <w:gridCol w:w="1212"/>
        <w:gridCol w:w="1178"/>
        <w:gridCol w:w="1094"/>
        <w:gridCol w:w="1018"/>
        <w:gridCol w:w="800"/>
        <w:gridCol w:w="788"/>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6"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19"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5"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bl>
    <w:p>
      <w:pPr>
        <w:spacing w:after="0" w:line="319"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06"/>
        <w:gridCol w:w="940"/>
        <w:gridCol w:w="936"/>
        <w:gridCol w:w="1212"/>
        <w:gridCol w:w="1178"/>
        <w:gridCol w:w="1094"/>
        <w:gridCol w:w="1015"/>
        <w:gridCol w:w="803"/>
        <w:gridCol w:w="788"/>
      </w:tblGrid>
      <w:tr>
        <w:trPr>
          <w:trHeight w:val="358" w:hRule="exact"/>
        </w:trPr>
        <w:tc>
          <w:tcPr>
            <w:tcW w:w="1606"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1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自保证合同</w:t>
            </w:r>
          </w:p>
        </w:tc>
        <w:tc>
          <w:tcPr>
            <w:tcW w:w="803"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生效之日起</w:t>
            </w:r>
          </w:p>
        </w:tc>
        <w:tc>
          <w:tcPr>
            <w:tcW w:w="803"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60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贵州登峰能源集团 有限公司</w:t>
            </w:r>
          </w:p>
        </w:tc>
        <w:tc>
          <w:tcPr>
            <w:tcW w:w="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3,400</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0"/>
              <w:jc w:val="left"/>
              <w:rPr>
                <w:rFonts w:ascii="宋体" w:hAnsi="宋体" w:cs="宋体" w:eastAsia="宋体" w:hint="default"/>
                <w:sz w:val="18"/>
                <w:szCs w:val="18"/>
              </w:rPr>
            </w:pPr>
            <w:r>
              <w:rPr>
                <w:rFonts w:ascii="宋体" w:hAnsi="宋体" w:cs="宋体" w:eastAsia="宋体" w:hint="default"/>
                <w:sz w:val="18"/>
                <w:szCs w:val="18"/>
              </w:rPr>
              <w:t>至主合同履 行期限届满</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7" w:hRule="exact"/>
        </w:trPr>
        <w:tc>
          <w:tcPr>
            <w:tcW w:w="160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之日后两年</w:t>
            </w:r>
          </w:p>
        </w:tc>
        <w:tc>
          <w:tcPr>
            <w:tcW w:w="803"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606" w:type="dxa"/>
            <w:tcBorders>
              <w:top w:val="nil" w:sz="6" w:space="0" w:color="auto"/>
              <w:left w:val="single" w:sz="4" w:space="0" w:color="000000"/>
              <w:bottom w:val="single" w:sz="4" w:space="0" w:color="000000"/>
              <w:right w:val="single" w:sz="4" w:space="0" w:color="000000"/>
            </w:tcBorders>
          </w:tcPr>
          <w:p>
            <w:pPr/>
          </w:p>
        </w:tc>
        <w:tc>
          <w:tcPr>
            <w:tcW w:w="940"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10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止</w:t>
            </w:r>
          </w:p>
        </w:tc>
        <w:tc>
          <w:tcPr>
            <w:tcW w:w="803"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606"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1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自保证合同</w:t>
            </w:r>
          </w:p>
        </w:tc>
        <w:tc>
          <w:tcPr>
            <w:tcW w:w="803"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生效之日起</w:t>
            </w:r>
          </w:p>
        </w:tc>
        <w:tc>
          <w:tcPr>
            <w:tcW w:w="803"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60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威宁县洁净煤有限 公司</w:t>
            </w:r>
          </w:p>
        </w:tc>
        <w:tc>
          <w:tcPr>
            <w:tcW w:w="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3,400</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0"/>
              <w:jc w:val="left"/>
              <w:rPr>
                <w:rFonts w:ascii="宋体" w:hAnsi="宋体" w:cs="宋体" w:eastAsia="宋体" w:hint="default"/>
                <w:sz w:val="18"/>
                <w:szCs w:val="18"/>
              </w:rPr>
            </w:pPr>
            <w:r>
              <w:rPr>
                <w:rFonts w:ascii="宋体" w:hAnsi="宋体" w:cs="宋体" w:eastAsia="宋体" w:hint="default"/>
                <w:sz w:val="18"/>
                <w:szCs w:val="18"/>
              </w:rPr>
              <w:t>至主合同履 行期限届满</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7" w:hRule="exact"/>
        </w:trPr>
        <w:tc>
          <w:tcPr>
            <w:tcW w:w="160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之日后两年</w:t>
            </w:r>
          </w:p>
        </w:tc>
        <w:tc>
          <w:tcPr>
            <w:tcW w:w="803"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606" w:type="dxa"/>
            <w:tcBorders>
              <w:top w:val="nil" w:sz="6" w:space="0" w:color="auto"/>
              <w:left w:val="single" w:sz="4" w:space="0" w:color="000000"/>
              <w:bottom w:val="single" w:sz="4" w:space="0" w:color="000000"/>
              <w:right w:val="single" w:sz="4" w:space="0" w:color="000000"/>
            </w:tcBorders>
          </w:tcPr>
          <w:p>
            <w:pPr/>
          </w:p>
        </w:tc>
        <w:tc>
          <w:tcPr>
            <w:tcW w:w="940"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10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止</w:t>
            </w:r>
          </w:p>
        </w:tc>
        <w:tc>
          <w:tcPr>
            <w:tcW w:w="803"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w:t>
            </w: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0"/>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5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19"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3"/>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15"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358" w:hRule="exact"/>
        </w:trPr>
        <w:tc>
          <w:tcPr>
            <w:tcW w:w="1606"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1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自具体授信</w:t>
            </w:r>
          </w:p>
        </w:tc>
        <w:tc>
          <w:tcPr>
            <w:tcW w:w="803"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业务合同或</w:t>
            </w:r>
          </w:p>
        </w:tc>
        <w:tc>
          <w:tcPr>
            <w:tcW w:w="803"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辽宁荣信电气传动 技术有限责任公司</w:t>
            </w:r>
          </w:p>
        </w:tc>
        <w:tc>
          <w:tcPr>
            <w:tcW w:w="9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14,000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5,843.01</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0"/>
              <w:jc w:val="both"/>
              <w:rPr>
                <w:rFonts w:ascii="宋体" w:hAnsi="宋体" w:cs="宋体" w:eastAsia="宋体" w:hint="default"/>
                <w:sz w:val="18"/>
                <w:szCs w:val="18"/>
              </w:rPr>
            </w:pPr>
            <w:r>
              <w:rPr>
                <w:rFonts w:ascii="宋体" w:hAnsi="宋体" w:cs="宋体" w:eastAsia="宋体" w:hint="default"/>
                <w:sz w:val="18"/>
                <w:szCs w:val="18"/>
              </w:rPr>
              <w:t>协议约定的 授信人履行 债务期限届</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160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满之日起两</w:t>
            </w:r>
          </w:p>
        </w:tc>
        <w:tc>
          <w:tcPr>
            <w:tcW w:w="803"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606" w:type="dxa"/>
            <w:tcBorders>
              <w:top w:val="nil" w:sz="6" w:space="0" w:color="auto"/>
              <w:left w:val="single" w:sz="4" w:space="0" w:color="000000"/>
              <w:bottom w:val="single" w:sz="4" w:space="0" w:color="000000"/>
              <w:right w:val="single" w:sz="4" w:space="0" w:color="000000"/>
            </w:tcBorders>
          </w:tcPr>
          <w:p>
            <w:pPr/>
          </w:p>
        </w:tc>
        <w:tc>
          <w:tcPr>
            <w:tcW w:w="940"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10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803"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606"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1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自具体授信</w:t>
            </w:r>
          </w:p>
        </w:tc>
        <w:tc>
          <w:tcPr>
            <w:tcW w:w="803"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业务合同或</w:t>
            </w:r>
          </w:p>
        </w:tc>
        <w:tc>
          <w:tcPr>
            <w:tcW w:w="803"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辽宁荣信防爆电气 技术有限公司</w:t>
            </w:r>
          </w:p>
        </w:tc>
        <w:tc>
          <w:tcPr>
            <w:tcW w:w="9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2,100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1,224.51</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0"/>
              <w:jc w:val="both"/>
              <w:rPr>
                <w:rFonts w:ascii="宋体" w:hAnsi="宋体" w:cs="宋体" w:eastAsia="宋体" w:hint="default"/>
                <w:sz w:val="18"/>
                <w:szCs w:val="18"/>
              </w:rPr>
            </w:pPr>
            <w:r>
              <w:rPr>
                <w:rFonts w:ascii="宋体" w:hAnsi="宋体" w:cs="宋体" w:eastAsia="宋体" w:hint="default"/>
                <w:sz w:val="18"/>
                <w:szCs w:val="18"/>
              </w:rPr>
              <w:t>协议约定的 授信人履行 债务期限届</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160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满之日起两</w:t>
            </w:r>
          </w:p>
        </w:tc>
        <w:tc>
          <w:tcPr>
            <w:tcW w:w="803"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606" w:type="dxa"/>
            <w:tcBorders>
              <w:top w:val="nil" w:sz="6" w:space="0" w:color="auto"/>
              <w:left w:val="single" w:sz="4" w:space="0" w:color="000000"/>
              <w:bottom w:val="single" w:sz="4" w:space="0" w:color="000000"/>
              <w:right w:val="single" w:sz="4" w:space="0" w:color="000000"/>
            </w:tcBorders>
          </w:tcPr>
          <w:p>
            <w:pPr/>
          </w:p>
        </w:tc>
        <w:tc>
          <w:tcPr>
            <w:tcW w:w="940"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10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803"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606"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1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自具体授信</w:t>
            </w:r>
          </w:p>
        </w:tc>
        <w:tc>
          <w:tcPr>
            <w:tcW w:w="803"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业务合同或</w:t>
            </w:r>
          </w:p>
        </w:tc>
        <w:tc>
          <w:tcPr>
            <w:tcW w:w="803"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辽宁荣信光伏技术 有限公司</w:t>
            </w:r>
          </w:p>
        </w:tc>
        <w:tc>
          <w:tcPr>
            <w:tcW w:w="9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2,100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sz w:val="18"/>
              </w:rPr>
              <w:t>0</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0"/>
              <w:jc w:val="both"/>
              <w:rPr>
                <w:rFonts w:ascii="宋体" w:hAnsi="宋体" w:cs="宋体" w:eastAsia="宋体" w:hint="default"/>
                <w:sz w:val="18"/>
                <w:szCs w:val="18"/>
              </w:rPr>
            </w:pPr>
            <w:r>
              <w:rPr>
                <w:rFonts w:ascii="宋体" w:hAnsi="宋体" w:cs="宋体" w:eastAsia="宋体" w:hint="default"/>
                <w:sz w:val="18"/>
                <w:szCs w:val="18"/>
              </w:rPr>
              <w:t>协议约定的 授信人履行 债务期限届</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160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满之日起两</w:t>
            </w:r>
          </w:p>
        </w:tc>
        <w:tc>
          <w:tcPr>
            <w:tcW w:w="803"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606" w:type="dxa"/>
            <w:tcBorders>
              <w:top w:val="nil" w:sz="6" w:space="0" w:color="auto"/>
              <w:left w:val="single" w:sz="4" w:space="0" w:color="000000"/>
              <w:bottom w:val="single" w:sz="4" w:space="0" w:color="000000"/>
              <w:right w:val="single" w:sz="4" w:space="0" w:color="000000"/>
            </w:tcBorders>
          </w:tcPr>
          <w:p>
            <w:pPr/>
          </w:p>
        </w:tc>
        <w:tc>
          <w:tcPr>
            <w:tcW w:w="940"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10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803"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06"/>
        <w:gridCol w:w="936"/>
        <w:gridCol w:w="940"/>
        <w:gridCol w:w="1212"/>
        <w:gridCol w:w="1178"/>
        <w:gridCol w:w="1094"/>
        <w:gridCol w:w="1012"/>
        <w:gridCol w:w="806"/>
        <w:gridCol w:w="788"/>
      </w:tblGrid>
      <w:tr>
        <w:trPr>
          <w:trHeight w:val="358" w:hRule="exact"/>
        </w:trPr>
        <w:tc>
          <w:tcPr>
            <w:tcW w:w="1606" w:type="dxa"/>
            <w:tcBorders>
              <w:top w:val="single" w:sz="4" w:space="0" w:color="000000"/>
              <w:left w:val="single" w:sz="4" w:space="0" w:color="000000"/>
              <w:bottom w:val="nil" w:sz="6" w:space="0" w:color="auto"/>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自具体授信</w:t>
            </w:r>
          </w:p>
        </w:tc>
        <w:tc>
          <w:tcPr>
            <w:tcW w:w="80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业务合同或</w:t>
            </w:r>
          </w:p>
        </w:tc>
        <w:tc>
          <w:tcPr>
            <w:tcW w:w="80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辽宁荣信电机控制 技术有限公司</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2,100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301.3</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协议约定的 授信人履行 债务期限届</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满之日起两</w:t>
            </w:r>
          </w:p>
        </w:tc>
        <w:tc>
          <w:tcPr>
            <w:tcW w:w="80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606"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940"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80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606" w:type="dxa"/>
            <w:tcBorders>
              <w:top w:val="single" w:sz="4" w:space="0" w:color="000000"/>
              <w:left w:val="single" w:sz="4" w:space="0" w:color="000000"/>
              <w:bottom w:val="nil" w:sz="6" w:space="0" w:color="auto"/>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自具体授信</w:t>
            </w:r>
          </w:p>
        </w:tc>
        <w:tc>
          <w:tcPr>
            <w:tcW w:w="80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业务合同或</w:t>
            </w:r>
          </w:p>
        </w:tc>
        <w:tc>
          <w:tcPr>
            <w:tcW w:w="80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辽宁荣信电气传动 技术有限责任公司</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9,100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2,836.66</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协议约定的 授信人履行 债务期限届</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满之日起两</w:t>
            </w:r>
          </w:p>
        </w:tc>
        <w:tc>
          <w:tcPr>
            <w:tcW w:w="80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606"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940"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80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606" w:type="dxa"/>
            <w:tcBorders>
              <w:top w:val="single" w:sz="4" w:space="0" w:color="000000"/>
              <w:left w:val="single" w:sz="4" w:space="0" w:color="000000"/>
              <w:bottom w:val="nil" w:sz="6" w:space="0" w:color="auto"/>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自具体授信</w:t>
            </w:r>
          </w:p>
        </w:tc>
        <w:tc>
          <w:tcPr>
            <w:tcW w:w="80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业务合同或</w:t>
            </w:r>
          </w:p>
        </w:tc>
        <w:tc>
          <w:tcPr>
            <w:tcW w:w="80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辽宁荣信防爆电气 技术有限公司</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1,750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sz w:val="18"/>
              </w:rPr>
              <w:t>0</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协议约定的 授信人履行 债务期限届</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满之日起两</w:t>
            </w:r>
          </w:p>
        </w:tc>
        <w:tc>
          <w:tcPr>
            <w:tcW w:w="80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606"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940"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80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606" w:type="dxa"/>
            <w:tcBorders>
              <w:top w:val="single" w:sz="4" w:space="0" w:color="000000"/>
              <w:left w:val="single" w:sz="4" w:space="0" w:color="000000"/>
              <w:bottom w:val="nil" w:sz="6" w:space="0" w:color="auto"/>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自具体授信</w:t>
            </w:r>
          </w:p>
        </w:tc>
        <w:tc>
          <w:tcPr>
            <w:tcW w:w="80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业务合同或</w:t>
            </w:r>
          </w:p>
        </w:tc>
        <w:tc>
          <w:tcPr>
            <w:tcW w:w="80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辽宁荣信光伏技术 有限公司</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1,050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545.99</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协议约定的 授信人履行 债务期限届</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满之日起两</w:t>
            </w:r>
          </w:p>
        </w:tc>
        <w:tc>
          <w:tcPr>
            <w:tcW w:w="80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606"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940"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80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606" w:type="dxa"/>
            <w:tcBorders>
              <w:top w:val="single" w:sz="4" w:space="0" w:color="000000"/>
              <w:left w:val="single" w:sz="4" w:space="0" w:color="000000"/>
              <w:bottom w:val="nil" w:sz="6" w:space="0" w:color="auto"/>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自主合同约</w:t>
            </w:r>
          </w:p>
        </w:tc>
        <w:tc>
          <w:tcPr>
            <w:tcW w:w="806"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定的债务履</w:t>
            </w:r>
          </w:p>
        </w:tc>
        <w:tc>
          <w:tcPr>
            <w:tcW w:w="80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行期限届满</w:t>
            </w:r>
          </w:p>
        </w:tc>
        <w:tc>
          <w:tcPr>
            <w:tcW w:w="80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之日起，至</w:t>
            </w:r>
          </w:p>
        </w:tc>
        <w:tc>
          <w:tcPr>
            <w:tcW w:w="80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60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北京荣科恒阳整流 技术有限公司</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主合同中最 后到期的主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6"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合同约定的</w:t>
            </w:r>
          </w:p>
        </w:tc>
        <w:tc>
          <w:tcPr>
            <w:tcW w:w="80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债务履行期</w:t>
            </w:r>
          </w:p>
        </w:tc>
        <w:tc>
          <w:tcPr>
            <w:tcW w:w="80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限届满之日</w:t>
            </w:r>
          </w:p>
        </w:tc>
        <w:tc>
          <w:tcPr>
            <w:tcW w:w="806"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606"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940"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后两年止。</w:t>
            </w:r>
          </w:p>
        </w:tc>
        <w:tc>
          <w:tcPr>
            <w:tcW w:w="806"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11,051.47</w:t>
            </w:r>
          </w:p>
        </w:tc>
      </w:tr>
      <w:tr>
        <w:trPr>
          <w:trHeight w:val="714"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11,051.47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30"/>
        <w:gridCol w:w="2163"/>
        <w:gridCol w:w="2273"/>
        <w:gridCol w:w="2606"/>
      </w:tblGrid>
      <w:tr>
        <w:trPr>
          <w:trHeight w:val="402" w:hRule="exact"/>
        </w:trPr>
        <w:tc>
          <w:tcPr>
            <w:tcW w:w="957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37,900</w:t>
            </w:r>
          </w:p>
        </w:tc>
        <w:tc>
          <w:tcPr>
            <w:tcW w:w="2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16,451.47</w:t>
            </w:r>
          </w:p>
        </w:tc>
      </w:tr>
      <w:tr>
        <w:trPr>
          <w:trHeight w:val="714" w:hRule="exact"/>
        </w:trPr>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37,900</w:t>
            </w:r>
          </w:p>
        </w:tc>
        <w:tc>
          <w:tcPr>
            <w:tcW w:w="2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16,451.47</w:t>
            </w:r>
          </w:p>
        </w:tc>
      </w:tr>
      <w:tr>
        <w:trPr>
          <w:trHeight w:val="402" w:hRule="exact"/>
        </w:trPr>
        <w:tc>
          <w:tcPr>
            <w:tcW w:w="4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w:t>
            </w:r>
          </w:p>
        </w:tc>
      </w:tr>
      <w:tr>
        <w:trPr>
          <w:trHeight w:val="402" w:hRule="exact"/>
        </w:trPr>
        <w:tc>
          <w:tcPr>
            <w:tcW w:w="957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9,526.96</w:t>
            </w:r>
          </w:p>
        </w:tc>
      </w:tr>
      <w:tr>
        <w:trPr>
          <w:trHeight w:val="402" w:hRule="exact"/>
        </w:trPr>
        <w:tc>
          <w:tcPr>
            <w:tcW w:w="4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9,526.96</w:t>
            </w:r>
          </w:p>
        </w:tc>
      </w:tr>
      <w:tr>
        <w:trPr>
          <w:trHeight w:val="402" w:hRule="exact"/>
        </w:trPr>
        <w:tc>
          <w:tcPr>
            <w:tcW w:w="4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771"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本公司控股股 </w:t>
            </w:r>
            <w:r>
              <w:rPr>
                <w:rFonts w:ascii="宋体" w:hAnsi="宋体" w:cs="宋体" w:eastAsia="宋体" w:hint="default"/>
                <w:spacing w:val="-6"/>
                <w:sz w:val="18"/>
                <w:szCs w:val="18"/>
              </w:rPr>
              <w:t>东左强、深圳市</w:t>
            </w:r>
            <w:r>
              <w:rPr>
                <w:rFonts w:ascii="宋体" w:hAnsi="宋体" w:cs="宋体" w:eastAsia="宋体" w:hint="default"/>
                <w:sz w:val="18"/>
                <w:szCs w:val="18"/>
              </w:rPr>
              <w:t> 深港产学研创 业投资有限公 司， 实际控制 </w:t>
            </w:r>
            <w:r>
              <w:rPr>
                <w:rFonts w:ascii="宋体" w:hAnsi="宋体" w:cs="宋体" w:eastAsia="宋体" w:hint="default"/>
                <w:spacing w:val="-6"/>
                <w:sz w:val="18"/>
                <w:szCs w:val="18"/>
              </w:rPr>
              <w:t>人左强先生、崔</w:t>
            </w:r>
            <w:r>
              <w:rPr>
                <w:rFonts w:ascii="宋体" w:hAnsi="宋体" w:cs="宋体" w:eastAsia="宋体" w:hint="default"/>
                <w:sz w:val="18"/>
                <w:szCs w:val="18"/>
              </w:rPr>
              <w:t> 京涛女士和厉 伟先生</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6"/>
              <w:jc w:val="left"/>
              <w:rPr>
                <w:rFonts w:ascii="宋体" w:hAnsi="宋体" w:cs="宋体" w:eastAsia="宋体" w:hint="default"/>
                <w:sz w:val="18"/>
                <w:szCs w:val="18"/>
              </w:rPr>
            </w:pPr>
            <w:r>
              <w:rPr>
                <w:rFonts w:ascii="宋体" w:hAnsi="宋体" w:cs="宋体" w:eastAsia="宋体" w:hint="default"/>
                <w:sz w:val="18"/>
                <w:szCs w:val="18"/>
              </w:rPr>
              <w:t>为避免将来可 能出现与本公 司的同业竞争， 本公司控股股 </w:t>
            </w:r>
            <w:r>
              <w:rPr>
                <w:rFonts w:ascii="宋体" w:hAnsi="宋体" w:cs="宋体" w:eastAsia="宋体" w:hint="default"/>
                <w:spacing w:val="-6"/>
                <w:sz w:val="18"/>
                <w:szCs w:val="18"/>
              </w:rPr>
              <w:t>东、实际控制人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出具了《避免同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业竞争的承诺 </w:t>
            </w:r>
            <w:r>
              <w:rPr>
                <w:rFonts w:ascii="宋体" w:hAnsi="宋体" w:cs="宋体" w:eastAsia="宋体" w:hint="default"/>
                <w:spacing w:val="-13"/>
                <w:sz w:val="18"/>
                <w:szCs w:val="18"/>
              </w:rPr>
              <w:t>函》，承诺将不</w:t>
            </w:r>
            <w:r>
              <w:rPr>
                <w:rFonts w:ascii="宋体" w:hAnsi="宋体" w:cs="宋体" w:eastAsia="宋体" w:hint="default"/>
                <w:sz w:val="18"/>
                <w:szCs w:val="18"/>
              </w:rPr>
              <w:t> 会直接或间接 从事与本公司 </w:t>
            </w:r>
            <w:r>
              <w:rPr>
                <w:rFonts w:ascii="宋体" w:hAnsi="宋体" w:cs="宋体" w:eastAsia="宋体" w:hint="default"/>
                <w:spacing w:val="-6"/>
                <w:sz w:val="18"/>
                <w:szCs w:val="18"/>
              </w:rPr>
              <w:t>相同、相似的业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务，也不在与本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公司有相同、相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似业务的其他 企业任职。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22" w:right="-25"/>
              <w:jc w:val="left"/>
              <w:rPr>
                <w:rFonts w:ascii="宋体" w:hAnsi="宋体" w:cs="宋体" w:eastAsia="宋体" w:hint="default"/>
                <w:sz w:val="18"/>
                <w:szCs w:val="18"/>
              </w:rPr>
            </w:pPr>
            <w:r>
              <w:rPr>
                <w:rFonts w:ascii="宋体" w:hAnsi="宋体" w:cs="宋体" w:eastAsia="宋体" w:hint="default"/>
                <w:sz w:val="18"/>
                <w:szCs w:val="18"/>
              </w:rPr>
              <w:t>截止到本报告 </w:t>
            </w:r>
            <w:r>
              <w:rPr>
                <w:rFonts w:ascii="宋体" w:hAnsi="宋体" w:cs="宋体" w:eastAsia="宋体" w:hint="default"/>
                <w:spacing w:val="-7"/>
                <w:sz w:val="18"/>
                <w:szCs w:val="18"/>
              </w:rPr>
              <w:t>期末，避免同业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竞争的承诺仍 在严格履行中。</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8"/>
          <w:szCs w:val="18"/>
        </w:rPr>
      </w:pPr>
    </w:p>
    <w:p>
      <w:pPr>
        <w:pStyle w:val="Heading2"/>
        <w:spacing w:line="240" w:lineRule="auto" w:before="26"/>
        <w:ind w:right="5290"/>
        <w:jc w:val="left"/>
        <w:rPr>
          <w:b w:val="0"/>
          <w:bCs w:val="0"/>
        </w:rPr>
      </w:pPr>
      <w:r>
        <w:rPr/>
        <w:t>四、聘任、解聘会计师事务所情况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529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朱伟峰  赵国梁</w:t>
            </w:r>
          </w:p>
        </w:tc>
      </w:tr>
    </w:tbl>
    <w:p>
      <w:pPr>
        <w:spacing w:before="51"/>
        <w:ind w:left="154" w:right="529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4" w:right="52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2"/>
        <w:ind w:left="154" w:right="52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5290"/>
        <w:jc w:val="left"/>
        <w:rPr>
          <w:b w:val="0"/>
          <w:bCs w:val="0"/>
        </w:rPr>
      </w:pPr>
      <w:r>
        <w:rPr/>
        <w:t>五、其他重大事项的说明</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169" w:firstLine="420"/>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w:t>
      </w:r>
      <w:r>
        <w:rPr>
          <w:spacing w:val="-1"/>
        </w:rPr>
        <w:t>日荣信电力电子股份有限公司与贵州登峰能源集团有限公司签订了《贵州登峰能源集</w:t>
      </w:r>
      <w:r>
        <w:rPr/>
        <w:t> 团扩能技改工程合同协议书》，合同金额为人民币：</w:t>
      </w:r>
      <w:r>
        <w:rPr>
          <w:rFonts w:ascii="Times New Roman" w:hAnsi="Times New Roman" w:cs="Times New Roman" w:eastAsia="Times New Roman" w:hint="default"/>
        </w:rPr>
        <w:t>33,000</w:t>
      </w:r>
      <w:r>
        <w:rPr/>
        <w:t>万元</w:t>
      </w:r>
      <w:r>
        <w:rPr>
          <w:rFonts w:ascii="宋体" w:hAnsi="宋体" w:cs="宋体" w:eastAsia="宋体" w:hint="default"/>
          <w:b/>
          <w:bCs/>
        </w:rPr>
        <w:t>。</w:t>
      </w:r>
      <w:r>
        <w:rPr/>
        <w:t>报告期内，该合同正在履行中。</w:t>
      </w:r>
    </w:p>
    <w:p>
      <w:pPr>
        <w:pStyle w:val="BodyText"/>
        <w:spacing w:line="386" w:lineRule="auto" w:before="35"/>
        <w:ind w:left="153" w:right="169"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日本公司控股子公司北京荣科恒阳整流技术有限公司与中科院合肥物质科学研究院 </w:t>
      </w:r>
      <w:r>
        <w:rPr>
          <w:spacing w:val="-1"/>
        </w:rPr>
        <w:t>签订了《</w:t>
      </w:r>
      <w:r>
        <w:rPr>
          <w:rFonts w:ascii="Times New Roman" w:hAnsi="Times New Roman" w:cs="Times New Roman" w:eastAsia="Times New Roman" w:hint="default"/>
          <w:spacing w:val="-1"/>
        </w:rPr>
        <w:t>ITER</w:t>
      </w:r>
      <w:r>
        <w:rPr>
          <w:spacing w:val="-1"/>
        </w:rPr>
        <w:t>极向场变流器模块及外旁通生产制造合同》。合同金额：人民币</w:t>
      </w:r>
      <w:r>
        <w:rPr>
          <w:rFonts w:ascii="Times New Roman" w:hAnsi="Times New Roman" w:cs="Times New Roman" w:eastAsia="Times New Roman" w:hint="default"/>
          <w:spacing w:val="-1"/>
        </w:rPr>
        <w:t>25,163</w:t>
      </w:r>
      <w:r>
        <w:rPr>
          <w:spacing w:val="-1"/>
        </w:rPr>
        <w:t>万元，该合同正在履</w:t>
      </w:r>
      <w:r>
        <w:rPr>
          <w:spacing w:val="-77"/>
        </w:rPr>
        <w:t> </w:t>
      </w:r>
      <w:r>
        <w:rPr>
          <w:spacing w:val="-77"/>
        </w:rPr>
      </w:r>
      <w:r>
        <w:rPr/>
        <w:t>行中。</w:t>
      </w:r>
    </w:p>
    <w:p>
      <w:pPr>
        <w:spacing w:line="240" w:lineRule="auto" w:before="4"/>
        <w:rPr>
          <w:rFonts w:ascii="宋体" w:hAnsi="宋体" w:cs="宋体" w:eastAsia="宋体" w:hint="default"/>
          <w:sz w:val="20"/>
          <w:szCs w:val="20"/>
        </w:rPr>
      </w:pPr>
    </w:p>
    <w:p>
      <w:pPr>
        <w:pStyle w:val="Heading2"/>
        <w:spacing w:line="240" w:lineRule="auto"/>
        <w:ind w:right="5290"/>
        <w:jc w:val="left"/>
        <w:rPr>
          <w:b w:val="0"/>
          <w:bCs w:val="0"/>
        </w:rPr>
      </w:pPr>
      <w:r>
        <w:rPr/>
        <w:t>六、公司子公司重要事项</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112" w:firstLine="48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日，本公司控股子公司北京信力筑正新能源技术股份有限公司（以下简称</w:t>
      </w:r>
      <w:r>
        <w:rPr>
          <w:rFonts w:ascii="Times New Roman" w:hAnsi="Times New Roman" w:cs="Times New Roman" w:eastAsia="Times New Roman" w:hint="default"/>
        </w:rPr>
        <w:t>“</w:t>
      </w:r>
      <w:r>
        <w:rPr/>
        <w:t>信力筑正</w:t>
      </w:r>
      <w:r>
        <w:rPr>
          <w:rFonts w:ascii="Times New Roman" w:hAnsi="Times New Roman" w:cs="Times New Roman" w:eastAsia="Times New Roman" w:hint="default"/>
        </w:rPr>
        <w:t>”</w:t>
      </w:r>
      <w:r>
        <w:rPr/>
        <w:t>） 与江西恒大高新技术股份有限公司（以下简称</w:t>
      </w:r>
      <w:r>
        <w:rPr>
          <w:rFonts w:ascii="Times New Roman" w:hAnsi="Times New Roman" w:cs="Times New Roman" w:eastAsia="Times New Roman" w:hint="default"/>
        </w:rPr>
        <w:t>“</w:t>
      </w:r>
      <w:r>
        <w:rPr/>
        <w:t>恒大高新</w:t>
      </w:r>
      <w:r>
        <w:rPr>
          <w:rFonts w:ascii="Times New Roman" w:hAnsi="Times New Roman" w:cs="Times New Roman" w:eastAsia="Times New Roman" w:hint="default"/>
        </w:rPr>
        <w:t>”</w:t>
      </w:r>
      <w:r>
        <w:rPr/>
        <w:t>）签署了《股份认购协议书》，恒大高新拟出资 </w:t>
      </w:r>
      <w:r>
        <w:rPr>
          <w:rFonts w:ascii="Times New Roman" w:hAnsi="Times New Roman" w:cs="Times New Roman" w:eastAsia="Times New Roman" w:hint="default"/>
        </w:rPr>
        <w:t>7,160</w:t>
      </w:r>
      <w:r>
        <w:rPr/>
        <w:t>万元人民币，认购信力筑正</w:t>
      </w:r>
      <w:r>
        <w:rPr>
          <w:rFonts w:ascii="Times New Roman" w:hAnsi="Times New Roman" w:cs="Times New Roman" w:eastAsia="Times New Roman" w:hint="default"/>
        </w:rPr>
        <w:t>2,000</w:t>
      </w:r>
      <w:r>
        <w:rPr/>
        <w:t>万股股份。</w:t>
      </w:r>
    </w:p>
    <w:p>
      <w:pPr>
        <w:pStyle w:val="BodyText"/>
        <w:spacing w:line="386" w:lineRule="auto" w:before="35"/>
        <w:ind w:right="169" w:firstLine="480"/>
        <w:jc w:val="left"/>
      </w:pPr>
      <w:r>
        <w:rPr>
          <w:spacing w:val="-1"/>
        </w:rPr>
        <w:t>同时，恒大高新公司协议受让信力筑正自然人股东张春生所持有的信力筑正</w:t>
      </w:r>
      <w:r>
        <w:rPr>
          <w:rFonts w:ascii="Times New Roman" w:hAnsi="Times New Roman" w:cs="Times New Roman" w:eastAsia="Times New Roman" w:hint="default"/>
          <w:spacing w:val="-1"/>
        </w:rPr>
        <w:t>300.84</w:t>
      </w:r>
      <w:r>
        <w:rPr>
          <w:spacing w:val="-1"/>
        </w:rPr>
        <w:t>万股股份；协议受</w:t>
      </w:r>
      <w:r>
        <w:rPr/>
        <w:t> 让信力筑正自然人股东戴东所持有的信力筑正</w:t>
      </w:r>
      <w:r>
        <w:rPr>
          <w:rFonts w:ascii="Times New Roman" w:hAnsi="Times New Roman" w:cs="Times New Roman" w:eastAsia="Times New Roman" w:hint="default"/>
        </w:rPr>
        <w:t>99.16</w:t>
      </w:r>
      <w:r>
        <w:rPr/>
        <w:t>万股股份。</w:t>
      </w:r>
    </w:p>
    <w:p>
      <w:pPr>
        <w:spacing w:after="0" w:line="386" w:lineRule="auto"/>
        <w:jc w:val="left"/>
        <w:sectPr>
          <w:pgSz w:w="11910" w:h="16840"/>
          <w:pgMar w:header="747" w:footer="982" w:top="1060" w:bottom="1180" w:left="980" w:right="960"/>
        </w:sectPr>
      </w:pPr>
    </w:p>
    <w:p>
      <w:pPr>
        <w:spacing w:line="240" w:lineRule="auto" w:before="0"/>
        <w:rPr>
          <w:rFonts w:ascii="宋体" w:hAnsi="宋体" w:cs="宋体" w:eastAsia="宋体" w:hint="default"/>
          <w:sz w:val="20"/>
          <w:szCs w:val="20"/>
        </w:rPr>
      </w:pPr>
    </w:p>
    <w:p>
      <w:pPr>
        <w:pStyle w:val="BodyText"/>
        <w:spacing w:line="386" w:lineRule="auto" w:before="174"/>
        <w:ind w:left="153" w:right="138" w:firstLine="480"/>
        <w:jc w:val="left"/>
      </w:pPr>
      <w:r>
        <w:rPr/>
        <w:t>本次增资前本公司持有信力筑正股份</w:t>
      </w:r>
      <w:r>
        <w:rPr>
          <w:rFonts w:ascii="Times New Roman" w:hAnsi="Times New Roman" w:cs="Times New Roman" w:eastAsia="Times New Roman" w:hint="default"/>
        </w:rPr>
        <w:t>3,008.3568</w:t>
      </w:r>
      <w:r>
        <w:rPr/>
        <w:t>万股，占该公司总股本的</w:t>
      </w:r>
      <w:r>
        <w:rPr>
          <w:rFonts w:ascii="Times New Roman" w:hAnsi="Times New Roman" w:cs="Times New Roman" w:eastAsia="Times New Roman" w:hint="default"/>
        </w:rPr>
        <w:t>50.14%</w:t>
      </w:r>
      <w:r>
        <w:rPr/>
        <w:t>，本次增资后本公司 持有信力筑正股份</w:t>
      </w:r>
      <w:r>
        <w:rPr>
          <w:rFonts w:ascii="Times New Roman" w:hAnsi="Times New Roman" w:cs="Times New Roman" w:eastAsia="Times New Roman" w:hint="default"/>
        </w:rPr>
        <w:t>3,008.3568</w:t>
      </w:r>
      <w:r>
        <w:rPr/>
        <w:t>万股，占该公司总股本的</w:t>
      </w:r>
      <w:r>
        <w:rPr>
          <w:rFonts w:ascii="Times New Roman" w:hAnsi="Times New Roman" w:cs="Times New Roman" w:eastAsia="Times New Roman" w:hint="default"/>
        </w:rPr>
        <w:t>37.60%</w:t>
      </w:r>
      <w:r>
        <w:rPr/>
        <w:t>，仍为信力筑正第一大股东。</w:t>
      </w:r>
    </w:p>
    <w:p>
      <w:pPr>
        <w:pStyle w:val="BodyText"/>
        <w:spacing w:line="386" w:lineRule="auto" w:before="35"/>
        <w:ind w:left="153" w:right="0" w:firstLine="336"/>
        <w:jc w:val="left"/>
      </w:pPr>
      <w:r>
        <w:rPr/>
        <w:t>本次增资及受让股份后恒大高新持有信力筑正股份</w:t>
      </w:r>
      <w:r>
        <w:rPr>
          <w:rFonts w:ascii="Times New Roman" w:hAnsi="Times New Roman" w:cs="Times New Roman" w:eastAsia="Times New Roman" w:hint="default"/>
        </w:rPr>
        <w:t>2,400</w:t>
      </w:r>
      <w:r>
        <w:rPr/>
        <w:t>万股，占该公司总股本的</w:t>
      </w:r>
      <w:r>
        <w:rPr>
          <w:rFonts w:ascii="Times New Roman" w:hAnsi="Times New Roman" w:cs="Times New Roman" w:eastAsia="Times New Roman" w:hint="default"/>
        </w:rPr>
        <w:t>30%</w:t>
      </w:r>
      <w:r>
        <w:rPr/>
        <w:t>，为信力筑正第 二大股东。</w:t>
      </w:r>
    </w:p>
    <w:p>
      <w:pPr>
        <w:pStyle w:val="BodyText"/>
        <w:spacing w:line="240" w:lineRule="auto" w:before="65"/>
        <w:ind w:left="489" w:right="0"/>
        <w:jc w:val="left"/>
      </w:pPr>
      <w:r>
        <w:rPr/>
        <w:t>信力筑正此次增资完成后，注册资本及实收资本由</w:t>
      </w:r>
      <w:r>
        <w:rPr>
          <w:rFonts w:ascii="Times New Roman" w:hAnsi="Times New Roman" w:cs="Times New Roman" w:eastAsia="Times New Roman" w:hint="default"/>
        </w:rPr>
        <w:t>6,000</w:t>
      </w:r>
      <w:r>
        <w:rPr/>
        <w:t>万元人民币增加至</w:t>
      </w:r>
      <w:r>
        <w:rPr>
          <w:rFonts w:ascii="Times New Roman" w:hAnsi="Times New Roman" w:cs="Times New Roman" w:eastAsia="Times New Roman" w:hint="default"/>
        </w:rPr>
        <w:t>8,000</w:t>
      </w:r>
      <w:r>
        <w:rPr/>
        <w:t>万元人民币。</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r>
        <w:rPr/>
        <w:t>七、公司发行公司债券的情况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left="153" w:right="0" w:firstLine="384"/>
        <w:jc w:val="left"/>
      </w:pPr>
      <w:r>
        <w:rPr/>
        <w:t>经中国证监会证监许可</w:t>
      </w:r>
      <w:r>
        <w:rPr>
          <w:rFonts w:ascii="Times New Roman" w:hAnsi="Times New Roman" w:cs="Times New Roman" w:eastAsia="Times New Roman" w:hint="default"/>
        </w:rPr>
        <w:t>[2012]1736</w:t>
      </w:r>
      <w:r>
        <w:rPr/>
        <w:t>号《关于核准荣信电力电子股份有限公司公开发行公司债券的批 复》，核准公司向社会公开发行面值不超过</w:t>
      </w:r>
      <w:r>
        <w:rPr>
          <w:rFonts w:ascii="Times New Roman" w:hAnsi="Times New Roman" w:cs="Times New Roman" w:eastAsia="Times New Roman" w:hint="default"/>
        </w:rPr>
        <w:t>80,000</w:t>
      </w:r>
      <w:r>
        <w:rPr/>
        <w:t>万元的公司债券。</w:t>
      </w:r>
      <w:r>
        <w:rPr>
          <w:rFonts w:ascii="Times New Roman" w:hAnsi="Times New Roman" w:cs="Times New Roman" w:eastAsia="Times New Roman" w:hint="default"/>
        </w:rPr>
        <w:t>2013</w:t>
      </w:r>
      <w:r>
        <w:rPr/>
        <w:t>年荣信电力电子股份有限公司公 司债券（第一期）的发行工作已全部完成，证券代码：</w:t>
      </w:r>
      <w:r>
        <w:rPr>
          <w:rFonts w:ascii="Times New Roman" w:hAnsi="Times New Roman" w:cs="Times New Roman" w:eastAsia="Times New Roman" w:hint="default"/>
        </w:rPr>
        <w:t>112145</w:t>
      </w:r>
      <w:r>
        <w:rPr/>
        <w:t>，证券简称：</w:t>
      </w:r>
      <w:r>
        <w:rPr>
          <w:rFonts w:ascii="Times New Roman" w:hAnsi="Times New Roman" w:cs="Times New Roman" w:eastAsia="Times New Roman" w:hint="default"/>
        </w:rPr>
        <w:t>13</w:t>
      </w:r>
      <w:r>
        <w:rPr/>
        <w:t>荣信</w:t>
      </w:r>
      <w:r>
        <w:rPr>
          <w:rFonts w:ascii="Times New Roman" w:hAnsi="Times New Roman" w:cs="Times New Roman" w:eastAsia="Times New Roman" w:hint="default"/>
        </w:rPr>
        <w:t>01</w:t>
      </w:r>
      <w:r>
        <w:rPr/>
        <w:t>，发行总额</w:t>
      </w:r>
      <w:r>
        <w:rPr>
          <w:rFonts w:ascii="Times New Roman" w:hAnsi="Times New Roman" w:cs="Times New Roman" w:eastAsia="Times New Roman" w:hint="default"/>
        </w:rPr>
        <w:t>6</w:t>
      </w:r>
      <w:r>
        <w:rPr/>
        <w:t>亿元， 票面利率</w:t>
      </w:r>
      <w:r>
        <w:rPr>
          <w:rFonts w:ascii="Times New Roman" w:hAnsi="Times New Roman" w:cs="Times New Roman" w:eastAsia="Times New Roman" w:hint="default"/>
        </w:rPr>
        <w:t>5.90%</w:t>
      </w:r>
      <w:r>
        <w:rPr/>
        <w:t>，债券期限</w:t>
      </w:r>
      <w:r>
        <w:rPr>
          <w:rFonts w:ascii="Times New Roman" w:hAnsi="Times New Roman" w:cs="Times New Roman" w:eastAsia="Times New Roman" w:hint="default"/>
        </w:rPr>
        <w:t>5</w:t>
      </w:r>
      <w:r>
        <w:rPr/>
        <w:t>年，附第</w:t>
      </w:r>
      <w:r>
        <w:rPr>
          <w:rFonts w:ascii="Times New Roman" w:hAnsi="Times New Roman" w:cs="Times New Roman" w:eastAsia="Times New Roman" w:hint="default"/>
        </w:rPr>
        <w:t>3</w:t>
      </w:r>
      <w:r>
        <w:rPr/>
        <w:t>年发行人上调票面利率选择权和投资者回售选择权，本期债券的起 </w:t>
      </w:r>
      <w:r>
        <w:rPr>
          <w:spacing w:val="-1"/>
        </w:rPr>
        <w:t>息日为发行首日，即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18</w:t>
      </w:r>
      <w:r>
        <w:rPr>
          <w:spacing w:val="-1"/>
        </w:rPr>
        <w:t>日。经深交所</w:t>
      </w:r>
      <w:r>
        <w:rPr>
          <w:rFonts w:ascii="Times New Roman" w:hAnsi="Times New Roman" w:cs="Times New Roman" w:eastAsia="Times New Roman" w:hint="default"/>
          <w:spacing w:val="-1"/>
        </w:rPr>
        <w:t>“</w:t>
      </w:r>
      <w:r>
        <w:rPr>
          <w:spacing w:val="-1"/>
        </w:rPr>
        <w:t>深证上</w:t>
      </w:r>
      <w:r>
        <w:rPr>
          <w:rFonts w:ascii="Times New Roman" w:hAnsi="Times New Roman" w:cs="Times New Roman" w:eastAsia="Times New Roman" w:hint="default"/>
          <w:spacing w:val="-1"/>
        </w:rPr>
        <w:t>[2013]58</w:t>
      </w:r>
      <w:r>
        <w:rPr>
          <w:spacing w:val="-1"/>
        </w:rPr>
        <w:t>号文同意</w:t>
      </w:r>
      <w:r>
        <w:rPr>
          <w:rFonts w:ascii="Times New Roman" w:hAnsi="Times New Roman" w:cs="Times New Roman" w:eastAsia="Times New Roman" w:hint="default"/>
          <w:spacing w:val="-1"/>
        </w:rPr>
        <w:t>”</w:t>
      </w:r>
      <w:r>
        <w:rPr>
          <w:spacing w:val="-1"/>
        </w:rPr>
        <w:t>，本期债券于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8</w:t>
      </w:r>
      <w:r>
        <w:rPr>
          <w:spacing w:val="-1"/>
        </w:rPr>
        <w:t>日起在</w:t>
      </w:r>
      <w:r>
        <w:rPr>
          <w:spacing w:val="-95"/>
        </w:rPr>
        <w:t> </w:t>
      </w:r>
      <w:r>
        <w:rPr/>
        <w:t>深交所集中竞价系统和综合协议平台双边挂牌交易。</w:t>
      </w:r>
    </w:p>
    <w:p>
      <w:pPr>
        <w:spacing w:after="0" w:line="386"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032"/>
        <w:gridCol w:w="845"/>
        <w:gridCol w:w="844"/>
        <w:gridCol w:w="844"/>
        <w:gridCol w:w="844"/>
        <w:gridCol w:w="842"/>
        <w:gridCol w:w="844"/>
        <w:gridCol w:w="842"/>
        <w:gridCol w:w="815"/>
        <w:gridCol w:w="814"/>
      </w:tblGrid>
      <w:tr>
        <w:trPr>
          <w:trHeight w:val="402" w:hRule="exact"/>
        </w:trPr>
        <w:tc>
          <w:tcPr>
            <w:tcW w:w="2032" w:type="dxa"/>
            <w:vMerge w:val="restart"/>
            <w:tcBorders>
              <w:top w:val="single" w:sz="4" w:space="0" w:color="000000"/>
              <w:left w:val="single" w:sz="4" w:space="0" w:color="000000"/>
              <w:right w:val="single" w:sz="4" w:space="0" w:color="000000"/>
            </w:tcBorders>
            <w:shd w:val="clear" w:color="auto" w:fill="D3D3D3"/>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32" w:type="dxa"/>
            <w:vMerge/>
            <w:tcBorders>
              <w:left w:val="single" w:sz="4" w:space="0" w:color="000000"/>
              <w:bottom w:val="single" w:sz="4" w:space="0" w:color="000000"/>
              <w:right w:val="single" w:sz="4" w:space="0" w:color="000000"/>
            </w:tcBorders>
            <w:shd w:val="clear" w:color="auto" w:fill="D3D3D3"/>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50,734,89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10.07%</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51,724,89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10.26%</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50,734,89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10.07%</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51,724,89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10.26%</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453,265,1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89.93%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452,275,1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89.74%</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453,265,1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89.93%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452,275,1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89.74%</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240" w:lineRule="auto" w:before="12"/>
        <w:rPr>
          <w:rFonts w:ascii="宋体" w:hAnsi="宋体" w:cs="宋体" w:eastAsia="宋体" w:hint="default"/>
          <w:sz w:val="12"/>
          <w:szCs w:val="12"/>
        </w:rPr>
      </w:pPr>
    </w:p>
    <w:p>
      <w:pPr>
        <w:pStyle w:val="BodyText"/>
        <w:spacing w:line="386" w:lineRule="auto"/>
        <w:ind w:right="162"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日公司董事长左强通过二级市场买入公司股票</w:t>
      </w:r>
      <w:r>
        <w:rPr>
          <w:rFonts w:ascii="Times New Roman" w:hAnsi="Times New Roman" w:cs="Times New Roman" w:eastAsia="Times New Roman" w:hint="default"/>
        </w:rPr>
        <w:t>320,000</w:t>
      </w:r>
      <w:r>
        <w:rPr/>
        <w:t>股，根据相关规定，增加高管限售 股份</w:t>
      </w:r>
      <w:r>
        <w:rPr>
          <w:rFonts w:ascii="Times New Roman" w:hAnsi="Times New Roman" w:cs="Times New Roman" w:eastAsia="Times New Roman" w:hint="default"/>
        </w:rPr>
        <w:t>240,000</w:t>
      </w:r>
      <w:r>
        <w:rPr/>
        <w:t>股，相应减少无限售条件股份</w:t>
      </w:r>
      <w:r>
        <w:rPr>
          <w:rFonts w:ascii="Times New Roman" w:hAnsi="Times New Roman" w:cs="Times New Roman" w:eastAsia="Times New Roman" w:hint="default"/>
        </w:rPr>
        <w:t>240,000</w:t>
      </w:r>
      <w:r>
        <w:rPr/>
        <w:t>股。</w:t>
      </w:r>
    </w:p>
    <w:p>
      <w:pPr>
        <w:pStyle w:val="BodyText"/>
        <w:spacing w:line="386" w:lineRule="auto" w:before="35"/>
        <w:ind w:right="0" w:firstLine="42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29</w:t>
      </w:r>
      <w:r>
        <w:rPr>
          <w:spacing w:val="-1"/>
        </w:rPr>
        <w:t>日公司董事长左强通过二级市场买入公司股票</w:t>
      </w:r>
      <w:r>
        <w:rPr>
          <w:rFonts w:ascii="Times New Roman" w:hAnsi="Times New Roman" w:cs="Times New Roman" w:eastAsia="Times New Roman" w:hint="default"/>
          <w:spacing w:val="-1"/>
        </w:rPr>
        <w:t>1,000,000</w:t>
      </w:r>
      <w:r>
        <w:rPr>
          <w:spacing w:val="-1"/>
        </w:rPr>
        <w:t>股，根据相关规定，增加高管限</w:t>
      </w:r>
      <w:r>
        <w:rPr/>
        <w:t> 售股份</w:t>
      </w:r>
      <w:r>
        <w:rPr>
          <w:rFonts w:ascii="Times New Roman" w:hAnsi="Times New Roman" w:cs="Times New Roman" w:eastAsia="Times New Roman" w:hint="default"/>
        </w:rPr>
        <w:t>750,000</w:t>
      </w:r>
      <w:r>
        <w:rPr/>
        <w:t>股，相应减少无限售条件股份</w:t>
      </w:r>
      <w:r>
        <w:rPr>
          <w:rFonts w:ascii="Times New Roman" w:hAnsi="Times New Roman" w:cs="Times New Roman" w:eastAsia="Times New Roman" w:hint="default"/>
        </w:rPr>
        <w:t>750,000</w:t>
      </w:r>
      <w:r>
        <w:rPr/>
        <w:t>股。</w:t>
      </w:r>
    </w:p>
    <w:p>
      <w:pPr>
        <w:spacing w:before="10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240" w:lineRule="auto" w:before="10"/>
        <w:rPr>
          <w:rFonts w:ascii="宋体" w:hAnsi="宋体" w:cs="宋体" w:eastAsia="宋体" w:hint="default"/>
          <w:sz w:val="20"/>
          <w:szCs w:val="20"/>
        </w:rPr>
      </w:pPr>
    </w:p>
    <w:p>
      <w:pPr>
        <w:spacing w:line="489" w:lineRule="auto" w:before="0"/>
        <w:ind w:left="154" w:right="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8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5"/>
        <w:ind w:right="0"/>
        <w:jc w:val="left"/>
        <w:rPr>
          <w:b w:val="0"/>
          <w:bCs w:val="0"/>
        </w:rPr>
      </w:pPr>
      <w:r>
        <w:rPr/>
        <w:t>二、股东和实际控制人情况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28"/>
        <w:gridCol w:w="1369"/>
        <w:gridCol w:w="4103"/>
        <w:gridCol w:w="1368"/>
      </w:tblGrid>
      <w:tr>
        <w:trPr>
          <w:trHeight w:val="403" w:hRule="exact"/>
        </w:trPr>
        <w:tc>
          <w:tcPr>
            <w:tcW w:w="2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1" w:right="0"/>
              <w:jc w:val="left"/>
              <w:rPr>
                <w:rFonts w:ascii="Times New Roman" w:hAnsi="Times New Roman" w:cs="Times New Roman" w:eastAsia="Times New Roman" w:hint="default"/>
                <w:sz w:val="18"/>
                <w:szCs w:val="18"/>
              </w:rPr>
            </w:pPr>
            <w:r>
              <w:rPr>
                <w:rFonts w:ascii="Times New Roman"/>
                <w:sz w:val="18"/>
              </w:rPr>
              <w:t>40,196</w:t>
            </w:r>
          </w:p>
        </w:tc>
        <w:tc>
          <w:tcPr>
            <w:tcW w:w="4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1" w:right="0"/>
              <w:jc w:val="left"/>
              <w:rPr>
                <w:rFonts w:ascii="Times New Roman" w:hAnsi="Times New Roman" w:cs="Times New Roman" w:eastAsia="Times New Roman" w:hint="default"/>
                <w:sz w:val="18"/>
                <w:szCs w:val="18"/>
              </w:rPr>
            </w:pPr>
            <w:r>
              <w:rPr>
                <w:rFonts w:ascii="Times New Roman"/>
                <w:sz w:val="18"/>
              </w:rPr>
              <w:t>45,488</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60.201202pt;margin-top:699.179993pt;width:374.65pt;height:35.25pt;mso-position-horizontal-relative:page;mso-position-vertical-relative:page;z-index:-963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7"/>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193.320007pt;margin-top:726.599976pt;width:341.55pt;height:7.8pt;mso-position-horizontal-relative:page;mso-position-vertical-relative:page;z-index:-963592" coordorigin="3866,14532" coordsize="6831,156">
            <v:shape style="position:absolute;left:3866;top:14532;width:6831;height:156" coordorigin="3866,14532" coordsize="6831,156" path="m3866,14688l10697,14688,10697,14532,3866,14532,3866,1468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0"/>
        <w:gridCol w:w="1368"/>
        <w:gridCol w:w="1368"/>
        <w:gridCol w:w="684"/>
        <w:gridCol w:w="684"/>
        <w:gridCol w:w="684"/>
        <w:gridCol w:w="684"/>
        <w:gridCol w:w="1368"/>
        <w:gridCol w:w="1368"/>
      </w:tblGrid>
      <w:tr>
        <w:trPr>
          <w:trHeight w:val="402" w:hRule="exact"/>
        </w:trPr>
        <w:tc>
          <w:tcPr>
            <w:tcW w:w="13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7"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36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49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深圳市深港产学 研创业投资有限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74,073,</w:t>
            </w:r>
          </w:p>
          <w:p>
            <w:pPr>
              <w:pStyle w:val="TableParagraph"/>
              <w:spacing w:line="240" w:lineRule="auto" w:before="106"/>
              <w:ind w:left="381" w:right="0"/>
              <w:jc w:val="left"/>
              <w:rPr>
                <w:rFonts w:ascii="Times New Roman" w:hAnsi="Times New Roman" w:cs="Times New Roman" w:eastAsia="Times New Roman" w:hint="default"/>
                <w:sz w:val="18"/>
                <w:szCs w:val="18"/>
              </w:rPr>
            </w:pPr>
            <w:r>
              <w:rPr>
                <w:rFonts w:ascii="Times New Roman"/>
                <w:sz w:val="18"/>
              </w:rPr>
              <w:t>316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74,073,</w:t>
            </w:r>
          </w:p>
          <w:p>
            <w:pPr>
              <w:pStyle w:val="TableParagraph"/>
              <w:spacing w:line="240" w:lineRule="auto" w:before="106"/>
              <w:ind w:left="381" w:right="0"/>
              <w:jc w:val="left"/>
              <w:rPr>
                <w:rFonts w:ascii="Times New Roman" w:hAnsi="Times New Roman" w:cs="Times New Roman" w:eastAsia="Times New Roman" w:hint="default"/>
                <w:sz w:val="18"/>
                <w:szCs w:val="18"/>
              </w:rPr>
            </w:pPr>
            <w:r>
              <w:rPr>
                <w:rFonts w:ascii="Times New Roman"/>
                <w:sz w:val="18"/>
              </w:rPr>
              <w:t>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73,402,050</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11.62%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58,589,</w:t>
            </w:r>
          </w:p>
          <w:p>
            <w:pPr>
              <w:pStyle w:val="TableParagraph"/>
              <w:spacing w:line="240" w:lineRule="auto" w:before="106"/>
              <w:ind w:left="381" w:right="0"/>
              <w:jc w:val="left"/>
              <w:rPr>
                <w:rFonts w:ascii="Times New Roman" w:hAnsi="Times New Roman" w:cs="Times New Roman" w:eastAsia="Times New Roman" w:hint="default"/>
                <w:sz w:val="18"/>
                <w:szCs w:val="18"/>
              </w:rPr>
            </w:pPr>
            <w:r>
              <w:rPr>
                <w:rFonts w:ascii="Times New Roman"/>
                <w:sz w:val="18"/>
              </w:rPr>
              <w:t>732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132000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43,942,</w:t>
            </w:r>
          </w:p>
          <w:p>
            <w:pPr>
              <w:pStyle w:val="TableParagraph"/>
              <w:spacing w:line="240" w:lineRule="auto" w:before="106"/>
              <w:ind w:left="381" w:right="0"/>
              <w:jc w:val="left"/>
              <w:rPr>
                <w:rFonts w:ascii="Times New Roman" w:hAnsi="Times New Roman" w:cs="Times New Roman" w:eastAsia="Times New Roman" w:hint="default"/>
                <w:sz w:val="18"/>
                <w:szCs w:val="18"/>
              </w:rPr>
            </w:pPr>
            <w:r>
              <w:rPr>
                <w:rFonts w:ascii="Times New Roman"/>
                <w:sz w:val="18"/>
              </w:rPr>
              <w:t>299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14,647,</w:t>
            </w:r>
          </w:p>
          <w:p>
            <w:pPr>
              <w:pStyle w:val="TableParagraph"/>
              <w:spacing w:line="240" w:lineRule="auto" w:before="106"/>
              <w:ind w:left="381" w:right="0"/>
              <w:jc w:val="left"/>
              <w:rPr>
                <w:rFonts w:ascii="Times New Roman" w:hAnsi="Times New Roman" w:cs="Times New Roman" w:eastAsia="Times New Roman" w:hint="default"/>
                <w:sz w:val="18"/>
                <w:szCs w:val="18"/>
              </w:rPr>
            </w:pPr>
            <w:r>
              <w:rPr>
                <w:rFonts w:ascii="Times New Roman"/>
                <w:sz w:val="18"/>
              </w:rPr>
              <w:t>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35,000,000</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深圳市天图创业 投资有限公司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28,900,</w:t>
            </w:r>
          </w:p>
          <w:p>
            <w:pPr>
              <w:pStyle w:val="TableParagraph"/>
              <w:spacing w:line="240" w:lineRule="auto" w:before="106"/>
              <w:ind w:left="381"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28,900,</w:t>
            </w:r>
          </w:p>
          <w:p>
            <w:pPr>
              <w:pStyle w:val="TableParagraph"/>
              <w:spacing w:line="240" w:lineRule="auto" w:before="106"/>
              <w:ind w:left="381" w:right="0"/>
              <w:jc w:val="lef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12,000,000</w:t>
            </w:r>
          </w:p>
        </w:tc>
      </w:tr>
      <w:tr>
        <w:trPr>
          <w:trHeight w:val="1338"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中国农业银行－ 中邮核心成长股 票型证券投资基 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17,311,7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-720538</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17,311,7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中国建设银行－ 华夏收入股票型 证券投资基金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12,112,9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434498</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12,112,9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中国太平洋人寿 保险股份有限公 司－传统－普通 保险产品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1.29%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480406</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中国人民健康保 险股份有限公司</w:t>
            </w:r>
          </w:p>
          <w:p>
            <w:pPr>
              <w:pStyle w:val="TableParagraph"/>
              <w:spacing w:line="319" w:lineRule="auto" w:before="19"/>
              <w:ind w:left="22" w:right="65"/>
              <w:jc w:val="left"/>
              <w:rPr>
                <w:rFonts w:ascii="宋体" w:hAnsi="宋体" w:cs="宋体" w:eastAsia="宋体" w:hint="default"/>
                <w:sz w:val="18"/>
                <w:szCs w:val="18"/>
              </w:rPr>
            </w:pPr>
            <w:r>
              <w:rPr>
                <w:rFonts w:ascii="宋体" w:hAnsi="宋体" w:cs="宋体" w:eastAsia="宋体" w:hint="default"/>
                <w:sz w:val="18"/>
                <w:szCs w:val="18"/>
              </w:rPr>
              <w:t>－传统－普通保 险产品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1.14%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5,737,1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380466</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5,737,1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新乡市卫滨区营 道社会经济咨询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中国建设银行－ 华夏盛世精选股 票型证券投资基 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465360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新华人寿保险股 份有限公司－分 红－团体分红</w:t>
            </w:r>
          </w:p>
          <w:p>
            <w:pPr>
              <w:pStyle w:val="TableParagraph"/>
              <w:spacing w:line="240" w:lineRule="auto" w:before="2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-018L-FH001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0.89%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179000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c>
          <w:tcPr>
            <w:tcW w:w="6840" w:type="dxa"/>
            <w:gridSpan w:val="7"/>
            <w:tcBorders>
              <w:top w:val="single" w:sz="4" w:space="0" w:color="000000"/>
              <w:left w:val="single" w:sz="4" w:space="0" w:color="000000"/>
              <w:bottom w:val="single" w:sz="4" w:space="0" w:color="000000"/>
              <w:right w:val="single" w:sz="4" w:space="0" w:color="000000"/>
            </w:tcBorders>
          </w:tcPr>
          <w:p>
            <w:pPr>
              <w:pStyle w:val="TableParagraph"/>
              <w:spacing w:line="156"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341.55pt;height:7.8pt;mso-position-horizontal-relative:char;mso-position-vertical-relative:line" coordorigin="0,0" coordsize="6831,156">
                  <v:group style="position:absolute;left:0;top:0;width:6831;height:156" coordorigin="0,0" coordsize="6831,156">
                    <v:shape style="position:absolute;left:0;top:0;width:6831;height:156" coordorigin="0,0" coordsize="6831,156" path="m0,156l6830,156,6830,0,0,0,0,156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74"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w:t>
            </w:r>
          </w:p>
        </w:tc>
        <w:tc>
          <w:tcPr>
            <w:tcW w:w="6840"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公司控股股东为左强和深圳市深港产学研创业投资有限公司，与其他前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 </w:t>
            </w:r>
            <w:r>
              <w:rPr>
                <w:rFonts w:ascii="宋体" w:hAnsi="宋体" w:cs="宋体" w:eastAsia="宋体" w:hint="default"/>
                <w:spacing w:val="-2"/>
                <w:sz w:val="18"/>
                <w:szCs w:val="18"/>
              </w:rPr>
              <w:t>不存在关联关系，也不属于《上市公司股东持股变动信息披露管理办法》中规定的一致</w:t>
            </w:r>
          </w:p>
        </w:tc>
      </w:tr>
    </w:tbl>
    <w:p>
      <w:pPr>
        <w:spacing w:after="0" w:line="30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p>
      <w:pPr>
        <w:spacing w:before="44"/>
        <w:ind w:left="0" w:right="158" w:firstLine="0"/>
        <w:jc w:val="right"/>
        <w:rPr>
          <w:rFonts w:ascii="宋体" w:hAnsi="宋体" w:cs="宋体" w:eastAsia="宋体" w:hint="default"/>
          <w:sz w:val="18"/>
          <w:szCs w:val="18"/>
        </w:rPr>
      </w:pPr>
      <w:r>
        <w:rPr/>
        <w:pict>
          <v:shape style="position:absolute;margin-left:56.459999pt;margin-top:-467.468018pt;width:479.1pt;height:522.9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28"/>
                    <w:gridCol w:w="4104"/>
                    <w:gridCol w:w="1368"/>
                    <w:gridCol w:w="1368"/>
                  </w:tblGrid>
                  <w:tr>
                    <w:trPr>
                      <w:trHeight w:val="362" w:hRule="exact"/>
                    </w:trPr>
                    <w:tc>
                      <w:tcPr>
                        <w:tcW w:w="2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行动人。</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728" w:type="dxa"/>
                        <w:tcBorders>
                          <w:top w:val="single" w:sz="4" w:space="0" w:color="000000"/>
                          <w:left w:val="single" w:sz="4" w:space="0" w:color="000000"/>
                          <w:bottom w:val="nil" w:sz="6" w:space="0" w:color="auto"/>
                          <w:right w:val="single" w:sz="4" w:space="0" w:color="000000"/>
                        </w:tcBorders>
                        <w:shd w:val="clear" w:color="auto" w:fill="D3D3D3"/>
                      </w:tcPr>
                      <w:p>
                        <w:pPr/>
                      </w:p>
                    </w:tc>
                    <w:tc>
                      <w:tcPr>
                        <w:tcW w:w="41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7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4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728" w:type="dxa"/>
                        <w:vMerge/>
                        <w:tcBorders>
                          <w:left w:val="single" w:sz="4" w:space="0" w:color="000000"/>
                          <w:bottom w:val="nil" w:sz="6" w:space="0" w:color="auto"/>
                          <w:right w:val="single" w:sz="4" w:space="0" w:color="000000"/>
                        </w:tcBorders>
                        <w:shd w:val="clear" w:color="auto" w:fill="D3D3D3"/>
                      </w:tcPr>
                      <w:p>
                        <w:pPr/>
                      </w:p>
                    </w:tc>
                    <w:tc>
                      <w:tcPr>
                        <w:tcW w:w="4104" w:type="dxa"/>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8" w:type="dxa"/>
                        <w:tcBorders>
                          <w:top w:val="nil" w:sz="6" w:space="0" w:color="auto"/>
                          <w:left w:val="single" w:sz="4" w:space="0" w:color="000000"/>
                          <w:bottom w:val="single" w:sz="4" w:space="0" w:color="000000"/>
                          <w:right w:val="single" w:sz="4" w:space="0" w:color="000000"/>
                        </w:tcBorders>
                        <w:shd w:val="clear" w:color="auto" w:fill="D3D3D3"/>
                      </w:tcPr>
                      <w:p>
                        <w:pPr/>
                      </w:p>
                    </w:tc>
                    <w:tc>
                      <w:tcPr>
                        <w:tcW w:w="41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 公司</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74,073,316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74,073,316</w:t>
                        </w: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深圳市天图创业投资有限公司</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28,900,000</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中国农业银行－中邮核心成长股 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17,311,700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17,311,700</w:t>
                        </w: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14,647,433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14,647,433</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中国建设银行－华夏收入股票型 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12,112,936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12,112,936</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中国太平洋人寿保险股份有限公 司－传统－普通保险产品</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6,504,979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6,504,979</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中国人民健康保险股份有限公司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－传统－普通保险产品</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5,737,142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5,737,142</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新乡市卫滨区营道社会经济咨询 有限公司</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5,636,785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5,636,785</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中国建设银行－华夏盛世精选股 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5,264,822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5,264,822</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新华人寿保险股份有限公司－分 红－团体分红</w:t>
                        </w:r>
                        <w:r>
                          <w:rPr>
                            <w:rFonts w:ascii="Times New Roman" w:hAnsi="Times New Roman" w:cs="Times New Roman" w:eastAsia="Times New Roman" w:hint="default"/>
                            <w:sz w:val="18"/>
                            <w:szCs w:val="18"/>
                          </w:rPr>
                          <w:t>-018L-FH001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深</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4,490,000</w:t>
                        </w:r>
                      </w:p>
                    </w:tc>
                  </w:tr>
                  <w:tr>
                    <w:trPr>
                      <w:trHeight w:val="1650" w:hRule="exact"/>
                    </w:trPr>
                    <w:tc>
                      <w:tcPr>
                        <w:tcW w:w="2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公司控股股东为左强和深圳市深港产学研创业投资有限公司，与其他前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名股东及前</w:t>
                        </w:r>
                      </w:p>
                      <w:p>
                        <w:pPr>
                          <w:pStyle w:val="TableParagraph"/>
                          <w:spacing w:line="307" w:lineRule="auto" w:before="61"/>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名无限售条件股东之间不存在关联关系，也不属于《上市公司股东持股变动信息披 露管理办法》中规定的一致行动人；未知以上无限售条件股东之间是否存在关联关系， 未知以上无限售条件股东与上述前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名股东之间是否存在关联关系，也未知以上无限 </w:t>
                        </w:r>
                        <w:r>
                          <w:rPr>
                            <w:rFonts w:ascii="宋体" w:hAnsi="宋体" w:cs="宋体" w:eastAsia="宋体" w:hint="default"/>
                            <w:spacing w:val="-4"/>
                            <w:sz w:val="18"/>
                            <w:szCs w:val="18"/>
                          </w:rPr>
                          <w:t>售条件股东是否属于《上市公司股东持股变动信息披露管理办法》中规定的一致行动人</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44"/>
        <w:ind w:left="0" w:right="160" w:firstLine="0"/>
        <w:jc w:val="right"/>
        <w:rPr>
          <w:rFonts w:ascii="宋体" w:hAnsi="宋体" w:cs="宋体" w:eastAsia="宋体" w:hint="default"/>
          <w:sz w:val="18"/>
          <w:szCs w:val="18"/>
        </w:rPr>
      </w:pPr>
      <w:r>
        <w:rPr/>
        <w:pict>
          <v:shape style="position:absolute;margin-left:56.459999pt;margin-top:-87.877975pt;width:479.1pt;height:105.6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2"/>
                    <w:gridCol w:w="888"/>
                    <w:gridCol w:w="1801"/>
                    <w:gridCol w:w="1801"/>
                    <w:gridCol w:w="1804"/>
                  </w:tblGrid>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91"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6"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深圳市深港产学研创业投 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厉伟</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27926773-X</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9"/>
                          <w:jc w:val="both"/>
                          <w:rPr>
                            <w:rFonts w:ascii="宋体" w:hAnsi="宋体" w:cs="宋体" w:eastAsia="宋体" w:hint="default"/>
                            <w:sz w:val="18"/>
                            <w:szCs w:val="18"/>
                          </w:rPr>
                        </w:pPr>
                        <w:r>
                          <w:rPr>
                            <w:rFonts w:ascii="宋体" w:hAnsi="宋体" w:cs="宋体" w:eastAsia="宋体" w:hint="default"/>
                            <w:sz w:val="18"/>
                            <w:szCs w:val="18"/>
                          </w:rPr>
                          <w:t>直接投资高新技术产 业和其他技术创新产 业</w:t>
                        </w:r>
                      </w:p>
                    </w:tc>
                  </w:tr>
                  <w:tr>
                    <w:trPr>
                      <w:trHeight w:val="362"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pacing w:val="-3"/>
                            <w:sz w:val="18"/>
                            <w:szCs w:val="18"/>
                          </w:rPr>
                          <w:t>经营成果、财务状况、现金</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日，深圳市深港产学研创业投资有限公司的总资产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1,319,553,637.11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82"/>
        <w:gridCol w:w="7386"/>
      </w:tblGrid>
      <w:tr>
        <w:trPr>
          <w:trHeight w:val="674"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流和未来发展战略等</w:t>
            </w:r>
          </w:p>
        </w:tc>
        <w:tc>
          <w:tcPr>
            <w:tcW w:w="7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净资产 </w:t>
            </w:r>
            <w:r>
              <w:rPr>
                <w:rFonts w:ascii="Times New Roman" w:hAnsi="Times New Roman" w:cs="Times New Roman" w:eastAsia="Times New Roman" w:hint="default"/>
                <w:sz w:val="18"/>
                <w:szCs w:val="18"/>
              </w:rPr>
              <w:t>532,961,127.44 </w:t>
            </w:r>
            <w:r>
              <w:rPr>
                <w:rFonts w:ascii="宋体" w:hAnsi="宋体" w:cs="宋体" w:eastAsia="宋体" w:hint="default"/>
                <w:sz w:val="18"/>
                <w:szCs w:val="18"/>
              </w:rPr>
              <w:t>元。</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年度深港产学研实现营业收入 </w:t>
            </w:r>
            <w:r>
              <w:rPr>
                <w:rFonts w:ascii="Times New Roman" w:hAnsi="Times New Roman" w:cs="Times New Roman" w:eastAsia="Times New Roman" w:hint="default"/>
                <w:sz w:val="18"/>
                <w:szCs w:val="18"/>
              </w:rPr>
              <w:t>542,434.12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元，净利润</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45,269,77</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.93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元（未经审计</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026"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21"/>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日，深圳市深港产学研创业投资有限公司持有国民技术（</w:t>
            </w:r>
            <w:r>
              <w:rPr>
                <w:rFonts w:ascii="Times New Roman" w:hAnsi="Times New Roman" w:cs="Times New Roman" w:eastAsia="Times New Roman" w:hint="default"/>
                <w:spacing w:val="-5"/>
                <w:sz w:val="18"/>
                <w:szCs w:val="18"/>
              </w:rPr>
              <w:t>300077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1590.99</w:t>
            </w:r>
            <w:r>
              <w:rPr>
                <w:rFonts w:ascii="Times New Roman" w:hAnsi="Times New Roman" w:cs="Times New Roman" w:eastAsia="Times New Roman" w:hint="default"/>
                <w:sz w:val="18"/>
                <w:szCs w:val="18"/>
              </w:rPr>
              <w:t> </w:t>
            </w:r>
            <w:r>
              <w:rPr>
                <w:rFonts w:ascii="宋体" w:hAnsi="宋体" w:cs="宋体" w:eastAsia="宋体" w:hint="default"/>
                <w:sz w:val="18"/>
                <w:szCs w:val="18"/>
              </w:rPr>
              <w:t>万股；持有长城集团（</w:t>
            </w:r>
            <w:r>
              <w:rPr>
                <w:rFonts w:ascii="Times New Roman" w:hAnsi="Times New Roman" w:cs="Times New Roman" w:eastAsia="Times New Roman" w:hint="default"/>
                <w:sz w:val="18"/>
                <w:szCs w:val="18"/>
              </w:rPr>
              <w:t>300089</w:t>
            </w:r>
            <w:r>
              <w:rPr>
                <w:rFonts w:ascii="宋体" w:hAnsi="宋体" w:cs="宋体" w:eastAsia="宋体" w:hint="default"/>
                <w:sz w:val="18"/>
                <w:szCs w:val="18"/>
              </w:rPr>
              <w:t>）</w:t>
            </w:r>
            <w:r>
              <w:rPr>
                <w:rFonts w:ascii="Times New Roman" w:hAnsi="Times New Roman" w:cs="Times New Roman" w:eastAsia="Times New Roman" w:hint="default"/>
                <w:sz w:val="18"/>
                <w:szCs w:val="18"/>
              </w:rPr>
              <w:t>540 </w:t>
            </w:r>
            <w:r>
              <w:rPr>
                <w:rFonts w:ascii="宋体" w:hAnsi="宋体" w:cs="宋体" w:eastAsia="宋体" w:hint="default"/>
                <w:sz w:val="18"/>
                <w:szCs w:val="18"/>
              </w:rPr>
              <w:t>万股；持有齐心文具（</w:t>
            </w:r>
            <w:r>
              <w:rPr>
                <w:rFonts w:ascii="Times New Roman" w:hAnsi="Times New Roman" w:cs="Times New Roman" w:eastAsia="Times New Roman" w:hint="default"/>
                <w:sz w:val="18"/>
                <w:szCs w:val="18"/>
              </w:rPr>
              <w:t>002301</w:t>
            </w:r>
            <w:r>
              <w:rPr>
                <w:rFonts w:ascii="宋体" w:hAnsi="宋体" w:cs="宋体" w:eastAsia="宋体" w:hint="default"/>
                <w:sz w:val="18"/>
                <w:szCs w:val="18"/>
              </w:rPr>
              <w:t>）</w:t>
            </w:r>
            <w:r>
              <w:rPr>
                <w:rFonts w:ascii="Times New Roman" w:hAnsi="Times New Roman" w:cs="Times New Roman" w:eastAsia="Times New Roman" w:hint="default"/>
                <w:sz w:val="18"/>
                <w:szCs w:val="18"/>
              </w:rPr>
              <w:t>183.47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万股。</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0" w:right="158" w:firstLine="0"/>
        <w:jc w:val="right"/>
        <w:rPr>
          <w:rFonts w:ascii="宋体" w:hAnsi="宋体" w:cs="宋体" w:eastAsia="宋体" w:hint="default"/>
          <w:sz w:val="18"/>
          <w:szCs w:val="18"/>
        </w:rPr>
      </w:pPr>
      <w:r>
        <w:rPr/>
        <w:pict>
          <v:shape style="position:absolute;margin-left:56.459999pt;margin-top:-43.247959pt;width:479.1pt;height:112.1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月起任公司董事，现任公司董事长、总裁，兼任荣信嘉时（北京 科技发展有限公司董事长，辽宁荣信光伏技术有限公司董事长，辽宁荣信电气 传动技术有限责任公司董事长，荣西电力传输技术有限公司董事。</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报告期控股股东变更</w:t>
      </w:r>
    </w:p>
    <w:p>
      <w:pPr>
        <w:spacing w:line="547" w:lineRule="auto" w:before="117"/>
        <w:ind w:left="154" w:right="75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99"/>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0" w:right="159" w:firstLine="0"/>
        <w:jc w:val="right"/>
        <w:rPr>
          <w:rFonts w:ascii="宋体" w:hAnsi="宋体" w:cs="宋体" w:eastAsia="宋体" w:hint="default"/>
          <w:sz w:val="18"/>
          <w:szCs w:val="18"/>
        </w:rPr>
      </w:pPr>
      <w:r>
        <w:rPr/>
        <w:pict>
          <v:shape style="position:absolute;margin-left:56.459999pt;margin-top:-143.64801pt;width:479.1pt;height:294.7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崔京涛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厉伟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3335" w:type="dxa"/>
                        <w:tcBorders>
                          <w:top w:val="single" w:sz="4" w:space="0" w:color="000000"/>
                          <w:left w:val="single" w:sz="4" w:space="0" w:color="000000"/>
                          <w:bottom w:val="nil" w:sz="6" w:space="0" w:color="auto"/>
                          <w:right w:val="single" w:sz="4" w:space="0" w:color="000000"/>
                        </w:tcBorders>
                        <w:shd w:val="clear" w:color="auto" w:fill="D3D3D3"/>
                      </w:tcPr>
                      <w:p>
                        <w:pPr/>
                      </w:p>
                    </w:tc>
                    <w:tc>
                      <w:tcPr>
                        <w:tcW w:w="6233"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左强，男，中国国籍，</w:t>
                        </w:r>
                        <w:r>
                          <w:rPr>
                            <w:rFonts w:ascii="Times New Roman" w:hAnsi="Times New Roman" w:cs="Times New Roman" w:eastAsia="Times New Roman" w:hint="default"/>
                            <w:sz w:val="18"/>
                            <w:szCs w:val="18"/>
                          </w:rPr>
                          <w:t>1970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年出生，清华大学机械工程系本科毕业，清华</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大学高级工商管理学硕</w:t>
                        </w:r>
                        <w:r>
                          <w:rPr>
                            <w:rFonts w:ascii="宋体" w:hAnsi="宋体" w:cs="宋体" w:eastAsia="宋体" w:hint="default"/>
                            <w:spacing w:val="-4"/>
                            <w:sz w:val="18"/>
                            <w:szCs w:val="18"/>
                          </w:rPr>
                          <w:t>士</w:t>
                        </w:r>
                        <w:r>
                          <w:rPr>
                            <w:rFonts w:ascii="宋体" w:hAnsi="宋体" w:cs="宋体" w:eastAsia="宋体" w:hint="default"/>
                            <w:sz w:val="18"/>
                            <w:szCs w:val="18"/>
                          </w:rPr>
                          <w:t>（</w:t>
                        </w:r>
                        <w:r>
                          <w:rPr>
                            <w:rFonts w:ascii="Times New Roman" w:hAnsi="Times New Roman" w:cs="Times New Roman" w:eastAsia="Times New Roman" w:hint="default"/>
                            <w:sz w:val="18"/>
                            <w:szCs w:val="18"/>
                          </w:rPr>
                          <w:t>EMB</w:t>
                        </w:r>
                        <w:r>
                          <w:rPr>
                            <w:rFonts w:ascii="Times New Roman" w:hAnsi="Times New Roman" w:cs="Times New Roman" w:eastAsia="Times New Roman" w:hint="default"/>
                            <w:spacing w:val="-1"/>
                            <w:sz w:val="18"/>
                            <w:szCs w:val="18"/>
                          </w:rPr>
                          <w:t>A</w:t>
                        </w:r>
                        <w:r>
                          <w:rPr>
                            <w:rFonts w:ascii="宋体" w:hAnsi="宋体" w:cs="宋体" w:eastAsia="宋体" w:hint="default"/>
                            <w:spacing w:val="-90"/>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高级</w:t>
                        </w:r>
                        <w:r>
                          <w:rPr>
                            <w:rFonts w:ascii="宋体" w:hAnsi="宋体" w:cs="宋体" w:eastAsia="宋体" w:hint="default"/>
                            <w:spacing w:val="1"/>
                            <w:sz w:val="18"/>
                            <w:szCs w:val="18"/>
                          </w:rPr>
                          <w:t>工</w:t>
                        </w:r>
                        <w:r>
                          <w:rPr>
                            <w:rFonts w:ascii="宋体" w:hAnsi="宋体" w:cs="宋体" w:eastAsia="宋体" w:hint="default"/>
                            <w:sz w:val="18"/>
                            <w:szCs w:val="18"/>
                          </w:rPr>
                          <w:t>程师</w:t>
                        </w:r>
                        <w:r>
                          <w:rPr>
                            <w:rFonts w:ascii="宋体" w:hAnsi="宋体" w:cs="宋体" w:eastAsia="宋体" w:hint="default"/>
                            <w:spacing w:val="-4"/>
                            <w:sz w:val="18"/>
                            <w:szCs w:val="18"/>
                          </w:rPr>
                          <w:t>，</w:t>
                        </w:r>
                        <w:r>
                          <w:rPr>
                            <w:rFonts w:ascii="宋体" w:hAnsi="宋体" w:cs="宋体" w:eastAsia="宋体" w:hint="default"/>
                            <w:sz w:val="18"/>
                            <w:szCs w:val="18"/>
                          </w:rPr>
                          <w:t>公司主要创始人</w:t>
                        </w:r>
                        <w:r>
                          <w:rPr>
                            <w:rFonts w:ascii="宋体" w:hAnsi="宋体" w:cs="宋体" w:eastAsia="宋体" w:hint="default"/>
                            <w:spacing w:val="-4"/>
                            <w:sz w:val="18"/>
                            <w:szCs w:val="18"/>
                          </w:rPr>
                          <w:t>，</w:t>
                        </w:r>
                        <w:r>
                          <w:rPr>
                            <w:rFonts w:ascii="宋体" w:hAnsi="宋体" w:cs="宋体" w:eastAsia="宋体" w:hint="default"/>
                            <w:sz w:val="18"/>
                            <w:szCs w:val="18"/>
                          </w:rPr>
                          <w:t>我国第一</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套具有自主知识产权</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SVC</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的主要设计者，多项国家重大高科技产业化项目的主</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要领导者，多项专利技术的主要发明人，发起制定了我国第一步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SVC</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标准。</w:t>
                        </w:r>
                        <w:r>
                          <w:rPr>
                            <w:rFonts w:ascii="Times New Roman" w:hAnsi="Times New Roman" w:cs="Times New Roman" w:eastAsia="Times New Roman" w:hint="default"/>
                            <w:spacing w:val="-10"/>
                            <w:sz w:val="18"/>
                            <w:szCs w:val="18"/>
                          </w:rPr>
                          <w:t>1995</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月任鞍</w:t>
                        </w:r>
                        <w:r>
                          <w:rPr>
                            <w:rFonts w:ascii="宋体" w:hAnsi="宋体" w:cs="宋体" w:eastAsia="宋体" w:hint="default"/>
                            <w:spacing w:val="1"/>
                            <w:sz w:val="18"/>
                            <w:szCs w:val="18"/>
                          </w:rPr>
                          <w:t>山</w:t>
                        </w:r>
                        <w:r>
                          <w:rPr>
                            <w:rFonts w:ascii="宋体" w:hAnsi="宋体" w:cs="宋体" w:eastAsia="宋体" w:hint="default"/>
                            <w:sz w:val="18"/>
                            <w:szCs w:val="18"/>
                          </w:rPr>
                          <w:t>创联电力电子有限公司总经理</w:t>
                        </w:r>
                        <w:r>
                          <w:rPr>
                            <w:rFonts w:ascii="宋体" w:hAnsi="宋体" w:cs="宋体" w:eastAsia="宋体" w:hint="default"/>
                            <w:spacing w:val="-74"/>
                            <w:sz w:val="18"/>
                            <w:szCs w:val="18"/>
                          </w:rPr>
                          <w:t>。</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月至今</w:t>
                        </w:r>
                      </w:p>
                    </w:tc>
                  </w:tr>
                  <w:tr>
                    <w:trPr>
                      <w:trHeight w:val="239"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担任公司董事，现任公司董事长、总裁。</w:t>
                        </w:r>
                      </w:p>
                    </w:tc>
                  </w:tr>
                  <w:tr>
                    <w:trPr>
                      <w:trHeight w:val="385"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2" w:lineRule="exact"/>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崔京涛，女，中国国籍，</w:t>
                        </w:r>
                        <w:r>
                          <w:rPr>
                            <w:rFonts w:ascii="Times New Roman" w:hAnsi="Times New Roman" w:cs="Times New Roman" w:eastAsia="Times New Roman" w:hint="default"/>
                            <w:sz w:val="18"/>
                            <w:szCs w:val="18"/>
                          </w:rPr>
                          <w:t>1967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年出生，北京大学毕业，硕士，曾任职于北京海</w:t>
                        </w:r>
                      </w:p>
                    </w:tc>
                  </w:tr>
                  <w:tr>
                    <w:trPr>
                      <w:trHeight w:val="308"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淀职工大学、中国工商银行深圳信托投资公司，现任深圳延宁董事长、深港产</w:t>
                        </w:r>
                      </w:p>
                    </w:tc>
                  </w:tr>
                  <w:tr>
                    <w:trPr>
                      <w:trHeight w:val="33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学研监事、深圳和林海富信息咨询有限公司执行董事、总经理。</w:t>
                        </w:r>
                      </w:p>
                    </w:tc>
                  </w:tr>
                  <w:tr>
                    <w:trPr>
                      <w:trHeight w:val="336"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382" w:right="0"/>
                          <w:jc w:val="left"/>
                          <w:rPr>
                            <w:rFonts w:ascii="宋体" w:hAnsi="宋体" w:cs="宋体" w:eastAsia="宋体" w:hint="default"/>
                            <w:sz w:val="18"/>
                            <w:szCs w:val="18"/>
                          </w:rPr>
                        </w:pPr>
                        <w:r>
                          <w:rPr>
                            <w:rFonts w:ascii="宋体" w:hAnsi="宋体" w:cs="宋体" w:eastAsia="宋体" w:hint="default"/>
                            <w:sz w:val="18"/>
                            <w:szCs w:val="18"/>
                          </w:rPr>
                          <w:t>厉伟，男，中国国籍，</w:t>
                        </w:r>
                        <w:r>
                          <w:rPr>
                            <w:rFonts w:ascii="Times New Roman" w:hAnsi="Times New Roman" w:cs="Times New Roman" w:eastAsia="Times New Roman" w:hint="default"/>
                            <w:sz w:val="18"/>
                            <w:szCs w:val="18"/>
                          </w:rPr>
                          <w:t>1963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年出生，北京大学理学士，经济学硕士。现任</w:t>
                        </w:r>
                      </w:p>
                    </w:tc>
                  </w:tr>
                  <w:tr>
                    <w:trPr>
                      <w:trHeight w:val="308"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深港产学研董事长、深圳市德方纳米科技有限公司董事、国民技术股份有限公</w:t>
                        </w:r>
                      </w:p>
                    </w:tc>
                  </w:tr>
                  <w:tr>
                    <w:trPr>
                      <w:trHeight w:val="356" w:hRule="exact"/>
                    </w:trPr>
                    <w:tc>
                      <w:tcPr>
                        <w:tcW w:w="3335" w:type="dxa"/>
                        <w:tcBorders>
                          <w:top w:val="nil" w:sz="6" w:space="0" w:color="auto"/>
                          <w:left w:val="single" w:sz="4" w:space="0" w:color="000000"/>
                          <w:bottom w:val="single" w:sz="4" w:space="0" w:color="000000"/>
                          <w:right w:val="single" w:sz="4" w:space="0" w:color="000000"/>
                        </w:tcBorders>
                        <w:shd w:val="clear" w:color="auto" w:fill="D3D3D3"/>
                      </w:tcPr>
                      <w:p>
                        <w:pPr/>
                      </w:p>
                    </w:tc>
                    <w:tc>
                      <w:tcPr>
                        <w:tcW w:w="6233"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司董事、深圳市天翔达鸽业有限公司董事、深圳大鹏光启科技有限公司董事。</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报告期实际控制人变更</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9"/>
        <w:rPr>
          <w:rFonts w:ascii="宋体" w:hAnsi="宋体" w:cs="宋体" w:eastAsia="宋体" w:hint="default"/>
          <w:sz w:val="21"/>
          <w:szCs w:val="21"/>
        </w:rPr>
      </w:pPr>
    </w:p>
    <w:p>
      <w:pPr>
        <w:spacing w:line="3390" w:lineRule="exact"/>
        <w:ind w:left="1793"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036409" cy="21526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3" cstate="print"/>
                    <a:stretch>
                      <a:fillRect/>
                    </a:stretch>
                  </pic:blipFill>
                  <pic:spPr>
                    <a:xfrm>
                      <a:off x="0" y="0"/>
                      <a:ext cx="4036409" cy="2152650"/>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11"/>
        <w:rPr>
          <w:rFonts w:ascii="宋体" w:hAnsi="宋体" w:cs="宋体" w:eastAsia="宋体" w:hint="default"/>
          <w:sz w:val="15"/>
          <w:szCs w:val="15"/>
        </w:rPr>
      </w:pPr>
    </w:p>
    <w:p>
      <w:pPr>
        <w:pStyle w:val="BodyText"/>
        <w:spacing w:line="240" w:lineRule="auto"/>
        <w:ind w:right="0"/>
        <w:jc w:val="left"/>
      </w:pPr>
      <w:r>
        <w:rPr/>
        <w:t>实际控制人通过信托或其他资产管理方式控制公司</w:t>
      </w:r>
    </w:p>
    <w:p>
      <w:pPr>
        <w:spacing w:line="240" w:lineRule="auto" w:before="3"/>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三、公司股东及其一致行动人在报告期提出或实施股份增持计划的情况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319" w:right="23"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9" w:right="47"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8" w:right="47"/>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line="240" w:lineRule="auto" w:before="6"/>
        <w:rPr>
          <w:rFonts w:ascii="宋体" w:hAnsi="宋体" w:cs="宋体" w:eastAsia="宋体" w:hint="default"/>
          <w:b/>
          <w:bCs/>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其他情况说明</w:t>
      </w:r>
    </w:p>
    <w:p>
      <w:pPr>
        <w:spacing w:line="240" w:lineRule="auto" w:before="11"/>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日，公司控股股东之一左强通过二级市场买入公司股票</w:t>
      </w:r>
      <w:r>
        <w:rPr>
          <w:rFonts w:ascii="Times New Roman" w:hAnsi="Times New Roman" w:cs="Times New Roman" w:eastAsia="Times New Roman" w:hint="default"/>
        </w:rPr>
        <w:t>320,000</w:t>
      </w:r>
      <w:r>
        <w:rPr/>
        <w:t>股。</w:t>
      </w:r>
    </w:p>
    <w:p>
      <w:pPr>
        <w:pStyle w:val="BodyText"/>
        <w:spacing w:line="240" w:lineRule="auto" w:before="177"/>
        <w:ind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日，公司控股股东之一左强通过二级市场买入公司股票</w:t>
      </w:r>
      <w:r>
        <w:rPr>
          <w:rFonts w:ascii="Times New Roman" w:hAnsi="Times New Roman" w:cs="Times New Roman" w:eastAsia="Times New Roman" w:hint="default"/>
        </w:rPr>
        <w:t>1,000,000</w:t>
      </w:r>
      <w:r>
        <w:rPr/>
        <w:t>股。</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group style="position:absolute;margin-left:143.940002pt;margin-top:296.940002pt;width:43.05pt;height:35.25pt;mso-position-horizontal-relative:page;mso-position-vertical-relative:page;z-index:-963472" coordorigin="2879,5939" coordsize="861,705">
            <v:group style="position:absolute;left:2879;top:5939;width:861;height:705" coordorigin="2879,5939" coordsize="861,705">
              <v:shape style="position:absolute;left:2879;top:5939;width:861;height:705" coordorigin="2879,5939" coordsize="861,705" path="m2879,6643l3739,6643,3739,5939,2879,5939,2879,6643xe" filled="true" fillcolor="#ffffff" stroked="false">
                <v:path arrowok="t"/>
                <v:fill type="solid"/>
              </v:shape>
            </v:group>
            <v:group style="position:absolute;left:2902;top:6095;width:815;height:393" coordorigin="2902,6095" coordsize="815,393">
              <v:shape style="position:absolute;left:2902;top:6095;width:815;height:393" coordorigin="2902,6095" coordsize="815,393" path="m2902,6487l3716,6487,3716,6095,2902,6095,2902,6487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680" w:right="0"/>
        <w:jc w:val="left"/>
        <w:rPr>
          <w:b w:val="0"/>
          <w:bCs w:val="0"/>
        </w:rPr>
      </w:pPr>
      <w:bookmarkStart w:name="_TOC_250004" w:id="7"/>
      <w:r>
        <w:rPr/>
        <w:t>第七节</w:t>
      </w:r>
      <w:r>
        <w:rPr>
          <w:spacing w:val="-16"/>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026"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8" w:right="6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57,269,732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1,320,000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58,589,732</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马成家</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龙浩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财务总监 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2,559,777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2,559,777</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陈诗君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张其生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周爱勤</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梅志明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贾利民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刘泉军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王泽全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赵柏品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杨贵发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3,719,025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3,719,025</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焦东亮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2,025,000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2,025,000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王岱岩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2,073,000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2,073,000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67,646,534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1,320,000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68,966,534</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both"/>
        <w:rPr>
          <w:b w:val="0"/>
          <w:bCs w:val="0"/>
        </w:rPr>
      </w:pPr>
      <w:r>
        <w:rPr/>
        <w:t>二、任职情况</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left="753" w:right="201" w:hanging="600"/>
        <w:jc w:val="left"/>
      </w:pPr>
      <w:r>
        <w:rPr/>
        <w:t>公司现任董事、监事、高级管理人员最近</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左强，男，中国国籍，</w:t>
      </w:r>
      <w:r>
        <w:rPr>
          <w:rFonts w:ascii="Times New Roman" w:hAnsi="Times New Roman" w:cs="Times New Roman" w:eastAsia="Times New Roman" w:hint="default"/>
        </w:rPr>
        <w:t>1970</w:t>
      </w:r>
      <w:r>
        <w:rPr/>
        <w:t>年出生，清华大学机械工程系本科毕业，清华大学高级工商管理学硕士</w:t>
      </w:r>
    </w:p>
    <w:p>
      <w:pPr>
        <w:pStyle w:val="BodyText"/>
        <w:spacing w:line="398" w:lineRule="auto" w:before="3"/>
        <w:ind w:left="153" w:right="211"/>
        <w:jc w:val="both"/>
      </w:pPr>
      <w:r>
        <w:rPr/>
        <w:t>（</w:t>
      </w:r>
      <w:r>
        <w:rPr>
          <w:rFonts w:ascii="Times New Roman" w:hAnsi="Times New Roman" w:cs="Times New Roman" w:eastAsia="Times New Roman" w:hint="default"/>
        </w:rPr>
        <w:t>EMBA</w:t>
      </w:r>
      <w:r>
        <w:rPr/>
        <w:t>），高级工程师，自</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11</w:t>
      </w:r>
      <w:r>
        <w:rPr/>
        <w:t>月起任公司董事，现任公司董事长、总裁，兼任荣信嘉时（北京） </w:t>
      </w:r>
      <w:r>
        <w:rPr>
          <w:spacing w:val="-1"/>
        </w:rPr>
        <w:t>科技发展有限公司董事长，辽宁荣信光伏技术有限公司董事长，辽宁荣信电气传动技术有限责任公司董事</w:t>
      </w:r>
      <w:r>
        <w:rPr>
          <w:spacing w:val="-81"/>
        </w:rPr>
        <w:t> </w:t>
      </w:r>
      <w:r>
        <w:rPr>
          <w:spacing w:val="-81"/>
        </w:rPr>
      </w:r>
      <w:r>
        <w:rPr/>
        <w:t>长，荣西电力传输技术有限公司董事。</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86" w:lineRule="auto"/>
        <w:ind w:left="153" w:right="211" w:firstLine="600"/>
        <w:jc w:val="both"/>
      </w:pPr>
      <w:r>
        <w:rPr/>
        <w:t>马成家，男，中国国籍，</w:t>
      </w:r>
      <w:r>
        <w:rPr>
          <w:rFonts w:ascii="Times New Roman" w:hAnsi="Times New Roman" w:cs="Times New Roman" w:eastAsia="Times New Roman" w:hint="default"/>
        </w:rPr>
        <w:t>1954</w:t>
      </w:r>
      <w:r>
        <w:rPr/>
        <w:t>年出生，吉林大学本科毕业。</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11</w:t>
      </w:r>
      <w:r>
        <w:rPr/>
        <w:t>月任鞍山市半导体 </w:t>
      </w:r>
      <w:r>
        <w:rPr>
          <w:spacing w:val="-2"/>
        </w:rPr>
        <w:t>器件总厂技改办副主任，</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w:t>
      </w:r>
      <w:r>
        <w:rPr>
          <w:spacing w:val="-2"/>
        </w:rPr>
        <w:t>月任鞍山市半导体器件总厂厂长，</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6</w:t>
      </w:r>
      <w:r>
        <w:rPr>
          <w:spacing w:val="-2"/>
        </w:rPr>
        <w:t>月任鞍</w:t>
      </w:r>
      <w:r>
        <w:rPr>
          <w:spacing w:val="-59"/>
        </w:rPr>
        <w:t> </w:t>
      </w:r>
      <w:r>
        <w:rPr/>
        <w:t>山市电子电力公司副总经理、总经理、党委副书记，自</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11</w:t>
      </w:r>
      <w:r>
        <w:rPr/>
        <w:t>月起担任本公司董事。</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386" w:lineRule="auto"/>
        <w:ind w:right="211" w:firstLine="600"/>
        <w:jc w:val="both"/>
      </w:pPr>
      <w:r>
        <w:rPr/>
        <w:t>龙浩，男，中国国籍，</w:t>
      </w:r>
      <w:r>
        <w:rPr>
          <w:rFonts w:ascii="Times New Roman" w:hAnsi="Times New Roman" w:cs="Times New Roman" w:eastAsia="Times New Roman" w:hint="default"/>
        </w:rPr>
        <w:t>1966</w:t>
      </w:r>
      <w:r>
        <w:rPr/>
        <w:t>年出生，东北财经大学</w:t>
      </w:r>
      <w:r>
        <w:rPr>
          <w:rFonts w:ascii="Times New Roman" w:hAnsi="Times New Roman" w:cs="Times New Roman" w:eastAsia="Times New Roman" w:hint="default"/>
        </w:rPr>
        <w:t>EMBA</w:t>
      </w:r>
      <w:r>
        <w:rPr/>
        <w:t>，中国注册评估师。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11</w:t>
      </w:r>
      <w:r>
        <w:rPr/>
        <w:t>月起任本公 </w:t>
      </w:r>
      <w:r>
        <w:rPr>
          <w:spacing w:val="-1"/>
        </w:rPr>
        <w:t>司财务总监，自</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11</w:t>
      </w:r>
      <w:r>
        <w:rPr>
          <w:spacing w:val="-1"/>
        </w:rPr>
        <w:t>月开始任本公司董事，兼任北京信力筑正新能源技术股份有限公司董事，荣信嘉</w:t>
      </w:r>
      <w:r>
        <w:rPr>
          <w:spacing w:val="-86"/>
        </w:rPr>
        <w:t> </w:t>
      </w:r>
      <w:r>
        <w:rPr>
          <w:spacing w:val="-86"/>
        </w:rPr>
      </w:r>
      <w:r>
        <w:rPr/>
        <w:t>时（北京）科技发展有限公司董事。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400" w:lineRule="auto"/>
        <w:ind w:left="153" w:right="102" w:firstLine="600"/>
        <w:jc w:val="left"/>
      </w:pPr>
      <w:r>
        <w:rPr/>
        <w:t>陈诗君，男，中国国籍，</w:t>
      </w:r>
      <w:r>
        <w:rPr>
          <w:rFonts w:ascii="Times New Roman" w:hAnsi="Times New Roman" w:cs="Times New Roman" w:eastAsia="Times New Roman" w:hint="default"/>
        </w:rPr>
        <w:t>1954</w:t>
      </w:r>
      <w:r>
        <w:rPr/>
        <w:t>年出生，西北工业大学本科毕业，高级工程师。现任深圳市松禾资本 </w:t>
      </w:r>
      <w:r>
        <w:rPr>
          <w:spacing w:val="-3"/>
        </w:rPr>
        <w:t>管理有限公司副总经理、兼任深港产学研数码科技有限公司董事长、广州迪森热能技术股份有限公司董事、</w:t>
      </w:r>
      <w:r>
        <w:rPr>
          <w:spacing w:val="-92"/>
        </w:rPr>
        <w:t> </w:t>
      </w:r>
      <w:r>
        <w:rPr>
          <w:spacing w:val="-92"/>
        </w:rPr>
      </w:r>
      <w:r>
        <w:rPr/>
        <w:t>北镇市五峰米业加工有限公司董事、深圳邦凯新能源股份有限公司监事、深圳市赢合科技股份有限公司董</w:t>
      </w:r>
      <w:r>
        <w:rPr/>
        <w:t> </w:t>
      </w:r>
      <w:r>
        <w:rPr>
          <w:spacing w:val="-1"/>
        </w:rPr>
        <w:t>事、深圳市玉宇科技有限公司监事，</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5</w:t>
      </w:r>
      <w:r>
        <w:rPr>
          <w:spacing w:val="-1"/>
        </w:rPr>
        <w:t>月任本公司监事，自</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5</w:t>
      </w:r>
      <w:r>
        <w:rPr>
          <w:spacing w:val="-1"/>
        </w:rPr>
        <w:t>月起任本公司董事。</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386" w:lineRule="auto"/>
        <w:ind w:left="153" w:right="201" w:firstLine="600"/>
        <w:jc w:val="left"/>
      </w:pPr>
      <w:r>
        <w:rPr/>
        <w:t>周爱勤，女，中国国籍，</w:t>
      </w:r>
      <w:r>
        <w:rPr>
          <w:rFonts w:ascii="Times New Roman" w:hAnsi="Times New Roman" w:cs="Times New Roman" w:eastAsia="Times New Roman" w:hint="default"/>
        </w:rPr>
        <w:t>1954</w:t>
      </w:r>
      <w:r>
        <w:rPr/>
        <w:t>年出生，大学文化，中级会计师、经济师。</w:t>
      </w:r>
      <w:r>
        <w:rPr>
          <w:rFonts w:ascii="Times New Roman" w:hAnsi="Times New Roman" w:cs="Times New Roman" w:eastAsia="Times New Roman" w:hint="default"/>
        </w:rPr>
        <w:t>1998</w:t>
      </w:r>
      <w:r>
        <w:rPr/>
        <w:t>年至今任本公司股东 河南新纪元防腐绝热工程有限公司副总经理，自</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月起任本公司董事。</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386" w:lineRule="auto"/>
        <w:ind w:right="201" w:firstLine="599"/>
        <w:jc w:val="left"/>
      </w:pPr>
      <w:r>
        <w:rPr/>
        <w:t>梅志明，男，美国国籍，</w:t>
      </w:r>
      <w:r>
        <w:rPr>
          <w:rFonts w:ascii="Times New Roman" w:hAnsi="Times New Roman" w:cs="Times New Roman" w:eastAsia="Times New Roman" w:hint="default"/>
        </w:rPr>
        <w:t>1972</w:t>
      </w:r>
      <w:r>
        <w:rPr/>
        <w:t>年出生，美国西北</w:t>
      </w:r>
      <w:r>
        <w:rPr>
          <w:rFonts w:ascii="Times New Roman" w:hAnsi="Times New Roman" w:cs="Times New Roman" w:eastAsia="Times New Roman" w:hint="default"/>
        </w:rPr>
        <w:t>Kellog</w:t>
      </w:r>
      <w:r>
        <w:rPr/>
        <w:t>商学院</w:t>
      </w:r>
      <w:r>
        <w:rPr>
          <w:rFonts w:ascii="Times New Roman" w:hAnsi="Times New Roman" w:cs="Times New Roman" w:eastAsia="Times New Roman" w:hint="default"/>
        </w:rPr>
        <w:t>/</w:t>
      </w:r>
      <w:r>
        <w:rPr/>
        <w:t>香港科技大学商学院工商管理硕士， 现任普洛斯项目管理咨询有限公司中国区总裁，北京慧点科技有限公司副董事长，自</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月起任本公 司独立董事。</w:t>
      </w:r>
    </w:p>
    <w:p>
      <w:pPr>
        <w:spacing w:after="0" w:line="386"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398" w:lineRule="auto" w:before="174"/>
        <w:ind w:left="153" w:right="151" w:firstLine="600"/>
        <w:jc w:val="both"/>
      </w:pPr>
      <w:r>
        <w:rPr/>
        <w:t>刘泉军，男，中国国籍，</w:t>
      </w:r>
      <w:r>
        <w:rPr>
          <w:rFonts w:ascii="Times New Roman" w:hAnsi="Times New Roman" w:cs="Times New Roman" w:eastAsia="Times New Roman" w:hint="default"/>
        </w:rPr>
        <w:t>1972</w:t>
      </w:r>
      <w:r>
        <w:rPr/>
        <w:t>年出生，博士，中国注册会计师，中国会计学会会员。现任中国青年 </w:t>
      </w:r>
      <w:r>
        <w:rPr>
          <w:spacing w:val="-1"/>
        </w:rPr>
        <w:t>政治学院副教授，长期从事于财务、会计的理论教学、研究与实务工作，具有扎实的理论功底与丰富的工</w:t>
      </w:r>
      <w:r>
        <w:rPr>
          <w:spacing w:val="-82"/>
        </w:rPr>
        <w:t> </w:t>
      </w:r>
      <w:r>
        <w:rPr>
          <w:spacing w:val="-82"/>
        </w:rPr>
      </w:r>
      <w:r>
        <w:rPr/>
        <w:t>作经验，兼任北京恒华伟业科技股份有限公司独立董事，自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月起任本公司独立董事。</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7"/>
          <w:szCs w:val="27"/>
        </w:rPr>
      </w:pPr>
    </w:p>
    <w:p>
      <w:pPr>
        <w:pStyle w:val="BodyText"/>
        <w:spacing w:line="398" w:lineRule="auto"/>
        <w:ind w:right="151" w:firstLine="600"/>
        <w:jc w:val="both"/>
      </w:pPr>
      <w:r>
        <w:rPr/>
        <w:t>肖星，女，中国国籍，</w:t>
      </w:r>
      <w:r>
        <w:rPr>
          <w:rFonts w:ascii="Times New Roman" w:hAnsi="Times New Roman" w:cs="Times New Roman" w:eastAsia="Times New Roman" w:hint="default"/>
        </w:rPr>
        <w:t>1971</w:t>
      </w:r>
      <w:r>
        <w:rPr/>
        <w:t>年出生，博士，中国注册会计师。现任清华大学经济管理学院副教授、 </w:t>
      </w:r>
      <w:r>
        <w:rPr>
          <w:spacing w:val="-1"/>
        </w:rPr>
        <w:t>会计系副主任、中国会计学会财务成本分会理事，兼任紫光华宇股份有限公司独立董事、湖南多喜爱股份</w:t>
      </w:r>
      <w:r>
        <w:rPr>
          <w:spacing w:val="-83"/>
        </w:rPr>
        <w:t> </w:t>
      </w:r>
      <w:r>
        <w:rPr>
          <w:spacing w:val="-83"/>
        </w:rPr>
      </w:r>
      <w:r>
        <w:rPr/>
        <w:t>有限公司独立董事，自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月起任本公司独立董事。</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7"/>
          <w:szCs w:val="27"/>
        </w:rPr>
      </w:pPr>
    </w:p>
    <w:p>
      <w:pPr>
        <w:pStyle w:val="BodyText"/>
        <w:spacing w:line="398" w:lineRule="auto"/>
        <w:ind w:right="148" w:firstLine="600"/>
        <w:jc w:val="both"/>
      </w:pPr>
      <w:r>
        <w:rPr>
          <w:spacing w:val="-2"/>
        </w:rPr>
        <w:t>王泽全，男，中国国籍，</w:t>
      </w:r>
      <w:r>
        <w:rPr>
          <w:rFonts w:ascii="Times New Roman" w:hAnsi="Times New Roman" w:cs="Times New Roman" w:eastAsia="Times New Roman" w:hint="default"/>
          <w:spacing w:val="-2"/>
        </w:rPr>
        <w:t>1946</w:t>
      </w:r>
      <w:r>
        <w:rPr>
          <w:spacing w:val="-2"/>
        </w:rPr>
        <w:t>年出生，大专学历，</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6</w:t>
      </w:r>
      <w:r>
        <w:rPr>
          <w:spacing w:val="-2"/>
        </w:rPr>
        <w:t>月先后任职于营口市通风机械</w:t>
      </w:r>
      <w:r>
        <w:rPr/>
        <w:t> </w:t>
      </w:r>
      <w:r>
        <w:rPr>
          <w:spacing w:val="-1"/>
        </w:rPr>
        <w:t>厂、鞍山市半导体器件总厂和鞍山市电子电力公司，曾任鞍山市电子电力公司副总经济师、总经济师，自</w:t>
      </w:r>
      <w:r>
        <w:rPr>
          <w:spacing w:val="-82"/>
        </w:rPr>
        <w:t> </w:t>
      </w:r>
      <w:r>
        <w:rPr>
          <w:spacing w:val="-82"/>
        </w:rPr>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月起任本公司监事。</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7"/>
          <w:szCs w:val="27"/>
        </w:rPr>
      </w:pPr>
    </w:p>
    <w:p>
      <w:pPr>
        <w:pStyle w:val="BodyText"/>
        <w:spacing w:line="386" w:lineRule="auto"/>
        <w:ind w:left="153" w:right="148" w:firstLine="600"/>
        <w:jc w:val="both"/>
      </w:pPr>
      <w:r>
        <w:rPr/>
        <w:t>赵柏品，男，中国国籍，</w:t>
      </w:r>
      <w:r>
        <w:rPr>
          <w:rFonts w:ascii="Times New Roman" w:hAnsi="Times New Roman" w:cs="Times New Roman" w:eastAsia="Times New Roman" w:hint="default"/>
        </w:rPr>
        <w:t>1956</w:t>
      </w:r>
      <w:r>
        <w:rPr/>
        <w:t>年出生，本科学历，工程师。自</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11</w:t>
      </w:r>
      <w:r>
        <w:rPr/>
        <w:t>月起在本公司从事</w:t>
      </w:r>
      <w:r>
        <w:rPr>
          <w:rFonts w:ascii="Times New Roman" w:hAnsi="Times New Roman" w:cs="Times New Roman" w:eastAsia="Times New Roman" w:hint="default"/>
        </w:rPr>
        <w:t>SVC</w:t>
      </w:r>
      <w:r>
        <w:rPr/>
        <w:t>控制 </w:t>
      </w:r>
      <w:r>
        <w:rPr>
          <w:spacing w:val="-1"/>
        </w:rPr>
        <w:t>系统设计、调试工作，现任本公司</w:t>
      </w:r>
      <w:r>
        <w:rPr>
          <w:rFonts w:ascii="Times New Roman" w:hAnsi="Times New Roman" w:cs="Times New Roman" w:eastAsia="Times New Roman" w:hint="default"/>
          <w:spacing w:val="-1"/>
        </w:rPr>
        <w:t>SVC</w:t>
      </w:r>
      <w:r>
        <w:rPr>
          <w:spacing w:val="-1"/>
        </w:rPr>
        <w:t>事业部部长，兼任北京荣科恒阳整流技术有限公司董事，自</w:t>
      </w:r>
      <w:r>
        <w:rPr>
          <w:rFonts w:ascii="Times New Roman" w:hAnsi="Times New Roman" w:cs="Times New Roman" w:eastAsia="Times New Roman" w:hint="default"/>
          <w:spacing w:val="-1"/>
        </w:rPr>
        <w:t>2010</w:t>
      </w:r>
      <w:r>
        <w:rPr>
          <w:spacing w:val="-1"/>
        </w:rPr>
        <w:t>年</w:t>
      </w:r>
      <w:r>
        <w:rPr>
          <w:spacing w:val="-73"/>
        </w:rPr>
        <w:t> </w:t>
      </w:r>
      <w:r>
        <w:rPr>
          <w:rFonts w:ascii="Times New Roman" w:hAnsi="Times New Roman" w:cs="Times New Roman" w:eastAsia="Times New Roman" w:hint="default"/>
        </w:rPr>
        <w:t>5</w:t>
      </w:r>
      <w:r>
        <w:rPr/>
        <w:t>月起任本公司职工监事。</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8"/>
          <w:szCs w:val="28"/>
        </w:rPr>
      </w:pPr>
    </w:p>
    <w:p>
      <w:pPr>
        <w:pStyle w:val="BodyText"/>
        <w:spacing w:line="398" w:lineRule="auto"/>
        <w:ind w:right="151" w:firstLine="600"/>
        <w:jc w:val="both"/>
      </w:pPr>
      <w:r>
        <w:rPr/>
        <w:t>杨贵发，男，中国国籍，</w:t>
      </w:r>
      <w:r>
        <w:rPr>
          <w:rFonts w:ascii="Times New Roman" w:hAnsi="Times New Roman" w:cs="Times New Roman" w:eastAsia="Times New Roman" w:hint="default"/>
        </w:rPr>
        <w:t>1971</w:t>
      </w:r>
      <w:r>
        <w:rPr/>
        <w:t>年出生，本科学历，工程师。自</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11</w:t>
      </w:r>
      <w:r>
        <w:rPr/>
        <w:t>月起在本公司从事变频技术 </w:t>
      </w:r>
      <w:r>
        <w:rPr>
          <w:spacing w:val="-1"/>
        </w:rPr>
        <w:t>开发及管理工作，现任辽宁荣信防爆电气技术有限公司董事、副总经理，兼任上海地澳自动化科技有限公</w:t>
      </w:r>
      <w:r>
        <w:rPr>
          <w:spacing w:val="-83"/>
        </w:rPr>
        <w:t> </w:t>
      </w:r>
      <w:r>
        <w:rPr>
          <w:spacing w:val="-83"/>
        </w:rPr>
      </w:r>
      <w:r>
        <w:rPr/>
        <w:t>司监事，自</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月起任本公司职工监事。</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7"/>
          <w:szCs w:val="27"/>
        </w:rPr>
      </w:pPr>
    </w:p>
    <w:p>
      <w:pPr>
        <w:pStyle w:val="BodyText"/>
        <w:spacing w:line="386" w:lineRule="auto"/>
        <w:ind w:right="150" w:firstLine="600"/>
        <w:jc w:val="both"/>
      </w:pPr>
      <w:r>
        <w:rPr>
          <w:spacing w:val="-4"/>
        </w:rPr>
        <w:t>焦东亮，男，中国国籍，</w:t>
      </w:r>
      <w:r>
        <w:rPr>
          <w:rFonts w:ascii="Times New Roman" w:hAnsi="Times New Roman" w:cs="Times New Roman" w:eastAsia="Times New Roman" w:hint="default"/>
          <w:spacing w:val="-4"/>
        </w:rPr>
        <w:t>1965</w:t>
      </w:r>
      <w:r>
        <w:rPr>
          <w:spacing w:val="-4"/>
        </w:rPr>
        <w:t>年出生，毕业于包头钢铁学院自动化专业，中国人民大学</w:t>
      </w:r>
      <w:r>
        <w:rPr>
          <w:rFonts w:ascii="Times New Roman" w:hAnsi="Times New Roman" w:cs="Times New Roman" w:eastAsia="Times New Roman" w:hint="default"/>
          <w:spacing w:val="-4"/>
        </w:rPr>
        <w:t>EMBA</w:t>
      </w:r>
      <w:r>
        <w:rPr>
          <w:spacing w:val="-4"/>
        </w:rPr>
        <w:t>，</w:t>
      </w:r>
      <w:r>
        <w:rPr>
          <w:rFonts w:ascii="Times New Roman" w:hAnsi="Times New Roman" w:cs="Times New Roman" w:eastAsia="Times New Roman" w:hint="default"/>
          <w:spacing w:val="-4"/>
        </w:rPr>
        <w:t>SVC</w:t>
      </w:r>
      <w:r>
        <w:rPr>
          <w:rFonts w:ascii="Times New Roman" w:hAnsi="Times New Roman" w:cs="Times New Roman" w:eastAsia="Times New Roman" w:hint="default"/>
          <w:spacing w:val="-1"/>
        </w:rPr>
        <w:t> </w:t>
      </w:r>
      <w:r>
        <w:rPr/>
        <w:t>系统设计专家。</w:t>
      </w:r>
      <w:r>
        <w:rPr>
          <w:rFonts w:ascii="Times New Roman" w:hAnsi="Times New Roman" w:cs="Times New Roman" w:eastAsia="Times New Roman" w:hint="default"/>
        </w:rPr>
        <w:t>1999</w:t>
      </w:r>
      <w:r>
        <w:rPr/>
        <w:t>年至今任本公司副总裁。</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8"/>
          <w:szCs w:val="28"/>
        </w:rPr>
      </w:pPr>
    </w:p>
    <w:p>
      <w:pPr>
        <w:pStyle w:val="BodyText"/>
        <w:spacing w:line="400" w:lineRule="auto"/>
        <w:ind w:left="153" w:right="149" w:firstLine="600"/>
        <w:jc w:val="both"/>
      </w:pPr>
      <w:r>
        <w:rPr/>
        <w:t>赵殿波，男，中国国籍，</w:t>
      </w:r>
      <w:r>
        <w:rPr>
          <w:rFonts w:ascii="Times New Roman" w:hAnsi="Times New Roman" w:cs="Times New Roman" w:eastAsia="Times New Roman" w:hint="default"/>
        </w:rPr>
        <w:t>1969</w:t>
      </w:r>
      <w:r>
        <w:rPr/>
        <w:t>年出生，毕业于清华大学机械工程系，复旦大学</w:t>
      </w:r>
      <w:r>
        <w:rPr>
          <w:rFonts w:ascii="Times New Roman" w:hAnsi="Times New Roman" w:cs="Times New Roman" w:eastAsia="Times New Roman" w:hint="default"/>
        </w:rPr>
        <w:t>EMBA</w:t>
      </w:r>
      <w:r>
        <w:rPr/>
        <w:t>，</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11</w:t>
      </w:r>
      <w:r>
        <w:rPr/>
        <w:t>月 </w:t>
      </w:r>
      <w:r>
        <w:rPr>
          <w:spacing w:val="-1"/>
        </w:rPr>
        <w:t>至今，历任本公司研发工程师、部长、总经理助理，现任本公司董事会秘书、副总裁，兼任辽宁荣信防爆</w:t>
      </w:r>
      <w:r>
        <w:rPr>
          <w:spacing w:val="-83"/>
        </w:rPr>
        <w:t> </w:t>
      </w:r>
      <w:r>
        <w:rPr>
          <w:spacing w:val="-83"/>
        </w:rPr>
      </w:r>
      <w:r>
        <w:rPr>
          <w:spacing w:val="-1"/>
        </w:rPr>
        <w:t>电气技术有限公司董事长，上海地澳自动化科技有限公司董事，北京信力筑正新能源技术股份有限公司监</w:t>
      </w:r>
      <w:r>
        <w:rPr>
          <w:spacing w:val="-81"/>
        </w:rPr>
        <w:t> </w:t>
      </w:r>
      <w:r>
        <w:rPr>
          <w:spacing w:val="-81"/>
        </w:rPr>
      </w:r>
      <w:r>
        <w:rPr/>
        <w:t>事。</w:t>
      </w:r>
    </w:p>
    <w:p>
      <w:pPr>
        <w:spacing w:after="0" w:line="400"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386" w:lineRule="auto" w:before="174"/>
        <w:ind w:left="156" w:right="144" w:firstLine="480"/>
        <w:jc w:val="left"/>
      </w:pPr>
      <w:r>
        <w:rPr>
          <w:spacing w:val="-2"/>
        </w:rPr>
        <w:t>王岱岩，男，中国国籍，</w:t>
      </w:r>
      <w:r>
        <w:rPr>
          <w:rFonts w:ascii="Times New Roman" w:hAnsi="Times New Roman" w:cs="Times New Roman" w:eastAsia="Times New Roman" w:hint="default"/>
          <w:spacing w:val="-2"/>
        </w:rPr>
        <w:t>1963</w:t>
      </w:r>
      <w:r>
        <w:rPr>
          <w:spacing w:val="-2"/>
        </w:rPr>
        <w:t>年出生，毕业于东北大学自动化控制系，本科学历。</w:t>
      </w:r>
      <w:r>
        <w:rPr>
          <w:rFonts w:ascii="Times New Roman" w:hAnsi="Times New Roman" w:cs="Times New Roman" w:eastAsia="Times New Roman" w:hint="default"/>
          <w:spacing w:val="-2"/>
        </w:rPr>
        <w:t>2001</w:t>
      </w:r>
      <w:r>
        <w:rPr>
          <w:spacing w:val="-2"/>
        </w:rPr>
        <w:t>年至今任本公</w:t>
      </w:r>
      <w:r>
        <w:rPr/>
        <w:t> 司市场部销售总监，兼任辽宁荣信电机控制技术有限公司董事长。</w:t>
      </w:r>
    </w:p>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荣信嘉时（北京）科技发展有限公司董 事长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辽宁荣信光伏技术有限公司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辽宁荣信电气传动技术有限责任公司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荣西电力传输技术有限公司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龙浩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北京信力筑正新能源技术股份有限公司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龙浩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荣信嘉时（北京）科技发展有限公司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陈诗君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深圳市松禾资本管理有限公司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陈诗君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深港产学研数码科技有限公司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陈诗君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深圳邦凯新能源股份有限公司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陈诗君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广州迪森热能技术股份有限公司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陈诗君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北镇市五峰米业加工有限公司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陈诗君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深圳市赢合科技股份有限公司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陈诗君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深圳市玉宇科技有限公司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周爱勤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河南新纪元防腐绝热工程有限公司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梅志明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普洛斯项目管理咨询有限公司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中国区总裁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梅志明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北京慧点科技有限公司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刘泉军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中国青年政治学院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刘泉军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北京恒华伟业科技股份有限公司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清华大学经济管理学院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北京紫光华宇软件股份有限公司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湖南多喜爱股份有限公司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赵柏品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北京荣科恒阳整流技术有限公司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杨贵发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辽宁荣信防爆电气技术有限公司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董事、副总经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杨贵发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上海地澳自动化科技有限公司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辽宁荣信防爆电气技术有限公司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上海地澳自动化科技有限公司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北京信力筑正新能源技术股份有限公司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王岱岩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辽宁荣信电机控制技术有限公司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8"/>
        <w:rPr>
          <w:rFonts w:ascii="宋体" w:hAnsi="宋体" w:cs="宋体" w:eastAsia="宋体" w:hint="default"/>
          <w:b/>
          <w:bCs/>
          <w:sz w:val="30"/>
          <w:szCs w:val="30"/>
        </w:rPr>
      </w:pPr>
    </w:p>
    <w:p>
      <w:pPr>
        <w:pStyle w:val="BodyText"/>
        <w:spacing w:line="432" w:lineRule="auto"/>
        <w:ind w:left="633" w:right="681" w:hanging="480"/>
        <w:jc w:val="left"/>
      </w:pPr>
      <w:r>
        <w:rPr/>
        <w:t>董事、监事、高级管理人员报酬的决策程序、确定依据 </w:t>
      </w:r>
      <w:r>
        <w:rPr>
          <w:rFonts w:ascii="Times New Roman" w:hAnsi="Times New Roman" w:cs="Times New Roman" w:eastAsia="Times New Roman" w:hint="default"/>
        </w:rPr>
        <w:t>1</w:t>
      </w:r>
      <w:r>
        <w:rPr/>
        <w:t>、董事、监事、高级管理人员报酬决策程序 公司独立董事津贴由董事会薪酬与考核委员会制定并经</w:t>
      </w:r>
      <w:r>
        <w:rPr>
          <w:rFonts w:ascii="Times New Roman" w:hAnsi="Times New Roman" w:cs="Times New Roman" w:eastAsia="Times New Roman" w:hint="default"/>
        </w:rPr>
        <w:t>2010</w:t>
      </w:r>
      <w:r>
        <w:rPr/>
        <w:t>年第一次临时股东大会审议批准。 公司高级管理人员薪酬由董事会薪酬与考核委员会制定与考核并经董事会批准。 </w:t>
      </w:r>
      <w:r>
        <w:rPr>
          <w:rFonts w:ascii="Times New Roman" w:hAnsi="Times New Roman" w:cs="Times New Roman" w:eastAsia="Times New Roman" w:hint="default"/>
        </w:rPr>
        <w:t>2</w:t>
      </w:r>
      <w:r>
        <w:rPr/>
        <w:t>、董事、监事、高级管理人员报酬确定依据</w:t>
      </w:r>
    </w:p>
    <w:p>
      <w:pPr>
        <w:pStyle w:val="BodyText"/>
        <w:spacing w:line="240" w:lineRule="auto" w:before="29"/>
        <w:ind w:left="634" w:right="0"/>
        <w:jc w:val="left"/>
      </w:pPr>
      <w:r>
        <w:rPr/>
        <w:t>公司董事会薪酬与考核委员会依据公司主要经济指标和管理指标的完成情况对董事、监事和高级管理</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32" w:lineRule="auto" w:before="175"/>
        <w:ind w:left="617" w:right="2377" w:hanging="464"/>
        <w:jc w:val="left"/>
      </w:pPr>
      <w:r>
        <w:rPr/>
        <w:t>人员的业绩、工作能力、履职情况进行考评，制定薪酬方案。 </w:t>
      </w:r>
      <w:r>
        <w:rPr>
          <w:rFonts w:ascii="Times New Roman" w:hAnsi="Times New Roman" w:cs="Times New Roman" w:eastAsia="Times New Roman" w:hint="default"/>
        </w:rPr>
        <w:t>3</w:t>
      </w:r>
      <w:r>
        <w:rPr/>
        <w:t>、董事、监事、高级管理人员从公司报酬的实际支付情况 报告期，公司按股东大会和董事会批准的薪酬支付给董事、高级管理人员。</w:t>
      </w:r>
    </w:p>
    <w:p>
      <w:pPr>
        <w:spacing w:before="12"/>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3"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马成家</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龙浩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财务总监、董 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陈诗君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张其生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周爱勤</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梅志明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贾利民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刘泉军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王泽全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赵柏品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杨贵发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106,000.00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副总裁、董事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焦东亮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王岱岩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2,188,000.00</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四、公司董事、监事、高级管理人员离职和解聘情况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贾利民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因工作安排原因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张其生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因个人原因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五、公司员工情况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151" w:firstLine="482"/>
        <w:jc w:val="both"/>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日，公司共有在职员工</w:t>
      </w:r>
      <w:r>
        <w:rPr>
          <w:rFonts w:ascii="Times New Roman" w:hAnsi="Times New Roman" w:cs="Times New Roman" w:eastAsia="Times New Roman" w:hint="default"/>
        </w:rPr>
        <w:t>1699</w:t>
      </w:r>
      <w:r>
        <w:rPr/>
        <w:t>人。其中：生产人员</w:t>
      </w:r>
      <w:r>
        <w:rPr>
          <w:rFonts w:ascii="Times New Roman" w:hAnsi="Times New Roman" w:cs="Times New Roman" w:eastAsia="Times New Roman" w:hint="default"/>
        </w:rPr>
        <w:t>275</w:t>
      </w:r>
      <w:r>
        <w:rPr/>
        <w:t>人，占员工总数的</w:t>
      </w:r>
      <w:r>
        <w:rPr>
          <w:rFonts w:ascii="Times New Roman" w:hAnsi="Times New Roman" w:cs="Times New Roman" w:eastAsia="Times New Roman" w:hint="default"/>
        </w:rPr>
        <w:t>16.19%</w:t>
      </w:r>
      <w:r>
        <w:rPr/>
        <w:t>；销 售人员</w:t>
      </w:r>
      <w:r>
        <w:rPr>
          <w:rFonts w:ascii="Times New Roman" w:hAnsi="Times New Roman" w:cs="Times New Roman" w:eastAsia="Times New Roman" w:hint="default"/>
        </w:rPr>
        <w:t>424</w:t>
      </w:r>
      <w:r>
        <w:rPr>
          <w:rFonts w:ascii="Times New Roman" w:hAnsi="Times New Roman" w:cs="Times New Roman" w:eastAsia="Times New Roman" w:hint="default"/>
          <w:spacing w:val="-10"/>
        </w:rPr>
        <w:t> </w:t>
      </w:r>
      <w:r>
        <w:rPr/>
        <w:t>人，占员工总数的</w:t>
      </w:r>
      <w:r>
        <w:rPr>
          <w:rFonts w:ascii="Times New Roman" w:hAnsi="Times New Roman" w:cs="Times New Roman" w:eastAsia="Times New Roman" w:hint="default"/>
        </w:rPr>
        <w:t>24.96%</w:t>
      </w:r>
      <w:r>
        <w:rPr/>
        <w:t>；技术人员</w:t>
      </w:r>
      <w:r>
        <w:rPr>
          <w:rFonts w:ascii="Times New Roman" w:hAnsi="Times New Roman" w:cs="Times New Roman" w:eastAsia="Times New Roman" w:hint="default"/>
        </w:rPr>
        <w:t>714</w:t>
      </w:r>
      <w:r>
        <w:rPr/>
        <w:t>人，占员工总数的</w:t>
      </w:r>
      <w:r>
        <w:rPr>
          <w:rFonts w:ascii="Times New Roman" w:hAnsi="Times New Roman" w:cs="Times New Roman" w:eastAsia="Times New Roman" w:hint="default"/>
        </w:rPr>
        <w:t>42.02%</w:t>
      </w:r>
      <w:r>
        <w:rPr/>
        <w:t>；管理人员</w:t>
      </w:r>
      <w:r>
        <w:rPr>
          <w:rFonts w:ascii="Times New Roman" w:hAnsi="Times New Roman" w:cs="Times New Roman" w:eastAsia="Times New Roman" w:hint="default"/>
        </w:rPr>
        <w:t>286</w:t>
      </w:r>
      <w:r>
        <w:rPr/>
        <w:t>人，占员工总 数的</w:t>
      </w:r>
      <w:r>
        <w:rPr>
          <w:rFonts w:ascii="Times New Roman" w:hAnsi="Times New Roman" w:cs="Times New Roman" w:eastAsia="Times New Roman" w:hint="default"/>
        </w:rPr>
        <w:t>16.83%</w:t>
      </w:r>
      <w:r>
        <w:rPr/>
        <w:t>。</w:t>
      </w:r>
    </w:p>
    <w:p>
      <w:pPr>
        <w:pStyle w:val="BodyText"/>
        <w:spacing w:line="386" w:lineRule="auto" w:before="35"/>
        <w:ind w:right="136" w:firstLine="482"/>
        <w:jc w:val="both"/>
      </w:pPr>
      <w:r>
        <w:rPr/>
        <w:t>员工受教育程度如下：本科以上</w:t>
      </w:r>
      <w:r>
        <w:rPr>
          <w:rFonts w:ascii="Times New Roman" w:hAnsi="Times New Roman" w:cs="Times New Roman" w:eastAsia="Times New Roman" w:hint="default"/>
        </w:rPr>
        <w:t>1074</w:t>
      </w:r>
      <w:r>
        <w:rPr/>
        <w:t>人，占员工总数的</w:t>
      </w:r>
      <w:r>
        <w:rPr>
          <w:rFonts w:ascii="Times New Roman" w:hAnsi="Times New Roman" w:cs="Times New Roman" w:eastAsia="Times New Roman" w:hint="default"/>
        </w:rPr>
        <w:t>63.21%</w:t>
      </w:r>
      <w:r>
        <w:rPr/>
        <w:t>；大专</w:t>
      </w:r>
      <w:r>
        <w:rPr>
          <w:rFonts w:ascii="Times New Roman" w:hAnsi="Times New Roman" w:cs="Times New Roman" w:eastAsia="Times New Roman" w:hint="default"/>
        </w:rPr>
        <w:t>414</w:t>
      </w:r>
      <w:r>
        <w:rPr/>
        <w:t>人，占员工总数的</w:t>
      </w:r>
      <w:r>
        <w:rPr>
          <w:rFonts w:ascii="Times New Roman" w:hAnsi="Times New Roman" w:cs="Times New Roman" w:eastAsia="Times New Roman" w:hint="default"/>
        </w:rPr>
        <w:t>24.37%</w:t>
      </w:r>
      <w:r>
        <w:rPr/>
        <w:t>； 大专以下</w:t>
      </w:r>
      <w:r>
        <w:rPr>
          <w:rFonts w:ascii="Times New Roman" w:hAnsi="Times New Roman" w:cs="Times New Roman" w:eastAsia="Times New Roman" w:hint="default"/>
        </w:rPr>
        <w:t>211</w:t>
      </w:r>
      <w:r>
        <w:rPr/>
        <w:t>人，占员工总数的</w:t>
      </w:r>
      <w:r>
        <w:rPr>
          <w:rFonts w:ascii="Times New Roman" w:hAnsi="Times New Roman" w:cs="Times New Roman" w:eastAsia="Times New Roman" w:hint="default"/>
        </w:rPr>
        <w:t>12.42%</w:t>
      </w:r>
      <w:r>
        <w:rPr/>
        <w:t>。</w:t>
      </w:r>
    </w:p>
    <w:p>
      <w:pPr>
        <w:spacing w:line="240" w:lineRule="auto" w:before="9"/>
        <w:rPr>
          <w:rFonts w:ascii="宋体" w:hAnsi="宋体" w:cs="宋体" w:eastAsia="宋体" w:hint="default"/>
          <w:sz w:val="25"/>
          <w:szCs w:val="25"/>
        </w:rPr>
      </w:pPr>
    </w:p>
    <w:p>
      <w:pPr>
        <w:spacing w:line="3328" w:lineRule="exact"/>
        <w:ind w:left="154" w:right="0" w:firstLine="0"/>
        <w:rPr>
          <w:rFonts w:ascii="宋体" w:hAnsi="宋体" w:cs="宋体" w:eastAsia="宋体" w:hint="default"/>
          <w:sz w:val="20"/>
          <w:szCs w:val="20"/>
        </w:rPr>
      </w:pPr>
      <w:r>
        <w:rPr>
          <w:rFonts w:ascii="宋体" w:hAnsi="宋体" w:cs="宋体" w:eastAsia="宋体" w:hint="default"/>
          <w:position w:val="-66"/>
          <w:sz w:val="20"/>
          <w:szCs w:val="20"/>
        </w:rPr>
        <w:pict>
          <v:group style="width:434.55pt;height:166.45pt;mso-position-horizontal-relative:char;mso-position-vertical-relative:line" coordorigin="0,0" coordsize="8691,3329">
            <v:shape style="position:absolute;left:0;top:42;width:4339;height:3287" type="#_x0000_t75" stroked="false">
              <v:imagedata r:id="rId14" o:title=""/>
            </v:shape>
            <v:shape style="position:absolute;left:4339;top:0;width:4351;height:3329" type="#_x0000_t75" stroked="false">
              <v:imagedata r:id="rId15" o:title=""/>
            </v:shape>
          </v:group>
        </w:pict>
      </w:r>
      <w:r>
        <w:rPr>
          <w:rFonts w:ascii="宋体" w:hAnsi="宋体" w:cs="宋体" w:eastAsia="宋体" w:hint="default"/>
          <w:position w:val="-66"/>
          <w:sz w:val="20"/>
          <w:szCs w:val="20"/>
        </w:rPr>
      </w:r>
    </w:p>
    <w:p>
      <w:pPr>
        <w:spacing w:after="0" w:line="3328"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3927"/>
        <w:jc w:val="center"/>
        <w:rPr>
          <w:b w:val="0"/>
          <w:bCs w:val="0"/>
        </w:rPr>
      </w:pPr>
      <w:bookmarkStart w:name="_TOC_250003"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221"/>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330" w:firstLine="372"/>
        <w:jc w:val="both"/>
      </w:pPr>
      <w:r>
        <w:rPr/>
        <w:t>公司严格按照《公司法》、《证券法》、《上市公司治理准则》及中国证监会、深圳证券交易所发布 </w:t>
      </w:r>
      <w:r>
        <w:rPr>
          <w:spacing w:val="-1"/>
        </w:rPr>
        <w:t>的有关上市公司治理的规范性文件要求，不断完善公司法人治理结构，规范公司运作。比照中国证监会发</w:t>
      </w:r>
      <w:r>
        <w:rPr>
          <w:spacing w:val="-83"/>
        </w:rPr>
        <w:t> </w:t>
      </w:r>
      <w:r>
        <w:rPr>
          <w:spacing w:val="-83"/>
        </w:rPr>
      </w:r>
      <w:r>
        <w:rPr>
          <w:spacing w:val="-1"/>
        </w:rPr>
        <w:t>布的有关上市公司治理的规范性文件，公司法人治理结构的实际情况基本符合《上市公司治理准则》的要</w:t>
      </w:r>
      <w:r>
        <w:rPr>
          <w:spacing w:val="-83"/>
        </w:rPr>
        <w:t> </w:t>
      </w:r>
      <w:r>
        <w:rPr>
          <w:spacing w:val="-83"/>
        </w:rPr>
      </w:r>
      <w:r>
        <w:rPr/>
        <w:t>求。</w:t>
      </w:r>
    </w:p>
    <w:p>
      <w:pPr>
        <w:pStyle w:val="BodyText"/>
        <w:spacing w:line="240" w:lineRule="auto" w:before="46"/>
        <w:ind w:left="490" w:right="221"/>
        <w:jc w:val="left"/>
      </w:pPr>
      <w:r>
        <w:rPr/>
        <w:t>报告期内，公司制定和修订的公司制度如下：</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648"/>
        <w:gridCol w:w="3942"/>
        <w:gridCol w:w="1998"/>
        <w:gridCol w:w="3266"/>
      </w:tblGrid>
      <w:tr>
        <w:trPr>
          <w:trHeight w:val="50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1" w:right="0"/>
              <w:jc w:val="left"/>
              <w:rPr>
                <w:rFonts w:ascii="宋体" w:hAnsi="宋体" w:cs="宋体" w:eastAsia="宋体" w:hint="default"/>
                <w:sz w:val="21"/>
                <w:szCs w:val="21"/>
              </w:rPr>
            </w:pPr>
            <w:r>
              <w:rPr>
                <w:rFonts w:ascii="宋体" w:hAnsi="宋体" w:cs="宋体" w:eastAsia="宋体" w:hint="default"/>
                <w:sz w:val="21"/>
                <w:szCs w:val="21"/>
              </w:rPr>
              <w:t>最近一次修订时间</w:t>
            </w:r>
          </w:p>
        </w:tc>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会议名称</w:t>
            </w:r>
          </w:p>
        </w:tc>
      </w:tr>
      <w:tr>
        <w:trPr>
          <w:trHeight w:val="50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1</w:t>
            </w:r>
          </w:p>
        </w:tc>
        <w:tc>
          <w:tcPr>
            <w:tcW w:w="3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年第一次临时股东大会</w:t>
            </w:r>
          </w:p>
        </w:tc>
      </w:tr>
    </w:tbl>
    <w:p>
      <w:pPr>
        <w:pStyle w:val="BodyText"/>
        <w:spacing w:line="398" w:lineRule="auto" w:before="63"/>
        <w:ind w:right="331" w:firstLine="480"/>
        <w:jc w:val="both"/>
      </w:pPr>
      <w:r>
        <w:rPr>
          <w:rFonts w:ascii="Times New Roman" w:hAnsi="Times New Roman" w:cs="Times New Roman" w:eastAsia="Times New Roman" w:hint="default"/>
        </w:rPr>
        <w:t>1</w:t>
      </w:r>
      <w:r>
        <w:rPr/>
        <w:t>、关于股东与股东大会：公司能够按照《上市公司股东大会规范意见》、《公司章程》、《公司股 </w:t>
      </w:r>
      <w:r>
        <w:rPr>
          <w:spacing w:val="-1"/>
        </w:rPr>
        <w:t>东大会议事规则》等规定，规范地召集、召开股东大会；公司能够确保所有股东享有平等地位，确保所有</w:t>
      </w:r>
      <w:r>
        <w:rPr>
          <w:spacing w:val="-83"/>
        </w:rPr>
        <w:t> </w:t>
      </w:r>
      <w:r>
        <w:rPr>
          <w:spacing w:val="-83"/>
        </w:rPr>
      </w:r>
      <w:r>
        <w:rPr/>
        <w:t>股东能够充分行使自己的权利，不存在损害中小股东利益的情形。</w:t>
      </w:r>
    </w:p>
    <w:p>
      <w:pPr>
        <w:pStyle w:val="BodyText"/>
        <w:spacing w:line="393" w:lineRule="auto" w:before="54"/>
        <w:ind w:right="221" w:firstLine="480"/>
        <w:jc w:val="left"/>
      </w:pPr>
      <w:r>
        <w:rPr>
          <w:rFonts w:ascii="Times New Roman" w:hAnsi="Times New Roman" w:cs="Times New Roman" w:eastAsia="Times New Roman" w:hint="default"/>
          <w:spacing w:val="-2"/>
        </w:rPr>
        <w:t>2</w:t>
      </w:r>
      <w:r>
        <w:rPr>
          <w:spacing w:val="-2"/>
        </w:rPr>
        <w:t>、关于公司与控股股东：公司与控股股东在人员、资产、财务、机构和业务方面实行</w:t>
      </w:r>
      <w:r>
        <w:rPr>
          <w:rFonts w:ascii="Times New Roman" w:hAnsi="Times New Roman" w:cs="Times New Roman" w:eastAsia="Times New Roman" w:hint="default"/>
          <w:spacing w:val="-2"/>
        </w:rPr>
        <w:t>“</w:t>
      </w:r>
      <w:r>
        <w:rPr>
          <w:spacing w:val="-2"/>
        </w:rPr>
        <w:t>三分开</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两</w:t>
      </w:r>
      <w:r>
        <w:rPr/>
        <w:t> 独立</w:t>
      </w:r>
      <w:r>
        <w:rPr>
          <w:rFonts w:ascii="Times New Roman" w:hAnsi="Times New Roman" w:cs="Times New Roman" w:eastAsia="Times New Roman" w:hint="default"/>
        </w:rPr>
        <w:t>”</w:t>
      </w:r>
      <w:r>
        <w:rPr/>
        <w:t>，公司拥有独立完整的业务和自主经营能力；公司董事会、监事会及其他内部机构独立运作。公司 </w:t>
      </w:r>
      <w:r>
        <w:rPr>
          <w:spacing w:val="-1"/>
        </w:rPr>
        <w:t>控股股东没有超越股东大会直接或间接干预公司的决策及依法开展的生产经营活动，不存在控股股东占用</w:t>
      </w:r>
      <w:r>
        <w:rPr>
          <w:spacing w:val="-81"/>
        </w:rPr>
        <w:t> </w:t>
      </w:r>
      <w:r>
        <w:rPr>
          <w:spacing w:val="-81"/>
        </w:rPr>
      </w:r>
      <w:r>
        <w:rPr/>
        <w:t>公司资金的现象，公司也无为控股股东及其子公司提供担保的情形。</w:t>
      </w:r>
    </w:p>
    <w:p>
      <w:pPr>
        <w:pStyle w:val="BodyText"/>
        <w:spacing w:line="400" w:lineRule="auto" w:before="59"/>
        <w:ind w:right="331" w:firstLine="480"/>
        <w:jc w:val="both"/>
      </w:pPr>
      <w:r>
        <w:rPr>
          <w:rFonts w:ascii="Times New Roman" w:hAnsi="Times New Roman" w:cs="Times New Roman" w:eastAsia="Times New Roman" w:hint="default"/>
        </w:rPr>
        <w:t>3</w:t>
      </w:r>
      <w:r>
        <w:rPr/>
        <w:t>、关于董事和董事会：公司严格按照《公司章程》规定的董事选聘程序选举董事；公司董事会的人 </w:t>
      </w:r>
      <w:r>
        <w:rPr>
          <w:spacing w:val="-1"/>
        </w:rPr>
        <w:t>数及人员构成符合有关法律、法规的要求。各位董事能够遵照《深圳证券交易所中小企业板块上市公司规</w:t>
      </w:r>
      <w:r>
        <w:rPr>
          <w:spacing w:val="-83"/>
        </w:rPr>
        <w:t> </w:t>
      </w:r>
      <w:r>
        <w:rPr>
          <w:spacing w:val="-83"/>
        </w:rPr>
      </w:r>
      <w:r>
        <w:rPr>
          <w:spacing w:val="-1"/>
        </w:rPr>
        <w:t>范运作指引》、《公司董事会议事规则》、《公司独立董事工作制度》的要求忠实、诚信、勤勉地履行职</w:t>
      </w:r>
      <w:r>
        <w:rPr>
          <w:spacing w:val="-84"/>
        </w:rPr>
        <w:t> </w:t>
      </w:r>
      <w:r>
        <w:rPr>
          <w:spacing w:val="-84"/>
        </w:rPr>
      </w:r>
      <w:r>
        <w:rPr/>
        <w:t>责。</w:t>
      </w:r>
    </w:p>
    <w:p>
      <w:pPr>
        <w:pStyle w:val="BodyText"/>
        <w:spacing w:line="398" w:lineRule="auto" w:before="52"/>
        <w:ind w:right="221" w:firstLine="479"/>
        <w:jc w:val="left"/>
      </w:pPr>
      <w:r>
        <w:rPr>
          <w:rFonts w:ascii="Times New Roman" w:hAnsi="Times New Roman" w:cs="Times New Roman" w:eastAsia="Times New Roman" w:hint="default"/>
        </w:rPr>
        <w:t>4</w:t>
      </w:r>
      <w:r>
        <w:rPr/>
        <w:t>、关于监事和监事会：公司监事会设监事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2</w:t>
      </w:r>
      <w:r>
        <w:rPr/>
        <w:t>名，监事会的人数和构成符合有关法 </w:t>
      </w:r>
      <w:r>
        <w:rPr>
          <w:spacing w:val="-3"/>
        </w:rPr>
        <w:t>律、法规的要求；公司监事能够本着对股东负责的态度，严格按照《公司章程》、《公司监事会议事规则》</w:t>
      </w:r>
      <w:r>
        <w:rPr>
          <w:spacing w:val="-90"/>
        </w:rPr>
        <w:t> </w:t>
      </w:r>
      <w:r>
        <w:rPr>
          <w:spacing w:val="-90"/>
        </w:rPr>
      </w:r>
      <w:r>
        <w:rPr/>
        <w:t>等制度要求，认真履行自己的职责。</w:t>
      </w:r>
    </w:p>
    <w:p>
      <w:pPr>
        <w:pStyle w:val="BodyText"/>
        <w:spacing w:line="398" w:lineRule="auto" w:before="54"/>
        <w:ind w:right="331" w:firstLine="480"/>
        <w:jc w:val="both"/>
      </w:pPr>
      <w:r>
        <w:rPr>
          <w:rFonts w:ascii="Times New Roman" w:hAnsi="Times New Roman" w:cs="Times New Roman" w:eastAsia="Times New Roman" w:hint="default"/>
        </w:rPr>
        <w:t>5</w:t>
      </w:r>
      <w:r>
        <w:rPr/>
        <w:t>、关于绩效评价与激励约束机制：公司已建立有效的绩效评价激励体系，董事、监事以及高级管理 </w:t>
      </w:r>
      <w:r>
        <w:rPr>
          <w:spacing w:val="-1"/>
        </w:rPr>
        <w:t>人员的薪酬与公司绩效和个人业绩挂钩；高级管理人员的聘任公开、透明，严格遵循《公司章程》及有关</w:t>
      </w:r>
      <w:r>
        <w:rPr>
          <w:spacing w:val="-83"/>
        </w:rPr>
        <w:t> </w:t>
      </w:r>
      <w:r>
        <w:rPr>
          <w:spacing w:val="-83"/>
        </w:rPr>
      </w:r>
      <w:r>
        <w:rPr/>
        <w:t>法律、法规的规定。</w:t>
      </w:r>
    </w:p>
    <w:p>
      <w:pPr>
        <w:pStyle w:val="BodyText"/>
        <w:spacing w:line="240" w:lineRule="auto" w:before="54"/>
        <w:ind w:left="490" w:right="221"/>
        <w:jc w:val="left"/>
        <w:rPr>
          <w:rFonts w:ascii="Times New Roman" w:hAnsi="Times New Roman" w:cs="Times New Roman" w:eastAsia="Times New Roman" w:hint="default"/>
        </w:rPr>
      </w:pPr>
      <w:r>
        <w:rPr>
          <w:rFonts w:ascii="Times New Roman" w:hAnsi="Times New Roman" w:cs="Times New Roman" w:eastAsia="Times New Roman" w:hint="default"/>
        </w:rPr>
        <w:t>6</w:t>
      </w:r>
      <w:r>
        <w:rPr/>
        <w:t>、关于信息披露与透明度：公司指定董事会秘书负责公司信息披露工作，协调公司与投资者的关系</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747" w:footer="982" w:top="1060" w:bottom="1180" w:left="980" w:right="8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BodyText"/>
        <w:spacing w:line="398" w:lineRule="auto"/>
        <w:ind w:right="148"/>
        <w:jc w:val="both"/>
      </w:pPr>
      <w:r>
        <w:rPr>
          <w:spacing w:val="-2"/>
        </w:rPr>
        <w:t>接待股东来访</w:t>
      </w:r>
      <w:r>
        <w:rPr>
          <w:rFonts w:ascii="Times New Roman" w:hAnsi="Times New Roman" w:cs="Times New Roman" w:eastAsia="Times New Roman" w:hint="default"/>
          <w:spacing w:val="-2"/>
        </w:rPr>
        <w:t>,</w:t>
      </w:r>
      <w:r>
        <w:rPr>
          <w:spacing w:val="-2"/>
        </w:rPr>
        <w:t>回答投资者咨询；公司能够严格按照有关法律、法规和《公司章程》、《公司信息披露管理</w:t>
      </w:r>
      <w:r>
        <w:rPr>
          <w:spacing w:val="-85"/>
        </w:rPr>
        <w:t> </w:t>
      </w:r>
      <w:r>
        <w:rPr>
          <w:spacing w:val="-85"/>
        </w:rPr>
      </w:r>
      <w:r>
        <w:rPr>
          <w:spacing w:val="-1"/>
        </w:rPr>
        <w:t>制度》、《公司投资者关系管理办法》的要求，真实、准确、及时、完整地披露有关信息，确保公司所有</w:t>
      </w:r>
      <w:r>
        <w:rPr>
          <w:spacing w:val="-85"/>
        </w:rPr>
        <w:t> </w:t>
      </w:r>
      <w:r>
        <w:rPr>
          <w:spacing w:val="-85"/>
        </w:rPr>
      </w:r>
      <w:r>
        <w:rPr/>
        <w:t>股东能够以平等的机会获得信息。</w:t>
      </w:r>
    </w:p>
    <w:p>
      <w:pPr>
        <w:pStyle w:val="BodyText"/>
        <w:spacing w:line="398" w:lineRule="auto" w:before="54"/>
        <w:ind w:right="149" w:firstLine="480"/>
        <w:jc w:val="both"/>
      </w:pPr>
      <w:r>
        <w:rPr>
          <w:rFonts w:ascii="Times New Roman" w:hAnsi="Times New Roman" w:cs="Times New Roman" w:eastAsia="Times New Roman" w:hint="default"/>
        </w:rPr>
        <w:t>7</w:t>
      </w:r>
      <w:r>
        <w:rPr/>
        <w:t>、关于相关利益者：公司具有较强的社会责任感，能够充分尊重和维护相关利益者的合法权益，实 </w:t>
      </w:r>
      <w:r>
        <w:rPr>
          <w:spacing w:val="-1"/>
        </w:rPr>
        <w:t>现公司、股东、员工、社会等各方利益的协调平衡，能够与利益相关者积极合作，共同推动公司持续、健</w:t>
      </w:r>
      <w:r>
        <w:rPr>
          <w:spacing w:val="-83"/>
        </w:rPr>
        <w:t> </w:t>
      </w:r>
      <w:r>
        <w:rPr>
          <w:spacing w:val="-83"/>
        </w:rPr>
      </w:r>
      <w:r>
        <w:rPr/>
        <w:t>康的发展。</w:t>
      </w:r>
    </w:p>
    <w:p>
      <w:pPr>
        <w:pStyle w:val="BodyText"/>
        <w:spacing w:line="444" w:lineRule="auto" w:before="95"/>
        <w:ind w:left="153" w:right="3681"/>
        <w:jc w:val="left"/>
      </w:pPr>
      <w:r>
        <w:rPr/>
        <w:t>报告期内，公司未收到被监管部门采取行政监管措施的有关文件。 公司治理与《公司法》和中国证监会相关规定的要求是否存在差异</w:t>
      </w:r>
    </w:p>
    <w:p>
      <w:pPr>
        <w:pStyle w:val="BodyText"/>
        <w:spacing w:line="420" w:lineRule="auto" w:before="54"/>
        <w:ind w:right="242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公司治理专项活动开展情况以及内幕信息知情人登记管理制度的制定、实施情况</w:t>
      </w:r>
    </w:p>
    <w:p>
      <w:pPr>
        <w:pStyle w:val="BodyText"/>
        <w:spacing w:line="240" w:lineRule="auto" w:before="75"/>
        <w:ind w:left="574" w:right="0"/>
        <w:jc w:val="left"/>
      </w:pPr>
      <w:r>
        <w:rPr/>
        <w:t>公司于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年开展了公司治理专项活动</w:t>
      </w:r>
      <w:r>
        <w:rPr>
          <w:spacing w:val="-126"/>
        </w:rPr>
        <w:t>，</w:t>
      </w:r>
      <w:r>
        <w:rPr/>
        <w:t>《荣</w:t>
      </w:r>
      <w:r>
        <w:rPr>
          <w:spacing w:val="-2"/>
        </w:rPr>
        <w:t>信</w:t>
      </w:r>
      <w:r>
        <w:rPr/>
        <w:t>电力电子股份有限公司关于加强上市公司专项治理活</w:t>
      </w:r>
    </w:p>
    <w:p>
      <w:pPr>
        <w:pStyle w:val="BodyText"/>
        <w:spacing w:line="240" w:lineRule="auto" w:before="177"/>
        <w:ind w:right="0"/>
        <w:jc w:val="both"/>
      </w:pPr>
      <w:r>
        <w:rPr/>
        <w:t>动的整改报告》详见</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日巨潮资讯网。公司第三届董事会第二十八次会议审议通过了《内</w:t>
      </w:r>
    </w:p>
    <w:p>
      <w:pPr>
        <w:pStyle w:val="BodyText"/>
        <w:spacing w:line="386" w:lineRule="auto" w:before="177"/>
        <w:ind w:left="153" w:right="140"/>
        <w:jc w:val="left"/>
      </w:pPr>
      <w:r>
        <w:rPr/>
        <w:t>幕信息知情人报备制度</w:t>
      </w:r>
      <w:r>
        <w:rPr>
          <w:spacing w:val="-106"/>
        </w:rPr>
        <w:t>》</w:t>
      </w:r>
      <w:r>
        <w:rPr>
          <w:spacing w:val="-6"/>
        </w:rPr>
        <w:t>，</w:t>
      </w:r>
      <w:r>
        <w:rPr/>
        <w:t>全文详见</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日巨潮资讯网</w:t>
      </w:r>
      <w:r>
        <w:rPr>
          <w:spacing w:val="-6"/>
        </w:rPr>
        <w:t>。</w:t>
      </w:r>
      <w:r>
        <w:rPr/>
        <w:t>报告期</w:t>
      </w:r>
      <w:r>
        <w:rPr>
          <w:spacing w:val="-6"/>
        </w:rPr>
        <w:t>，</w:t>
      </w:r>
      <w:r>
        <w:rPr/>
        <w:t>公司严格执</w:t>
      </w:r>
      <w:r>
        <w:rPr>
          <w:spacing w:val="-6"/>
        </w:rPr>
        <w:t>行</w:t>
      </w:r>
      <w:r>
        <w:rPr/>
        <w:t>《内幕信息</w:t>
      </w:r>
      <w:r>
        <w:rPr>
          <w:spacing w:val="1"/>
        </w:rPr>
        <w:t>知</w:t>
      </w:r>
      <w:r>
        <w:rPr/>
        <w:t>情</w:t>
      </w:r>
      <w:r>
        <w:rPr/>
        <w:t> 人报备制度</w:t>
      </w:r>
      <w:r>
        <w:rPr>
          <w:spacing w:val="-106"/>
        </w:rPr>
        <w:t>》</w:t>
      </w:r>
      <w:r>
        <w:rPr/>
        <w:t>，未发生利用内幕信息买卖公司股票情况。</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董事</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年度监事会</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工作报告</w:t>
            </w:r>
            <w:r>
              <w:rPr>
                <w:rFonts w:ascii="宋体" w:hAnsi="宋体" w:cs="宋体" w:eastAsia="宋体" w:hint="default"/>
                <w:spacing w:val="-38"/>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28"/>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年度财务决算报</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pacing w:val="-16"/>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年度</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w:t>
            </w:r>
          </w:p>
        </w:tc>
      </w:tr>
      <w:tr>
        <w:trPr>
          <w:trHeight w:val="623"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38"/>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9"/>
              <w:jc w:val="left"/>
              <w:rPr>
                <w:rFonts w:ascii="宋体" w:hAnsi="宋体" w:cs="宋体" w:eastAsia="宋体" w:hint="default"/>
                <w:sz w:val="18"/>
                <w:szCs w:val="18"/>
              </w:rPr>
            </w:pPr>
            <w:r>
              <w:rPr>
                <w:rFonts w:ascii="宋体" w:hAnsi="宋体" w:cs="宋体" w:eastAsia="宋体" w:hint="default"/>
                <w:sz w:val="18"/>
                <w:szCs w:val="18"/>
              </w:rPr>
              <w:t>利润分配及资本公 </w:t>
            </w:r>
            <w:r>
              <w:rPr>
                <w:rFonts w:ascii="宋体" w:hAnsi="宋体" w:cs="宋体" w:eastAsia="宋体" w:hint="default"/>
                <w:spacing w:val="-10"/>
                <w:sz w:val="18"/>
                <w:szCs w:val="18"/>
              </w:rPr>
              <w:t>积转增股本方案》；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审议通过全部议案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会决议公告》全文详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报告</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日巨潮资讯网。</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及摘要</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90"/>
                <w:sz w:val="18"/>
                <w:szCs w:val="18"/>
              </w:rPr>
              <w:t>、</w:t>
            </w:r>
            <w:r>
              <w:rPr>
                <w:rFonts w:ascii="宋体" w:hAnsi="宋体" w:cs="宋体" w:eastAsia="宋体" w:hint="default"/>
                <w:sz w:val="18"/>
                <w:szCs w:val="18"/>
              </w:rPr>
              <w:t>《关于</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续聘会计师事务所</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pacing w:val="-90"/>
                <w:sz w:val="18"/>
                <w:szCs w:val="18"/>
              </w:rPr>
              <w:t>、</w:t>
            </w:r>
            <w:r>
              <w:rPr>
                <w:rFonts w:ascii="宋体" w:hAnsi="宋体" w:cs="宋体" w:eastAsia="宋体" w:hint="default"/>
                <w:sz w:val="18"/>
                <w:szCs w:val="18"/>
              </w:rPr>
              <w:t>《关于</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为控股子公司提供</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担保的议案》</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4"/>
                <w:sz w:val="18"/>
                <w:szCs w:val="18"/>
              </w:rPr>
              <w:t>、</w:t>
            </w: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1873"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58"/>
              <w:ind w:left="22" w:right="31"/>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 一次临时股东大会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16" w:lineRule="auto" w:before="63"/>
              <w:ind w:left="23" w:right="119"/>
              <w:jc w:val="both"/>
              <w:rPr>
                <w:rFonts w:ascii="宋体" w:hAnsi="宋体" w:cs="宋体" w:eastAsia="宋体" w:hint="default"/>
                <w:sz w:val="18"/>
                <w:szCs w:val="18"/>
              </w:rPr>
            </w:pPr>
            <w:r>
              <w:rPr>
                <w:rFonts w:ascii="宋体" w:hAnsi="宋体" w:cs="宋体" w:eastAsia="宋体" w:hint="default"/>
                <w:sz w:val="18"/>
                <w:szCs w:val="18"/>
              </w:rPr>
              <w:t>《荣信电力电子股 份有限公司股东分 红回报规划</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172"/>
                <w:sz w:val="18"/>
                <w:szCs w:val="18"/>
              </w:rPr>
              <w:t>、</w:t>
            </w:r>
            <w:r>
              <w:rPr>
                <w:rFonts w:ascii="宋体" w:hAnsi="宋体" w:cs="宋体" w:eastAsia="宋体" w:hint="default"/>
                <w:sz w:val="18"/>
                <w:szCs w:val="18"/>
              </w:rPr>
              <w:t>《关于增补独立董</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审议通过全部议案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9" w:lineRule="auto" w:before="161"/>
              <w:ind w:left="23"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告》全文详见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302" w:lineRule="auto" w:before="5"/>
              <w:ind w:left="23"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日巨潮资讯 网。</w:t>
            </w:r>
          </w:p>
        </w:tc>
      </w:tr>
      <w:tr>
        <w:trPr>
          <w:trHeight w:val="351"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事的议案》</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22" w:right="31"/>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 二次临时股东大会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、《荣信电力电子股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份有限公司关于发 行公司债券的议 </w:t>
            </w:r>
            <w:r>
              <w:rPr>
                <w:rFonts w:ascii="宋体" w:hAnsi="宋体" w:cs="宋体" w:eastAsia="宋体" w:hint="default"/>
                <w:spacing w:val="-18"/>
                <w:sz w:val="18"/>
                <w:szCs w:val="18"/>
              </w:rPr>
              <w:t>案》；</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、《关于为控</w:t>
            </w:r>
            <w:r>
              <w:rPr>
                <w:rFonts w:ascii="宋体" w:hAnsi="宋体" w:cs="宋体" w:eastAsia="宋体" w:hint="default"/>
                <w:sz w:val="18"/>
                <w:szCs w:val="18"/>
              </w:rPr>
              <w:t> 股子公司提供担保 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96"/>
              <w:jc w:val="center"/>
              <w:rPr>
                <w:rFonts w:ascii="宋体" w:hAnsi="宋体" w:cs="宋体" w:eastAsia="宋体" w:hint="default"/>
                <w:sz w:val="18"/>
                <w:szCs w:val="18"/>
              </w:rPr>
            </w:pPr>
            <w:r>
              <w:rPr>
                <w:rFonts w:ascii="宋体" w:hAnsi="宋体" w:cs="宋体" w:eastAsia="宋体" w:hint="default"/>
                <w:sz w:val="18"/>
                <w:szCs w:val="18"/>
              </w:rPr>
              <w:t>审议通过全部议案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9" w:lineRule="auto"/>
              <w:ind w:left="23"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 告》全文详见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302" w:lineRule="auto" w:before="5"/>
              <w:ind w:left="23"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日巨潮资 讯网。</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刘泉军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梅志明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after="0" w:line="338"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3" w:lineRule="auto" w:before="174"/>
        <w:ind w:left="153" w:right="188" w:firstLine="336"/>
        <w:jc w:val="both"/>
      </w:pPr>
      <w:r>
        <w:rPr/>
        <w:t>独立董事对公司</w:t>
      </w:r>
      <w:r>
        <w:rPr>
          <w:rFonts w:ascii="Times New Roman" w:hAnsi="Times New Roman" w:cs="Times New Roman" w:eastAsia="Times New Roman" w:hint="default"/>
        </w:rPr>
        <w:t>2012</w:t>
      </w:r>
      <w:r>
        <w:rPr/>
        <w:t>年度经营活动情况进行了认真的了解和查验，深入了解公司的生产经营和内部控 </w:t>
      </w:r>
      <w:r>
        <w:rPr>
          <w:spacing w:val="-1"/>
        </w:rPr>
        <w:t>制等制度的完善及执行情况、董事会决议执行情况、财务管理、募集资金使用、业务发展和投资项目的进</w:t>
      </w:r>
      <w:r>
        <w:rPr>
          <w:spacing w:val="-82"/>
        </w:rPr>
        <w:t> </w:t>
      </w:r>
      <w:r>
        <w:rPr>
          <w:spacing w:val="-82"/>
        </w:rPr>
      </w:r>
      <w:r>
        <w:rPr/>
        <w:t>展等相关事项，查阅有关资料，与相关人员沟通，关注公司的经营、治理情况，并对公司对外担保情况， </w:t>
      </w:r>
      <w:r>
        <w:rPr>
          <w:spacing w:val="-1"/>
        </w:rPr>
        <w:t>内控执行情况，利润分配政策及《股东分红回报规划》提出合理的建议，独立董事的建议得到了公司的采</w:t>
      </w:r>
      <w:r>
        <w:rPr>
          <w:spacing w:val="-82"/>
        </w:rPr>
        <w:t> </w:t>
      </w:r>
      <w:r>
        <w:rPr>
          <w:spacing w:val="-82"/>
        </w:rPr>
      </w:r>
      <w:r>
        <w:rPr/>
        <w:t>纳。</w:t>
      </w:r>
    </w:p>
    <w:p>
      <w:pPr>
        <w:spacing w:line="240" w:lineRule="auto" w:before="2"/>
        <w:rPr>
          <w:rFonts w:ascii="宋体" w:hAnsi="宋体" w:cs="宋体" w:eastAsia="宋体" w:hint="default"/>
          <w:sz w:val="19"/>
          <w:szCs w:val="19"/>
        </w:rPr>
      </w:pPr>
    </w:p>
    <w:p>
      <w:pPr>
        <w:pStyle w:val="Heading2"/>
        <w:spacing w:line="240" w:lineRule="auto"/>
        <w:ind w:right="0"/>
        <w:jc w:val="both"/>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633" w:right="96" w:hanging="120"/>
        <w:jc w:val="left"/>
      </w:pPr>
      <w:r>
        <w:rPr/>
        <w:t>（一）董事会战略委员会 </w:t>
      </w:r>
      <w:r>
        <w:rPr>
          <w:spacing w:val="-2"/>
        </w:rPr>
        <w:t>报告期，根据《董事会战略委员会议事规则》董事会战略委员会召开</w:t>
      </w:r>
      <w:r>
        <w:rPr>
          <w:rFonts w:ascii="Times New Roman" w:hAnsi="Times New Roman" w:cs="Times New Roman" w:eastAsia="Times New Roman" w:hint="default"/>
          <w:spacing w:val="-2"/>
        </w:rPr>
        <w:t>1</w:t>
      </w:r>
      <w:r>
        <w:rPr>
          <w:spacing w:val="-2"/>
        </w:rPr>
        <w:t>次会议，根据国内外经济形势，</w:t>
      </w:r>
    </w:p>
    <w:p>
      <w:pPr>
        <w:pStyle w:val="BodyText"/>
        <w:spacing w:line="408" w:lineRule="auto" w:before="14"/>
        <w:ind w:left="153" w:right="211"/>
        <w:jc w:val="both"/>
      </w:pPr>
      <w:r>
        <w:rPr>
          <w:spacing w:val="-1"/>
        </w:rPr>
        <w:t>结合公司战略发展要求，向公司董事会提出有关结构调整、资本运作、长远发展等事项的建议，对促进公</w:t>
      </w:r>
      <w:r>
        <w:rPr>
          <w:spacing w:val="-82"/>
        </w:rPr>
        <w:t> </w:t>
      </w:r>
      <w:r>
        <w:rPr>
          <w:spacing w:val="-82"/>
        </w:rPr>
      </w:r>
      <w:r>
        <w:rPr/>
        <w:t>司转方式、调结构，规避市场风险，起到积极良好的作用。</w:t>
      </w:r>
    </w:p>
    <w:p>
      <w:pPr>
        <w:pStyle w:val="BodyText"/>
        <w:spacing w:line="408" w:lineRule="auto" w:before="46"/>
        <w:ind w:left="634" w:right="198" w:hanging="240"/>
        <w:jc w:val="left"/>
      </w:pPr>
      <w:r>
        <w:rPr/>
        <w:t>（二）董事会审计委员会 </w:t>
      </w:r>
      <w:r>
        <w:rPr>
          <w:spacing w:val="-2"/>
        </w:rPr>
        <w:t>报告期内，审计委员会根据《审计委员会议事规则》赋予的职责和权限切实履行了审议内部审计部门</w:t>
      </w:r>
    </w:p>
    <w:p>
      <w:pPr>
        <w:pStyle w:val="BodyText"/>
        <w:spacing w:line="398" w:lineRule="auto" w:before="46"/>
        <w:ind w:right="211"/>
        <w:jc w:val="both"/>
      </w:pPr>
      <w:r>
        <w:rPr>
          <w:spacing w:val="-1"/>
        </w:rPr>
        <w:t>提交的审计计划和工作报告、审核公司的财务信息及其披露、监督公司的内部审计制度及其实施、负责内</w:t>
      </w:r>
      <w:r>
        <w:rPr>
          <w:spacing w:val="-83"/>
        </w:rPr>
        <w:t> </w:t>
      </w:r>
      <w:r>
        <w:rPr>
          <w:spacing w:val="-83"/>
        </w:rPr>
      </w:r>
      <w:r>
        <w:rPr>
          <w:spacing w:val="-1"/>
        </w:rPr>
        <w:t>部审计与外部审计沟通等职责。公司制定了《董事会审计委员会年报工作规程》，在</w:t>
      </w:r>
      <w:r>
        <w:rPr>
          <w:rFonts w:ascii="Times New Roman" w:hAnsi="Times New Roman" w:cs="Times New Roman" w:eastAsia="Times New Roman" w:hint="default"/>
          <w:spacing w:val="-1"/>
        </w:rPr>
        <w:t>2012</w:t>
      </w:r>
      <w:r>
        <w:rPr>
          <w:spacing w:val="-1"/>
        </w:rPr>
        <w:t>年公司财务报告</w:t>
      </w:r>
      <w:r>
        <w:rPr>
          <w:spacing w:val="-83"/>
        </w:rPr>
        <w:t> </w:t>
      </w:r>
      <w:r>
        <w:rPr>
          <w:spacing w:val="-83"/>
        </w:rPr>
      </w:r>
      <w:r>
        <w:rPr/>
        <w:t>审计工作中做了如下工作：</w:t>
      </w:r>
    </w:p>
    <w:p>
      <w:pPr>
        <w:pStyle w:val="BodyText"/>
        <w:spacing w:line="240" w:lineRule="auto" w:before="54"/>
        <w:ind w:left="634" w:right="0"/>
        <w:jc w:val="left"/>
      </w:pPr>
      <w:r>
        <w:rPr>
          <w:rFonts w:ascii="Times New Roman" w:hAnsi="Times New Roman" w:cs="Times New Roman" w:eastAsia="Times New Roman" w:hint="default"/>
        </w:rPr>
        <w:t>1</w:t>
      </w:r>
      <w:r>
        <w:rPr/>
        <w:t>、审计委员会与公司</w:t>
      </w:r>
      <w:r>
        <w:rPr>
          <w:rFonts w:ascii="Times New Roman" w:hAnsi="Times New Roman" w:cs="Times New Roman" w:eastAsia="Times New Roman" w:hint="default"/>
        </w:rPr>
        <w:t>2012</w:t>
      </w:r>
      <w:r>
        <w:rPr/>
        <w:t>年度审计机构天健会计师事务所有限公司充分沟通的基础上协商确定了</w:t>
      </w:r>
    </w:p>
    <w:p>
      <w:pPr>
        <w:pStyle w:val="BodyText"/>
        <w:spacing w:line="240" w:lineRule="auto" w:before="177"/>
        <w:ind w:right="0"/>
        <w:jc w:val="both"/>
      </w:pPr>
      <w:r>
        <w:rPr>
          <w:rFonts w:ascii="Times New Roman" w:hAnsi="Times New Roman" w:cs="Times New Roman" w:eastAsia="Times New Roman" w:hint="default"/>
        </w:rPr>
        <w:t>2012</w:t>
      </w:r>
      <w:r>
        <w:rPr/>
        <w:t>年度财务报告审计的进度安排；</w:t>
      </w:r>
    </w:p>
    <w:p>
      <w:pPr>
        <w:pStyle w:val="BodyText"/>
        <w:spacing w:line="386" w:lineRule="auto" w:before="177"/>
        <w:ind w:right="233" w:firstLine="480"/>
        <w:jc w:val="both"/>
      </w:pPr>
      <w:r>
        <w:rPr>
          <w:rFonts w:ascii="Times New Roman" w:hAnsi="Times New Roman" w:cs="Times New Roman" w:eastAsia="Times New Roman" w:hint="default"/>
        </w:rPr>
        <w:t>2</w:t>
      </w:r>
      <w:r>
        <w:rPr/>
        <w:t>、审计委员会在年审注册会计师进场前审阅了公司编制的财务会计报告后，发表意见如下：同意将 公司按照《企业会计准则》及有关补充规定编制的财务报告提交天健会计师事务所有限公司审计。</w:t>
      </w:r>
    </w:p>
    <w:p>
      <w:pPr>
        <w:pStyle w:val="BodyText"/>
        <w:spacing w:line="386" w:lineRule="auto" w:before="65"/>
        <w:ind w:right="233" w:firstLine="480"/>
        <w:jc w:val="both"/>
      </w:pPr>
      <w:r>
        <w:rPr>
          <w:rFonts w:ascii="Times New Roman" w:hAnsi="Times New Roman" w:cs="Times New Roman" w:eastAsia="Times New Roman" w:hint="default"/>
        </w:rPr>
        <w:t>3</w:t>
      </w:r>
      <w:r>
        <w:rPr/>
        <w:t>、审计委员会在年审注册会计师审计期间与其针对审计过程中的问题进行了充分的交流与沟通，并 对其发出《关于按时提交审计报告的督促函》，督促其在约定的时限内提交审计报告。</w:t>
      </w:r>
    </w:p>
    <w:p>
      <w:pPr>
        <w:pStyle w:val="BodyText"/>
        <w:spacing w:line="386" w:lineRule="auto" w:before="65"/>
        <w:ind w:right="211" w:firstLine="480"/>
        <w:jc w:val="both"/>
      </w:pPr>
      <w:r>
        <w:rPr>
          <w:rFonts w:ascii="Times New Roman" w:hAnsi="Times New Roman" w:cs="Times New Roman" w:eastAsia="Times New Roman" w:hint="default"/>
        </w:rPr>
        <w:t>4</w:t>
      </w:r>
      <w:r>
        <w:rPr/>
        <w:t>、审计委员会审阅了注册会计师出具的初步审计意见后形成书面审核意见：经天健会计师事务所初 </w:t>
      </w:r>
      <w:r>
        <w:rPr>
          <w:spacing w:val="-1"/>
        </w:rPr>
        <w:t>步审计，对公司在</w:t>
      </w:r>
      <w:r>
        <w:rPr>
          <w:rFonts w:ascii="Times New Roman" w:hAnsi="Times New Roman" w:cs="Times New Roman" w:eastAsia="Times New Roman" w:hint="default"/>
          <w:spacing w:val="-1"/>
        </w:rPr>
        <w:t>2012</w:t>
      </w:r>
      <w:r>
        <w:rPr>
          <w:spacing w:val="-1"/>
        </w:rPr>
        <w:t>年财务报告编制过程中存在的会计估计、会计重分类等差错予以认同，并同意根据</w:t>
      </w:r>
      <w:r>
        <w:rPr>
          <w:spacing w:val="-83"/>
        </w:rPr>
        <w:t> </w:t>
      </w:r>
      <w:r>
        <w:rPr>
          <w:spacing w:val="-83"/>
        </w:rPr>
      </w:r>
      <w:r>
        <w:rPr/>
        <w:t>初步审计意见进行相应调整。</w:t>
      </w:r>
    </w:p>
    <w:p>
      <w:pPr>
        <w:pStyle w:val="BodyText"/>
        <w:spacing w:line="386" w:lineRule="auto" w:before="65"/>
        <w:ind w:right="211" w:firstLine="480"/>
        <w:jc w:val="both"/>
      </w:pPr>
      <w:r>
        <w:rPr>
          <w:rFonts w:ascii="Times New Roman" w:hAnsi="Times New Roman" w:cs="Times New Roman" w:eastAsia="Times New Roman" w:hint="default"/>
        </w:rPr>
        <w:t>5</w:t>
      </w:r>
      <w:r>
        <w:rPr/>
        <w:t>、审计委员会召开临时会议，并形成如下决议：①同意天健会计师事务所对本公司</w:t>
      </w:r>
      <w:r>
        <w:rPr>
          <w:rFonts w:ascii="Times New Roman" w:hAnsi="Times New Roman" w:cs="Times New Roman" w:eastAsia="Times New Roman" w:hint="default"/>
        </w:rPr>
        <w:t>2012</w:t>
      </w:r>
      <w:r>
        <w:rPr/>
        <w:t>年财务报告 </w:t>
      </w:r>
      <w:r>
        <w:rPr>
          <w:spacing w:val="-1"/>
        </w:rPr>
        <w:t>的审计结果的议案，并将财务审计结果提交公司董事会审议；②关于天健会计师事务所</w:t>
      </w:r>
      <w:r>
        <w:rPr>
          <w:rFonts w:ascii="Times New Roman" w:hAnsi="Times New Roman" w:cs="Times New Roman" w:eastAsia="Times New Roman" w:hint="default"/>
          <w:spacing w:val="-1"/>
        </w:rPr>
        <w:t>2012</w:t>
      </w:r>
      <w:r>
        <w:rPr>
          <w:spacing w:val="-1"/>
        </w:rPr>
        <w:t>年度审计工作</w:t>
      </w:r>
      <w:r>
        <w:rPr>
          <w:spacing w:val="-82"/>
        </w:rPr>
        <w:t> </w:t>
      </w:r>
      <w:r>
        <w:rPr>
          <w:spacing w:val="-1"/>
        </w:rPr>
        <w:t>总结的议案③同意聘请天健会计师事务所有限公司为本公司</w:t>
      </w:r>
      <w:r>
        <w:rPr>
          <w:rFonts w:ascii="Times New Roman" w:hAnsi="Times New Roman" w:cs="Times New Roman" w:eastAsia="Times New Roman" w:hint="default"/>
          <w:spacing w:val="-1"/>
        </w:rPr>
        <w:t>2013</w:t>
      </w:r>
      <w:r>
        <w:rPr>
          <w:spacing w:val="-1"/>
        </w:rPr>
        <w:t>年度审计机构的议案，并提交公司董事会</w:t>
      </w:r>
      <w:r>
        <w:rPr>
          <w:spacing w:val="-82"/>
        </w:rPr>
        <w:t> </w:t>
      </w:r>
      <w:r>
        <w:rPr>
          <w:spacing w:val="-82"/>
        </w:rPr>
      </w:r>
      <w:r>
        <w:rPr/>
        <w:t>审议。</w:t>
      </w:r>
    </w:p>
    <w:p>
      <w:pPr>
        <w:pStyle w:val="BodyText"/>
        <w:spacing w:line="240" w:lineRule="auto" w:before="65"/>
        <w:ind w:left="634" w:right="0"/>
        <w:jc w:val="left"/>
      </w:pPr>
      <w:r>
        <w:rPr/>
        <w:t>（三）董事会薪酬与考核委员会</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150" w:firstLine="480"/>
        <w:jc w:val="both"/>
      </w:pPr>
      <w:r>
        <w:rPr>
          <w:spacing w:val="-2"/>
        </w:rPr>
        <w:t>报告期末，公司董事会薪酬与考核委员会依据公司年初制定的经营目标及主要经济指标和管理指标的</w:t>
      </w:r>
      <w:r>
        <w:rPr/>
        <w:t> </w:t>
      </w:r>
      <w:r>
        <w:rPr>
          <w:spacing w:val="-1"/>
        </w:rPr>
        <w:t>完成情况对董事、监事和高级管理人员的业绩、工作能力、履职情况进行考评并发表审核意见如下：公司</w:t>
      </w:r>
      <w:r>
        <w:rPr>
          <w:spacing w:val="-82"/>
        </w:rPr>
        <w:t> </w:t>
      </w:r>
      <w:r>
        <w:rPr>
          <w:spacing w:val="-82"/>
        </w:rPr>
      </w:r>
      <w:r>
        <w:rPr/>
        <w:t>董事、监事、高级管理人员勤勉尽责，领取的薪酬与公司披露的情况相符。</w:t>
      </w:r>
    </w:p>
    <w:p>
      <w:pPr>
        <w:pStyle w:val="BodyText"/>
        <w:spacing w:line="408" w:lineRule="auto" w:before="46"/>
        <w:ind w:left="633" w:right="1206"/>
        <w:jc w:val="left"/>
      </w:pPr>
      <w:r>
        <w:rPr/>
        <w:t>（四）董事会提名委员会 报告期内，董事会提名委员会召开</w:t>
      </w:r>
      <w:r>
        <w:rPr>
          <w:rFonts w:ascii="Times New Roman" w:hAnsi="Times New Roman" w:cs="Times New Roman" w:eastAsia="Times New Roman" w:hint="default"/>
        </w:rPr>
        <w:t>1</w:t>
      </w:r>
      <w:r>
        <w:rPr/>
        <w:t>次会议，审议通过了《关于增选独立董事的议案》。</w:t>
      </w:r>
    </w:p>
    <w:p>
      <w:pPr>
        <w:spacing w:line="240" w:lineRule="auto" w:before="5"/>
        <w:rPr>
          <w:rFonts w:ascii="宋体" w:hAnsi="宋体" w:cs="宋体" w:eastAsia="宋体" w:hint="default"/>
          <w:sz w:val="16"/>
          <w:szCs w:val="16"/>
        </w:rPr>
      </w:pPr>
    </w:p>
    <w:p>
      <w:pPr>
        <w:pStyle w:val="Heading2"/>
        <w:spacing w:line="240" w:lineRule="auto"/>
        <w:ind w:right="0"/>
        <w:jc w:val="left"/>
        <w:rPr>
          <w:b w:val="0"/>
          <w:bCs w:val="0"/>
        </w:rPr>
      </w:pPr>
      <w:r>
        <w:rPr/>
        <w:t>五、监事会工作情况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t>监事会在报告期内的监督活动中发现公司是否存在风险</w:t>
      </w:r>
    </w:p>
    <w:p>
      <w:pPr>
        <w:pStyle w:val="BodyText"/>
        <w:spacing w:line="290" w:lineRule="auto" w:before="76"/>
        <w:ind w:right="620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监事会对报告期内的监督事项无异议。</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right="0" w:firstLine="420"/>
        <w:jc w:val="left"/>
      </w:pPr>
      <w:r>
        <w:rPr>
          <w:spacing w:val="-1"/>
        </w:rPr>
        <w:t>公司在业务、人员、资产、机构、财务等方面与控股股东完全分开，具有独立、完整的资产和业务及</w:t>
      </w:r>
      <w:r>
        <w:rPr/>
        <w:t> 自主经营的能力。</w:t>
      </w:r>
    </w:p>
    <w:p>
      <w:pPr>
        <w:pStyle w:val="BodyText"/>
        <w:spacing w:line="398" w:lineRule="auto" w:before="82"/>
        <w:ind w:left="153" w:right="0" w:firstLine="420"/>
        <w:jc w:val="left"/>
      </w:pPr>
      <w:r>
        <w:rPr>
          <w:rFonts w:ascii="Times New Roman" w:hAnsi="Times New Roman" w:cs="Times New Roman" w:eastAsia="Times New Roman" w:hint="default"/>
        </w:rPr>
        <w:t>1</w:t>
      </w:r>
      <w:r>
        <w:rPr/>
        <w:t>、业务：公司业务结构完整，所需材料设备的采购及客户群、市场均不依赖于控股股东，具有独立 </w:t>
      </w:r>
      <w:r>
        <w:rPr>
          <w:spacing w:val="-1"/>
        </w:rPr>
        <w:t>的产供销系统，具备独立面向市场并自主经营的业务能力，与控股股东之间无同业竞争，控股股东不存在</w:t>
      </w:r>
      <w:r>
        <w:rPr>
          <w:spacing w:val="-83"/>
        </w:rPr>
        <w:t> </w:t>
      </w:r>
      <w:r>
        <w:rPr>
          <w:spacing w:val="-83"/>
        </w:rPr>
      </w:r>
      <w:r>
        <w:rPr/>
        <w:t>直接或间接干预公司经营的情形。</w:t>
      </w:r>
    </w:p>
    <w:p>
      <w:pPr>
        <w:pStyle w:val="BodyText"/>
        <w:spacing w:line="386" w:lineRule="auto" w:before="93"/>
        <w:ind w:left="153" w:right="216" w:firstLine="420"/>
        <w:jc w:val="left"/>
      </w:pPr>
      <w:r>
        <w:rPr>
          <w:rFonts w:ascii="Times New Roman" w:hAnsi="Times New Roman" w:cs="Times New Roman" w:eastAsia="Times New Roman" w:hint="default"/>
        </w:rPr>
        <w:t>2</w:t>
      </w:r>
      <w:r>
        <w:rPr/>
        <w:t>、人员：公司人员、劳动、人事、工资完全独立；公司高管人员未在控股股东及其下属企业担任除 董事、监事以外的任何职务，也未在控股股东及其下属企业领薪。</w:t>
      </w:r>
    </w:p>
    <w:p>
      <w:pPr>
        <w:pStyle w:val="BodyText"/>
        <w:spacing w:line="386" w:lineRule="auto" w:before="104"/>
        <w:ind w:left="153" w:right="216" w:firstLine="420"/>
        <w:jc w:val="left"/>
      </w:pPr>
      <w:r>
        <w:rPr>
          <w:rFonts w:ascii="Times New Roman" w:hAnsi="Times New Roman" w:cs="Times New Roman" w:eastAsia="Times New Roman" w:hint="default"/>
        </w:rPr>
        <w:t>3</w:t>
      </w:r>
      <w:r>
        <w:rPr/>
        <w:t>、资产：公司拥有独立的生产经营场所和完整的资产结构，拥有生产经营活动所必须的生产系统、 辅助生产系统和配套设施，公司专利权以及商标、土地、房屋等资产拥有完全的控制权和支配权。</w:t>
      </w:r>
    </w:p>
    <w:p>
      <w:pPr>
        <w:pStyle w:val="BodyText"/>
        <w:spacing w:line="398" w:lineRule="auto" w:before="103"/>
        <w:ind w:left="153" w:right="0" w:firstLine="420"/>
        <w:jc w:val="left"/>
      </w:pPr>
      <w:r>
        <w:rPr>
          <w:rFonts w:ascii="Times New Roman" w:hAnsi="Times New Roman" w:cs="Times New Roman" w:eastAsia="Times New Roman" w:hint="default"/>
        </w:rPr>
        <w:t>4</w:t>
      </w:r>
      <w:r>
        <w:rPr/>
        <w:t>、机构：公司设有健全的组织机构体系，股东大会、董事会、监事会、经理层、生产、技术等部门 </w:t>
      </w:r>
      <w:r>
        <w:rPr>
          <w:spacing w:val="-1"/>
        </w:rPr>
        <w:t>独立运作，并制定了相应的内部管理和控制制度，使各部门之间分工明确、各司其职、相互配合，从而构</w:t>
      </w:r>
      <w:r>
        <w:rPr>
          <w:spacing w:val="-83"/>
        </w:rPr>
        <w:t> </w:t>
      </w:r>
      <w:r>
        <w:rPr>
          <w:spacing w:val="-83"/>
        </w:rPr>
      </w:r>
      <w:r>
        <w:rPr/>
        <w:t>成了一个有机的整体，保证了公司的依法运作，不存在与控股股东职能部门之间的从属关系。</w:t>
      </w:r>
    </w:p>
    <w:p>
      <w:pPr>
        <w:pStyle w:val="BodyText"/>
        <w:spacing w:line="386" w:lineRule="auto" w:before="93"/>
        <w:ind w:left="153" w:right="216" w:firstLine="420"/>
        <w:jc w:val="left"/>
      </w:pPr>
      <w:r>
        <w:rPr>
          <w:rFonts w:ascii="Times New Roman" w:hAnsi="Times New Roman" w:cs="Times New Roman" w:eastAsia="Times New Roman" w:hint="default"/>
        </w:rPr>
        <w:t>5</w:t>
      </w:r>
      <w:r>
        <w:rPr/>
        <w:t>、财务：公司设有独立的财务管理部门，建立了独立的会计核算体系和财务管理制度以及内部审计 制度，独立进行财务决策，独立开设银行账户，独立纳税。</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t>七、高级管理人员的考评及激励情况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0" w:firstLine="630"/>
        <w:jc w:val="left"/>
      </w:pPr>
      <w:r>
        <w:rPr>
          <w:spacing w:val="-1"/>
        </w:rPr>
        <w:t>公司建立了完善的绩效考评体系，高级管理人员的工作绩效与其收入直接挂钩并引入重大失误问责</w:t>
      </w:r>
      <w:r>
        <w:rPr/>
        <w:t> </w:t>
      </w:r>
      <w:r>
        <w:rPr>
          <w:spacing w:val="-1"/>
        </w:rPr>
        <w:t>制度。公司董事会薪酬与考核委员会负责根据公司主要经济指标和管理指标的完成情况对高级管理人员的</w:t>
      </w:r>
    </w:p>
    <w:p>
      <w:pPr>
        <w:spacing w:after="0" w:line="40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41" w:lineRule="auto" w:before="175"/>
        <w:ind w:left="679" w:right="275" w:hanging="526"/>
        <w:jc w:val="left"/>
      </w:pPr>
      <w:r>
        <w:rPr/>
        <w:t>业绩、工作能力、履职情况进行考评，制定薪酬方案报公司董事会审批。 公司已实现了高级管理人员持股计划，初步建立了高管层股权激励机制，公司还将根据中国证监会</w:t>
      </w:r>
    </w:p>
    <w:p>
      <w:pPr>
        <w:pStyle w:val="BodyText"/>
        <w:spacing w:line="410" w:lineRule="auto" w:before="17"/>
        <w:ind w:left="153" w:right="102"/>
        <w:jc w:val="left"/>
      </w:pPr>
      <w:r>
        <w:rPr>
          <w:spacing w:val="-3"/>
        </w:rPr>
        <w:t>和深圳证券交易所有关规定，进一步建立和完善骨干层的激励机制。报告期，公司继续完善绩效考核制度，</w:t>
      </w:r>
      <w:r>
        <w:rPr>
          <w:spacing w:val="-90"/>
        </w:rPr>
        <w:t> </w:t>
      </w:r>
      <w:r>
        <w:rPr>
          <w:spacing w:val="-90"/>
        </w:rPr>
      </w:r>
      <w:r>
        <w:rPr/>
        <w:t>制定了详尽的工作量化标准和奖惩制度，确立建设卓越团队的基础管理体系。</w:t>
      </w:r>
    </w:p>
    <w:p>
      <w:pPr>
        <w:spacing w:after="0" w:line="41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47"/>
        <w:jc w:val="center"/>
        <w:rPr>
          <w:b w:val="0"/>
          <w:bCs w:val="0"/>
        </w:rPr>
      </w:pPr>
      <w:bookmarkStart w:name="_TOC_250002" w:id="9"/>
      <w:r>
        <w:rPr/>
        <w:t>第九节</w:t>
      </w:r>
      <w:r>
        <w:rPr>
          <w:spacing w:val="-5"/>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一、内部控制建设情况</w:t>
      </w:r>
      <w:r>
        <w:rPr>
          <w:b w:val="0"/>
          <w:bCs w:val="0"/>
        </w:rPr>
      </w:r>
    </w:p>
    <w:p>
      <w:pPr>
        <w:spacing w:line="240" w:lineRule="auto" w:before="6"/>
        <w:rPr>
          <w:rFonts w:ascii="宋体" w:hAnsi="宋体" w:cs="宋体" w:eastAsia="宋体" w:hint="default"/>
          <w:b/>
          <w:bCs/>
          <w:sz w:val="30"/>
          <w:szCs w:val="30"/>
        </w:rPr>
      </w:pPr>
    </w:p>
    <w:p>
      <w:pPr>
        <w:pStyle w:val="BodyText"/>
        <w:spacing w:line="400" w:lineRule="auto"/>
        <w:ind w:right="0" w:firstLine="420"/>
        <w:jc w:val="left"/>
      </w:pPr>
      <w:r>
        <w:rPr>
          <w:spacing w:val="-1"/>
        </w:rPr>
        <w:t>公司成立以来，一直致力于内部控制制度的制定和完善，建立了一套完整、合法、有效的内部控制制</w:t>
      </w:r>
      <w:r>
        <w:rPr/>
        <w:t> </w:t>
      </w:r>
      <w:r>
        <w:rPr>
          <w:spacing w:val="-1"/>
        </w:rPr>
        <w:t>度，主要包括：</w:t>
      </w:r>
      <w:r>
        <w:rPr>
          <w:rFonts w:ascii="Times New Roman" w:hAnsi="Times New Roman" w:cs="Times New Roman" w:eastAsia="Times New Roman" w:hint="default"/>
          <w:spacing w:val="-1"/>
        </w:rPr>
        <w:t>1</w:t>
      </w:r>
      <w:r>
        <w:rPr>
          <w:spacing w:val="-1"/>
        </w:rPr>
        <w:t>、以《公司章程》及三会议事规则为核心的公司治理制度；</w:t>
      </w:r>
      <w:r>
        <w:rPr>
          <w:rFonts w:ascii="Times New Roman" w:hAnsi="Times New Roman" w:cs="Times New Roman" w:eastAsia="Times New Roman" w:hint="default"/>
          <w:spacing w:val="-1"/>
        </w:rPr>
        <w:t>2</w:t>
      </w:r>
      <w:r>
        <w:rPr>
          <w:spacing w:val="-1"/>
        </w:rPr>
        <w:t>、以行政管理制度、人力资</w:t>
      </w:r>
      <w:r>
        <w:rPr>
          <w:spacing w:val="-86"/>
        </w:rPr>
        <w:t> </w:t>
      </w:r>
      <w:r>
        <w:rPr>
          <w:spacing w:val="-86"/>
        </w:rPr>
      </w:r>
      <w:r>
        <w:rPr/>
        <w:t>源管理制度、信息管理控制度、内部控制监督检查管理办法为组成的公司日常管理制度；</w:t>
      </w:r>
      <w:r>
        <w:rPr>
          <w:rFonts w:ascii="Times New Roman" w:hAnsi="Times New Roman" w:cs="Times New Roman" w:eastAsia="Times New Roman" w:hint="default"/>
        </w:rPr>
        <w:t>3</w:t>
      </w:r>
      <w:r>
        <w:rPr/>
        <w:t>、按照财政部 发布的《企业会计准则》及有关补充规定制定的会计核算制度和财务管理制度；</w:t>
      </w:r>
      <w:r>
        <w:rPr>
          <w:rFonts w:ascii="Times New Roman" w:hAnsi="Times New Roman" w:cs="Times New Roman" w:eastAsia="Times New Roman" w:hint="default"/>
        </w:rPr>
        <w:t>4</w:t>
      </w:r>
      <w:r>
        <w:rPr/>
        <w:t>、以</w:t>
      </w:r>
      <w:r>
        <w:rPr>
          <w:spacing w:val="-54"/>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1"/>
        </w:rPr>
        <w:t> </w:t>
      </w:r>
      <w:r>
        <w:rPr/>
        <w:t>质量管理 </w:t>
      </w:r>
      <w:r>
        <w:rPr>
          <w:spacing w:val="-1"/>
        </w:rPr>
        <w:t>体系为核心的业务控制制度。公司设立内部审计部为公司董事会对公司进行稽核监督的机构。内部审计部</w:t>
      </w:r>
      <w:r>
        <w:rPr>
          <w:spacing w:val="-81"/>
        </w:rPr>
        <w:t> </w:t>
      </w:r>
      <w:r>
        <w:rPr>
          <w:spacing w:val="-81"/>
        </w:rPr>
      </w:r>
      <w:r>
        <w:rPr>
          <w:spacing w:val="-1"/>
        </w:rPr>
        <w:t>按照有利于事前、事中和事后监督的原则，对公司及控制子公司的经营活动和内部控制制度的建立和执行</w:t>
      </w:r>
      <w:r>
        <w:rPr>
          <w:spacing w:val="-81"/>
        </w:rPr>
        <w:t> </w:t>
      </w:r>
      <w:r>
        <w:rPr>
          <w:spacing w:val="-81"/>
        </w:rPr>
      </w:r>
      <w:r>
        <w:rPr>
          <w:spacing w:val="-1"/>
        </w:rPr>
        <w:t>情况进行检查监督，并对每次检查对象和内容进行评价，提出改进建议和处理意见，确保内部控制的贯彻</w:t>
      </w:r>
      <w:r>
        <w:rPr>
          <w:spacing w:val="-83"/>
        </w:rPr>
        <w:t> </w:t>
      </w:r>
      <w:r>
        <w:rPr>
          <w:spacing w:val="-83"/>
        </w:rPr>
      </w:r>
      <w:r>
        <w:rPr>
          <w:spacing w:val="-1"/>
        </w:rPr>
        <w:t>实施和生产经营活动的正常进行。公司管理层认为，根据《企业内部控制基本规范》及相关规定，本公司</w:t>
      </w:r>
      <w:r>
        <w:rPr>
          <w:spacing w:val="-83"/>
        </w:rPr>
        <w:t> </w:t>
      </w:r>
      <w:r>
        <w:rPr>
          <w:spacing w:val="-83"/>
        </w:rPr>
      </w:r>
      <w:r>
        <w:rPr/>
        <w:t>内部控制于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日在所有重大方面是有效的。</w:t>
      </w:r>
    </w:p>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153" w:right="96" w:firstLine="420"/>
        <w:jc w:val="left"/>
      </w:pPr>
      <w:r>
        <w:rPr>
          <w:spacing w:val="-3"/>
        </w:rPr>
        <w:t>公司董事会对公司内部控制的建立健全和有效运行负全面责任。公司将按照《企业内部控制基本规范》</w:t>
      </w:r>
      <w:r>
        <w:rPr/>
        <w:t> 和《企业内部控制配套指引》的相关要求逐步建立健全内部控制体系，提高公司风险防范能力和规范运作 水平，保证企业经营管理合法合规、资产安全、财务报告及相关信息真实完整，提高经营效率和效益，推 进公司发展战略的实现。</w:t>
      </w:r>
    </w:p>
    <w:p>
      <w:pPr>
        <w:spacing w:line="240" w:lineRule="auto" w:before="10"/>
        <w:rPr>
          <w:rFonts w:ascii="宋体" w:hAnsi="宋体" w:cs="宋体" w:eastAsia="宋体" w:hint="default"/>
          <w:sz w:val="18"/>
          <w:szCs w:val="18"/>
        </w:rPr>
      </w:pPr>
    </w:p>
    <w:p>
      <w:pPr>
        <w:pStyle w:val="Heading2"/>
        <w:spacing w:line="240" w:lineRule="auto"/>
        <w:ind w:right="0"/>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30"/>
          <w:szCs w:val="30"/>
        </w:rPr>
      </w:pPr>
    </w:p>
    <w:p>
      <w:pPr>
        <w:pStyle w:val="BodyText"/>
        <w:spacing w:line="410" w:lineRule="auto"/>
        <w:ind w:left="153" w:right="0" w:firstLine="420"/>
        <w:jc w:val="left"/>
      </w:pPr>
      <w:r>
        <w:rPr>
          <w:spacing w:val="-10"/>
        </w:rPr>
        <w:t>公司依据《公司法》、《会计法》、《企业会计准则》和《企业内部控制基本规范》以及监管部门的相关</w:t>
      </w:r>
      <w:r>
        <w:rPr/>
        <w:t> 规范性文件为依据，建立了财务报告内部控制。</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四、内部控制自我评价报告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《关于公司内部控制的自我评估报告》全文详见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日巨潮资讯网。</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2"/>
        <w:rPr>
          <w:rFonts w:ascii="宋体" w:hAnsi="宋体" w:cs="宋体" w:eastAsia="宋体" w:hint="default"/>
          <w:b/>
          <w:bCs/>
          <w:sz w:val="28"/>
          <w:szCs w:val="28"/>
        </w:rPr>
      </w:pPr>
    </w:p>
    <w:p>
      <w:pPr>
        <w:spacing w:line="38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19.1pt;mso-position-horizontal-relative:char;mso-position-vertical-relative:line" coordorigin="0,0" coordsize="9587,382">
            <v:group style="position:absolute;left:2644;top:14;width:23;height:353" coordorigin="2644,14" coordsize="23,353">
              <v:shape style="position:absolute;left:2644;top:14;width:23;height:353" coordorigin="2644,14" coordsize="23,353" path="m2644,367l2666,367,2666,14,2644,14,2644,367xe" filled="true" fillcolor="#d3d3d3" stroked="false">
                <v:path arrowok="t"/>
                <v:fill type="solid"/>
              </v:shape>
            </v:group>
            <v:group style="position:absolute;left:14;top:14;width:23;height:353" coordorigin="14,14" coordsize="23,353">
              <v:shape style="position:absolute;left:14;top:14;width:23;height:353" coordorigin="14,14" coordsize="23,353" path="m14,367l37,367,37,14,14,14,14,367xe" filled="true" fillcolor="#d3d3d3" stroked="false">
                <v:path arrowok="t"/>
                <v:fill type="solid"/>
              </v:shape>
            </v:group>
            <v:group style="position:absolute;left:37;top:14;width:2607;height:353" coordorigin="37,14" coordsize="2607,353">
              <v:shape style="position:absolute;left:37;top:14;width:2607;height:353" coordorigin="37,14" coordsize="2607,353" path="m37,367l2644,367,2644,14,37,14,37,36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372" coordorigin="10,5" coordsize="2,372">
              <v:shape style="position:absolute;left:10;top:5;width:2;height:372" coordorigin="10,5" coordsize="0,372" path="m10,5l10,377e" filled="false" stroked="true" strokeweight=".48001pt" strokecolor="#000000">
                <v:path arrowok="t"/>
              </v:shape>
            </v:group>
            <v:group style="position:absolute;left:5;top:372;width:2662;height:2" coordorigin="5,372" coordsize="2662,2">
              <v:shape style="position:absolute;left:5;top:372;width:2662;height:2" coordorigin="5,372" coordsize="2662,0" path="m5,372l2666,372e" filled="false" stroked="true" strokeweight=".48004pt" strokecolor="#000000">
                <v:path arrowok="t"/>
              </v:shape>
            </v:group>
            <v:group style="position:absolute;left:2671;top:14;width:2;height:363" coordorigin="2671,14" coordsize="2,363">
              <v:shape style="position:absolute;left:2671;top:14;width:2;height:363" coordorigin="2671,14" coordsize="0,363" path="m2671,14l2671,377e" filled="false" stroked="true" strokeweight=".48001pt" strokecolor="#000000">
                <v:path arrowok="t"/>
              </v:shape>
            </v:group>
            <v:group style="position:absolute;left:2676;top:372;width:6897;height:2" coordorigin="2676,372" coordsize="6897,2">
              <v:shape style="position:absolute;left:2676;top:372;width:6897;height:2" coordorigin="2676,372" coordsize="6897,0" path="m2676,372l9572,372e" filled="false" stroked="true" strokeweight=".48004pt" strokecolor="#000000">
                <v:path arrowok="t"/>
              </v:shape>
            </v:group>
            <v:group style="position:absolute;left:9577;top:5;width:2;height:372" coordorigin="9577,5" coordsize="2,372">
              <v:shape style="position:absolute;left:9577;top:5;width:2;height:372" coordorigin="9577,5" coordsize="0,372" path="m9577,5l9577,377e" filled="false" stroked="true" strokeweight=".47998pt" strokecolor="#000000">
                <v:path arrowok="t"/>
              </v:shape>
              <v:shape style="position:absolute;left:10;top:10;width:2662;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索引</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7"/>
          <w:szCs w:val="17"/>
        </w:rPr>
      </w:pPr>
    </w:p>
    <w:p>
      <w:pPr>
        <w:pStyle w:val="Heading2"/>
        <w:spacing w:line="240" w:lineRule="auto" w:before="26"/>
        <w:ind w:right="0"/>
        <w:jc w:val="left"/>
        <w:rPr>
          <w:b w:val="0"/>
          <w:bCs w:val="0"/>
        </w:rPr>
      </w:pPr>
      <w:r>
        <w:rPr/>
        <w:t>五、年度报告重大差错责任追究制度的建立与执行情况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153" w:right="0" w:firstLine="420"/>
        <w:jc w:val="left"/>
      </w:pPr>
      <w:r>
        <w:rPr>
          <w:spacing w:val="-3"/>
        </w:rPr>
        <w:t>公司董事会制定了《年报信息披露重大差错责任追究制度》，确保信息披露的真实、准确、完整、及</w:t>
      </w:r>
      <w:r>
        <w:rPr/>
        <w:t> </w:t>
      </w:r>
      <w:r>
        <w:rPr>
          <w:spacing w:val="-1"/>
        </w:rPr>
        <w:t>时和公平，加大对年报信息披露责任人的问责力度，提高年报信息披露的质量和透明度。报告期，公司相</w:t>
      </w:r>
      <w:r>
        <w:rPr>
          <w:spacing w:val="-82"/>
        </w:rPr>
        <w:t> </w:t>
      </w:r>
      <w:r>
        <w:rPr>
          <w:spacing w:val="-82"/>
        </w:rPr>
      </w:r>
      <w:r>
        <w:rPr>
          <w:spacing w:val="-1"/>
        </w:rPr>
        <w:t>关人员严格按照《年报信息披露重大差错责任追究制度》的规定执行，切实履行应尽职责和义务，未发生</w:t>
      </w:r>
      <w:r>
        <w:rPr>
          <w:spacing w:val="-82"/>
        </w:rPr>
        <w:t> </w:t>
      </w:r>
      <w:r>
        <w:rPr>
          <w:spacing w:val="-82"/>
        </w:rPr>
      </w:r>
      <w:r>
        <w:rPr/>
        <w:t>违规情形。</w:t>
      </w:r>
    </w:p>
    <w:p>
      <w:pPr>
        <w:spacing w:after="0" w:line="40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3-183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0"/>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right="-20"/>
        <w:jc w:val="left"/>
      </w:pPr>
      <w:r>
        <w:rPr/>
        <w:t>荣信电力电子股份有限公司全体股东：</w:t>
      </w:r>
    </w:p>
    <w:p>
      <w:pPr>
        <w:pStyle w:val="Heading2"/>
        <w:spacing w:line="240" w:lineRule="auto" w:before="26"/>
        <w:ind w:left="153" w:right="0"/>
        <w:jc w:val="left"/>
        <w:rPr>
          <w:b w:val="0"/>
          <w:bCs w:val="0"/>
        </w:rPr>
      </w:pPr>
      <w:r>
        <w:rPr>
          <w:b w:val="0"/>
          <w:bCs w:val="0"/>
        </w:rPr>
        <w:br w:type="column"/>
      </w:r>
      <w:r>
        <w:rPr/>
        <w:t>审计报告正文</w:t>
      </w:r>
      <w:r>
        <w:rPr>
          <w:b w:val="0"/>
          <w:bCs w:val="0"/>
        </w:rPr>
      </w:r>
    </w:p>
    <w:p>
      <w:pPr>
        <w:spacing w:after="0" w:line="240" w:lineRule="auto"/>
        <w:jc w:val="left"/>
        <w:sectPr>
          <w:type w:val="continuous"/>
          <w:pgSz w:w="11910" w:h="16840"/>
          <w:pgMar w:top="1060" w:bottom="1180" w:left="980" w:right="980"/>
          <w:cols w:num="2" w:equalWidth="0">
            <w:col w:w="3725" w:space="371"/>
            <w:col w:w="5854"/>
          </w:cols>
        </w:sectPr>
      </w:pPr>
    </w:p>
    <w:p>
      <w:pPr>
        <w:spacing w:line="240" w:lineRule="auto" w:before="1"/>
        <w:rPr>
          <w:rFonts w:ascii="宋体" w:hAnsi="宋体" w:cs="宋体" w:eastAsia="宋体" w:hint="default"/>
          <w:b/>
          <w:bCs/>
          <w:sz w:val="12"/>
          <w:szCs w:val="12"/>
        </w:rPr>
      </w:pPr>
    </w:p>
    <w:p>
      <w:pPr>
        <w:pStyle w:val="BodyText"/>
        <w:spacing w:line="386" w:lineRule="auto" w:before="35"/>
        <w:ind w:left="153" w:right="148" w:firstLine="495"/>
        <w:jc w:val="both"/>
      </w:pPr>
      <w:r>
        <w:rPr/>
        <w:t>我们审计了后附的荣信电力电子股份有限公司（以下简称荣信股份）财务报表，包括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
        </w:rPr>
        <w:t>日的合并及母公司资产负债表，</w:t>
      </w:r>
      <w:r>
        <w:rPr>
          <w:rFonts w:ascii="Times New Roman" w:hAnsi="Times New Roman" w:cs="Times New Roman" w:eastAsia="Times New Roman" w:hint="default"/>
          <w:spacing w:val="-1"/>
        </w:rPr>
        <w:t>2012</w:t>
      </w:r>
      <w:r>
        <w:rPr>
          <w:spacing w:val="-1"/>
        </w:rPr>
        <w:t>年度的合并及母公司利润表、合并及母公司现金流量表、合并及母公</w:t>
      </w:r>
      <w:r>
        <w:rPr>
          <w:spacing w:val="-85"/>
        </w:rPr>
        <w:t> </w:t>
      </w:r>
      <w:r>
        <w:rPr>
          <w:spacing w:val="-85"/>
        </w:rPr>
      </w:r>
      <w:r>
        <w:rPr/>
        <w:t>司所有者权益变动表，以及财务报表附注。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4"/>
        <w:spacing w:line="240" w:lineRule="auto"/>
        <w:ind w:left="651" w:right="0"/>
        <w:jc w:val="left"/>
        <w:rPr>
          <w:b w:val="0"/>
          <w:bCs w:val="0"/>
        </w:rPr>
      </w:pPr>
      <w:r>
        <w:rPr/>
        <w:t>一、管理层对财务报表的责任</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left="153" w:right="150" w:firstLine="495"/>
        <w:jc w:val="both"/>
      </w:pPr>
      <w:r>
        <w:rPr/>
        <w:t>编制和公允列报财务报表是管理层的责任，这种责任包括：</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按照企业会计准则的规定编制财务报 表，并使其实现公允反映；</w:t>
      </w:r>
      <w:r>
        <w:rPr>
          <w:rFonts w:ascii="Times New Roman" w:hAnsi="Times New Roman" w:cs="Times New Roman" w:eastAsia="Times New Roman" w:hint="default"/>
        </w:rPr>
        <w:t>(2) </w:t>
      </w:r>
      <w:r>
        <w:rPr/>
        <w:t>设计、执行和维护必要的内部控制，以使财务报表不存在由于舞弊或错误</w:t>
      </w:r>
      <w:r>
        <w:rPr>
          <w:spacing w:val="-80"/>
        </w:rPr>
        <w:t> </w:t>
      </w:r>
      <w:r>
        <w:rPr>
          <w:spacing w:val="-80"/>
        </w:rPr>
      </w:r>
      <w:r>
        <w:rPr/>
        <w:t>导致的重大错报。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408" w:lineRule="auto"/>
        <w:ind w:left="649" w:right="0"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3"/>
        </w:rPr>
        <w:t>我们的责任是在执行审计工作的基础上对财务报表发表审计意见。我们按照中国注册会计师审计准则</w:t>
      </w:r>
    </w:p>
    <w:p>
      <w:pPr>
        <w:pStyle w:val="BodyText"/>
        <w:spacing w:line="408" w:lineRule="auto" w:before="46"/>
        <w:ind w:left="153"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before="46"/>
        <w:ind w:left="153" w:right="151" w:firstLine="495"/>
        <w:jc w:val="both"/>
      </w:pPr>
      <w:r>
        <w:rPr>
          <w:spacing w:val="-3"/>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240" w:lineRule="auto" w:before="46"/>
        <w:ind w:left="649" w:right="0"/>
        <w:jc w:val="left"/>
      </w:pPr>
      <w:r>
        <w:rPr/>
        <w:t>我们相信，我们获取的审计证据是充分、适当的，为发表审计意见提供了基础。</w:t>
      </w:r>
    </w:p>
    <w:p>
      <w:pPr>
        <w:spacing w:after="0" w:line="240" w:lineRule="auto"/>
        <w:jc w:val="left"/>
        <w:sectPr>
          <w:type w:val="continuous"/>
          <w:pgSz w:w="11910" w:h="16840"/>
          <w:pgMar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649" w:right="0"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我们认为，荣信股份财务报表在所有重大方面按照企业会计准则的规定编制，公允反映了荣信股份</w:t>
      </w:r>
    </w:p>
    <w:p>
      <w:pPr>
        <w:pStyle w:val="BodyText"/>
        <w:spacing w:line="240" w:lineRule="auto" w:before="46"/>
        <w:ind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年度的合并及母公司经营成果和现金流量。</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802,703,546.33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571,184,812.26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118,815,182.05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107,824,814.42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1,346,980,224.51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1,216,708,175.19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172,165,401.75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185,066,433.08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1,225,284.72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1,013,332.98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70,734,427.00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62,288,209.10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566,152,867.26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438,349,348.47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42,874,293.07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50,945,344.58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65,133,092.11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3,186,784,318.80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2,633,380,470.08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4,714,340.49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50,276,099.76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47,933,876.85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510,742,018.94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410,694,041.16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106,420,064.25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106,931,048.25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54,380,614.11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25,544,933.21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80,747,524.70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73,384,253.45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8,727,670.96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8,727,670.96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731,357.83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1,260,726.16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2,222,675.23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5,034,746.57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1,027,248,025.78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817,125,637.10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4,214,032,344.58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3,450,506,107.18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230,209,000.00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257,115,237.93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179,746,345.59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505,495,343.56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506,501,608.03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156,671,418.18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154,206,025.10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4,222,768.23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2,553,342.59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11,052,155.77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-32,976,314.72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24,315,573.77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7,999,743.00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9,932,403.27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10,505,529.58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1,713,804,900.71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1,273,745,279.17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6,244,433.50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50,567,040.28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52,617,240.24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156,811,473.78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63,217,240.24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1,870,616,374.49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1,336,962,519.41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506,973,731.28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454,345,349.44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115,009,478.98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101,564,417.06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994,158,841.42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892,277,709.93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2,120,142,051.68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1,952,187,476.43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223,273,918.41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161,356,111.34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2,343,415,970.09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2,113,543,587.77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4,214,032,344.58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3,450,506,107.18</w:t>
            </w:r>
          </w:p>
        </w:tc>
      </w:tr>
    </w:tbl>
    <w:p>
      <w:pPr>
        <w:spacing w:line="240" w:lineRule="auto" w:before="3"/>
        <w:rPr>
          <w:rFonts w:ascii="Times New Roman" w:hAnsi="Times New Roman" w:cs="Times New Roman" w:eastAsia="Times New Roman" w:hint="default"/>
          <w:sz w:val="23"/>
          <w:szCs w:val="23"/>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主管会计工作负责人：龙浩</w:t>
        <w:tab/>
        <w:t>会计机构负责人：陈宏</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599,608,965.40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399,457,904.25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86,396,022.05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101,415,509.42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1,171,776,495.48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1,049,673,569.76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148,781,180.82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125,637,282.04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1,225,284.72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1,013,332.98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31,458,680.94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28,909,217.45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408,905,446.85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326,708,676.32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42,874,293.07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50,945,344.58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46,929,844.05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2,537,956,213.38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2,083,760,836.80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132,900,000.00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4,714,340.49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267,921,963.96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212,028,181.85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490,580,731.42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396,010,996.17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47,421,056.70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97,396,165.70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33,744,343.93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13,204,917.05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77,084,422.74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70,067,115.05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551,279.64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1,129,752,518.75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926,872,995.95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3,667,708,732.13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3,010,633,832.75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198,209,000.00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163,886,686.53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100,148,154.71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494,231,343.15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457,779,020.80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123,384,369.41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146,656,678.32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1,412,268.78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821,419.57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1,743,094.25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-30,495,148.88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24,315,573.77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7,999,743.00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2,793,192.12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367,613.88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1,461,766,528.01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1,096,486,481.40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6,244,433.50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50,567,040.28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52,617,240.24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156,811,473.78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63,217,240.24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1,618,578,001.79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1,159,703,721.64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504,383,890.14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440,633,890.14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115,009,478.98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101,564,417.06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925,737,361.22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804,731,803.91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2,049,130,730.34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1,850,930,111.11</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3,667,708,732.13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3,010,633,832.75</w:t>
            </w:r>
          </w:p>
        </w:tc>
      </w:tr>
    </w:tbl>
    <w:p>
      <w:pPr>
        <w:spacing w:line="240" w:lineRule="auto" w:before="3"/>
        <w:rPr>
          <w:rFonts w:ascii="Times New Roman" w:hAnsi="Times New Roman" w:cs="Times New Roman" w:eastAsia="Times New Roman" w:hint="default"/>
          <w:sz w:val="23"/>
          <w:szCs w:val="23"/>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主管会计工作负责人：龙浩</w:t>
        <w:tab/>
        <w:t>会计机构负责人：陈宏</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1,287,133,495.51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1,630,819,959.31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1,287,133,495.51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1,630,819,959.31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1,239,905,203.85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1,392,521,264.29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661,675,739.70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798,885,131.25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17,029,098.50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21,806,646.56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192,706,898.29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264,539,887.43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260,618,406.69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227,450,867.46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67,975,908.48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40,857,578.79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39,899,152.19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38,981,152.80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5,788,027.91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-5,070,593.64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-611,972.09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-6,735,069.39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53,016,319.57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233,228,101.38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77,521,336.78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107,057,196.57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1,449,477.86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882,087.15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513,822.76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573,165.06</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129,088,178.49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339,403,210.80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20,810,796.17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29,042,666.26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108,277,382.32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310,360,544.54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115,326,193.41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283,780,765.05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-7,048,811.09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26,579,779.49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84,277,500.00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172,027,382.32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394,638,044.54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179,076,193.41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368,058,265.05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-7,048,811.09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26,579,779.49</w:t>
            </w:r>
          </w:p>
        </w:tc>
      </w:tr>
    </w:tbl>
    <w:p>
      <w:pPr>
        <w:spacing w:line="240" w:lineRule="auto" w:before="6"/>
        <w:rPr>
          <w:rFonts w:ascii="宋体" w:hAnsi="宋体" w:cs="宋体" w:eastAsia="宋体" w:hint="default"/>
          <w:sz w:val="20"/>
          <w:szCs w:val="20"/>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主管会计工作负责人：龙浩</w:t>
        <w:tab/>
        <w:t>会计机构负责人：陈宏</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1,083,731,360.13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1,390,032,851.71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638,465,653.85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833,524,774.99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10,273,287.39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11,966,734.43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173,051,922.99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165,131,591.72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93,341,033.98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136,744,000.77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57,841,209.59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32,587,684.34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31,400,185.51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35,231,589.08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5,788,027.91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-6,349,755.74</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4,288,027.91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-6,349,755.74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85,146,094.73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168,496,720.64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65,484,752.78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81,219,622.45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1,223,221.87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293,203.46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311,595.46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270,828.83</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149,407,625.64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249,423,139.63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14,957,006.41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21,389,252.74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134,450,619.23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228,033,886.89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84,277,500.00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198,200,619.23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312,311,386.89</w:t>
            </w:r>
          </w:p>
        </w:tc>
      </w:tr>
    </w:tbl>
    <w:p>
      <w:pPr>
        <w:spacing w:line="240" w:lineRule="auto" w:before="6"/>
        <w:rPr>
          <w:rFonts w:ascii="宋体" w:hAnsi="宋体" w:cs="宋体" w:eastAsia="宋体" w:hint="default"/>
          <w:sz w:val="20"/>
          <w:szCs w:val="20"/>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主管会计工作负责人：龙浩</w:t>
        <w:tab/>
        <w:t>会计机构负责人：陈宏</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1,353,239,831.50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1,415,798,276.22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81,879,574.19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86,962,508.68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21,201,688.08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36,212,174.17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1,456,321,093.77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1,538,972,959.07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916,995,933.59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1,141,689,324.98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128,170,012.66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93,928,768.96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147,630,220.59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147,225,759.89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439,888,446.19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313,911,202.20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1,632,684,613.03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1,696,755,056.03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-176,363,519.26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-157,782,096.96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6,837,585.00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561,792.46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20,316,770.60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3,284,416.28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6,961,792.46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30,438,771.88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60,248,663.80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78,907,197.12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8,054,195.00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39,936,928.65</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108,239,787.45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86,907,197.12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-101,277,994.99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-56,468,425.24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39,633,700.00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52,205,000.00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39,633,700.00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696,386,504.53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235,209,000.00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1,049,091,504.53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474,042,700.00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607,195,504.53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452,577,500.00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42,622,371.75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27,928,705.44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126,278,456.00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776,096,332.28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480,506,205.44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272,995,172.25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-6,463,505.44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-443,486.33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523,059.16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-5,089,828.33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-220,190,968.48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505,740,486.60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725,931,455.08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500,650,658.27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505,740,486.60</w:t>
            </w:r>
          </w:p>
        </w:tc>
      </w:tr>
    </w:tbl>
    <w:p>
      <w:pPr>
        <w:spacing w:line="240" w:lineRule="auto" w:before="3"/>
        <w:rPr>
          <w:rFonts w:ascii="Times New Roman" w:hAnsi="Times New Roman" w:cs="Times New Roman" w:eastAsia="Times New Roman" w:hint="default"/>
          <w:sz w:val="23"/>
          <w:szCs w:val="23"/>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主管会计工作负责人：龙浩</w:t>
        <w:tab/>
        <w:t>会计机构负责人：陈宏</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806,442,622.39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1,166,095,194.92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64,931,930.65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63,643,326.87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9,339,816.25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21,295,786.55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880,714,369.29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1,251,034,308.34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598,666,371.20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1,077,699,192.66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49,173,578.27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38,451,072.50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109,920,429.99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117,324,091.79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192,666,936.44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204,732,286.82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950,427,315.90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1,438,206,643.77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-69,712,946.61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-187,172,335.43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12,091,946.17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60,214,472.86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53,205,754.20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97,583,700.00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39,936,928.65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105,234,629.02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157,798,172.86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-98,814,629.02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-131,858,172.86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600,386,504.53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203,209,000.00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900,386,504.53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402,409,000.00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574,195,504.53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22,865,265.87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16,938,248.93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126,278,456.00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723,339,226.40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396,938,248.93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177,047,278.13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5,470,751.07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53"/>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-382,346.65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523,059.16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8,137,355.85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-313,036,698.06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345,871,248.76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658,907,946.82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354,008,604.61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345,871,248.76</w:t>
            </w:r>
          </w:p>
        </w:tc>
      </w:tr>
    </w:tbl>
    <w:p>
      <w:pPr>
        <w:spacing w:line="240" w:lineRule="auto" w:before="3"/>
        <w:rPr>
          <w:rFonts w:ascii="Times New Roman" w:hAnsi="Times New Roman" w:cs="Times New Roman" w:eastAsia="Times New Roman" w:hint="default"/>
          <w:sz w:val="23"/>
          <w:szCs w:val="23"/>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主管会计工作负责人：龙浩</w:t>
        <w:tab/>
        <w:t>会计机构负责人：陈宏</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215" w:space="5704"/>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9"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50"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719"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454,345,</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349.44</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101,564</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,417.06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892,277,</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709.93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161,356,1</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11.34</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2,113,543,</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587.77</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454,345,</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349.44</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101,564</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,417.06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892,277,</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709.93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161,356,1</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11.34</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2,113,543,</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587.77</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52,628,3</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81.84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13,445,</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061.92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101,881,</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131.49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61,917,80</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7.07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229,872,38</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2.32</w:t>
            </w: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115,326,</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193.41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-7,048,81</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1.09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108,277,38</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2.32</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63,750,0</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00.00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63,750,0</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00.00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115,326,</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193.41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-7,048,81</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1.09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172,027,38</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2.32</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-11,121,</w:t>
            </w:r>
          </w:p>
          <w:p>
            <w:pPr>
              <w:pStyle w:val="TableParagraph"/>
              <w:spacing w:line="240" w:lineRule="auto" w:before="106"/>
              <w:ind w:left="160" w:right="0"/>
              <w:jc w:val="left"/>
              <w:rPr>
                <w:rFonts w:ascii="Times New Roman" w:hAnsi="Times New Roman" w:cs="Times New Roman" w:eastAsia="Times New Roman" w:hint="default"/>
                <w:sz w:val="18"/>
                <w:szCs w:val="18"/>
              </w:rPr>
            </w:pPr>
            <w:r>
              <w:rPr>
                <w:rFonts w:ascii="Times New Roman"/>
                <w:sz w:val="18"/>
              </w:rPr>
              <w:t>618.16</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68,966,61</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8.16</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57,845,000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58,705,00</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0.00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58,705,000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-11,121,</w:t>
            </w:r>
          </w:p>
          <w:p>
            <w:pPr>
              <w:pStyle w:val="TableParagraph"/>
              <w:spacing w:line="240" w:lineRule="auto" w:before="106"/>
              <w:ind w:left="160" w:right="0"/>
              <w:jc w:val="left"/>
              <w:rPr>
                <w:rFonts w:ascii="Times New Roman" w:hAnsi="Times New Roman" w:cs="Times New Roman" w:eastAsia="Times New Roman" w:hint="default"/>
                <w:sz w:val="18"/>
                <w:szCs w:val="18"/>
              </w:rPr>
            </w:pPr>
            <w:r>
              <w:rPr>
                <w:rFonts w:ascii="Times New Roman"/>
                <w:sz w:val="18"/>
              </w:rPr>
              <w:t>618.16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10,261,61</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8.16</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13,445,</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061.92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-13,445,</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061.92</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13,445,</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061.92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-13,445,</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061.92</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506,973,</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731.28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115,009,</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478.98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994,158,</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841.42</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223,273,9</w:t>
            </w:r>
          </w:p>
          <w:p>
            <w:pPr>
              <w:pStyle w:val="TableParagraph"/>
              <w:spacing w:line="240" w:lineRule="auto" w:before="106"/>
              <w:ind w:left="379" w:right="0"/>
              <w:jc w:val="left"/>
              <w:rPr>
                <w:rFonts w:ascii="Times New Roman" w:hAnsi="Times New Roman" w:cs="Times New Roman" w:eastAsia="Times New Roman" w:hint="default"/>
                <w:sz w:val="18"/>
                <w:szCs w:val="18"/>
              </w:rPr>
            </w:pPr>
            <w:r>
              <w:rPr>
                <w:rFonts w:ascii="Times New Roman"/>
                <w:sz w:val="18"/>
              </w:rPr>
              <w:t>18.41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2,343,415,</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970.09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49"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719"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536,243,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220.37</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78,761,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028.37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631,300,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333.57</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left="63" w:right="0"/>
              <w:jc w:val="left"/>
              <w:rPr>
                <w:rFonts w:ascii="Times New Roman" w:hAnsi="Times New Roman" w:cs="Times New Roman" w:eastAsia="Times New Roman" w:hint="default"/>
                <w:sz w:val="18"/>
                <w:szCs w:val="18"/>
              </w:rPr>
            </w:pPr>
            <w:r>
              <w:rPr>
                <w:rFonts w:ascii="Times New Roman"/>
                <w:sz w:val="18"/>
              </w:rPr>
              <w:t>96,127,26</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0.92</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1,678,431,</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843.23</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536,243,</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220.37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78,761,</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028.37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631,300,</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333.57</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96,127,26</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0.92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1,678,431,</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843.23</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168,000</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-81,897,</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870.93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22,803,</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388.69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260,977,</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376.36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65,228,85</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0.42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435,111,74</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4.54</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283,780,</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765.05</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26,579,77</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9.49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310,360,54</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4.54</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84,277,5</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84,277,500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84,277,5</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283,780,</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765.05</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26,579,77</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9.49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394,638,04</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4.54</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1,824,62</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9.07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38,649,07</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0.93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40,473,700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39,633,70</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39,633,700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1,824,62</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9.07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-984,629.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840,000.00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22,803,</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388.69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-22,803,</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388.69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22,803,</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388.69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-22,803,</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388.69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168,000</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-168,00</w:t>
            </w:r>
          </w:p>
          <w:p>
            <w:pPr>
              <w:pStyle w:val="TableParagraph"/>
              <w:spacing w:line="240" w:lineRule="auto" w:before="106"/>
              <w:ind w:left="25"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168,000</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-168,00</w:t>
            </w:r>
          </w:p>
          <w:p>
            <w:pPr>
              <w:pStyle w:val="TableParagraph"/>
              <w:spacing w:line="240" w:lineRule="auto" w:before="106"/>
              <w:ind w:left="25"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454,345,</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349.44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101,564</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,417.06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892,277,</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709.93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161,356,1</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11.34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2,113,543,</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587.77</w:t>
            </w:r>
          </w:p>
        </w:tc>
      </w:tr>
    </w:tbl>
    <w:p>
      <w:pPr>
        <w:spacing w:line="240" w:lineRule="auto" w:before="3"/>
        <w:rPr>
          <w:rFonts w:ascii="Times New Roman" w:hAnsi="Times New Roman" w:cs="Times New Roman" w:eastAsia="Times New Roman" w:hint="default"/>
          <w:sz w:val="23"/>
          <w:szCs w:val="23"/>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主管会计工作负责人：龙浩</w:t>
        <w:tab/>
        <w:t>会计机构负责人：陈宏</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360"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215" w:space="5704"/>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2"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70"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7"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504,000,00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440,633,89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0.14</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101,564,41</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7.06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804,731,80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3.91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94" w:right="0"/>
              <w:jc w:val="left"/>
              <w:rPr>
                <w:rFonts w:ascii="Times New Roman" w:hAnsi="Times New Roman" w:cs="Times New Roman" w:eastAsia="Times New Roman" w:hint="default"/>
                <w:sz w:val="18"/>
                <w:szCs w:val="18"/>
              </w:rPr>
            </w:pPr>
            <w:r>
              <w:rPr>
                <w:rFonts w:ascii="Times New Roman"/>
                <w:sz w:val="18"/>
              </w:rPr>
              <w:t>1,850,930,</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pacing w:val="-4"/>
                <w:sz w:val="18"/>
              </w:rPr>
              <w:t>111.11</w:t>
            </w:r>
          </w:p>
        </w:tc>
      </w:tr>
      <w:tr>
        <w:trPr>
          <w:trHeight w:val="391"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504,000,00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440,633,89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0.14</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101,564,41</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7.06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804,731,80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3.91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94" w:right="0"/>
              <w:jc w:val="left"/>
              <w:rPr>
                <w:rFonts w:ascii="Times New Roman" w:hAnsi="Times New Roman" w:cs="Times New Roman" w:eastAsia="Times New Roman" w:hint="default"/>
                <w:sz w:val="18"/>
                <w:szCs w:val="18"/>
              </w:rPr>
            </w:pPr>
            <w:r>
              <w:rPr>
                <w:rFonts w:ascii="Times New Roman"/>
                <w:sz w:val="18"/>
              </w:rPr>
              <w:t>1,850,930,</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pacing w:val="-4"/>
                <w:sz w:val="18"/>
              </w:rPr>
              <w:t>111.11</w:t>
            </w:r>
          </w:p>
        </w:tc>
      </w:tr>
      <w:tr>
        <w:trPr>
          <w:trHeight w:val="391"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63,750,000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13,445,061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121,005,55</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7.31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198,200,61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9.23</w:t>
            </w:r>
          </w:p>
        </w:tc>
      </w:tr>
      <w:tr>
        <w:trPr>
          <w:trHeight w:val="16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134,450,61</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9.23</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134,450,61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9.23</w:t>
            </w:r>
          </w:p>
        </w:tc>
      </w:tr>
      <w:tr>
        <w:trPr>
          <w:trHeight w:val="391"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63,750,000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63,750,000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63,750,000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134,450,61</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9.23</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198,200,61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9.23</w:t>
            </w:r>
          </w:p>
        </w:tc>
      </w:tr>
      <w:tr>
        <w:trPr>
          <w:trHeight w:val="391"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13,445,061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-13,445,06</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1.92</w:t>
            </w: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13,445,061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-13,445,06</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1.92</w:t>
            </w: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r>
        <w:rPr/>
        <w:pict>
          <v:shape style="position:absolute;margin-left:138.539993pt;margin-top:132.779999pt;width:86pt;height:19.650pt;mso-position-horizontal-relative:page;mso-position-vertical-relative:page;z-index:-96337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539993pt;margin-top:152.880005pt;width:86pt;height:19.650pt;mso-position-horizontal-relative:page;mso-position-vertical-relative:page;z-index:-96335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w:t>
            </w:r>
          </w:p>
        </w:tc>
        <w:tc>
          <w:tcPr>
            <w:tcW w:w="886" w:type="dxa"/>
            <w:tcBorders>
              <w:top w:val="single" w:sz="4" w:space="0" w:color="000000"/>
              <w:left w:val="single" w:sz="13"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w:t>
            </w:r>
          </w:p>
        </w:tc>
        <w:tc>
          <w:tcPr>
            <w:tcW w:w="886" w:type="dxa"/>
            <w:tcBorders>
              <w:top w:val="single" w:sz="4" w:space="0" w:color="000000"/>
              <w:left w:val="single" w:sz="13"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504,000,00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504,383,89</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0.14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115,009,47</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8.98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925,737,36</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1.22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2,049,130,</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730.34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40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336,000,00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524,356,39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0.14</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78,761,028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599,501,30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5.71</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1,538,618,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724.22</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336,000,00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524,356,39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0.14</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78,761,028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599,501,30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5.71</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1,538,618,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724.22</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30" w:right="0"/>
              <w:jc w:val="left"/>
              <w:rPr>
                <w:rFonts w:ascii="Times New Roman" w:hAnsi="Times New Roman" w:cs="Times New Roman" w:eastAsia="Times New Roman" w:hint="default"/>
                <w:sz w:val="18"/>
                <w:szCs w:val="18"/>
              </w:rPr>
            </w:pPr>
            <w:r>
              <w:rPr>
                <w:rFonts w:ascii="Times New Roman"/>
                <w:sz w:val="18"/>
              </w:rPr>
              <w:t>168,000,00</w:t>
            </w:r>
          </w:p>
          <w:p>
            <w:pPr>
              <w:pStyle w:val="TableParagraph"/>
              <w:spacing w:line="240" w:lineRule="auto" w:before="105"/>
              <w:ind w:left="526"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-83,722,50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22,803,388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205,230,49</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8.20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312,311,38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6.89</w:t>
            </w: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228,033,88</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6.89</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228,033,88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6.89</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84,277,500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84,277,500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84,277,500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228,033,88</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6.89</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312,311,38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6.89</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shape style="position:absolute;margin-left:139.499405pt;margin-top:278.100006pt;width:85.95pt;height:35.25pt;mso-position-horizontal-relative:page;mso-position-vertical-relative:page;z-index:-963328" type="#_x0000_t202" filled="false" stroked="false">
            <v:textbox inset="0,0,0,0">
              <w:txbxContent>
                <w:p>
                  <w:pPr>
                    <w:spacing w:line="240" w:lineRule="auto" w:before="11"/>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499405pt;margin-top:313.799988pt;width:85.95pt;height:19.650pt;mso-position-horizontal-relative:page;mso-position-vertical-relative:page;z-index:-96330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1.679993pt;margin-top:278.100006pt;width:43.75pt;height:35.25pt;mso-position-horizontal-relative:page;mso-position-vertical-relative:page;z-index:-963280" coordorigin="3634,5562" coordsize="875,705">
            <v:group style="position:absolute;left:3634;top:5562;width:875;height:705" coordorigin="3634,5562" coordsize="875,705">
              <v:shape style="position:absolute;left:3634;top:5562;width:875;height:705" coordorigin="3634,5562" coordsize="875,705" path="m3634,6266l4508,6266,4508,5562,3634,5562,3634,6266xe" filled="true" fillcolor="#ffffff" stroked="false">
                <v:path arrowok="t"/>
                <v:fill type="solid"/>
              </v:shape>
            </v:group>
            <v:group style="position:absolute;left:3656;top:5562;width:830;height:352" coordorigin="3656,5562" coordsize="830,352">
              <v:shape style="position:absolute;left:3656;top:5562;width:830;height:352" coordorigin="3656,5562" coordsize="830,352" path="m3656,5914l4486,5914,4486,5562,3656,5562,3656,5914xe" filled="true" fillcolor="#ffffff" stroked="false">
                <v:path arrowok="t"/>
                <v:fill type="solid"/>
              </v:shape>
            </v:group>
            <v:group style="position:absolute;left:3656;top:5914;width:830;height:353" coordorigin="3656,5914" coordsize="830,353">
              <v:shape style="position:absolute;left:3656;top:5914;width:830;height:353" coordorigin="3656,5914" coordsize="830,353" path="m3656,6266l4486,6266,4486,5914,3656,5914,3656,626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36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22,803,388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-22,803,38</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8.69</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22,803,388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-22,803,38</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8.69</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168,000,00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-168,000,0</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168,000,00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-168,000,0</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6" w:type="dxa"/>
            <w:tcBorders>
              <w:top w:val="single" w:sz="4" w:space="0" w:color="000000"/>
              <w:left w:val="single" w:sz="9"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504,000,00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440,633,89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0.14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101,564,41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7.06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804,731,80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3.91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1,850,930,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pacing w:val="-4"/>
                <w:sz w:val="18"/>
              </w:rPr>
              <w:t>111.11</w:t>
            </w:r>
          </w:p>
        </w:tc>
      </w:tr>
    </w:tbl>
    <w:p>
      <w:pPr>
        <w:spacing w:line="240" w:lineRule="auto" w:before="6"/>
        <w:rPr>
          <w:rFonts w:ascii="宋体" w:hAnsi="宋体" w:cs="宋体" w:eastAsia="宋体" w:hint="default"/>
          <w:sz w:val="20"/>
          <w:szCs w:val="20"/>
        </w:rPr>
      </w:pPr>
    </w:p>
    <w:p>
      <w:pPr>
        <w:tabs>
          <w:tab w:pos="3663" w:val="left" w:leader="none"/>
          <w:tab w:pos="7893" w:val="left" w:leader="none"/>
        </w:tabs>
        <w:spacing w:before="44"/>
        <w:ind w:left="154" w:right="0" w:firstLine="0"/>
        <w:jc w:val="both"/>
        <w:rPr>
          <w:rFonts w:ascii="宋体" w:hAnsi="宋体" w:cs="宋体" w:eastAsia="宋体" w:hint="default"/>
          <w:sz w:val="18"/>
          <w:szCs w:val="18"/>
        </w:rPr>
      </w:pPr>
      <w:r>
        <w:rPr>
          <w:rFonts w:ascii="宋体" w:hAnsi="宋体" w:cs="宋体" w:eastAsia="宋体" w:hint="default"/>
          <w:sz w:val="18"/>
          <w:szCs w:val="18"/>
        </w:rPr>
        <w:t>法定代表人：左强</w:t>
        <w:tab/>
        <w:t>主管会计工作负责人：龙浩</w:t>
        <w:tab/>
        <w:t>会计机构负责人：陈宏</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r>
        <w:rPr/>
        <w:t>三、公司基本情况</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153" w:right="135" w:firstLine="420"/>
        <w:jc w:val="both"/>
      </w:pPr>
      <w:r>
        <w:rPr/>
        <w:t>荣信电力电子股份有限公司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前身系鞍山荣信电力电子有限公司，鞍山荣信电 </w:t>
      </w:r>
      <w:r>
        <w:rPr>
          <w:spacing w:val="-1"/>
        </w:rPr>
        <w:t>力电子有限公司系由鞍山市电子电力公司和辽宁科发实业公司共同出资组建，于</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19</w:t>
      </w:r>
      <w:r>
        <w:rPr>
          <w:spacing w:val="-1"/>
        </w:rPr>
        <w:t>日在鞍山市</w:t>
      </w:r>
      <w:r>
        <w:rPr>
          <w:spacing w:val="-82"/>
        </w:rPr>
        <w:t> </w:t>
      </w:r>
      <w:r>
        <w:rPr>
          <w:spacing w:val="12"/>
        </w:rPr>
        <w:t>工商行政管理局登记注册，取得注册号为</w:t>
      </w:r>
      <w:r>
        <w:rPr>
          <w:rFonts w:ascii="Times New Roman" w:hAnsi="Times New Roman" w:cs="Times New Roman" w:eastAsia="Times New Roman" w:hint="default"/>
          <w:spacing w:val="12"/>
        </w:rPr>
        <w:t>11888731</w:t>
      </w:r>
      <w:r>
        <w:rPr>
          <w:spacing w:val="12"/>
        </w:rPr>
        <w:t>的《企业法人营业执照》，公司成立时注册资本</w:t>
      </w:r>
      <w:r>
        <w:rPr>
          <w:spacing w:val="-73"/>
        </w:rPr>
        <w:t> </w:t>
      </w:r>
      <w:r>
        <w:rPr>
          <w:spacing w:val="-73"/>
        </w:rPr>
      </w:r>
      <w:r>
        <w:rPr>
          <w:rFonts w:ascii="Times New Roman" w:hAnsi="Times New Roman" w:cs="Times New Roman" w:eastAsia="Times New Roman" w:hint="default"/>
        </w:rPr>
        <w:t>8,700,000.00</w:t>
      </w:r>
      <w:r>
        <w:rPr/>
        <w:t>元。</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日公司整体改组为股份有限公司，取得变更后的注册号为</w:t>
      </w:r>
      <w:r>
        <w:rPr>
          <w:rFonts w:ascii="Times New Roman" w:hAnsi="Times New Roman" w:cs="Times New Roman" w:eastAsia="Times New Roman" w:hint="default"/>
        </w:rPr>
        <w:t>2100001050674</w:t>
      </w:r>
      <w:r>
        <w:rPr/>
        <w:t>的</w:t>
      </w:r>
    </w:p>
    <w:p>
      <w:pPr>
        <w:pStyle w:val="BodyText"/>
        <w:spacing w:line="256" w:lineRule="auto" w:before="5"/>
        <w:ind w:left="153" w:right="147" w:hanging="1"/>
        <w:jc w:val="both"/>
      </w:pPr>
      <w:r>
        <w:rPr/>
        <w:t>《企业法人营业执照》，注册资本变更为</w:t>
      </w:r>
      <w:r>
        <w:rPr>
          <w:rFonts w:ascii="Times New Roman" w:hAnsi="Times New Roman" w:cs="Times New Roman" w:eastAsia="Times New Roman" w:hint="default"/>
        </w:rPr>
        <w:t>26,310,000.00</w:t>
      </w:r>
      <w:r>
        <w:rPr/>
        <w:t>元，名称变更为鞍山荣信电力电子股份有限公司。</w:t>
      </w:r>
      <w:r>
        <w:rPr>
          <w:spacing w:val="-85"/>
        </w:rPr>
        <w:t> </w:t>
      </w:r>
      <w:r>
        <w:rPr>
          <w:spacing w:val="-85"/>
        </w:rPr>
      </w:r>
      <w:r>
        <w:rPr/>
        <w:t>于</w:t>
      </w:r>
      <w:r>
        <w:rPr>
          <w:spacing w:val="-7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4"/>
        </w:rPr>
        <w:t> </w:t>
      </w:r>
      <w:r>
        <w:rPr/>
        <w:t>年</w:t>
      </w:r>
      <w:r>
        <w:rPr>
          <w:spacing w:val="-77"/>
        </w:rPr>
        <w:t> </w:t>
      </w:r>
      <w:r>
        <w:rPr>
          <w:rFonts w:ascii="Times New Roman" w:hAnsi="Times New Roman" w:cs="Times New Roman" w:eastAsia="Times New Roman" w:hint="default"/>
        </w:rPr>
        <w:t>7</w:t>
      </w:r>
      <w:r>
        <w:rPr>
          <w:rFonts w:ascii="Times New Roman" w:hAnsi="Times New Roman" w:cs="Times New Roman" w:eastAsia="Times New Roman" w:hint="default"/>
          <w:spacing w:val="-25"/>
        </w:rPr>
        <w:t> </w:t>
      </w:r>
      <w:r>
        <w:rPr/>
        <w:t>月</w:t>
      </w:r>
      <w:r>
        <w:rPr>
          <w:spacing w:val="-77"/>
        </w:rPr>
        <w:t> </w:t>
      </w:r>
      <w:r>
        <w:rPr>
          <w:rFonts w:ascii="Times New Roman" w:hAnsi="Times New Roman" w:cs="Times New Roman" w:eastAsia="Times New Roman" w:hint="default"/>
        </w:rPr>
        <w:t>11</w:t>
      </w:r>
      <w:r>
        <w:rPr>
          <w:rFonts w:ascii="Times New Roman" w:hAnsi="Times New Roman" w:cs="Times New Roman" w:eastAsia="Times New Roman" w:hint="default"/>
          <w:spacing w:val="-24"/>
        </w:rPr>
        <w:t> </w:t>
      </w:r>
      <w:r>
        <w:rPr>
          <w:spacing w:val="24"/>
        </w:rPr>
        <w:t>日在辽宁省工商行</w:t>
      </w:r>
      <w:r>
        <w:rPr>
          <w:spacing w:val="-75"/>
        </w:rPr>
        <w:t> </w:t>
      </w:r>
      <w:r>
        <w:rPr>
          <w:spacing w:val="22"/>
        </w:rPr>
        <w:t>政管理局变</w:t>
      </w:r>
      <w:r>
        <w:rPr>
          <w:spacing w:val="-75"/>
        </w:rPr>
        <w:t> </w:t>
      </w:r>
      <w:r>
        <w:rPr>
          <w:spacing w:val="22"/>
        </w:rPr>
        <w:t>更为荣信电</w:t>
      </w:r>
      <w:r>
        <w:rPr>
          <w:spacing w:val="-75"/>
        </w:rPr>
        <w:t> </w:t>
      </w:r>
      <w:r>
        <w:rPr>
          <w:spacing w:val="22"/>
        </w:rPr>
        <w:t>力电子股份</w:t>
      </w:r>
      <w:r>
        <w:rPr>
          <w:spacing w:val="-75"/>
        </w:rPr>
        <w:t> </w:t>
      </w:r>
      <w:r>
        <w:rPr>
          <w:spacing w:val="22"/>
        </w:rPr>
        <w:t>有限公司，</w:t>
      </w:r>
      <w:r>
        <w:rPr>
          <w:spacing w:val="-75"/>
        </w:rPr>
        <w:t> </w:t>
      </w:r>
      <w:r>
        <w:rPr>
          <w:spacing w:val="22"/>
        </w:rPr>
        <w:t>取得注册号</w:t>
      </w:r>
      <w:r>
        <w:rPr>
          <w:spacing w:val="-75"/>
        </w:rPr>
        <w:t> </w:t>
      </w:r>
      <w:r>
        <w:rPr/>
        <w:t>为</w:t>
      </w:r>
      <w:r>
        <w:rPr/>
        <w:t> </w:t>
      </w:r>
      <w:r>
        <w:rPr>
          <w:rFonts w:ascii="Times New Roman" w:hAnsi="Times New Roman" w:cs="Times New Roman" w:eastAsia="Times New Roman" w:hint="default"/>
          <w:spacing w:val="-4"/>
        </w:rPr>
        <w:t>210000004920217</w:t>
      </w:r>
      <w:r>
        <w:rPr>
          <w:spacing w:val="-4"/>
        </w:rPr>
        <w:t>的《企业法人营业执照》。公司现有注册资本</w:t>
      </w:r>
      <w:r>
        <w:rPr>
          <w:rFonts w:ascii="Times New Roman" w:hAnsi="Times New Roman" w:cs="Times New Roman" w:eastAsia="Times New Roman" w:hint="default"/>
          <w:spacing w:val="-4"/>
        </w:rPr>
        <w:t>504,000,000.00</w:t>
      </w:r>
      <w:r>
        <w:rPr>
          <w:spacing w:val="-4"/>
        </w:rPr>
        <w:t>元，股份总数</w:t>
      </w:r>
      <w:r>
        <w:rPr>
          <w:rFonts w:ascii="Times New Roman" w:hAnsi="Times New Roman" w:cs="Times New Roman" w:eastAsia="Times New Roman" w:hint="default"/>
          <w:spacing w:val="-4"/>
        </w:rPr>
        <w:t>504,000,000</w:t>
      </w:r>
      <w:r>
        <w:rPr>
          <w:spacing w:val="-4"/>
        </w:rPr>
        <w:t>股</w:t>
      </w:r>
      <w:r>
        <w:rPr>
          <w:rFonts w:ascii="Times New Roman" w:hAnsi="Times New Roman" w:cs="Times New Roman" w:eastAsia="Times New Roman" w:hint="default"/>
          <w:spacing w:val="-4"/>
        </w:rPr>
        <w:t>(</w:t>
      </w:r>
      <w:r>
        <w:rPr>
          <w:spacing w:val="-4"/>
        </w:rPr>
        <w:t>每</w:t>
      </w:r>
      <w:r>
        <w:rPr/>
        <w:t> 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。其中，有限售条件的流通股份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51,724,897</w:t>
      </w:r>
      <w:r>
        <w:rPr/>
        <w:t>股，无限售条件的流通股份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452,275,103</w:t>
      </w:r>
      <w:r>
        <w:rPr/>
        <w:t>股。</w:t>
      </w:r>
      <w:r>
        <w:rPr>
          <w:spacing w:val="-96"/>
        </w:rPr>
        <w:t> </w:t>
      </w:r>
      <w:r>
        <w:rPr/>
        <w:t>公司股票于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日在深圳证券交易所挂牌交易。</w:t>
      </w:r>
    </w:p>
    <w:p>
      <w:pPr>
        <w:pStyle w:val="BodyText"/>
        <w:spacing w:line="266" w:lineRule="auto" w:before="5"/>
        <w:ind w:right="150" w:firstLine="420"/>
        <w:jc w:val="both"/>
      </w:pPr>
      <w:r>
        <w:rPr/>
        <w:t>本公司属电器机械及器材制造业。经营范围：高压动态无功补偿装置</w:t>
      </w:r>
      <w:r>
        <w:rPr>
          <w:rFonts w:ascii="Times New Roman" w:hAnsi="Times New Roman" w:cs="Times New Roman" w:eastAsia="Times New Roman" w:hint="default"/>
        </w:rPr>
        <w:t>(SVC)</w:t>
      </w:r>
      <w:r>
        <w:rPr/>
        <w:t>、智能瓦斯排放装置、电</w:t>
      </w:r>
      <w:r>
        <w:rPr>
          <w:spacing w:val="1"/>
        </w:rPr>
        <w:t> </w:t>
      </w:r>
      <w:r>
        <w:rPr>
          <w:spacing w:val="-1"/>
        </w:rPr>
        <w:t>力滤波装置、高压变频调速装置及其他电力电子装置的设计、制造；经营本企业及所属企业自产产品及相</w:t>
      </w:r>
      <w:r>
        <w:rPr>
          <w:spacing w:val="-83"/>
        </w:rPr>
        <w:t> </w:t>
      </w:r>
      <w:r>
        <w:rPr>
          <w:spacing w:val="-83"/>
        </w:rPr>
      </w:r>
      <w:r>
        <w:rPr>
          <w:spacing w:val="-1"/>
        </w:rPr>
        <w:t>关技术的出口业务；经营本企业及所属企业生产科研所需的原辅材料、机械设备、仪器仪表及相关技术进</w:t>
      </w:r>
      <w:r>
        <w:rPr>
          <w:spacing w:val="-83"/>
        </w:rPr>
        <w:t> </w:t>
      </w:r>
      <w:r>
        <w:rPr>
          <w:spacing w:val="-83"/>
        </w:rPr>
      </w:r>
      <w:r>
        <w:rPr/>
        <w:t>口业务</w:t>
      </w:r>
      <w:r>
        <w:rPr>
          <w:rFonts w:ascii="Times New Roman" w:hAnsi="Times New Roman" w:cs="Times New Roman" w:eastAsia="Times New Roman" w:hint="default"/>
        </w:rPr>
        <w:t>(</w:t>
      </w:r>
      <w:r>
        <w:rPr/>
        <w:t>国家限定公司经营和国家禁止进出口的商品及技术除外</w:t>
      </w:r>
      <w:r>
        <w:rPr>
          <w:rFonts w:ascii="Times New Roman" w:hAnsi="Times New Roman" w:cs="Times New Roman" w:eastAsia="Times New Roman" w:hint="default"/>
        </w:rPr>
        <w:t>)</w:t>
      </w:r>
      <w:r>
        <w:rPr/>
        <w:t>；经营进料加工和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业务。主要</w:t>
      </w:r>
    </w:p>
    <w:p>
      <w:pPr>
        <w:spacing w:after="0" w:line="266"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line="501" w:lineRule="auto" w:before="35"/>
        <w:ind w:left="154" w:right="4951" w:firstLine="0"/>
        <w:jc w:val="left"/>
        <w:rPr>
          <w:rFonts w:ascii="宋体" w:hAnsi="宋体" w:cs="宋体" w:eastAsia="宋体" w:hint="default"/>
          <w:sz w:val="21"/>
          <w:szCs w:val="21"/>
        </w:rPr>
      </w:pPr>
      <w:r>
        <w:rPr>
          <w:rFonts w:ascii="宋体" w:hAnsi="宋体" w:cs="宋体" w:eastAsia="宋体" w:hint="default"/>
          <w:sz w:val="21"/>
          <w:szCs w:val="21"/>
        </w:rPr>
        <w:t>产品或提供的劳务：生产销售电力电子产品。 </w:t>
      </w:r>
      <w:r>
        <w:rPr>
          <w:rFonts w:ascii="宋体" w:hAnsi="宋体" w:cs="宋体" w:eastAsia="宋体" w:hint="default"/>
          <w:b/>
          <w:bCs/>
          <w:sz w:val="24"/>
          <w:szCs w:val="24"/>
        </w:rPr>
        <w:t>四、公司主要会计政策、会计估计和前期差错</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pStyle w:val="BodyText"/>
        <w:spacing w:line="240" w:lineRule="auto" w:before="68"/>
        <w:ind w:left="574" w:right="0"/>
        <w:jc w:val="left"/>
      </w:pPr>
      <w:r>
        <w:rPr/>
        <w:t>本公司财务报表以持续经营为编制基础。</w:t>
      </w:r>
    </w:p>
    <w:p>
      <w:pPr>
        <w:spacing w:line="590" w:lineRule="atLeast" w:before="39"/>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本公司所编制的财务报表符合企业会计准则的要求，真实、完整地反映了公司的财务状况、经营成果</w:t>
      </w:r>
    </w:p>
    <w:p>
      <w:pPr>
        <w:pStyle w:val="BodyText"/>
        <w:spacing w:line="240" w:lineRule="auto" w:before="37"/>
        <w:ind w:right="0"/>
        <w:jc w:val="left"/>
      </w:pPr>
      <w:r>
        <w:rPr/>
        <w:t>和现金流量等有关信息。</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采用人民币为记账本位币。</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590" w:lineRule="atLeast" w:before="23"/>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公司在企业合并中取得的资产和负债，按照合并日被合并方的账面价值计量。公司取得的净资产账面</w:t>
      </w:r>
    </w:p>
    <w:p>
      <w:pPr>
        <w:pStyle w:val="BodyText"/>
        <w:spacing w:line="256" w:lineRule="auto" w:before="37"/>
        <w:ind w:right="0"/>
        <w:jc w:val="left"/>
      </w:pPr>
      <w:r>
        <w:rPr/>
        <w:t>价值与支付的合并对价账面价值</w:t>
      </w:r>
      <w:r>
        <w:rPr>
          <w:rFonts w:ascii="Times New Roman" w:hAnsi="Times New Roman" w:cs="Times New Roman" w:eastAsia="Times New Roman" w:hint="default"/>
        </w:rPr>
        <w:t>(</w:t>
      </w:r>
      <w:r>
        <w:rPr/>
        <w:t>或发行股份面值总额</w:t>
      </w:r>
      <w:r>
        <w:rPr>
          <w:rFonts w:ascii="Times New Roman" w:hAnsi="Times New Roman" w:cs="Times New Roman" w:eastAsia="Times New Roman" w:hint="default"/>
        </w:rPr>
        <w:t>)</w:t>
      </w:r>
      <w:r>
        <w:rPr/>
        <w:t>的差额，调整资本公积；资本公积不足冲减的，调</w:t>
      </w:r>
      <w:r>
        <w:rPr>
          <w:spacing w:val="-69"/>
        </w:rPr>
        <w:t> </w:t>
      </w:r>
      <w:r>
        <w:rPr>
          <w:spacing w:val="-69"/>
        </w:rPr>
      </w:r>
      <w:r>
        <w:rPr/>
        <w:t>整留存收益。</w:t>
      </w:r>
    </w:p>
    <w:p>
      <w:pPr>
        <w:spacing w:line="590" w:lineRule="atLeast" w:before="24"/>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公司在购买日对合并成本大于合并中取得的被购买方可辨认净资产公允价值份额的差额，确认为商</w:t>
      </w:r>
    </w:p>
    <w:p>
      <w:pPr>
        <w:pStyle w:val="BodyText"/>
        <w:spacing w:line="273" w:lineRule="auto" w:before="37"/>
        <w:ind w:right="149"/>
        <w:jc w:val="both"/>
      </w:pP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590" w:lineRule="atLeast" w:before="23"/>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母公司将其控制的所有子公司纳入合并财务报表的合并范围。合并财务报表以母公司及其子公司的财</w:t>
      </w:r>
    </w:p>
    <w:p>
      <w:pPr>
        <w:pStyle w:val="BodyText"/>
        <w:spacing w:line="273" w:lineRule="auto" w:before="37"/>
        <w:ind w:right="0"/>
        <w:jc w:val="left"/>
      </w:pPr>
      <w:r>
        <w:rPr>
          <w:spacing w:val="-1"/>
        </w:rPr>
        <w:t>务报表为基础，根据其他有关资料，按照权益法调整对子公司的长期股权投资后，由母公司按照《企业会</w:t>
      </w:r>
      <w:r>
        <w:rPr>
          <w:spacing w:val="-82"/>
        </w:rPr>
        <w:t> </w:t>
      </w:r>
      <w:r>
        <w:rPr>
          <w:spacing w:val="-82"/>
        </w:rPr>
      </w:r>
      <w:r>
        <w:rPr/>
        <w:t>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after="0" w:line="273"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50" w:firstLine="420"/>
        <w:jc w:val="both"/>
      </w:pPr>
      <w:r>
        <w:rPr>
          <w:spacing w:val="-1"/>
        </w:rPr>
        <w:t>列示于现金流量表中的现金是指库存现金以及可以随时用于支付的存款。现金等价物是指企业持有的</w:t>
      </w:r>
      <w:r>
        <w:rPr/>
        <w:t> 期限短、流动性强、易于转换为已知金额现金、价值变动风险很小的投资。</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51" w:firstLine="420"/>
        <w:jc w:val="both"/>
      </w:pPr>
      <w:r>
        <w:rPr>
          <w:spacing w:val="-1"/>
        </w:rPr>
        <w:t>外币交易在初始确认时，采用交易发生日的即期汇率折算为人民币金额。资产负债表日，外币货币性</w:t>
      </w:r>
      <w:r>
        <w:rPr/>
        <w:t> </w:t>
      </w:r>
      <w:r>
        <w:rPr>
          <w:spacing w:val="-1"/>
        </w:rPr>
        <w:t>项目采用资产负债表日即期汇率折算，因汇率不同而产生的汇兑差额，除与购建符合资本化条件资产有关</w:t>
      </w:r>
      <w:r>
        <w:rPr>
          <w:spacing w:val="-81"/>
        </w:rPr>
        <w:t> </w:t>
      </w:r>
      <w:r>
        <w:rPr>
          <w:spacing w:val="-81"/>
        </w:rPr>
      </w: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易发生日的即期汇率折算，不改变其人民币金额；以公允价值计量的外币非货币性项目，采用公允价值确</w:t>
      </w:r>
      <w:r>
        <w:rPr>
          <w:spacing w:val="-83"/>
        </w:rPr>
        <w:t> </w:t>
      </w:r>
      <w:r>
        <w:rPr>
          <w:spacing w:val="-83"/>
        </w:rPr>
      </w:r>
      <w:r>
        <w:rPr/>
        <w:t>定日的即期汇率折算，差额计入当期损益或资本公积。</w:t>
      </w:r>
    </w:p>
    <w:p>
      <w:pPr>
        <w:spacing w:line="612" w:lineRule="exact" w:before="64"/>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BodyText"/>
        <w:spacing w:line="235" w:lineRule="exact"/>
        <w:ind w:left="153" w:right="0"/>
        <w:jc w:val="left"/>
      </w:pPr>
      <w:r>
        <w:rPr/>
        <w:t>润</w:t>
      </w:r>
      <w:r>
        <w:rPr>
          <w:rFonts w:ascii="Times New Roman" w:hAnsi="Times New Roman" w:cs="Times New Roman" w:eastAsia="Times New Roman" w:hint="default"/>
        </w:rPr>
        <w:t>”</w:t>
      </w:r>
      <w:r>
        <w:rPr/>
        <w:t>项目外，其他项目采用交易发生日的即期汇率折算；利润表中的收入和费用项目，采用交易发生日即</w:t>
      </w:r>
    </w:p>
    <w:p>
      <w:pPr>
        <w:pStyle w:val="BodyText"/>
        <w:spacing w:line="273" w:lineRule="auto" w:before="21"/>
        <w:ind w:left="153" w:right="150"/>
        <w:jc w:val="both"/>
      </w:pPr>
      <w:r>
        <w:rPr>
          <w:spacing w:val="-1"/>
        </w:rPr>
        <w:t>期汇率的近似汇率折算。按照上述折算产生的外币财务报表折算差额，在资产负债表中所有者权益项目下</w:t>
      </w:r>
      <w:r>
        <w:rPr>
          <w:spacing w:val="-81"/>
        </w:rPr>
        <w:t> </w:t>
      </w:r>
      <w:r>
        <w:rPr>
          <w:spacing w:val="-81"/>
        </w:rPr>
      </w:r>
      <w:r>
        <w:rPr/>
        <w:t>单独列示。</w:t>
      </w:r>
    </w:p>
    <w:p>
      <w:pPr>
        <w:spacing w:line="240" w:lineRule="auto" w:before="8"/>
        <w:rPr>
          <w:rFonts w:ascii="宋体" w:hAnsi="宋体" w:cs="宋体" w:eastAsia="宋体" w:hint="default"/>
          <w:sz w:val="23"/>
          <w:szCs w:val="23"/>
        </w:rPr>
      </w:pPr>
    </w:p>
    <w:p>
      <w:pPr>
        <w:pStyle w:val="Heading4"/>
        <w:spacing w:line="240" w:lineRule="auto"/>
        <w:ind w:left="153" w:right="0"/>
        <w:jc w:val="left"/>
        <w:rPr>
          <w:b w:val="0"/>
          <w:bCs w:val="0"/>
        </w:rPr>
      </w:pPr>
      <w:r>
        <w:rPr>
          <w:rFonts w:ascii="Times New Roman" w:hAnsi="Times New Roman" w:cs="Times New Roman" w:eastAsia="Times New Roman" w:hint="default"/>
        </w:rPr>
        <w:t>9</w:t>
      </w:r>
      <w:r>
        <w:rPr/>
        <w:t>、金融工具</w:t>
      </w:r>
      <w:r>
        <w:rPr>
          <w:b w:val="0"/>
          <w:bCs w:val="0"/>
        </w:rPr>
      </w:r>
    </w:p>
    <w:p>
      <w:pPr>
        <w:pStyle w:val="BodyText"/>
        <w:spacing w:line="610" w:lineRule="atLeast" w:before="3"/>
        <w:ind w:left="574" w:right="0"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spacing w:val="1"/>
          <w:w w:val="99"/>
        </w:rPr>
        <w:t> </w:t>
      </w:r>
      <w:r>
        <w:rPr>
          <w:spacing w:val="-3"/>
        </w:rPr>
        <w:t>金融资产在初始确认时划分为以下四类：以公允价值计量且其变动计入当期损益的金融资产</w:t>
      </w:r>
      <w:r>
        <w:rPr>
          <w:rFonts w:ascii="Times New Roman" w:hAnsi="Times New Roman" w:cs="Times New Roman" w:eastAsia="Times New Roman" w:hint="default"/>
          <w:spacing w:val="-3"/>
        </w:rPr>
        <w:t>(</w:t>
      </w:r>
      <w:r>
        <w:rPr>
          <w:spacing w:val="-3"/>
        </w:rPr>
        <w:t>包括交易</w:t>
      </w:r>
    </w:p>
    <w:p>
      <w:pPr>
        <w:pStyle w:val="BodyText"/>
        <w:spacing w:line="256" w:lineRule="auto" w:before="21"/>
        <w:ind w:right="151"/>
        <w:jc w:val="both"/>
      </w:pPr>
      <w:r>
        <w:rPr>
          <w:spacing w:val="-2"/>
        </w:rPr>
        <w:t>性金融资产和指定为以公允价值计量且其变动计入当期损益的金融资产</w:t>
      </w:r>
      <w:r>
        <w:rPr>
          <w:rFonts w:ascii="Times New Roman" w:hAnsi="Times New Roman" w:cs="Times New Roman" w:eastAsia="Times New Roman" w:hint="default"/>
          <w:spacing w:val="-2"/>
        </w:rPr>
        <w:t>)</w:t>
      </w:r>
      <w:r>
        <w:rPr>
          <w:spacing w:val="-2"/>
        </w:rPr>
        <w:t>、持有至到期投资、贷款和应收款</w:t>
      </w:r>
      <w:r>
        <w:rPr/>
        <w:t> 项、可供出售金融资产。</w:t>
      </w:r>
    </w:p>
    <w:p>
      <w:pPr>
        <w:pStyle w:val="BodyText"/>
        <w:spacing w:line="256" w:lineRule="auto" w:before="22"/>
        <w:ind w:right="151" w:firstLine="420"/>
        <w:jc w:val="both"/>
      </w:pPr>
      <w:r>
        <w:rPr>
          <w:spacing w:val="-3"/>
        </w:rPr>
        <w:t>金融负债在初始确认时划分为以下两类：以公允价值计量且其变动计入当期损益的金融负债</w:t>
      </w:r>
      <w:r>
        <w:rPr>
          <w:rFonts w:ascii="Times New Roman" w:hAnsi="Times New Roman" w:cs="Times New Roman" w:eastAsia="Times New Roman" w:hint="default"/>
          <w:spacing w:val="-3"/>
        </w:rPr>
        <w:t>(</w:t>
      </w:r>
      <w:r>
        <w:rPr>
          <w:spacing w:val="-3"/>
        </w:rPr>
        <w:t>包括交易</w:t>
      </w:r>
      <w:r>
        <w:rPr/>
        <w:t> 性金融负债和指定为以公允价值计量且其变动计入当期损益的金融负债</w:t>
      </w:r>
      <w:r>
        <w:rPr>
          <w:rFonts w:ascii="Times New Roman" w:hAnsi="Times New Roman" w:cs="Times New Roman" w:eastAsia="Times New Roman" w:hint="default"/>
        </w:rPr>
        <w:t>)</w:t>
      </w:r>
      <w:r>
        <w:rPr/>
        <w:t>、其他金融负债。</w:t>
      </w:r>
    </w:p>
    <w:p>
      <w:pPr>
        <w:spacing w:line="614" w:lineRule="exact" w:before="60"/>
        <w:ind w:left="574" w:right="11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b/>
          <w:bCs/>
          <w:w w:val="99"/>
          <w:sz w:val="21"/>
          <w:szCs w:val="21"/>
        </w:rPr>
        <w:t> </w:t>
      </w:r>
      <w:r>
        <w:rPr>
          <w:rFonts w:ascii="宋体" w:hAnsi="宋体" w:cs="宋体" w:eastAsia="宋体" w:hint="default"/>
          <w:sz w:val="21"/>
          <w:szCs w:val="21"/>
        </w:rPr>
        <w:t>公司成为金融工具合同的一方时，确认一项金融资产或金融负债。初始确认金融资产或金融负债时，</w:t>
      </w:r>
    </w:p>
    <w:p>
      <w:pPr>
        <w:pStyle w:val="BodyText"/>
        <w:spacing w:line="219" w:lineRule="exact"/>
        <w:ind w:right="0"/>
        <w:jc w:val="left"/>
      </w:pPr>
      <w:r>
        <w:rPr/>
        <w:t>按照公允价值计量；对于以公允价值计量且其变动计入当期损益的金融资产和金融负债，相关交易费用直</w:t>
      </w:r>
    </w:p>
    <w:p>
      <w:pPr>
        <w:pStyle w:val="BodyText"/>
        <w:spacing w:line="273" w:lineRule="auto" w:before="37"/>
        <w:ind w:left="574" w:right="110" w:hanging="420"/>
        <w:jc w:val="left"/>
      </w:pPr>
      <w:r>
        <w:rPr/>
        <w:t>接计入当期损益；对于其他类别的金融资产或金融负债，相关交易费用计入初始确认金额。 公司按照公允价值对金融资产进行后续计量，且不扣除将来处置该金融资产时可能发生的交易费用，</w:t>
      </w:r>
    </w:p>
    <w:p>
      <w:pPr>
        <w:pStyle w:val="BodyText"/>
        <w:spacing w:line="264" w:lineRule="auto" w:before="7"/>
        <w:ind w:right="150"/>
        <w:jc w:val="both"/>
      </w:pPr>
      <w:r>
        <w:rPr/>
        <w:t>但下列情况除外：</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在活跃 </w:t>
      </w:r>
      <w:r>
        <w:rPr>
          <w:spacing w:val="-1"/>
        </w:rPr>
        <w:t>市场中没有报价且其公允价值不能可靠计量的权益工具投资，以及与该权益工具挂钩并须通过交付该权益</w:t>
      </w:r>
      <w:r>
        <w:rPr>
          <w:spacing w:val="-81"/>
        </w:rPr>
        <w:t> </w:t>
      </w:r>
      <w:r>
        <w:rPr>
          <w:spacing w:val="-81"/>
        </w:rPr>
      </w:r>
      <w:r>
        <w:rPr/>
        <w:t>工具结算的衍生金融资产，按照成本计量。</w:t>
      </w:r>
    </w:p>
    <w:p>
      <w:pPr>
        <w:pStyle w:val="BodyText"/>
        <w:spacing w:line="261" w:lineRule="auto" w:before="16"/>
        <w:ind w:left="153" w:right="148" w:firstLine="42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以公允价值计量</w:t>
      </w:r>
      <w:r>
        <w:rPr>
          <w:spacing w:val="1"/>
        </w:rPr>
        <w:t> </w:t>
      </w:r>
      <w:r>
        <w:rPr>
          <w:spacing w:val="-1"/>
        </w:rPr>
        <w:t>且其变动计入当期损益的金融负债，按照公允价值计量，且不扣除将来结清金融负债时可能发生的交易费</w:t>
      </w:r>
      <w:r>
        <w:rPr>
          <w:spacing w:val="-81"/>
        </w:rPr>
        <w:t> </w:t>
      </w:r>
      <w:r>
        <w:rPr>
          <w:spacing w:val="-81"/>
        </w:rPr>
      </w:r>
      <w:r>
        <w:rPr/>
        <w:t>用；</w:t>
      </w:r>
      <w:r>
        <w:rPr>
          <w:rFonts w:ascii="Times New Roman" w:hAnsi="Times New Roman" w:cs="Times New Roman" w:eastAsia="Times New Roman" w:hint="default"/>
        </w:rPr>
        <w:t>(2) </w:t>
      </w:r>
      <w:r>
        <w:rPr/>
        <w:t>与在活跃市场中没有报价、公允价值不能可靠计量的权益工具挂钩并须通过交付该权益工具结算</w:t>
      </w:r>
      <w:r>
        <w:rPr>
          <w:spacing w:val="-82"/>
        </w:rPr>
        <w:t> </w:t>
      </w:r>
      <w:r>
        <w:rPr>
          <w:spacing w:val="-82"/>
        </w:rPr>
      </w:r>
      <w:r>
        <w:rPr/>
        <w:t>的衍生金融负债，按照成本计量；</w:t>
      </w:r>
      <w:r>
        <w:rPr>
          <w:rFonts w:ascii="Times New Roman" w:hAnsi="Times New Roman" w:cs="Times New Roman" w:eastAsia="Times New Roman" w:hint="default"/>
        </w:rPr>
        <w:t>(3) </w:t>
      </w:r>
      <w:r>
        <w:rPr>
          <w:rFonts w:ascii="Times New Roman" w:hAnsi="Times New Roman" w:cs="Times New Roman" w:eastAsia="Times New Roman" w:hint="default"/>
          <w:spacing w:val="27"/>
        </w:rPr>
        <w:t> </w:t>
      </w:r>
      <w:r>
        <w:rPr/>
        <w:t>不属于指定为以公允价值计量且其变动计入当期损益的金融负债的</w:t>
      </w:r>
    </w:p>
    <w:p>
      <w:pPr>
        <w:spacing w:after="0" w:line="261"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61" w:lineRule="auto" w:before="35"/>
        <w:ind w:right="182"/>
        <w:jc w:val="both"/>
      </w:pPr>
      <w:r>
        <w:rPr>
          <w:spacing w:val="3"/>
        </w:rPr>
        <w:t>财务担保合同，或没有指定为以公允价值计量且其变动计入当期损益并将以低于市场利率贷款的贷款承</w:t>
      </w:r>
      <w:r>
        <w:rPr>
          <w:spacing w:val="-78"/>
        </w:rPr>
        <w:t> </w:t>
      </w:r>
      <w:r>
        <w:rPr>
          <w:spacing w:val="-78"/>
        </w:rPr>
      </w:r>
      <w:r>
        <w:rPr>
          <w:spacing w:val="-2"/>
        </w:rPr>
        <w:t>诺，在初始确认后按照下列两项金额之中的较高者进行后续计量：</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2"/>
        </w:rPr>
        <w:t>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w:t>
      </w:r>
      <w:r>
        <w:rPr>
          <w:spacing w:val="-101"/>
        </w:rPr>
        <w:t> </w:t>
      </w:r>
      <w:r>
        <w:rPr>
          <w:spacing w:val="-4"/>
        </w:rPr>
        <w:t>事项》确定的金额；</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7"/>
        </w:rPr>
        <w:t>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 后的余额。</w:t>
      </w:r>
    </w:p>
    <w:p>
      <w:pPr>
        <w:pStyle w:val="BodyText"/>
        <w:spacing w:line="266" w:lineRule="auto" w:before="18"/>
        <w:ind w:right="191"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价值变动损益；在资产持有期间所取得的利息或现金股利，确认为投资收益；处置时，将实际收到的金额</w:t>
      </w:r>
      <w:r>
        <w:rPr>
          <w:spacing w:val="-82"/>
        </w:rPr>
        <w:t> </w:t>
      </w:r>
      <w:r>
        <w:rPr>
          <w:spacing w:val="-82"/>
        </w:rPr>
      </w:r>
      <w:r>
        <w:rPr/>
        <w:t>与初始入账金额之间的差额确认为投资收益，同时调整公允价值变动损益。</w:t>
      </w:r>
      <w:r>
        <w:rPr>
          <w:rFonts w:ascii="Times New Roman" w:hAnsi="Times New Roman" w:cs="Times New Roman" w:eastAsia="Times New Roman" w:hint="default"/>
        </w:rPr>
        <w:t>(2) </w:t>
      </w:r>
      <w:r>
        <w:rPr/>
        <w:t>可供出售金融资产的公允</w:t>
      </w:r>
      <w:r>
        <w:rPr>
          <w:spacing w:val="-77"/>
        </w:rPr>
        <w:t> </w:t>
      </w:r>
      <w:r>
        <w:rPr>
          <w:spacing w:val="-1"/>
        </w:rPr>
        <w:t>价值变动计入资本公积；持有期间按实际利率法计算的利息，计入投资收益；可供出售权益工具投资的现</w:t>
      </w:r>
      <w:r>
        <w:rPr>
          <w:spacing w:val="-83"/>
        </w:rPr>
        <w:t> </w:t>
      </w:r>
      <w:r>
        <w:rPr>
          <w:spacing w:val="-83"/>
        </w:rPr>
      </w:r>
      <w:r>
        <w:rPr>
          <w:spacing w:val="-1"/>
        </w:rPr>
        <w:t>金股利，于被投资单位宣告发放股利时计入投资收益；处置时，将实际收到的金额与账面价值扣除原直接</w:t>
      </w:r>
      <w:r>
        <w:rPr>
          <w:spacing w:val="-83"/>
        </w:rPr>
        <w:t> </w:t>
      </w:r>
      <w:r>
        <w:rPr>
          <w:spacing w:val="-83"/>
        </w:rPr>
      </w:r>
      <w:r>
        <w:rPr/>
        <w:t>计入资本公积的公允价值变动累计额之后的差额确认为投资收益。</w:t>
      </w:r>
    </w:p>
    <w:p>
      <w:pPr>
        <w:pStyle w:val="BodyText"/>
        <w:spacing w:line="273" w:lineRule="auto" w:before="14"/>
        <w:ind w:right="187" w:firstLine="420"/>
        <w:jc w:val="both"/>
      </w:pPr>
      <w:r>
        <w:rPr>
          <w:spacing w:val="3"/>
        </w:rPr>
        <w:t>当收取某项金融资产现金流量的合同权利已终止或该金融资产所有权上几乎所有的风险和报酬已转</w:t>
      </w:r>
      <w:r>
        <w:rPr/>
        <w:t> </w:t>
      </w:r>
      <w:r>
        <w:rPr>
          <w:spacing w:val="-1"/>
        </w:rPr>
        <w:t>移时，终止确认该金融资产；当金融负债的现时义务全部或部分解除时，相应终止确认该金融负债或其一</w:t>
      </w:r>
      <w:r>
        <w:rPr>
          <w:spacing w:val="-83"/>
        </w:rPr>
        <w:t> </w:t>
      </w:r>
      <w:r>
        <w:rPr>
          <w:spacing w:val="-83"/>
        </w:rPr>
      </w:r>
      <w:r>
        <w:rPr/>
        <w:t>部分。</w:t>
      </w:r>
    </w:p>
    <w:p>
      <w:pPr>
        <w:spacing w:line="590" w:lineRule="atLeast" w:before="9"/>
        <w:ind w:left="574" w:right="9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公司已将金融资产所有权上几乎所有的风险和报酬转移给了转入方的，终止确认该金融资产；保留了</w:t>
      </w:r>
    </w:p>
    <w:p>
      <w:pPr>
        <w:pStyle w:val="BodyText"/>
        <w:spacing w:line="261" w:lineRule="auto" w:before="37"/>
        <w:ind w:right="189"/>
        <w:jc w:val="both"/>
      </w:pPr>
      <w:r>
        <w:rPr>
          <w:spacing w:val="-1"/>
        </w:rPr>
        <w:t>金融资产所有权上几乎所有的风险和报酬的，继续确认所转移的金融资产，并将收到的对价确认为一项金</w:t>
      </w:r>
      <w:r>
        <w:rPr>
          <w:spacing w:val="-81"/>
        </w:rPr>
        <w:t> </w:t>
      </w:r>
      <w:r>
        <w:rPr>
          <w:spacing w:val="-81"/>
        </w:rPr>
      </w:r>
      <w:r>
        <w:rPr>
          <w:spacing w:val="-2"/>
        </w:rPr>
        <w:t>融负债。公司既没有转移也没有保留金融资产所有权上几乎所有的风险和报酬的，分别下列情况处理：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7"/>
        </w:rPr>
        <w:t> </w:t>
      </w:r>
      <w:r>
        <w:rPr/>
        <w:t>放弃了对该金融资产控制的，终止确认该金融资产；</w:t>
      </w:r>
      <w:r>
        <w:rPr>
          <w:rFonts w:ascii="Times New Roman" w:hAnsi="Times New Roman" w:cs="Times New Roman" w:eastAsia="Times New Roman" w:hint="default"/>
        </w:rPr>
        <w:t>(2) </w:t>
      </w:r>
      <w:r>
        <w:rPr/>
        <w:t>未放弃对该金融资产控制的，按照继续涉入所转</w:t>
      </w:r>
      <w:r>
        <w:rPr>
          <w:spacing w:val="-79"/>
        </w:rPr>
        <w:t> </w:t>
      </w:r>
      <w:r>
        <w:rPr/>
        <w:t>移金融资产的程度确认有关金融资产，并相应确认有关负债。</w:t>
      </w:r>
    </w:p>
    <w:p>
      <w:pPr>
        <w:pStyle w:val="BodyText"/>
        <w:spacing w:line="261" w:lineRule="auto" w:before="18"/>
        <w:ind w:right="188"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所转移金融资产</w:t>
      </w:r>
      <w:r>
        <w:rPr>
          <w:spacing w:val="1"/>
        </w:rPr>
        <w:t> </w:t>
      </w:r>
      <w:r>
        <w:rPr/>
        <w:t>的账面价值；</w:t>
      </w:r>
      <w:r>
        <w:rPr>
          <w:rFonts w:ascii="Times New Roman" w:hAnsi="Times New Roman" w:cs="Times New Roman" w:eastAsia="Times New Roman" w:hint="default"/>
        </w:rPr>
        <w:t>(2) </w:t>
      </w:r>
      <w:r>
        <w:rPr/>
        <w:t>因转移而收到的对价，与原直接计入所有者权益的公允价值变动累计额之和。金融资产</w:t>
      </w:r>
      <w:r>
        <w:rPr>
          <w:spacing w:val="-81"/>
        </w:rPr>
        <w:t> </w:t>
      </w:r>
      <w:r>
        <w:rPr>
          <w:spacing w:val="-81"/>
        </w:rPr>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Times New Roman" w:hAnsi="Times New Roman" w:cs="Times New Roman" w:eastAsia="Times New Roman" w:hint="default"/>
        </w:rPr>
        <w:t>(1) </w:t>
      </w:r>
      <w:r>
        <w:rPr/>
        <w:t>终止确认部分的账</w:t>
      </w:r>
      <w:r>
        <w:rPr>
          <w:spacing w:val="-71"/>
        </w:rPr>
        <w:t> </w:t>
      </w:r>
      <w:r>
        <w:rPr>
          <w:spacing w:val="-71"/>
        </w:rPr>
      </w:r>
      <w:r>
        <w:rPr/>
        <w:t>面价值；</w:t>
      </w:r>
      <w:r>
        <w:rPr>
          <w:rFonts w:ascii="Times New Roman" w:hAnsi="Times New Roman" w:cs="Times New Roman" w:eastAsia="Times New Roman" w:hint="default"/>
        </w:rPr>
        <w:t>(2) </w:t>
      </w:r>
      <w:r>
        <w:rPr/>
        <w:t>终止确认部分的对价，与原直接计入所有者权益的公允价值变动累计额中对应终止确认部分</w:t>
      </w:r>
      <w:r>
        <w:rPr>
          <w:spacing w:val="-81"/>
        </w:rPr>
        <w:t> </w:t>
      </w:r>
      <w:r>
        <w:rPr>
          <w:spacing w:val="-81"/>
        </w:rPr>
      </w:r>
      <w:r>
        <w:rPr/>
        <w:t>的金额之和。</w:t>
      </w:r>
    </w:p>
    <w:p>
      <w:pPr>
        <w:spacing w:line="590" w:lineRule="atLeast" w:before="20"/>
        <w:ind w:left="574" w:right="91"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存在活跃市场的金融资产或金融负债，以活跃市场的报价确定其公允价值；不存在活跃市场的金融资</w:t>
      </w:r>
    </w:p>
    <w:p>
      <w:pPr>
        <w:pStyle w:val="BodyText"/>
        <w:spacing w:line="256" w:lineRule="auto" w:before="37"/>
        <w:ind w:right="189"/>
        <w:jc w:val="both"/>
      </w:pPr>
      <w:r>
        <w:rPr>
          <w:spacing w:val="-2"/>
        </w:rPr>
        <w:t>产或金融负债，采用估值技术</w:t>
      </w:r>
      <w:r>
        <w:rPr>
          <w:rFonts w:ascii="Times New Roman" w:hAnsi="Times New Roman" w:cs="Times New Roman" w:eastAsia="Times New Roman" w:hint="default"/>
          <w:spacing w:val="-2"/>
        </w:rPr>
        <w:t>(</w:t>
      </w:r>
      <w:r>
        <w:rPr>
          <w:spacing w:val="-2"/>
        </w:rPr>
        <w:t>包括参考熟悉情况并自愿交易的各方最近进行的市场交易中使用的价格、参</w:t>
      </w:r>
      <w:r>
        <w:rPr/>
        <w:t> </w:t>
      </w:r>
      <w:r>
        <w:rPr>
          <w:spacing w:val="-2"/>
        </w:rPr>
        <w:t>照实质上相同的其他金融工具的当前公允价值、现金流量折现法和期权定价模型等</w:t>
      </w:r>
      <w:r>
        <w:rPr>
          <w:rFonts w:ascii="Times New Roman" w:hAnsi="Times New Roman" w:cs="Times New Roman" w:eastAsia="Times New Roman" w:hint="default"/>
          <w:spacing w:val="-2"/>
        </w:rPr>
        <w:t>)</w:t>
      </w:r>
      <w:r>
        <w:rPr>
          <w:spacing w:val="-2"/>
        </w:rPr>
        <w:t>确定其公允价值；初始</w:t>
      </w:r>
      <w:r>
        <w:rPr/>
        <w:t> 取得或源生的金融资产或承担的金融负债，以市场交易价格作为确定其公允价值的基础。</w:t>
      </w:r>
    </w:p>
    <w:p>
      <w:pPr>
        <w:spacing w:line="590" w:lineRule="atLeast" w:before="24"/>
        <w:ind w:left="574" w:right="9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资产负债表日对以公允价值计量且其变动计入当期损益的金融资产以外的金融资产的账面价值进行</w:t>
      </w:r>
    </w:p>
    <w:p>
      <w:pPr>
        <w:pStyle w:val="BodyText"/>
        <w:spacing w:line="273" w:lineRule="auto" w:before="37"/>
        <w:ind w:left="574" w:right="91" w:hanging="420"/>
        <w:jc w:val="left"/>
      </w:pPr>
      <w:r>
        <w:rPr/>
        <w:t>检查，如有客观证据表明该金融资产发生减值的，计提减值准备。 </w:t>
      </w:r>
      <w:r>
        <w:rPr>
          <w:spacing w:val="-1"/>
        </w:rPr>
        <w:t>对单项金额重大的金融资产单独进行减值测试；对单项金额不重大的金融资产，可以单独进行减值测</w:t>
      </w:r>
    </w:p>
    <w:p>
      <w:pPr>
        <w:pStyle w:val="BodyText"/>
        <w:spacing w:line="256" w:lineRule="auto" w:before="7"/>
        <w:ind w:right="98"/>
        <w:jc w:val="both"/>
      </w:pPr>
      <w:r>
        <w:rPr>
          <w:spacing w:val="-2"/>
        </w:rPr>
        <w:t>试，或包括在具有类似信用风险特征的金融资产组合中进行减值测试；单独测试未发生减值的金融资产</w:t>
      </w:r>
      <w:r>
        <w:rPr>
          <w:rFonts w:ascii="Times New Roman" w:hAnsi="Times New Roman" w:cs="Times New Roman" w:eastAsia="Times New Roman" w:hint="default"/>
          <w:spacing w:val="-2"/>
        </w:rPr>
        <w:t>(</w:t>
      </w:r>
      <w:r>
        <w:rPr>
          <w:spacing w:val="-2"/>
        </w:rPr>
        <w:t>包</w:t>
      </w:r>
      <w:r>
        <w:rPr/>
        <w:t> 括单项金额重大和不重大的金融资产</w:t>
      </w:r>
      <w:r>
        <w:rPr>
          <w:rFonts w:ascii="Times New Roman" w:hAnsi="Times New Roman" w:cs="Times New Roman" w:eastAsia="Times New Roman" w:hint="default"/>
        </w:rPr>
        <w:t>)</w:t>
      </w:r>
      <w:r>
        <w:rPr/>
        <w:t>，包括在具有类似信用风险特征的金融资产组合中再进行减值测试。</w:t>
      </w:r>
    </w:p>
    <w:p>
      <w:pPr>
        <w:pStyle w:val="BodyText"/>
        <w:spacing w:line="273" w:lineRule="auto" w:before="5"/>
        <w:ind w:right="182" w:firstLine="420"/>
        <w:jc w:val="both"/>
      </w:pPr>
      <w:r>
        <w:rPr>
          <w:spacing w:val="-1"/>
        </w:rPr>
        <w:t>按摊余成本计量的金融资产，期末有客观证据表明其发生了减值的，根据其账面价值高于预计未来现</w:t>
      </w:r>
      <w:r>
        <w:rPr/>
        <w:t> </w:t>
      </w:r>
      <w:r>
        <w:rPr>
          <w:spacing w:val="3"/>
        </w:rPr>
        <w:t>金流量现值之间的差额确认减值损失。在活跃市场中没有报价且其公允价值不能可靠计量的权益工具投</w:t>
      </w:r>
      <w:r>
        <w:rPr/>
      </w:r>
    </w:p>
    <w:p>
      <w:pPr>
        <w:spacing w:after="0" w:line="273" w:lineRule="auto"/>
        <w:jc w:val="both"/>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BodyText"/>
        <w:spacing w:line="273" w:lineRule="auto" w:before="35"/>
        <w:ind w:right="128"/>
        <w:jc w:val="both"/>
      </w:pPr>
      <w:r>
        <w:rPr>
          <w:spacing w:val="-1"/>
        </w:rPr>
        <w:t>资，或与该权益工具挂钩并须通过交付该权益工具结算的衍生金融资产发生减值时，将该权益工具投资或</w:t>
      </w:r>
      <w:r>
        <w:rPr>
          <w:spacing w:val="-81"/>
        </w:rPr>
        <w:t> </w:t>
      </w:r>
      <w:r>
        <w:rPr>
          <w:spacing w:val="-81"/>
        </w:rPr>
      </w:r>
      <w:r>
        <w:rPr>
          <w:spacing w:val="-1"/>
        </w:rPr>
        <w:t>衍生金融资产的账面价值，与按照类似金融资产当时市场收益率对未来现金流量折现确定的现值之间的差</w:t>
      </w:r>
      <w:r>
        <w:rPr>
          <w:spacing w:val="-81"/>
        </w:rPr>
        <w:t> </w:t>
      </w:r>
      <w:r>
        <w:rPr>
          <w:spacing w:val="-81"/>
        </w:rPr>
      </w:r>
      <w:r>
        <w:rPr/>
        <w:t>额，确认为减值损失。可供出售金融资产的公允价值发生较大幅度下降，或在综合考虑各种相关因素后， </w:t>
      </w:r>
      <w:r>
        <w:rPr>
          <w:spacing w:val="-1"/>
        </w:rPr>
        <w:t>预期这种下降趋势属于非暂时性的，确认其减值损失，并将原直接计入所有者权益的公允价值累计损失一</w:t>
      </w:r>
      <w:r>
        <w:rPr>
          <w:spacing w:val="-81"/>
        </w:rPr>
        <w:t> </w:t>
      </w:r>
      <w:r>
        <w:rPr>
          <w:spacing w:val="-81"/>
        </w:rPr>
      </w:r>
      <w:r>
        <w:rPr/>
        <w:t>并转出计入减值损失。</w:t>
      </w:r>
    </w:p>
    <w:p>
      <w:pPr>
        <w:spacing w:line="240" w:lineRule="auto" w:before="8"/>
        <w:rPr>
          <w:rFonts w:ascii="宋体" w:hAnsi="宋体" w:cs="宋体" w:eastAsia="宋体" w:hint="default"/>
          <w:sz w:val="23"/>
          <w:szCs w:val="23"/>
        </w:rPr>
      </w:pPr>
    </w:p>
    <w:p>
      <w:pPr>
        <w:pStyle w:val="Heading4"/>
        <w:spacing w:line="240" w:lineRule="auto"/>
        <w:ind w:left="153" w:right="0"/>
        <w:jc w:val="both"/>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5"/>
        <w:gridCol w:w="4513"/>
      </w:tblGrid>
      <w:tr>
        <w:trPr>
          <w:trHeight w:val="1026"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应收账款金额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万元以上且占应收账款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以上的款 </w:t>
            </w:r>
            <w:r>
              <w:rPr>
                <w:rFonts w:ascii="宋体" w:hAnsi="宋体" w:cs="宋体" w:eastAsia="宋体" w:hint="default"/>
                <w:spacing w:val="-9"/>
                <w:sz w:val="18"/>
                <w:szCs w:val="18"/>
              </w:rPr>
              <w:t>项、其他应收款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万以上且占其他应收款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 项</w:t>
            </w:r>
          </w:p>
        </w:tc>
      </w:tr>
      <w:tr>
        <w:trPr>
          <w:trHeight w:val="714"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单独进行减值测试，根据其未来现金流量现值低于其账面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价值的差额计提坏账准备。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相同账龄的应收款项具有类似信用风险特征</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个别认定法组合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合并范围内关联方的应收款项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99"/>
        <w:gridCol w:w="2975"/>
        <w:gridCol w:w="3994"/>
      </w:tblGrid>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930"/>
        <w:gridCol w:w="5638"/>
      </w:tblGrid>
      <w:tr>
        <w:trPr>
          <w:trHeight w:val="402" w:hRule="exact"/>
        </w:trPr>
        <w:tc>
          <w:tcPr>
            <w:tcW w:w="3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714" w:hRule="exact"/>
        </w:trPr>
        <w:tc>
          <w:tcPr>
            <w:tcW w:w="3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个别认定法组合</w:t>
            </w:r>
          </w:p>
        </w:tc>
        <w:tc>
          <w:tcPr>
            <w:tcW w:w="5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 提坏账准备。</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应收款项的未来现金流量现值与以账龄为信用风险特征的应收款项组合的未来 现金流量现值存在显著差异。</w:t>
            </w:r>
          </w:p>
        </w:tc>
      </w:tr>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存货包括在日常活动中持有以备出售的产成品或商品、处在生产过程中的在产品、在生产过程或提供劳务过程中耗用的</w:t>
      </w:r>
      <w:r>
        <w:rPr>
          <w:rFonts w:ascii="宋体" w:hAnsi="宋体" w:cs="宋体" w:eastAsia="宋体" w:hint="default"/>
          <w:sz w:val="18"/>
          <w:szCs w:val="18"/>
        </w:rPr>
        <w:t> 材料和物料等。</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计价方法：加权平均法</w:t>
      </w:r>
    </w:p>
    <w:p>
      <w:pPr>
        <w:pStyle w:val="BodyText"/>
        <w:spacing w:line="240" w:lineRule="auto" w:before="89"/>
        <w:ind w:left="574" w:right="0"/>
        <w:jc w:val="left"/>
      </w:pPr>
      <w:r>
        <w:rPr/>
        <w:t>发出存货采用移动加权平均法。</w:t>
      </w:r>
    </w:p>
    <w:p>
      <w:pPr>
        <w:spacing w:line="590" w:lineRule="atLeast" w:before="39"/>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资产负债表日，存货采用成本与可变现净值孰低计量，按照单个存货成本高于可变现净值的差额计提</w:t>
      </w:r>
    </w:p>
    <w:p>
      <w:pPr>
        <w:pStyle w:val="BodyText"/>
        <w:spacing w:line="273" w:lineRule="auto" w:before="37"/>
        <w:ind w:left="153" w:right="102"/>
        <w:jc w:val="left"/>
      </w:pPr>
      <w:r>
        <w:rPr/>
        <w:t>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spacing w:val="-3"/>
        </w:rPr>
        <w:t>产负债表日，同一项存货中一部分有合同价格约定、其他部分不存在合同价格的，分别确定其可变现净值，</w:t>
      </w:r>
      <w:r>
        <w:rPr>
          <w:spacing w:val="-90"/>
        </w:rPr>
        <w:t> </w:t>
      </w:r>
      <w:r>
        <w:rPr>
          <w:spacing w:val="-90"/>
        </w:rPr>
      </w:r>
      <w:r>
        <w:rPr/>
        <w:t>并与其对应的成本进行比较，分别确定存货跌价准备的计提或转回的金额。</w:t>
      </w:r>
    </w:p>
    <w:p>
      <w:pPr>
        <w:spacing w:line="240" w:lineRule="auto" w:before="8"/>
        <w:rPr>
          <w:rFonts w:ascii="宋体" w:hAnsi="宋体" w:cs="宋体" w:eastAsia="宋体" w:hint="default"/>
          <w:sz w:val="23"/>
          <w:szCs w:val="23"/>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8031"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 包装物 摊销方法：一次摊销法</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4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同一控制下的企业合并形成的，合并方以支付现金、转让非现金资产、承担债务或发行权益性证</w:t>
      </w:r>
    </w:p>
    <w:p>
      <w:pPr>
        <w:spacing w:after="0" w:line="240"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211"/>
        <w:jc w:val="both"/>
      </w:pPr>
      <w:r>
        <w:rPr>
          <w:spacing w:val="-1"/>
        </w:rPr>
        <w:t>券作为合并对价的，在合并日按照取得被合并方所有者权益账面价值的份额作为其初始投资成本。长期股</w:t>
      </w:r>
      <w:r>
        <w:rPr>
          <w:spacing w:val="-81"/>
        </w:rPr>
        <w:t> </w:t>
      </w:r>
      <w:r>
        <w:rPr>
          <w:spacing w:val="-81"/>
        </w:rPr>
      </w:r>
      <w:r>
        <w:rPr>
          <w:spacing w:val="-1"/>
        </w:rPr>
        <w:t>权投资初始投资成本与支付的合并对价的账面价值或发行股份的面值总额之间的差额调整资本公积；资本</w:t>
      </w:r>
      <w:r>
        <w:rPr>
          <w:spacing w:val="-81"/>
        </w:rPr>
        <w:t> </w:t>
      </w:r>
      <w:r>
        <w:rPr>
          <w:spacing w:val="-81"/>
        </w:rPr>
      </w:r>
      <w:r>
        <w:rPr/>
        <w:t>公积不足冲减的，调整留存收益。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非同一控制下的企业合并形成的，在购买日按照支付的合并对价的</w:t>
      </w:r>
    </w:p>
    <w:p>
      <w:pPr>
        <w:pStyle w:val="BodyText"/>
        <w:spacing w:line="266" w:lineRule="auto"/>
        <w:ind w:left="153" w:right="102"/>
        <w:jc w:val="left"/>
      </w:pPr>
      <w:r>
        <w:rPr/>
        <w:t>公允价值作为其初始投资成本。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除企业合并形成以外的：以支付现金取得的，按照实际支付的购买价 </w:t>
      </w:r>
      <w:r>
        <w:rPr>
          <w:spacing w:val="-3"/>
        </w:rPr>
        <w:t>款作为其初始投资成本；以发行权益性证券取得的，按照发行权益性证券的公允价值作为其初始投资成本；</w:t>
      </w:r>
      <w:r>
        <w:rPr>
          <w:spacing w:val="-92"/>
        </w:rPr>
        <w:t> </w:t>
      </w:r>
      <w:r>
        <w:rPr>
          <w:spacing w:val="-92"/>
        </w:rPr>
      </w:r>
      <w:r>
        <w:rPr>
          <w:spacing w:val="-2"/>
        </w:rPr>
        <w:t>投资者投入的，按照投资合同或协议约定的价值作为其初始投资成本</w:t>
      </w:r>
      <w:r>
        <w:rPr>
          <w:rFonts w:ascii="Times New Roman" w:hAnsi="Times New Roman" w:cs="Times New Roman" w:eastAsia="Times New Roman" w:hint="default"/>
          <w:spacing w:val="-2"/>
        </w:rPr>
        <w:t>(</w:t>
      </w:r>
      <w:r>
        <w:rPr>
          <w:spacing w:val="-2"/>
        </w:rPr>
        <w:t>合同或协议约定价值不公允的除外</w:t>
      </w:r>
      <w:r>
        <w:rPr>
          <w:rFonts w:ascii="Times New Roman" w:hAnsi="Times New Roman" w:cs="Times New Roman" w:eastAsia="Times New Roman" w:hint="default"/>
          <w:spacing w:val="-2"/>
        </w:rPr>
        <w:t>)</w:t>
      </w:r>
      <w:r>
        <w:rPr>
          <w:spacing w:val="-2"/>
        </w:rPr>
        <w:t>。</w:t>
      </w:r>
    </w:p>
    <w:p>
      <w:pPr>
        <w:spacing w:line="614" w:lineRule="exact" w:before="48"/>
        <w:ind w:left="529" w:right="215" w:hanging="37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b/>
          <w:bCs/>
          <w:w w:val="99"/>
          <w:sz w:val="21"/>
          <w:szCs w:val="21"/>
        </w:rPr>
        <w:t> </w:t>
      </w:r>
      <w:r>
        <w:rPr>
          <w:rFonts w:ascii="宋体" w:hAnsi="宋体" w:cs="宋体" w:eastAsia="宋体" w:hint="default"/>
          <w:sz w:val="21"/>
          <w:szCs w:val="21"/>
        </w:rPr>
        <w:t>对被投资单位能够实施控制的长期股权投资采用成本法核算，在编制合并财务报表时按照权益法进行</w:t>
      </w:r>
    </w:p>
    <w:p>
      <w:pPr>
        <w:pStyle w:val="BodyText"/>
        <w:spacing w:line="219" w:lineRule="exact"/>
        <w:ind w:right="0"/>
        <w:jc w:val="left"/>
      </w:pPr>
      <w:r>
        <w:rPr/>
        <w:t>调整；对不具有共同控制或重大影响，并且在活跃市场中没有报价、公允价值不能可靠计量的长期股权投</w:t>
      </w:r>
    </w:p>
    <w:p>
      <w:pPr>
        <w:pStyle w:val="BodyText"/>
        <w:spacing w:line="240" w:lineRule="auto" w:before="38"/>
        <w:ind w:right="0"/>
        <w:jc w:val="left"/>
      </w:pPr>
      <w:r>
        <w:rPr/>
        <w:t>资，采用成本法核算；对具有共同控制或重大影响的长期股权投资，采用权益法核算。</w:t>
      </w:r>
    </w:p>
    <w:p>
      <w:pPr>
        <w:spacing w:line="590" w:lineRule="atLeast" w:before="36"/>
        <w:ind w:left="514" w:right="230" w:hanging="3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spacing w:val="1"/>
          <w:w w:val="99"/>
          <w:sz w:val="21"/>
          <w:szCs w:val="21"/>
        </w:rPr>
        <w:t> </w:t>
      </w:r>
      <w:r>
        <w:rPr>
          <w:rFonts w:ascii="宋体" w:hAnsi="宋体" w:cs="宋体" w:eastAsia="宋体" w:hint="default"/>
          <w:sz w:val="21"/>
          <w:szCs w:val="21"/>
        </w:rPr>
        <w:t>按照合同约定，与被投资单位相关的重要财务和经营决策需要分享控制权的投资方一致同意的，认定</w:t>
      </w:r>
    </w:p>
    <w:p>
      <w:pPr>
        <w:pStyle w:val="BodyText"/>
        <w:spacing w:line="273" w:lineRule="auto" w:before="37"/>
        <w:ind w:left="153" w:right="0"/>
        <w:jc w:val="left"/>
      </w:pPr>
      <w:r>
        <w:rPr>
          <w:spacing w:val="-1"/>
        </w:rPr>
        <w:t>为共同控制；对被投资单位的财务和经营政策有参与决策的权力，但并不能够控制或者与其他方一起共同</w:t>
      </w:r>
      <w:r>
        <w:rPr>
          <w:spacing w:val="-81"/>
        </w:rPr>
        <w:t> </w:t>
      </w:r>
      <w:r>
        <w:rPr>
          <w:spacing w:val="-81"/>
        </w:rPr>
      </w:r>
      <w:r>
        <w:rPr/>
        <w:t>控制这些政策的制定的，认定为重大影响。</w:t>
      </w:r>
    </w:p>
    <w:p>
      <w:pPr>
        <w:spacing w:line="590" w:lineRule="atLeast" w:before="7"/>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对子公司、联营企业及合营企业的投资，在资产负债表日有客观证据表明其发生减值的，按照账面价</w:t>
      </w:r>
    </w:p>
    <w:p>
      <w:pPr>
        <w:pStyle w:val="BodyText"/>
        <w:spacing w:line="264" w:lineRule="auto" w:before="37"/>
        <w:ind w:left="153" w:right="0"/>
        <w:jc w:val="left"/>
      </w:pPr>
      <w:r>
        <w:rPr/>
        <w:t>值高于可收回金额的差额计提相应的减值准备；对被投资单位不具有共同控制或重大影响、在活跃市场中 </w:t>
      </w:r>
      <w:r>
        <w:rPr>
          <w:spacing w:val="-3"/>
        </w:rPr>
        <w:t>没有报价、公允价值不能可靠计量的长期股权投资，按照《企业会计准则第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w:t>
      </w:r>
      <w:r>
        <w:rPr>
          <w:spacing w:val="-91"/>
        </w:rPr>
        <w:t> </w:t>
      </w:r>
      <w:r>
        <w:rPr/>
        <w:t>的规定计提相应的减值准备。</w:t>
      </w:r>
    </w:p>
    <w:p>
      <w:pPr>
        <w:spacing w:line="240" w:lineRule="auto" w:before="3"/>
        <w:rPr>
          <w:rFonts w:ascii="宋体" w:hAnsi="宋体" w:cs="宋体" w:eastAsia="宋体" w:hint="default"/>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13</w:t>
      </w:r>
      <w:r>
        <w:rPr/>
        <w:t>、固定资产</w:t>
      </w:r>
      <w:r>
        <w:rPr>
          <w:b w:val="0"/>
          <w:bCs w:val="0"/>
        </w:rPr>
      </w:r>
    </w:p>
    <w:p>
      <w:pPr>
        <w:spacing w:line="590" w:lineRule="atLeast" w:before="23"/>
        <w:ind w:left="514" w:right="230" w:hanging="36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99"/>
          <w:sz w:val="21"/>
          <w:szCs w:val="21"/>
        </w:rPr>
        <w:t> </w:t>
      </w:r>
      <w:r>
        <w:rPr>
          <w:rFonts w:ascii="宋体" w:hAnsi="宋体" w:cs="宋体" w:eastAsia="宋体" w:hint="default"/>
          <w:sz w:val="21"/>
          <w:szCs w:val="21"/>
        </w:rPr>
        <w:t>固定资产是指为生产商品、提供劳务、出租或经营管理而持有的，使用年限超过一个会计年度的有形</w:t>
      </w:r>
    </w:p>
    <w:p>
      <w:pPr>
        <w:pStyle w:val="BodyText"/>
        <w:spacing w:line="273" w:lineRule="auto" w:before="37"/>
        <w:ind w:left="153" w:right="278"/>
        <w:jc w:val="left"/>
      </w:pPr>
      <w:r>
        <w:rPr/>
        <w:t>资产。</w:t>
      </w:r>
      <w:r>
        <w:rPr>
          <w:spacing w:val="-2"/>
        </w:rPr>
        <w:t> </w:t>
      </w:r>
      <w:r>
        <w:rPr/>
        <w:t>固定资产以取得时的实际成本入账，并从其达到预定可使用状态的次月起采用年限平均法计提折</w:t>
      </w:r>
      <w:r>
        <w:rPr/>
        <w:t> 旧。</w:t>
      </w:r>
    </w:p>
    <w:p>
      <w:pPr>
        <w:spacing w:line="240" w:lineRule="auto" w:before="7"/>
        <w:rPr>
          <w:rFonts w:ascii="宋体" w:hAnsi="宋体" w:cs="宋体" w:eastAsia="宋体" w:hint="default"/>
          <w:sz w:val="23"/>
          <w:szCs w:val="23"/>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2</w:t>
      </w:r>
      <w:r>
        <w:rPr/>
        <w:t>）各类固定资产的折旧方法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18"/>
        <w:gridCol w:w="2105"/>
        <w:gridCol w:w="2220"/>
        <w:gridCol w:w="2725"/>
      </w:tblGrid>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6.33%</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518"/>
        <w:gridCol w:w="2105"/>
        <w:gridCol w:w="2220"/>
        <w:gridCol w:w="2725"/>
      </w:tblGrid>
      <w:tr>
        <w:trPr>
          <w:trHeight w:val="4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）固定资产的减值测试方法、减值准备计提方法</w:t>
      </w:r>
      <w:r>
        <w:rPr>
          <w:b w:val="0"/>
          <w:bCs w:val="0"/>
        </w:rPr>
      </w:r>
    </w:p>
    <w:p>
      <w:pPr>
        <w:spacing w:line="240" w:lineRule="auto" w:before="9"/>
        <w:rPr>
          <w:rFonts w:ascii="宋体" w:hAnsi="宋体" w:cs="宋体" w:eastAsia="宋体" w:hint="default"/>
          <w:b/>
          <w:bCs/>
          <w:sz w:val="23"/>
          <w:szCs w:val="23"/>
        </w:rPr>
      </w:pPr>
    </w:p>
    <w:p>
      <w:pPr>
        <w:pStyle w:val="Heading3"/>
        <w:spacing w:line="259" w:lineRule="auto"/>
        <w:ind w:right="0" w:firstLine="420"/>
        <w:jc w:val="left"/>
        <w:rPr>
          <w:i w:val="0"/>
        </w:rPr>
      </w:pPr>
      <w:r>
        <w:rPr>
          <w:spacing w:val="-1"/>
          <w:w w:val="95"/>
        </w:rPr>
        <w:t>资产负债表日，有迹象表明固定资产发生减值的，按照账面价值高于可收回金额的差额计提相应的减</w:t>
      </w:r>
      <w:r>
        <w:rPr>
          <w:w w:val="95"/>
        </w:rPr>
        <w:t> </w:t>
      </w:r>
      <w:r>
        <w:rPr/>
        <w:t>值准备。</w:t>
      </w:r>
      <w:r>
        <w:rPr>
          <w:i w:val="0"/>
        </w:rPr>
      </w:r>
    </w:p>
    <w:p>
      <w:pPr>
        <w:spacing w:line="240" w:lineRule="auto" w:before="5"/>
        <w:rPr>
          <w:rFonts w:ascii="宋体" w:hAnsi="宋体" w:cs="宋体" w:eastAsia="宋体" w:hint="default"/>
          <w:i/>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14</w:t>
      </w:r>
      <w:r>
        <w:rPr/>
        <w:t>、在建工程</w:t>
      </w:r>
      <w:r>
        <w:rPr>
          <w:b w:val="0"/>
          <w:bCs w:val="0"/>
        </w:rPr>
      </w:r>
    </w:p>
    <w:p>
      <w:pPr>
        <w:pStyle w:val="BodyText"/>
        <w:spacing w:line="590" w:lineRule="atLeast" w:before="23"/>
        <w:ind w:left="619" w:right="0" w:hanging="466"/>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）在建工程的类别</w:t>
      </w:r>
      <w:r>
        <w:rPr>
          <w:rFonts w:ascii="宋体" w:hAnsi="宋体" w:cs="宋体" w:eastAsia="宋体" w:hint="default"/>
          <w:b/>
          <w:bCs/>
          <w:spacing w:val="1"/>
          <w:w w:val="99"/>
        </w:rPr>
        <w:t> </w:t>
      </w:r>
      <w:r>
        <w:rPr>
          <w:spacing w:val="-2"/>
        </w:rPr>
        <w:t>在建工程同时满足经济利益很可能流入、成本能够可靠计量则予以确认。在建工程按建造该项资产达</w:t>
      </w:r>
    </w:p>
    <w:p>
      <w:pPr>
        <w:pStyle w:val="BodyText"/>
        <w:spacing w:line="240" w:lineRule="auto" w:before="38"/>
        <w:ind w:right="0"/>
        <w:jc w:val="left"/>
      </w:pPr>
      <w:r>
        <w:rPr/>
        <w:t>到预定可使用状态前所发生的实际成本计量。</w:t>
      </w:r>
    </w:p>
    <w:p>
      <w:pPr>
        <w:spacing w:line="590" w:lineRule="atLeast" w:before="36"/>
        <w:ind w:left="545" w:right="199" w:hanging="39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在建工程达到预定可使用状态时，按工程实际成本转入固定资产。已达到预定可使用状态但尚未办理</w:t>
      </w:r>
    </w:p>
    <w:p>
      <w:pPr>
        <w:pStyle w:val="BodyText"/>
        <w:spacing w:line="273" w:lineRule="auto" w:before="37"/>
        <w:ind w:left="153" w:right="0"/>
        <w:jc w:val="left"/>
      </w:pPr>
      <w:r>
        <w:rPr>
          <w:spacing w:val="-1"/>
        </w:rPr>
        <w:t>竣工决算的，先按估计价值转入固定资产，待办理竣工决算后再按实际成本调整原暂估价值，但不再调整</w:t>
      </w:r>
      <w:r>
        <w:rPr>
          <w:spacing w:val="-83"/>
        </w:rPr>
        <w:t> </w:t>
      </w:r>
      <w:r>
        <w:rPr>
          <w:spacing w:val="-83"/>
        </w:rPr>
      </w:r>
      <w:r>
        <w:rPr/>
        <w:t>原已计提的折旧。</w:t>
      </w:r>
    </w:p>
    <w:p>
      <w:pPr>
        <w:spacing w:line="590" w:lineRule="atLeast" w:before="7"/>
        <w:ind w:left="658" w:right="0" w:hanging="50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资产负债表日，有迹象表明在建工程发生减值的，按照账面价值高于可收回金额的差额计提相应的</w:t>
      </w:r>
    </w:p>
    <w:p>
      <w:pPr>
        <w:pStyle w:val="BodyText"/>
        <w:spacing w:line="240" w:lineRule="auto" w:before="37"/>
        <w:ind w:right="0"/>
        <w:jc w:val="left"/>
      </w:pPr>
      <w:r>
        <w:rPr/>
        <w:t>减值准备。</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15</w:t>
      </w:r>
      <w:r>
        <w:rPr/>
        <w:t>、借款费用</w:t>
      </w:r>
      <w:r>
        <w:rPr>
          <w:b w:val="0"/>
          <w:bCs w:val="0"/>
        </w:rPr>
      </w:r>
    </w:p>
    <w:p>
      <w:pPr>
        <w:spacing w:line="590" w:lineRule="atLeast" w:before="23"/>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公司发生的借款费用，可直接归属于符合资本化条件的资产的购建或者生产的，予以资本化，计入相</w:t>
      </w:r>
    </w:p>
    <w:p>
      <w:pPr>
        <w:pStyle w:val="BodyText"/>
        <w:spacing w:line="240" w:lineRule="auto" w:before="37"/>
        <w:ind w:left="153" w:right="0"/>
        <w:jc w:val="left"/>
      </w:pPr>
      <w:r>
        <w:rPr/>
        <w:t>关资产成本；其他借款费用，在发生时确认为费用，计入当期损益。</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53" w:right="0" w:firstLine="420"/>
        <w:jc w:val="left"/>
      </w:pP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为 使资产达到预定可使用或可销售状态所必要的购建或者生产活动已经开始。</w:t>
      </w:r>
    </w:p>
    <w:p>
      <w:pPr>
        <w:pStyle w:val="BodyText"/>
        <w:spacing w:line="610" w:lineRule="atLeast" w:before="4"/>
        <w:ind w:left="658" w:right="191" w:hanging="505"/>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spacing w:val="1"/>
          <w:w w:val="99"/>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w:t>
      </w:r>
    </w:p>
    <w:p>
      <w:pPr>
        <w:pStyle w:val="BodyText"/>
        <w:spacing w:line="273" w:lineRule="auto" w:before="21"/>
        <w:ind w:left="658" w:right="101" w:hanging="504"/>
        <w:jc w:val="left"/>
      </w:pPr>
      <w:r>
        <w:rPr>
          <w:spacing w:val="-3"/>
        </w:rPr>
        <w:t>停借款费用的资本化；中断期间发生的借款费用确认为当期费用，直至资产的购建或者生产活动重新开始。</w:t>
      </w:r>
      <w:r>
        <w:rPr>
          <w:spacing w:val="-92"/>
        </w:rPr>
        <w:t> </w:t>
      </w:r>
      <w:r>
        <w:rPr>
          <w:spacing w:val="-92"/>
        </w:rPr>
      </w:r>
      <w:r>
        <w:rPr/>
        <w:t>当所购建或者生产符合资本化条件的资产达到预定可使用或可销售状态时，借款费用停止资本化。</w:t>
      </w:r>
    </w:p>
    <w:p>
      <w:pPr>
        <w:spacing w:after="0" w:line="273" w:lineRule="auto"/>
        <w:jc w:val="left"/>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left="153" w:right="202" w:firstLine="420"/>
        <w:jc w:val="both"/>
      </w:pPr>
      <w:r>
        <w:rPr>
          <w:spacing w:val="-3"/>
        </w:rPr>
        <w:t>为购建或者生产符合资本化条件的资产而借入专门借款的，以专门借款当期实际发生的利息费用</w:t>
      </w:r>
      <w:r>
        <w:rPr>
          <w:rFonts w:ascii="Times New Roman" w:hAnsi="Times New Roman" w:cs="Times New Roman" w:eastAsia="Times New Roman" w:hint="default"/>
          <w:spacing w:val="-3"/>
        </w:rPr>
        <w:t>(</w:t>
      </w:r>
      <w:r>
        <w:rPr>
          <w:spacing w:val="-3"/>
        </w:rPr>
        <w:t>包括</w:t>
      </w:r>
      <w:r>
        <w:rPr/>
        <w:t> </w:t>
      </w:r>
      <w:r>
        <w:rPr>
          <w:spacing w:val="-2"/>
        </w:rPr>
        <w:t>按照实际利率法确定的折价或溢价的摊销</w:t>
      </w:r>
      <w:r>
        <w:rPr>
          <w:rFonts w:ascii="Times New Roman" w:hAnsi="Times New Roman" w:cs="Times New Roman" w:eastAsia="Times New Roman" w:hint="default"/>
          <w:spacing w:val="-2"/>
        </w:rPr>
        <w:t>)</w:t>
      </w:r>
      <w:r>
        <w:rPr>
          <w:spacing w:val="-2"/>
        </w:rPr>
        <w:t>，减去将尚未动用的借款资金存入银行取得的利息收入或进行暂</w:t>
      </w:r>
      <w:r>
        <w:rPr/>
        <w:t> </w:t>
      </w:r>
      <w:r>
        <w:rPr>
          <w:spacing w:val="-1"/>
        </w:rPr>
        <w:t>时性投资取得的投资收益后的金额，确定应予资本化的利息金额；为购建或者生产符合资本化条件的资产</w:t>
      </w:r>
      <w:r>
        <w:rPr>
          <w:spacing w:val="-81"/>
        </w:rPr>
        <w:t> </w:t>
      </w:r>
      <w:r>
        <w:rPr>
          <w:spacing w:val="-81"/>
        </w:rPr>
      </w:r>
      <w:r>
        <w:rPr>
          <w:spacing w:val="3"/>
        </w:rPr>
        <w:t>占用了一般借款的，根据累计资产支出超过专门借款的资产支出加权平均数乘以占用一般借款的资本化</w:t>
      </w:r>
      <w:r>
        <w:rPr>
          <w:spacing w:val="-78"/>
        </w:rPr>
        <w:t> </w:t>
      </w:r>
      <w:r>
        <w:rPr>
          <w:spacing w:val="-78"/>
        </w:rPr>
      </w:r>
      <w:r>
        <w:rPr/>
        <w:t>率，计算确定一般借款应予资本化的利息金额。</w:t>
      </w:r>
    </w:p>
    <w:p>
      <w:pPr>
        <w:spacing w:line="240" w:lineRule="auto" w:before="3"/>
        <w:rPr>
          <w:rFonts w:ascii="宋体" w:hAnsi="宋体" w:cs="宋体" w:eastAsia="宋体" w:hint="default"/>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left="573" w:right="0"/>
        <w:jc w:val="left"/>
        <w:rPr>
          <w:i w:val="0"/>
        </w:rPr>
      </w:pPr>
      <w:r>
        <w:rPr/>
        <w:t>无形资产包括土地使用权、非专利技术和软件等，按成本进行初始计量。</w:t>
      </w:r>
      <w:r>
        <w:rPr>
          <w:i w:val="0"/>
        </w:rPr>
      </w:r>
    </w:p>
    <w:p>
      <w:pPr>
        <w:spacing w:line="590" w:lineRule="atLeast" w:before="37"/>
        <w:ind w:left="574"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99"/>
          <w:sz w:val="21"/>
          <w:szCs w:val="21"/>
        </w:rPr>
        <w:t> </w:t>
      </w:r>
      <w:r>
        <w:rPr>
          <w:rFonts w:ascii="宋体" w:hAnsi="宋体" w:cs="宋体" w:eastAsia="宋体" w:hint="default"/>
          <w:spacing w:val="-1"/>
          <w:sz w:val="21"/>
          <w:szCs w:val="21"/>
        </w:rPr>
        <w:t>使用寿命有限的无形资产，在使用寿命内按照与该项无形资产有关的经济利益的预期实现方式系统合</w:t>
      </w:r>
    </w:p>
    <w:p>
      <w:pPr>
        <w:pStyle w:val="BodyText"/>
        <w:spacing w:line="240" w:lineRule="auto" w:before="37"/>
        <w:ind w:right="0"/>
        <w:jc w:val="left"/>
      </w:pPr>
      <w:r>
        <w:rPr/>
        <w:t>理地摊销，无法可靠确定预期实现方式的，采用直线法摊销。具体年限如下：</w:t>
      </w:r>
    </w:p>
    <w:p>
      <w:pPr>
        <w:spacing w:line="240" w:lineRule="auto" w:before="11"/>
        <w:rPr>
          <w:rFonts w:ascii="宋体" w:hAnsi="宋体" w:cs="宋体" w:eastAsia="宋体"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规定的使用年限</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规定使用年限</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）无形资产减值准备的计提</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211" w:firstLine="504"/>
        <w:jc w:val="both"/>
      </w:pPr>
      <w:r>
        <w:rPr/>
        <w:t>使用寿命确定的无形资产，在资产负债表日有迹象表明发生减值的，按照账面价值高于可收回金额 </w:t>
      </w:r>
      <w:r>
        <w:rPr>
          <w:spacing w:val="-1"/>
        </w:rPr>
        <w:t>的差额计提相应的减值准备；使用寿命不确定的无形资产和尚未达到可使用状态的无形资产，无论是否存</w:t>
      </w:r>
      <w:r>
        <w:rPr>
          <w:spacing w:val="-81"/>
        </w:rPr>
        <w:t> </w:t>
      </w:r>
      <w:r>
        <w:rPr>
          <w:spacing w:val="-81"/>
        </w:rPr>
      </w:r>
      <w:r>
        <w:rPr/>
        <w:t>在减值迹象，每年均进行减值测试。</w:t>
      </w:r>
    </w:p>
    <w:p>
      <w:pPr>
        <w:spacing w:line="590" w:lineRule="atLeast" w:before="9"/>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根据内部研究开发项目支出的性质以及研发活动最终形成无形资产是否具有较大不确定性，分为研究</w:t>
      </w:r>
    </w:p>
    <w:p>
      <w:pPr>
        <w:pStyle w:val="BodyText"/>
        <w:spacing w:line="240" w:lineRule="auto" w:before="37"/>
        <w:ind w:left="153" w:right="0"/>
        <w:jc w:val="left"/>
      </w:pPr>
      <w:r>
        <w:rPr/>
        <w:t>阶段支出和开发阶段支出。</w:t>
      </w:r>
    </w:p>
    <w:p>
      <w:pPr>
        <w:spacing w:line="590" w:lineRule="atLeast" w:before="39"/>
        <w:ind w:left="658" w:right="0" w:hanging="50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）内部研究开发项目支出的核算</w:t>
      </w:r>
      <w:r>
        <w:rPr>
          <w:rFonts w:ascii="宋体" w:hAnsi="宋体" w:cs="宋体" w:eastAsia="宋体" w:hint="default"/>
          <w:b/>
          <w:bCs/>
          <w:w w:val="99"/>
          <w:sz w:val="21"/>
          <w:szCs w:val="21"/>
        </w:rPr>
        <w:t> </w:t>
      </w:r>
      <w:r>
        <w:rPr>
          <w:rFonts w:ascii="宋体" w:hAnsi="宋体" w:cs="宋体" w:eastAsia="宋体" w:hint="default"/>
          <w:sz w:val="21"/>
          <w:szCs w:val="21"/>
        </w:rPr>
        <w:t>内部研究开发项目研究阶段的支出，于发生时计入当期损益。内部研究开发项目开发阶段的支出，</w:t>
      </w:r>
    </w:p>
    <w:p>
      <w:pPr>
        <w:pStyle w:val="BodyText"/>
        <w:spacing w:line="256" w:lineRule="auto" w:before="37"/>
        <w:ind w:left="153" w:right="87"/>
        <w:jc w:val="left"/>
      </w:pPr>
      <w:r>
        <w:rPr/>
        <w:t>同时满足下列条件的，确认为无形资产：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完成该无形资产以使其能够使用或出售在技术上具有可行性； </w:t>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无形资产产生经济利益的方式，包括能够证明运用该无 </w:t>
      </w:r>
      <w:r>
        <w:rPr>
          <w:spacing w:val="-4"/>
        </w:rPr>
        <w:t>形资产生产的产品存在市场或无形资产自身存在市场，无形资产将在内部使用的，能证明其有用性；</w:t>
      </w:r>
      <w:r>
        <w:rPr>
          <w:rFonts w:ascii="Times New Roman" w:hAnsi="Times New Roman" w:cs="Times New Roman" w:eastAsia="Times New Roman" w:hint="default"/>
          <w:spacing w:val="-4"/>
        </w:rPr>
        <w:t>(4) </w:t>
      </w:r>
      <w:r>
        <w:rPr/>
        <w:t>有</w:t>
      </w:r>
      <w:r>
        <w:rPr>
          <w:spacing w:val="-73"/>
        </w:rPr>
        <w:t> </w:t>
      </w:r>
      <w:r>
        <w:rPr/>
        <w:t>足够的技术、财务资源和其他资源支持，以完成该无形资产的开发，并有能力使用或出售该无形资产；</w:t>
      </w:r>
      <w:r>
        <w:rPr>
          <w:rFonts w:ascii="Times New Roman" w:hAnsi="Times New Roman" w:cs="Times New Roman" w:eastAsia="Times New Roman" w:hint="default"/>
        </w:rPr>
        <w:t>(5) </w:t>
      </w:r>
      <w:r>
        <w:rPr/>
        <w:t>归属于该无形资产开发阶段的支出能够可靠地计量。</w:t>
      </w:r>
    </w:p>
    <w:p>
      <w:pPr>
        <w:spacing w:after="0" w:line="256" w:lineRule="auto"/>
        <w:jc w:val="left"/>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0" w:firstLine="420"/>
        <w:jc w:val="left"/>
      </w:pPr>
      <w:r>
        <w:rPr>
          <w:spacing w:val="-1"/>
        </w:rPr>
        <w:t>长期待摊费用按实际发生额入账，在受益期或规定的期限内分期平均摊销。如果长期待摊的费用项目</w:t>
      </w:r>
      <w:r>
        <w:rPr/>
        <w:t> 不能使以后会计期间受益则将尚未摊销的该项目的摊余价值全部转入当期损益。</w:t>
      </w:r>
    </w:p>
    <w:p>
      <w:pPr>
        <w:spacing w:line="240" w:lineRule="auto" w:before="8"/>
        <w:rPr>
          <w:rFonts w:ascii="宋体" w:hAnsi="宋体" w:cs="宋体" w:eastAsia="宋体" w:hint="default"/>
          <w:sz w:val="23"/>
          <w:szCs w:val="23"/>
        </w:rPr>
      </w:pPr>
    </w:p>
    <w:p>
      <w:pPr>
        <w:pStyle w:val="Heading4"/>
        <w:spacing w:line="240" w:lineRule="auto"/>
        <w:ind w:left="153" w:right="0"/>
        <w:jc w:val="left"/>
        <w:rPr>
          <w:b w:val="0"/>
          <w:bCs w:val="0"/>
        </w:rPr>
      </w:pPr>
      <w:r>
        <w:rPr>
          <w:rFonts w:ascii="Times New Roman" w:hAnsi="Times New Roman" w:cs="Times New Roman" w:eastAsia="Times New Roman" w:hint="default"/>
        </w:rPr>
        <w:t>18</w:t>
      </w:r>
      <w:r>
        <w:rPr/>
        <w:t>、收入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7"/>
        <w:rPr>
          <w:rFonts w:ascii="宋体" w:hAnsi="宋体" w:cs="宋体" w:eastAsia="宋体" w:hint="default"/>
          <w:b/>
          <w:bCs/>
          <w:sz w:val="24"/>
          <w:szCs w:val="24"/>
        </w:rPr>
      </w:pPr>
    </w:p>
    <w:p>
      <w:pPr>
        <w:pStyle w:val="BodyText"/>
        <w:tabs>
          <w:tab w:pos="1403" w:val="left" w:leader="none"/>
        </w:tabs>
        <w:spacing w:line="266" w:lineRule="auto"/>
        <w:ind w:left="153" w:right="109" w:firstLine="360"/>
        <w:jc w:val="left"/>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将商品所有权上的主要风险和报酬转移给购货方； </w:t>
      </w:r>
      <w:r>
        <w:rPr>
          <w:rFonts w:ascii="Times New Roman" w:hAnsi="Times New Roman" w:cs="Times New Roman" w:eastAsia="Times New Roman" w:hint="default"/>
        </w:rPr>
        <w:t>(2) </w:t>
      </w:r>
      <w:r>
        <w:rPr>
          <w:spacing w:val="-3"/>
        </w:rPr>
        <w:t>公司不再保留通常与所有权相联系的继续管理权，也不再对已售出的商品实施有效控制；</w:t>
      </w:r>
      <w:r>
        <w:rPr>
          <w:rFonts w:ascii="Times New Roman" w:hAnsi="Times New Roman" w:cs="Times New Roman" w:eastAsia="Times New Roman" w:hint="default"/>
          <w:spacing w:val="-3"/>
        </w:rPr>
        <w:t>(3) </w:t>
      </w:r>
      <w:r>
        <w:rPr/>
        <w:t>收入的金</w:t>
      </w:r>
      <w:r>
        <w:rPr>
          <w:spacing w:val="-70"/>
        </w:rPr>
        <w:t> </w:t>
      </w:r>
      <w:r>
        <w:rPr/>
        <w:t>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相关的已发生或将发生的成本能够可靠地计量。 对于一般销售项目，在货物运至合同规定的交货地点，并经对方验收后，确认销售收入；对公司负责安装 并完成试运行的项目，在货物发出且运至合同规定的交货地点，验收合格后安装且试运行结束后，确认销 售收入。</w:t>
        <w:tab/>
        <w:t>对于实质上具有融资性质的分期收款商品销售，按照合同或协议应收价款的现值或同样商品 的现销价格确定销售收入，在销售商品符合收入确认的条件时确认销售收入；按合同或协议应收价款与其 公允价值之间的差额，在合同或协议期间内，按照应收款项摊余成本和实际利率计算确定的摊销金额，计 入当期损益。</w:t>
      </w:r>
    </w:p>
    <w:p>
      <w:pPr>
        <w:spacing w:line="590" w:lineRule="atLeast" w:before="14"/>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让渡资产使用权在同时满足相关的经济利益很可能流入、收入金额能够可靠计量时，确认让渡资产使</w:t>
      </w:r>
    </w:p>
    <w:p>
      <w:pPr>
        <w:pStyle w:val="BodyText"/>
        <w:spacing w:line="273" w:lineRule="auto" w:before="37"/>
        <w:ind w:right="0"/>
        <w:jc w:val="left"/>
      </w:pPr>
      <w:r>
        <w:rPr>
          <w:spacing w:val="-1"/>
        </w:rPr>
        <w:t>用权的收入。利息收入按照他人使用本公司货币资金的时间和实际利率计算确定；使用费收入按有关合同</w:t>
      </w:r>
      <w:r>
        <w:rPr>
          <w:spacing w:val="-81"/>
        </w:rPr>
        <w:t> </w:t>
      </w:r>
      <w:r>
        <w:rPr>
          <w:spacing w:val="-81"/>
        </w:rPr>
      </w:r>
      <w:r>
        <w:rPr/>
        <w:t>或协议约定的收费时间和方法计算确定。</w:t>
      </w:r>
    </w:p>
    <w:p>
      <w:pPr>
        <w:spacing w:line="612" w:lineRule="exact" w:before="64"/>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提供劳务交易的结果在资产负债表日能够可靠估计的</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同时满足收入的金额能够可靠地计量、相关经济</w:t>
      </w:r>
    </w:p>
    <w:p>
      <w:pPr>
        <w:pStyle w:val="BodyText"/>
        <w:spacing w:line="235" w:lineRule="exact"/>
        <w:ind w:right="0"/>
        <w:jc w:val="left"/>
      </w:pPr>
      <w:r>
        <w:rPr>
          <w:spacing w:val="-3"/>
        </w:rPr>
        <w:t>利益很可能流入、交易的完工进度能够可靠地确定、交易中已发生和将发生的成本能够可靠地计量</w:t>
      </w:r>
      <w:r>
        <w:rPr>
          <w:rFonts w:ascii="Times New Roman" w:hAnsi="Times New Roman" w:cs="Times New Roman" w:eastAsia="Times New Roman" w:hint="default"/>
          <w:spacing w:val="-3"/>
        </w:rPr>
        <w:t>)</w:t>
      </w:r>
      <w:r>
        <w:rPr>
          <w:spacing w:val="-3"/>
        </w:rPr>
        <w:t>，采用</w:t>
      </w:r>
    </w:p>
    <w:p>
      <w:pPr>
        <w:pStyle w:val="BodyText"/>
        <w:spacing w:line="273" w:lineRule="auto" w:before="21"/>
        <w:ind w:right="209"/>
        <w:jc w:val="both"/>
      </w:pPr>
      <w:r>
        <w:rPr>
          <w:spacing w:val="-1"/>
        </w:rPr>
        <w:t>完工百分比法确认提供劳务的收入，并按已完工作的测量确定提供劳务交易的完工进度。提供劳务交易的</w:t>
      </w:r>
      <w:r>
        <w:rPr>
          <w:spacing w:val="-81"/>
        </w:rPr>
        <w:t> </w:t>
      </w:r>
      <w:r>
        <w:rPr>
          <w:spacing w:val="-81"/>
        </w:rPr>
      </w:r>
      <w:r>
        <w:rPr>
          <w:spacing w:val="-1"/>
        </w:rPr>
        <w:t>结果在资产负债表日不能够可靠估计的，若已经发生的劳务成本预计能够得到补偿，按已经发生的劳务成</w:t>
      </w:r>
      <w:r>
        <w:rPr>
          <w:spacing w:val="-81"/>
        </w:rPr>
        <w:t> </w:t>
      </w:r>
      <w:r>
        <w:rPr>
          <w:spacing w:val="-81"/>
        </w:rPr>
      </w:r>
      <w:r>
        <w:rPr>
          <w:spacing w:val="-1"/>
        </w:rPr>
        <w:t>本金额确认提供劳务收入，并按相同金额结转劳务成本；若已经发生的劳务成本预计不能够得到补偿，将</w:t>
      </w:r>
      <w:r>
        <w:rPr>
          <w:spacing w:val="-83"/>
        </w:rPr>
        <w:t> </w:t>
      </w:r>
      <w:r>
        <w:rPr>
          <w:spacing w:val="-83"/>
        </w:rPr>
      </w:r>
      <w:r>
        <w:rPr/>
        <w:t>已经发生的劳务成本计入当期损益，不确认劳务收入。</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9"/>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政府补助包括与资产相关的政府补助和与收益相关的政府补助。</w:t>
      </w:r>
    </w:p>
    <w:p>
      <w:pPr>
        <w:pStyle w:val="BodyText"/>
        <w:spacing w:line="590" w:lineRule="atLeast" w:before="50"/>
        <w:ind w:left="574" w:right="0" w:hanging="42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）会计处理方法</w:t>
      </w:r>
      <w:r>
        <w:rPr>
          <w:rFonts w:ascii="宋体" w:hAnsi="宋体" w:cs="宋体" w:eastAsia="宋体" w:hint="default"/>
          <w:b/>
          <w:bCs/>
          <w:spacing w:val="1"/>
          <w:w w:val="99"/>
        </w:rPr>
        <w:t> </w:t>
      </w:r>
      <w:r>
        <w:rPr>
          <w:spacing w:val="-1"/>
        </w:rPr>
        <w:t>政府补助为货币性资产的，按照收到或应收的金额计量；政府补助为非货币性资产的，按照公允价值</w:t>
      </w:r>
    </w:p>
    <w:p>
      <w:pPr>
        <w:pStyle w:val="BodyText"/>
        <w:spacing w:line="273" w:lineRule="auto" w:before="37"/>
        <w:ind w:left="574" w:right="800" w:hanging="420"/>
        <w:jc w:val="left"/>
      </w:pPr>
      <w:r>
        <w:rPr/>
        <w:t>计量，公允价值不能可靠取得的，按照名义金额计量。 与资产相关的政府补助，确认为递延收益，在相关资产使用寿命内平均分配，计入当期损益。</w:t>
      </w:r>
    </w:p>
    <w:p>
      <w:pPr>
        <w:spacing w:after="0" w:line="273"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left="153" w:right="190" w:firstLine="420"/>
        <w:jc w:val="both"/>
      </w:pPr>
      <w:r>
        <w:rPr>
          <w:spacing w:val="-1"/>
        </w:rPr>
        <w:t>与收益相关的政府补助，用于补偿以后期间的相关费用或损失的，确认为递延收益，在确认相关费用</w:t>
      </w:r>
      <w:r>
        <w:rPr/>
        <w:t> 的期间，计入当期损益；用于补偿已发生的相关费用或损失的，直接计入当期损益。</w:t>
      </w:r>
    </w:p>
    <w:p>
      <w:pPr>
        <w:spacing w:line="240" w:lineRule="auto" w:before="8"/>
        <w:rPr>
          <w:rFonts w:ascii="宋体" w:hAnsi="宋体" w:cs="宋体" w:eastAsia="宋体" w:hint="default"/>
          <w:sz w:val="23"/>
          <w:szCs w:val="23"/>
        </w:rPr>
      </w:pPr>
    </w:p>
    <w:p>
      <w:pPr>
        <w:pStyle w:val="Heading4"/>
        <w:spacing w:line="240" w:lineRule="auto"/>
        <w:ind w:left="153" w:right="91"/>
        <w:jc w:val="left"/>
        <w:rPr>
          <w:b w:val="0"/>
          <w:bCs w:val="0"/>
        </w:rPr>
      </w:pPr>
      <w:r>
        <w:rPr>
          <w:rFonts w:ascii="Times New Roman" w:hAnsi="Times New Roman" w:cs="Times New Roman" w:eastAsia="Times New Roman" w:hint="default"/>
        </w:rPr>
        <w:t>20</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left="153" w:right="115" w:firstLine="375"/>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3"/>
        </w:rPr>
        <w:t>根据资产、负债的账面价值与其计税基础之间的差额</w:t>
      </w:r>
      <w:r>
        <w:rPr>
          <w:rFonts w:ascii="Times New Roman" w:hAnsi="Times New Roman" w:cs="Times New Roman" w:eastAsia="Times New Roman" w:hint="default"/>
          <w:spacing w:val="-3"/>
        </w:rPr>
        <w:t>(</w:t>
      </w:r>
      <w:r>
        <w:rPr>
          <w:spacing w:val="-3"/>
        </w:rPr>
        <w:t>未作为资产和负债确认的项目按照税法规定可</w:t>
      </w:r>
      <w:r>
        <w:rPr/>
        <w:t> </w:t>
      </w:r>
      <w:r>
        <w:rPr>
          <w:spacing w:val="-2"/>
        </w:rPr>
        <w:t>以确定其计税基础的，该计税基础与其账面数之间的差额</w:t>
      </w:r>
      <w:r>
        <w:rPr>
          <w:rFonts w:ascii="Times New Roman" w:hAnsi="Times New Roman" w:cs="Times New Roman" w:eastAsia="Times New Roman" w:hint="default"/>
          <w:spacing w:val="-2"/>
        </w:rPr>
        <w:t>)</w:t>
      </w:r>
      <w:r>
        <w:rPr>
          <w:spacing w:val="-2"/>
        </w:rPr>
        <w:t>，按照预期收回该资产或清偿该负债期间的适用</w:t>
      </w:r>
      <w:r>
        <w:rPr/>
        <w:t> </w:t>
      </w:r>
      <w:r>
        <w:rPr>
          <w:spacing w:val="-4"/>
        </w:rPr>
        <w:t>税率计算确认递延所得税资产或递延所得税负债。</w:t>
      </w:r>
      <w:r>
        <w:rPr>
          <w:rFonts w:ascii="Times New Roman" w:hAnsi="Times New Roman" w:cs="Times New Roman" w:eastAsia="Times New Roman" w:hint="default"/>
          <w:spacing w:val="-4"/>
        </w:rPr>
        <w:t>2. </w:t>
      </w:r>
      <w:r>
        <w:rPr/>
        <w:t>确认递延所得税资产以很可能取得用来抵扣可抵扣暂</w:t>
      </w:r>
      <w:r>
        <w:rPr>
          <w:spacing w:val="-77"/>
        </w:rPr>
        <w:t> </w:t>
      </w:r>
      <w:r>
        <w:rPr>
          <w:spacing w:val="-77"/>
        </w:rPr>
      </w:r>
      <w:r>
        <w:rPr/>
        <w:t>时性差异的应纳税所得额为限。资产负债表日，有确凿证据表明未来期间很可能获得足够的应纳税所得额</w:t>
      </w:r>
      <w:r>
        <w:rPr/>
        <w:t> 用来抵扣可抵扣暂时性差异的，确认以前会计期间未确认的递延所得税资产。</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spacing w:val="-3"/>
        </w:rPr>
        <w:t>资产负债表日，对递延所</w:t>
      </w:r>
      <w:r>
        <w:rPr/>
        <w:t> 得税资产的账面价值进行复核，如果未来期间很可能无法获得足够的应纳税所得额用以抵扣递延所得税资 产的利益，则减记递延所得税资产的账面价值。在很可能获得足够的应纳税所得额时，转回减记的金额。 </w:t>
      </w: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公司当期所得税和递延所得税作为所得税费用或收益计入当期损益，但不包括下列情况产生的所得税：</w:t>
      </w:r>
    </w:p>
    <w:p>
      <w:pPr>
        <w:pStyle w:val="BodyText"/>
        <w:spacing w:line="290" w:lineRule="exact"/>
        <w:ind w:left="153" w:right="91"/>
        <w:jc w:val="left"/>
      </w:pP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直接在所有者权益中确认的交易或者事项。</w:t>
      </w:r>
    </w:p>
    <w:p>
      <w:pPr>
        <w:spacing w:line="614" w:lineRule="exact" w:before="74"/>
        <w:ind w:left="545" w:right="91" w:hanging="39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根据资产、负债的账面价值与其计税基础之间的差额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未作为资产和负债确认的项目按照税法规定可以</w:t>
      </w:r>
    </w:p>
    <w:p>
      <w:pPr>
        <w:pStyle w:val="BodyText"/>
        <w:spacing w:line="235" w:lineRule="exact"/>
        <w:ind w:left="153" w:right="0"/>
        <w:jc w:val="left"/>
      </w:pPr>
      <w:r>
        <w:rPr/>
        <w:t>确定其计税基础的，该计税基础与其账面数之间的差额</w:t>
      </w:r>
      <w:r>
        <w:rPr>
          <w:rFonts w:ascii="Times New Roman" w:hAnsi="Times New Roman" w:cs="Times New Roman" w:eastAsia="Times New Roman" w:hint="default"/>
        </w:rPr>
        <w:t>)</w:t>
      </w:r>
      <w:r>
        <w:rPr/>
        <w:t>，按照预期收回该资产或清偿该负债期间的适用税</w:t>
      </w:r>
    </w:p>
    <w:p>
      <w:pPr>
        <w:pStyle w:val="BodyText"/>
        <w:spacing w:line="240" w:lineRule="auto" w:before="22"/>
        <w:ind w:left="153" w:right="91"/>
        <w:jc w:val="left"/>
      </w:pPr>
      <w:r>
        <w:rPr/>
        <w:t>率计算确认递延所得税资产或递延所得税负债。</w:t>
      </w:r>
    </w:p>
    <w:p>
      <w:pPr>
        <w:spacing w:line="240" w:lineRule="auto" w:before="10"/>
        <w:rPr>
          <w:rFonts w:ascii="宋体" w:hAnsi="宋体" w:cs="宋体" w:eastAsia="宋体" w:hint="default"/>
          <w:sz w:val="25"/>
          <w:szCs w:val="25"/>
        </w:rPr>
      </w:pPr>
    </w:p>
    <w:p>
      <w:pPr>
        <w:pStyle w:val="Heading4"/>
        <w:spacing w:line="240" w:lineRule="auto"/>
        <w:ind w:left="153" w:right="91"/>
        <w:jc w:val="left"/>
        <w:rPr>
          <w:b w:val="0"/>
          <w:bCs w:val="0"/>
        </w:rPr>
      </w:pPr>
      <w:r>
        <w:rPr>
          <w:rFonts w:ascii="Times New Roman" w:hAnsi="Times New Roman" w:cs="Times New Roman" w:eastAsia="Times New Roman" w:hint="default"/>
        </w:rPr>
        <w:t>21</w:t>
      </w:r>
      <w:r>
        <w:rPr/>
        <w:t>、经营租赁、融资租赁</w:t>
      </w:r>
      <w:r>
        <w:rPr>
          <w:b w:val="0"/>
          <w:bCs w:val="0"/>
        </w:rPr>
      </w:r>
    </w:p>
    <w:p>
      <w:pPr>
        <w:spacing w:line="590" w:lineRule="atLeast" w:before="23"/>
        <w:ind w:left="574" w:right="91"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b/>
          <w:bCs/>
          <w:w w:val="99"/>
          <w:sz w:val="21"/>
          <w:szCs w:val="21"/>
        </w:rPr>
        <w:t> </w:t>
      </w:r>
      <w:r>
        <w:rPr>
          <w:rFonts w:ascii="宋体" w:hAnsi="宋体" w:cs="宋体" w:eastAsia="宋体" w:hint="default"/>
          <w:spacing w:val="-1"/>
          <w:sz w:val="21"/>
          <w:szCs w:val="21"/>
        </w:rPr>
        <w:t>公司为承租人时，在租赁期内各个期间按照直线法将租金计入相关资产成本或确认为当期损益，发生</w:t>
      </w:r>
    </w:p>
    <w:p>
      <w:pPr>
        <w:pStyle w:val="BodyText"/>
        <w:spacing w:line="273" w:lineRule="auto" w:before="37"/>
        <w:ind w:left="574" w:right="91" w:hanging="420"/>
        <w:jc w:val="left"/>
      </w:pPr>
      <w:r>
        <w:rPr/>
        <w:t>的初始直接费用，直接计入当期损益。或有租金在实际发生时计入当期损益。 </w:t>
      </w:r>
      <w:r>
        <w:rPr>
          <w:spacing w:val="-1"/>
        </w:rPr>
        <w:t>公司为出租人时，在租赁期内各个期间按照直线法将租金确认为当期损益，发生的初始直接费用，直</w:t>
      </w:r>
    </w:p>
    <w:p>
      <w:pPr>
        <w:pStyle w:val="BodyText"/>
        <w:spacing w:line="240" w:lineRule="auto" w:before="7"/>
        <w:ind w:right="91"/>
        <w:jc w:val="left"/>
      </w:pPr>
      <w:r>
        <w:rPr/>
        <w:t>接计入当期损益。或有租金在实际发生时计入当期损益。</w:t>
      </w:r>
    </w:p>
    <w:p>
      <w:pPr>
        <w:spacing w:line="590" w:lineRule="atLeast" w:before="39"/>
        <w:ind w:left="574" w:right="91"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）融资租赁会计处理</w:t>
      </w:r>
      <w:r>
        <w:rPr>
          <w:rFonts w:ascii="宋体" w:hAnsi="宋体" w:cs="宋体" w:eastAsia="宋体" w:hint="default"/>
          <w:b/>
          <w:bCs/>
          <w:w w:val="99"/>
          <w:sz w:val="21"/>
          <w:szCs w:val="21"/>
        </w:rPr>
        <w:t> </w:t>
      </w:r>
      <w:r>
        <w:rPr>
          <w:rFonts w:ascii="宋体" w:hAnsi="宋体" w:cs="宋体" w:eastAsia="宋体" w:hint="default"/>
          <w:spacing w:val="-1"/>
          <w:sz w:val="21"/>
          <w:szCs w:val="21"/>
        </w:rPr>
        <w:t>公司为承租人时，在租赁期开始日，公司以租赁开始日租赁资产公允价值与最低租赁付款额现值中两</w:t>
      </w:r>
    </w:p>
    <w:p>
      <w:pPr>
        <w:pStyle w:val="BodyText"/>
        <w:spacing w:line="273" w:lineRule="auto" w:before="37"/>
        <w:ind w:right="189"/>
        <w:jc w:val="both"/>
      </w:pPr>
      <w:r>
        <w:rPr>
          <w:spacing w:val="-1"/>
        </w:rPr>
        <w:t>者较低者作为租入资产的入账价值，将最低租赁付款额作为长期应付款的入账价值，其差额为未确认融资</w:t>
      </w:r>
      <w:r>
        <w:rPr>
          <w:spacing w:val="-81"/>
        </w:rPr>
        <w:t> </w:t>
      </w:r>
      <w:r>
        <w:rPr>
          <w:spacing w:val="-81"/>
        </w:rPr>
      </w:r>
      <w:r>
        <w:rPr>
          <w:spacing w:val="-1"/>
        </w:rPr>
        <w:t>费用，发生的初始直接费用，计入租赁资产价值。在租赁期各个期间，采用实际利率法计算确认当期的融</w:t>
      </w:r>
      <w:r>
        <w:rPr>
          <w:spacing w:val="-82"/>
        </w:rPr>
        <w:t> </w:t>
      </w:r>
      <w:r>
        <w:rPr>
          <w:spacing w:val="-82"/>
        </w:rPr>
      </w:r>
      <w:r>
        <w:rPr/>
        <w:t>资费用。</w:t>
      </w:r>
    </w:p>
    <w:p>
      <w:pPr>
        <w:pStyle w:val="BodyText"/>
        <w:spacing w:line="273" w:lineRule="auto" w:before="7"/>
        <w:ind w:right="168" w:firstLine="420"/>
        <w:jc w:val="both"/>
      </w:pPr>
      <w:r>
        <w:rPr>
          <w:spacing w:val="-1"/>
        </w:rPr>
        <w:t>公司为出租人时，在租赁期开始日，公司以租赁开始日最低租赁收款额与初始直接费用之和作为应收</w:t>
      </w:r>
      <w:r>
        <w:rPr/>
        <w:t> </w:t>
      </w:r>
      <w:r>
        <w:rPr>
          <w:spacing w:val="-1"/>
        </w:rPr>
        <w:t>融资租赁款的入账价值，同时记录未担保余值；将最低租赁收款额、初始直接费用及未担保余值之和与其</w:t>
      </w:r>
      <w:r>
        <w:rPr>
          <w:spacing w:val="-83"/>
        </w:rPr>
        <w:t> </w:t>
      </w:r>
      <w:r>
        <w:rPr>
          <w:spacing w:val="-83"/>
        </w:rPr>
      </w:r>
      <w:r>
        <w:rPr/>
        <w:t>现值之和的差额确认为未实现融资收益。在租赁期各个期间，采用实际利率法计算确认当期的融资收入。</w:t>
      </w:r>
    </w:p>
    <w:p>
      <w:pPr>
        <w:spacing w:after="0" w:line="273" w:lineRule="auto"/>
        <w:jc w:val="both"/>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22</w:t>
      </w:r>
      <w:r>
        <w:rPr/>
        <w:t>、主要会计政策、会计估计的变更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23</w:t>
      </w:r>
      <w:r>
        <w:rPr/>
        <w:t>、前期会计差错更正</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企业所得税</w:t>
      </w:r>
    </w:p>
    <w:p>
      <w:pPr>
        <w:pStyle w:val="BodyText"/>
        <w:spacing w:line="240" w:lineRule="auto" w:before="2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本公司</w:t>
      </w:r>
    </w:p>
    <w:p>
      <w:pPr>
        <w:pStyle w:val="BodyText"/>
        <w:spacing w:line="256" w:lineRule="auto" w:before="21"/>
        <w:ind w:left="153" w:right="210" w:firstLine="420"/>
        <w:jc w:val="both"/>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26</w:t>
      </w:r>
      <w:r>
        <w:rPr>
          <w:spacing w:val="-1"/>
        </w:rPr>
        <w:t>日，本公司被辽宁省科学技术厅、辽宁省财政厅、辽宁省国家税务局、辽宁省地方税务</w:t>
      </w:r>
      <w:r>
        <w:rPr/>
        <w:t> 局联合认定为高新技术企业，证书编号</w:t>
      </w:r>
      <w:r>
        <w:rPr>
          <w:rFonts w:ascii="Times New Roman" w:hAnsi="Times New Roman" w:cs="Times New Roman" w:eastAsia="Times New Roman" w:hint="default"/>
        </w:rPr>
        <w:t>:GR201121000089</w:t>
      </w:r>
      <w:r>
        <w:rPr/>
        <w:t>，有效期三年。本公司自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spacing w:val="-78"/>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的税率计缴企业所得税。</w:t>
      </w:r>
    </w:p>
    <w:p>
      <w:pPr>
        <w:pStyle w:val="BodyText"/>
        <w:spacing w:line="256" w:lineRule="auto" w:before="5"/>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北京信力筑正新能源技术股份有限公司</w:t>
      </w:r>
      <w:r>
        <w:rPr>
          <w:rFonts w:ascii="Times New Roman" w:hAnsi="Times New Roman" w:cs="Times New Roman" w:eastAsia="Times New Roman" w:hint="default"/>
        </w:rPr>
        <w:t>(</w:t>
      </w:r>
      <w:r>
        <w:rPr/>
        <w:t>以下简称信力筑正公司</w:t>
      </w:r>
      <w:r>
        <w:rPr>
          <w:rFonts w:ascii="Times New Roman" w:hAnsi="Times New Roman" w:cs="Times New Roman" w:eastAsia="Times New Roman" w:hint="default"/>
        </w:rPr>
        <w:t>) </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30</w:t>
      </w:r>
      <w:r>
        <w:rPr>
          <w:spacing w:val="-1"/>
        </w:rPr>
        <w:t>日，信力筑正公司被北京市科学技术委员会、北京市财政局、北京市国家税务局、北京</w:t>
      </w:r>
    </w:p>
    <w:p>
      <w:pPr>
        <w:pStyle w:val="BodyText"/>
        <w:spacing w:line="256" w:lineRule="auto" w:before="5"/>
        <w:ind w:right="0"/>
        <w:jc w:val="left"/>
      </w:pPr>
      <w:r>
        <w:rPr>
          <w:spacing w:val="-2"/>
        </w:rPr>
        <w:t>市地方税务局联合认定为高新技术企业，证书编号：</w:t>
      </w:r>
      <w:r>
        <w:rPr>
          <w:rFonts w:ascii="Times New Roman" w:hAnsi="Times New Roman" w:cs="Times New Roman" w:eastAsia="Times New Roman" w:hint="default"/>
          <w:spacing w:val="-2"/>
        </w:rPr>
        <w:t>GF201211001206</w:t>
      </w:r>
      <w:r>
        <w:rPr>
          <w:spacing w:val="-2"/>
        </w:rPr>
        <w:t>，有效期三年，信力筑正公司自</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的税率计缴企业所得税。</w:t>
      </w:r>
    </w:p>
    <w:p>
      <w:pPr>
        <w:pStyle w:val="BodyText"/>
        <w:spacing w:line="256" w:lineRule="auto" w:before="5"/>
        <w:ind w:left="574" w:right="10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荣信电气传动系统</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以下简称电气传动上海公司</w:t>
      </w:r>
      <w:r>
        <w:rPr>
          <w:rFonts w:ascii="Times New Roman" w:hAnsi="Times New Roman" w:cs="Times New Roman" w:eastAsia="Times New Roman" w:hint="default"/>
        </w:rPr>
        <w:t>) </w:t>
      </w:r>
      <w:r>
        <w:rPr>
          <w:rFonts w:ascii="Times New Roman" w:hAnsi="Times New Roman" w:cs="Times New Roman" w:eastAsia="Times New Roman" w:hint="default"/>
          <w:spacing w:val="-6"/>
        </w:rPr>
        <w:t>2008</w:t>
      </w:r>
      <w:r>
        <w:rPr>
          <w:spacing w:val="-6"/>
        </w:rPr>
        <w:t>年</w:t>
      </w:r>
      <w:r>
        <w:rPr>
          <w:rFonts w:ascii="Times New Roman" w:hAnsi="Times New Roman" w:cs="Times New Roman" w:eastAsia="Times New Roman" w:hint="default"/>
          <w:spacing w:val="-6"/>
        </w:rPr>
        <w:t>7</w:t>
      </w:r>
      <w:r>
        <w:rPr>
          <w:spacing w:val="-6"/>
        </w:rPr>
        <w:t>月</w:t>
      </w:r>
      <w:r>
        <w:rPr>
          <w:rFonts w:ascii="Times New Roman" w:hAnsi="Times New Roman" w:cs="Times New Roman" w:eastAsia="Times New Roman" w:hint="default"/>
          <w:spacing w:val="-6"/>
        </w:rPr>
        <w:t>10</w:t>
      </w:r>
      <w:r>
        <w:rPr>
          <w:spacing w:val="-6"/>
        </w:rPr>
        <w:t>日，电气传动上海公司被上海市信息化委员会认定为软件企业，证书编号：沪</w:t>
      </w:r>
      <w:r>
        <w:rPr>
          <w:rFonts w:ascii="Times New Roman" w:hAnsi="Times New Roman" w:cs="Times New Roman" w:eastAsia="Times New Roman" w:hint="default"/>
          <w:spacing w:val="-6"/>
        </w:rPr>
        <w:t>R-2008-0140</w:t>
      </w:r>
      <w:r>
        <w:rPr>
          <w:spacing w:val="-6"/>
        </w:rPr>
        <w:t>。</w:t>
      </w:r>
    </w:p>
    <w:p>
      <w:pPr>
        <w:pStyle w:val="BodyText"/>
        <w:spacing w:line="256" w:lineRule="auto" w:before="5"/>
        <w:ind w:left="153" w:right="0"/>
        <w:jc w:val="left"/>
      </w:pPr>
      <w:r>
        <w:rPr/>
        <w:t>根据上海市浦东新区国家税务局《企业所得税优惠审批结果通知书》</w:t>
      </w:r>
      <w:r>
        <w:rPr>
          <w:rFonts w:ascii="Times New Roman" w:hAnsi="Times New Roman" w:cs="Times New Roman" w:eastAsia="Times New Roman" w:hint="default"/>
        </w:rPr>
        <w:t>(</w:t>
      </w:r>
      <w:r>
        <w:rPr/>
        <w:t>浦税十二所减</w:t>
      </w:r>
      <w:r>
        <w:rPr>
          <w:rFonts w:ascii="Times New Roman" w:hAnsi="Times New Roman" w:cs="Times New Roman" w:eastAsia="Times New Roman" w:hint="default"/>
        </w:rPr>
        <w:t>(2009)039</w:t>
      </w:r>
      <w:r>
        <w:rPr/>
        <w:t>号</w:t>
      </w:r>
      <w:r>
        <w:rPr>
          <w:rFonts w:ascii="Times New Roman" w:hAnsi="Times New Roman" w:cs="Times New Roman" w:eastAsia="Times New Roman" w:hint="default"/>
        </w:rPr>
        <w:t>)</w:t>
      </w:r>
      <w:r>
        <w:rPr/>
        <w:t>，电气传</w:t>
      </w:r>
      <w:r>
        <w:rPr>
          <w:spacing w:val="-101"/>
        </w:rPr>
        <w:t> </w:t>
      </w:r>
      <w:r>
        <w:rPr>
          <w:spacing w:val="-101"/>
        </w:rPr>
      </w:r>
      <w:r>
        <w:rPr>
          <w:spacing w:val="-3"/>
        </w:rPr>
        <w:t>动上海公司自</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日止，免交企业所得税，自</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w:t>
      </w:r>
      <w:r>
        <w:rPr>
          <w:spacing w:val="-68"/>
        </w:rPr>
        <w:t> </w:t>
      </w:r>
      <w:r>
        <w:rPr/>
        <w:t>减半计缴企业所得税。</w:t>
      </w:r>
    </w:p>
    <w:p>
      <w:pPr>
        <w:pStyle w:val="BodyText"/>
        <w:spacing w:line="256" w:lineRule="auto" w:before="22"/>
        <w:ind w:left="57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荣信嘉时</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科技发展有限公司</w:t>
      </w:r>
      <w:r>
        <w:rPr>
          <w:rFonts w:ascii="Times New Roman" w:hAnsi="Times New Roman" w:cs="Times New Roman" w:eastAsia="Times New Roman" w:hint="default"/>
        </w:rPr>
        <w:t>(</w:t>
      </w:r>
      <w:r>
        <w:rPr/>
        <w:t>以下简称荣信嘉时公司</w:t>
      </w:r>
      <w:r>
        <w:rPr>
          <w:rFonts w:ascii="Times New Roman" w:hAnsi="Times New Roman" w:cs="Times New Roman" w:eastAsia="Times New Roman" w:hint="default"/>
        </w:rPr>
        <w:t>) 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日，荣信嘉时被北京市科学技术委员会认定为软件企业。</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日北京市石景山</w:t>
      </w:r>
    </w:p>
    <w:p>
      <w:pPr>
        <w:pStyle w:val="BodyText"/>
        <w:spacing w:line="256" w:lineRule="auto" w:before="5"/>
        <w:ind w:left="153" w:right="0" w:hanging="1"/>
        <w:jc w:val="left"/>
      </w:pPr>
      <w:r>
        <w:rPr>
          <w:spacing w:val="-5"/>
        </w:rPr>
        <w:t>税务局第五税务所出具编号为</w:t>
      </w:r>
      <w:r>
        <w:rPr>
          <w:rFonts w:ascii="Times New Roman" w:hAnsi="Times New Roman" w:cs="Times New Roman" w:eastAsia="Times New Roman" w:hint="default"/>
          <w:spacing w:val="-5"/>
        </w:rPr>
        <w:t>050023</w:t>
      </w:r>
      <w:r>
        <w:rPr>
          <w:spacing w:val="-5"/>
        </w:rPr>
        <w:t>的《企业所得税减免税备案登记书》，荣信嘉时自</w:t>
      </w:r>
      <w:r>
        <w:rPr>
          <w:rFonts w:ascii="Times New Roman" w:hAnsi="Times New Roman" w:cs="Times New Roman" w:eastAsia="Times New Roman" w:hint="default"/>
          <w:spacing w:val="-5"/>
        </w:rPr>
        <w:t>2008</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日至</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日止，免交企业所得税，自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日止，减半计缴企业所得税。</w:t>
      </w:r>
    </w:p>
    <w:p>
      <w:pPr>
        <w:pStyle w:val="BodyText"/>
        <w:spacing w:line="264" w:lineRule="auto" w:before="5"/>
        <w:ind w:left="153" w:right="210" w:firstLine="42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4"/>
        </w:rPr>
        <w:t>辽宁荣信电气传动技术有限责任公司（以下简称荣信电气公司）、辽宁荣信光伏技术有限公司（以</w:t>
      </w:r>
      <w:r>
        <w:rPr/>
        <w:t> </w:t>
      </w:r>
      <w:r>
        <w:rPr>
          <w:spacing w:val="-1"/>
        </w:rPr>
        <w:t>下简称荣信光伏公司）、辽宁荣信防爆电气技术有限公司（以下简称荣信防爆公司）、辽宁荣信电机控制</w:t>
      </w:r>
      <w:r>
        <w:rPr>
          <w:spacing w:val="-83"/>
        </w:rPr>
        <w:t> </w:t>
      </w:r>
      <w:r>
        <w:rPr>
          <w:spacing w:val="-83"/>
        </w:rPr>
      </w:r>
      <w:r>
        <w:rPr/>
        <w:t>技术有限公司（以下简称荣信电机公司）</w:t>
      </w:r>
    </w:p>
    <w:p>
      <w:pPr>
        <w:pStyle w:val="BodyText"/>
        <w:spacing w:line="256" w:lineRule="auto" w:before="16"/>
        <w:ind w:left="153" w:right="207" w:firstLine="420"/>
        <w:jc w:val="both"/>
        <w:rPr>
          <w:rFonts w:ascii="Times New Roman" w:hAnsi="Times New Roman" w:cs="Times New Roman" w:eastAsia="Times New Roman" w:hint="default"/>
        </w:rPr>
      </w:pPr>
      <w:r>
        <w:rPr>
          <w:spacing w:val="-2"/>
        </w:rPr>
        <w:t>根据国务院《进一步鼓励软件产业和集成电路产业发展的若干政策》国发</w:t>
      </w:r>
      <w:r>
        <w:rPr>
          <w:rFonts w:ascii="Times New Roman" w:hAnsi="Times New Roman" w:cs="Times New Roman" w:eastAsia="Times New Roman" w:hint="default"/>
          <w:spacing w:val="-2"/>
        </w:rPr>
        <w:t>[2011]4</w:t>
      </w:r>
      <w:r>
        <w:rPr>
          <w:spacing w:val="-2"/>
        </w:rPr>
        <w:t>号，对我国境内新办</w:t>
      </w:r>
      <w:r>
        <w:rPr/>
        <w:t> 集成电路设计企业和符合条件的软件企业，经认定后，自获利年度起，享受企业所得税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优惠 </w:t>
      </w:r>
      <w:r>
        <w:rPr>
          <w:spacing w:val="8"/>
        </w:rPr>
        <w:t>政策。</w:t>
      </w:r>
      <w:r>
        <w:rPr>
          <w:rFonts w:ascii="Times New Roman" w:hAnsi="Times New Roman" w:cs="Times New Roman" w:eastAsia="Times New Roman" w:hint="default"/>
          <w:spacing w:val="8"/>
        </w:rPr>
        <w:t>2011</w:t>
      </w:r>
      <w:r>
        <w:rPr>
          <w:spacing w:val="8"/>
        </w:rPr>
        <w:t>年</w:t>
      </w:r>
      <w:r>
        <w:rPr>
          <w:rFonts w:ascii="Times New Roman" w:hAnsi="Times New Roman" w:cs="Times New Roman" w:eastAsia="Times New Roman" w:hint="default"/>
          <w:spacing w:val="8"/>
        </w:rPr>
        <w:t>5</w:t>
      </w:r>
      <w:r>
        <w:rPr>
          <w:spacing w:val="8"/>
        </w:rPr>
        <w:t>月</w:t>
      </w:r>
      <w:r>
        <w:rPr>
          <w:rFonts w:ascii="Times New Roman" w:hAnsi="Times New Roman" w:cs="Times New Roman" w:eastAsia="Times New Roman" w:hint="default"/>
          <w:spacing w:val="8"/>
        </w:rPr>
        <w:t>6</w:t>
      </w:r>
      <w:r>
        <w:rPr>
          <w:spacing w:val="8"/>
        </w:rPr>
        <w:t>日，上述四家公司被辽宁省软件认定办公室认定为软件企业，证书编号分别为：辽</w:t>
      </w:r>
      <w:r>
        <w:rPr/>
        <w:t> </w:t>
      </w:r>
      <w:r>
        <w:rPr>
          <w:rFonts w:ascii="Times New Roman" w:hAnsi="Times New Roman" w:cs="Times New Roman" w:eastAsia="Times New Roman" w:hint="default"/>
        </w:rPr>
        <w:t>R-2011-0013</w:t>
      </w:r>
      <w:r>
        <w:rPr/>
        <w:t>、辽</w:t>
      </w:r>
      <w:r>
        <w:rPr>
          <w:rFonts w:ascii="Times New Roman" w:hAnsi="Times New Roman" w:cs="Times New Roman" w:eastAsia="Times New Roman" w:hint="default"/>
        </w:rPr>
        <w:t>R-2011-0011</w:t>
      </w:r>
      <w:r>
        <w:rPr/>
        <w:t>、辽</w:t>
      </w:r>
      <w:r>
        <w:rPr>
          <w:rFonts w:ascii="Times New Roman" w:hAnsi="Times New Roman" w:cs="Times New Roman" w:eastAsia="Times New Roman" w:hint="default"/>
        </w:rPr>
        <w:t>R-2011-0010</w:t>
      </w:r>
      <w:r>
        <w:rPr/>
        <w:t>、辽</w:t>
      </w:r>
      <w:r>
        <w:rPr>
          <w:rFonts w:ascii="Times New Roman" w:hAnsi="Times New Roman" w:cs="Times New Roman" w:eastAsia="Times New Roman" w:hint="default"/>
        </w:rPr>
        <w:t>R-2011-0012</w:t>
      </w:r>
      <w:r>
        <w:rPr/>
        <w:t>。该四家公司自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p>
    <w:p>
      <w:pPr>
        <w:pStyle w:val="BodyText"/>
        <w:spacing w:line="240" w:lineRule="auto" w:before="5"/>
        <w:ind w:right="0"/>
        <w:jc w:val="left"/>
      </w:pPr>
      <w:r>
        <w:rPr/>
        <w:t>月</w:t>
      </w:r>
      <w:r>
        <w:rPr>
          <w:rFonts w:ascii="Times New Roman" w:hAnsi="Times New Roman" w:cs="Times New Roman" w:eastAsia="Times New Roman" w:hint="default"/>
        </w:rPr>
        <w:t>31</w:t>
      </w:r>
      <w:r>
        <w:rPr/>
        <w:t>日止，免交企业所得税，自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日止，减半计缴企业所得税。</w:t>
      </w:r>
    </w:p>
    <w:p>
      <w:pPr>
        <w:pStyle w:val="BodyText"/>
        <w:spacing w:line="256" w:lineRule="auto" w:before="21"/>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增值税 根据财政部《关于软件产品增值税政策的通知》（财税〔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号），增值税一般纳税人销售其</w:t>
      </w:r>
    </w:p>
    <w:p>
      <w:pPr>
        <w:pStyle w:val="BodyText"/>
        <w:spacing w:line="266" w:lineRule="auto" w:before="5"/>
        <w:ind w:right="0"/>
        <w:jc w:val="left"/>
      </w:pPr>
      <w:r>
        <w:rPr>
          <w:spacing w:val="-2"/>
        </w:rPr>
        <w:t>自行开发生产的软件产品，按</w:t>
      </w:r>
      <w:r>
        <w:rPr>
          <w:rFonts w:ascii="Times New Roman" w:hAnsi="Times New Roman" w:cs="Times New Roman" w:eastAsia="Times New Roman" w:hint="default"/>
          <w:spacing w:val="-2"/>
        </w:rPr>
        <w:t>17%</w:t>
      </w:r>
      <w:r>
        <w:rPr>
          <w:spacing w:val="-2"/>
        </w:rPr>
        <w:t>税率征收增值税后，对其增值税实际税负超过</w:t>
      </w:r>
      <w:r>
        <w:rPr>
          <w:rFonts w:ascii="Times New Roman" w:hAnsi="Times New Roman" w:cs="Times New Roman" w:eastAsia="Times New Roman" w:hint="default"/>
          <w:spacing w:val="-2"/>
        </w:rPr>
        <w:t>3%</w:t>
      </w:r>
      <w:r>
        <w:rPr>
          <w:spacing w:val="-2"/>
        </w:rPr>
        <w:t>的部分实行即征即退政</w:t>
      </w:r>
      <w:r>
        <w:rPr>
          <w:spacing w:val="-71"/>
        </w:rPr>
        <w:t> </w:t>
      </w:r>
      <w:r>
        <w:rPr>
          <w:spacing w:val="-1"/>
        </w:rPr>
        <w:t>策。本公司、诚和伟业公司、荣信嘉时公司、电气传动上海公司、荣信电气公司、荣信光伏公司、荣信防</w:t>
      </w:r>
      <w:r>
        <w:rPr>
          <w:spacing w:val="-85"/>
        </w:rPr>
        <w:t> </w:t>
      </w:r>
      <w:r>
        <w:rPr>
          <w:spacing w:val="-85"/>
        </w:rPr>
      </w:r>
      <w:r>
        <w:rPr/>
        <w:t>爆公司、荣信电机公司于以前年度被认定为软件企业， 销售自行开发生产的软件产品享受增值税实际税负超过</w:t>
      </w:r>
      <w:r>
        <w:rPr>
          <w:rFonts w:ascii="Times New Roman" w:hAnsi="Times New Roman" w:cs="Times New Roman" w:eastAsia="Times New Roman" w:hint="default"/>
        </w:rPr>
        <w:t>3%</w:t>
      </w:r>
      <w:r>
        <w:rPr/>
        <w:t>的部分即征即退政策。</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714"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6" w:right="65"/>
              <w:jc w:val="left"/>
              <w:rPr>
                <w:rFonts w:ascii="宋体" w:hAnsi="宋体" w:cs="宋体" w:eastAsia="宋体" w:hint="default"/>
                <w:sz w:val="18"/>
                <w:szCs w:val="18"/>
              </w:rPr>
            </w:pPr>
            <w:r>
              <w:rPr>
                <w:rFonts w:ascii="宋体" w:hAnsi="宋体" w:cs="宋体" w:eastAsia="宋体" w:hint="default"/>
                <w:sz w:val="18"/>
                <w:szCs w:val="18"/>
              </w:rPr>
              <w:t>期末实 际投资</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5" w:right="65"/>
              <w:jc w:val="left"/>
              <w:rPr>
                <w:rFonts w:ascii="宋体" w:hAnsi="宋体" w:cs="宋体" w:eastAsia="宋体" w:hint="default"/>
                <w:sz w:val="18"/>
                <w:szCs w:val="18"/>
              </w:rPr>
            </w:pPr>
            <w:r>
              <w:rPr>
                <w:rFonts w:ascii="宋体" w:hAnsi="宋体" w:cs="宋体" w:eastAsia="宋体" w:hint="default"/>
                <w:sz w:val="18"/>
                <w:szCs w:val="18"/>
              </w:rPr>
              <w:t>实质上 构成对</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155" w:right="65" w:hanging="9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6" w:right="65"/>
              <w:jc w:val="left"/>
              <w:rPr>
                <w:rFonts w:ascii="宋体" w:hAnsi="宋体" w:cs="宋体" w:eastAsia="宋体" w:hint="default"/>
                <w:sz w:val="18"/>
                <w:szCs w:val="18"/>
              </w:rPr>
            </w:pPr>
            <w:r>
              <w:rPr>
                <w:rFonts w:ascii="宋体" w:hAnsi="宋体" w:cs="宋体" w:eastAsia="宋体" w:hint="default"/>
                <w:sz w:val="18"/>
                <w:szCs w:val="18"/>
              </w:rPr>
              <w:t>从母公 司所有</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21" w:hRule="exact"/>
        </w:trPr>
        <w:tc>
          <w:tcPr>
            <w:tcW w:w="685"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01" w:right="0"/>
              <w:jc w:val="left"/>
              <w:rPr>
                <w:rFonts w:ascii="Times New Roman" w:hAnsi="Times New Roman" w:cs="Times New Roman" w:eastAsia="Times New Roman" w:hint="default"/>
                <w:sz w:val="18"/>
                <w:szCs w:val="18"/>
              </w:rPr>
            </w:pPr>
            <w:r>
              <w:rPr>
                <w:rFonts w:ascii="Times New Roman"/>
                <w:sz w:val="18"/>
              </w:rPr>
              <w:t>(%)</w:t>
            </w: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中用于</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08"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净投资</w:t>
            </w: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冲减少</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的其他</w:t>
            </w: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数股东</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损益的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数股东</w:t>
            </w:r>
          </w:p>
        </w:tc>
      </w:tr>
      <w:tr>
        <w:trPr>
          <w:trHeight w:val="313"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分担的</w:t>
            </w:r>
          </w:p>
        </w:tc>
      </w:tr>
      <w:tr>
        <w:trPr>
          <w:trHeight w:val="311"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本期亏</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损超过</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少数股</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诚和伟</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北</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电气设</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电气设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50"/>
              <w:jc w:val="left"/>
              <w:rPr>
                <w:rFonts w:ascii="宋体" w:hAnsi="宋体" w:cs="宋体" w:eastAsia="宋体"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 发展有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08"/>
              <w:jc w:val="left"/>
              <w:rPr>
                <w:rFonts w:ascii="宋体" w:hAnsi="宋体" w:cs="宋体" w:eastAsia="宋体" w:hint="default"/>
                <w:sz w:val="18"/>
                <w:szCs w:val="18"/>
              </w:rPr>
            </w:pPr>
            <w:r>
              <w:rPr>
                <w:rFonts w:ascii="宋体" w:hAnsi="宋体" w:cs="宋体" w:eastAsia="宋体" w:hint="default"/>
                <w:sz w:val="18"/>
                <w:szCs w:val="18"/>
              </w:rPr>
              <w:t>备的设 计、销</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08"/>
              <w:jc w:val="left"/>
              <w:rPr>
                <w:rFonts w:ascii="宋体" w:hAnsi="宋体" w:cs="宋体" w:eastAsia="宋体" w:hint="default"/>
                <w:sz w:val="18"/>
                <w:szCs w:val="18"/>
              </w:rPr>
            </w:pPr>
            <w:r>
              <w:rPr>
                <w:rFonts w:ascii="宋体" w:hAnsi="宋体" w:cs="宋体" w:eastAsia="宋体" w:hint="default"/>
                <w:sz w:val="18"/>
                <w:szCs w:val="18"/>
              </w:rPr>
              <w:t>备的设 计、销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88" w:right="0"/>
              <w:jc w:val="center"/>
              <w:rPr>
                <w:rFonts w:ascii="Times New Roman" w:hAnsi="Times New Roman" w:cs="Times New Roman" w:eastAsia="Times New Roman" w:hint="default"/>
                <w:sz w:val="18"/>
                <w:szCs w:val="18"/>
              </w:rPr>
            </w:pPr>
            <w:r>
              <w:rPr>
                <w:rFonts w:ascii="Times New Roman"/>
                <w:sz w:val="18"/>
              </w:rPr>
              <w:t>6,400,0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8" w:right="0"/>
              <w:jc w:val="center"/>
              <w:rPr>
                <w:rFonts w:ascii="Times New Roman" w:hAnsi="Times New Roman" w:cs="Times New Roman" w:eastAsia="Times New Roman" w:hint="default"/>
                <w:sz w:val="18"/>
                <w:szCs w:val="18"/>
              </w:rPr>
            </w:pPr>
            <w:r>
              <w:rPr>
                <w:rFonts w:ascii="Times New Roman"/>
                <w:sz w:val="18"/>
              </w:rPr>
              <w:t>-2,215,7</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37.94</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限责任</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荣信嘉 时</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 发展有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电气设 备的设 计、销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电气设 备的设 计、销 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 w:right="0"/>
              <w:jc w:val="center"/>
              <w:rPr>
                <w:rFonts w:ascii="Times New Roman" w:hAnsi="Times New Roman" w:cs="Times New Roman" w:eastAsia="Times New Roman" w:hint="default"/>
                <w:sz w:val="18"/>
                <w:szCs w:val="18"/>
              </w:rPr>
            </w:pPr>
            <w:r>
              <w:rPr>
                <w:rFonts w:ascii="Times New Roman"/>
                <w:sz w:val="18"/>
              </w:rPr>
              <w:t>6,800,0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8" w:right="0"/>
              <w:jc w:val="center"/>
              <w:rPr>
                <w:rFonts w:ascii="Times New Roman" w:hAnsi="Times New Roman" w:cs="Times New Roman" w:eastAsia="Times New Roman" w:hint="default"/>
                <w:sz w:val="18"/>
                <w:szCs w:val="18"/>
              </w:rPr>
            </w:pPr>
            <w:r>
              <w:rPr>
                <w:rFonts w:ascii="Times New Roman"/>
                <w:sz w:val="18"/>
              </w:rPr>
              <w:t>-2,430,8</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85.66</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荣信电</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气传动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电气设</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电气设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（上</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备的设 计、销</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备的设 计、销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海）有</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北京诚 和龙盛 工程技 术有限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电力设 备器件 代理销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风电产 品开 发、设 计销售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 w:right="0"/>
              <w:jc w:val="center"/>
              <w:rPr>
                <w:rFonts w:ascii="Times New Roman" w:hAnsi="Times New Roman" w:cs="Times New Roman" w:eastAsia="Times New Roman" w:hint="default"/>
                <w:sz w:val="18"/>
                <w:szCs w:val="18"/>
              </w:rPr>
            </w:pPr>
            <w:r>
              <w:rPr>
                <w:rFonts w:ascii="Times New Roman"/>
                <w:sz w:val="18"/>
              </w:rPr>
              <w:t>6,826,0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58.47</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北京荣 科恒阳 整流技 术有限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整流设 备、变 流设备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整流设 备、变 流设 备、设 计、开</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 w:right="0"/>
              <w:jc w:val="center"/>
              <w:rPr>
                <w:rFonts w:ascii="Times New Roman" w:hAnsi="Times New Roman" w:cs="Times New Roman" w:eastAsia="Times New Roman" w:hint="default"/>
                <w:sz w:val="18"/>
                <w:szCs w:val="18"/>
              </w:rPr>
            </w:pPr>
            <w:r>
              <w:rPr>
                <w:rFonts w:ascii="Times New Roman"/>
                <w:sz w:val="18"/>
              </w:rPr>
              <w:t>7,650,0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 w:right="0"/>
              <w:jc w:val="center"/>
              <w:rPr>
                <w:rFonts w:ascii="Times New Roman" w:hAnsi="Times New Roman" w:cs="Times New Roman" w:eastAsia="Times New Roman" w:hint="default"/>
                <w:sz w:val="18"/>
                <w:szCs w:val="18"/>
              </w:rPr>
            </w:pPr>
            <w:r>
              <w:rPr>
                <w:rFonts w:ascii="Times New Roman"/>
                <w:sz w:val="18"/>
              </w:rPr>
              <w:t>7,278,9</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00.17</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674" w:hRule="exact"/>
        </w:trPr>
        <w:tc>
          <w:tcPr>
            <w:tcW w:w="685"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发、销 售</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北京荣</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华恒信 开关技 术有限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both"/>
              <w:rPr>
                <w:rFonts w:ascii="宋体" w:hAnsi="宋体" w:cs="宋体" w:eastAsia="宋体" w:hint="default"/>
                <w:sz w:val="18"/>
                <w:szCs w:val="18"/>
              </w:rPr>
            </w:pPr>
            <w:r>
              <w:rPr>
                <w:rFonts w:ascii="宋体" w:hAnsi="宋体" w:cs="宋体" w:eastAsia="宋体" w:hint="default"/>
                <w:sz w:val="18"/>
                <w:szCs w:val="18"/>
              </w:rPr>
              <w:t>开关技 术研发 与推广</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both"/>
              <w:rPr>
                <w:rFonts w:ascii="宋体" w:hAnsi="宋体" w:cs="宋体" w:eastAsia="宋体" w:hint="default"/>
                <w:sz w:val="18"/>
                <w:szCs w:val="18"/>
              </w:rPr>
            </w:pPr>
            <w:r>
              <w:rPr>
                <w:rFonts w:ascii="宋体" w:hAnsi="宋体" w:cs="宋体" w:eastAsia="宋体" w:hint="default"/>
                <w:sz w:val="18"/>
                <w:szCs w:val="18"/>
              </w:rPr>
              <w:t>开关技 术研发 与推广</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6" w:right="0"/>
              <w:jc w:val="left"/>
              <w:rPr>
                <w:rFonts w:ascii="Times New Roman" w:hAnsi="Times New Roman" w:cs="Times New Roman" w:eastAsia="Times New Roman" w:hint="default"/>
                <w:sz w:val="18"/>
                <w:szCs w:val="18"/>
              </w:rPr>
            </w:pPr>
            <w:r>
              <w:rPr>
                <w:rFonts w:ascii="Times New Roman"/>
                <w:sz w:val="18"/>
              </w:rPr>
              <w:t>700.00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70%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70%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3,484,6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15.90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962"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辽宁荣 信防爆 电气技 术有限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井下防 爆电气 设备的 研发生 产与销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both"/>
              <w:rPr>
                <w:rFonts w:ascii="宋体" w:hAnsi="宋体" w:cs="宋体" w:eastAsia="宋体" w:hint="default"/>
                <w:sz w:val="18"/>
                <w:szCs w:val="18"/>
              </w:rPr>
            </w:pPr>
            <w:r>
              <w:rPr>
                <w:rFonts w:ascii="宋体" w:hAnsi="宋体" w:cs="宋体" w:eastAsia="宋体" w:hint="default"/>
                <w:sz w:val="18"/>
                <w:szCs w:val="18"/>
              </w:rPr>
              <w:t>防爆电 气设备 的研发 与制造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18,092,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6,570,5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96.60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电机控</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制装</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87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辽宁荣 信电机 控制技 术有限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08"/>
              <w:jc w:val="both"/>
              <w:rPr>
                <w:rFonts w:ascii="宋体" w:hAnsi="宋体" w:cs="宋体" w:eastAsia="宋体" w:hint="default"/>
                <w:sz w:val="18"/>
                <w:szCs w:val="18"/>
              </w:rPr>
            </w:pPr>
            <w:r>
              <w:rPr>
                <w:rFonts w:ascii="宋体" w:hAnsi="宋体" w:cs="宋体" w:eastAsia="宋体" w:hint="default"/>
                <w:sz w:val="18"/>
                <w:szCs w:val="18"/>
              </w:rPr>
              <w:t>电气设 备的设 计、销 售</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置、启 动装置 及其他 电力电 子装置 的设</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615,792</w:t>
            </w:r>
          </w:p>
          <w:p>
            <w:pPr>
              <w:pStyle w:val="TableParagraph"/>
              <w:spacing w:line="240" w:lineRule="auto" w:before="105"/>
              <w:ind w:left="426" w:right="0"/>
              <w:jc w:val="left"/>
              <w:rPr>
                <w:rFonts w:ascii="Times New Roman" w:hAnsi="Times New Roman" w:cs="Times New Roman" w:eastAsia="Times New Roman" w:hint="default"/>
                <w:sz w:val="18"/>
                <w:szCs w:val="18"/>
              </w:rPr>
            </w:pPr>
            <w:r>
              <w:rPr>
                <w:rFonts w:ascii="Times New Roman"/>
                <w:sz w:val="18"/>
              </w:rPr>
              <w:t>.66</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计、制</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造</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电力电</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辽宁荣</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电气设</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子技术</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信众腾 科技有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备的设 计、销</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开发、 技术服</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4,250,0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92,383.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务及技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术推广</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光伏技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辽宁荣 信光伏 技术有 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电气设 备的设 计与销 售</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术应 用、风 能技术 的研 发、生</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5,808,0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6" w:right="0"/>
              <w:jc w:val="left"/>
              <w:rPr>
                <w:rFonts w:ascii="Times New Roman" w:hAnsi="Times New Roman" w:cs="Times New Roman" w:eastAsia="Times New Roman" w:hint="default"/>
                <w:sz w:val="18"/>
                <w:szCs w:val="18"/>
              </w:rPr>
            </w:pPr>
            <w:r>
              <w:rPr>
                <w:rFonts w:ascii="Times New Roman"/>
                <w:sz w:val="18"/>
              </w:rPr>
              <w:t>866,674</w:t>
            </w:r>
          </w:p>
          <w:p>
            <w:pPr>
              <w:pStyle w:val="TableParagraph"/>
              <w:spacing w:line="240" w:lineRule="auto" w:before="105"/>
              <w:ind w:left="426" w:right="0"/>
              <w:jc w:val="left"/>
              <w:rPr>
                <w:rFonts w:ascii="Times New Roman" w:hAnsi="Times New Roman" w:cs="Times New Roman" w:eastAsia="Times New Roman" w:hint="default"/>
                <w:sz w:val="18"/>
                <w:szCs w:val="18"/>
              </w:rPr>
            </w:pPr>
            <w:r>
              <w:rPr>
                <w:rFonts w:ascii="Times New Roman"/>
                <w:sz w:val="18"/>
              </w:rPr>
              <w:t>.17</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6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辽宁荣</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电气设</w:t>
            </w: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电气传</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4"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10"/>
              <w:jc w:val="left"/>
              <w:rPr>
                <w:rFonts w:ascii="宋体" w:hAnsi="宋体" w:cs="宋体" w:eastAsia="宋体" w:hint="default"/>
                <w:sz w:val="18"/>
                <w:szCs w:val="18"/>
              </w:rPr>
            </w:pPr>
            <w:r>
              <w:rPr>
                <w:rFonts w:ascii="宋体" w:hAnsi="宋体" w:cs="宋体" w:eastAsia="宋体" w:hint="default"/>
                <w:sz w:val="18"/>
                <w:szCs w:val="18"/>
              </w:rPr>
              <w:t>信电气 传动技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备的设 计与销</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3"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8"/>
              <w:jc w:val="left"/>
              <w:rPr>
                <w:rFonts w:ascii="宋体" w:hAnsi="宋体" w:cs="宋体" w:eastAsia="宋体" w:hint="default"/>
                <w:sz w:val="18"/>
                <w:szCs w:val="18"/>
              </w:rPr>
            </w:pPr>
            <w:r>
              <w:rPr>
                <w:rFonts w:ascii="宋体" w:hAnsi="宋体" w:cs="宋体" w:eastAsia="宋体" w:hint="default"/>
                <w:sz w:val="18"/>
                <w:szCs w:val="18"/>
              </w:rPr>
              <w:t>动与控 制系列</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10" w:right="0"/>
              <w:jc w:val="left"/>
              <w:rPr>
                <w:rFonts w:ascii="Times New Roman" w:hAnsi="Times New Roman" w:cs="Times New Roman" w:eastAsia="Times New Roman" w:hint="default"/>
                <w:sz w:val="18"/>
                <w:szCs w:val="18"/>
              </w:rPr>
            </w:pPr>
            <w:r>
              <w:rPr>
                <w:rFonts w:ascii="Times New Roman"/>
                <w:sz w:val="18"/>
              </w:rPr>
              <w:t>22,509,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88" w:right="0"/>
              <w:jc w:val="center"/>
              <w:rPr>
                <w:rFonts w:ascii="Times New Roman" w:hAnsi="Times New Roman" w:cs="Times New Roman" w:eastAsia="Times New Roman" w:hint="default"/>
                <w:sz w:val="18"/>
                <w:szCs w:val="18"/>
              </w:rPr>
            </w:pPr>
            <w:r>
              <w:rPr>
                <w:rFonts w:ascii="Times New Roman"/>
                <w:sz w:val="18"/>
              </w:rPr>
              <w:t>8,267,1</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74.14</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4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术有限</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变频器</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责任公</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相关产</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品的研</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产、销</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962"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南京荣 信电力 自动化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both"/>
              <w:rPr>
                <w:rFonts w:ascii="宋体" w:hAnsi="宋体" w:cs="宋体" w:eastAsia="宋体" w:hint="default"/>
                <w:sz w:val="18"/>
                <w:szCs w:val="18"/>
              </w:rPr>
            </w:pPr>
            <w:r>
              <w:rPr>
                <w:rFonts w:ascii="宋体" w:hAnsi="宋体" w:cs="宋体" w:eastAsia="宋体" w:hint="default"/>
                <w:sz w:val="18"/>
                <w:szCs w:val="18"/>
              </w:rPr>
              <w:t>电气设 备的设 计、销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输配电 及控制 设备研 发、制 造、销 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-716,09</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6.84</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北京荣 信慧科 科技有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软件、 设备的 设计与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技术开 发、技 术服 务、技 术推广</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 w:right="0"/>
              <w:jc w:val="center"/>
              <w:rPr>
                <w:rFonts w:ascii="Times New Roman" w:hAnsi="Times New Roman" w:cs="Times New Roman" w:eastAsia="Times New Roman" w:hint="default"/>
                <w:sz w:val="18"/>
                <w:szCs w:val="18"/>
              </w:rPr>
            </w:pPr>
            <w:r>
              <w:rPr>
                <w:rFonts w:ascii="Times New Roman"/>
                <w:sz w:val="18"/>
              </w:rPr>
              <w:t>4,250,0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w w:val="95"/>
                <w:sz w:val="18"/>
              </w:rPr>
              <w:t>158,119.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北京荣 科博信 科技发 展有限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电气设 备的设 计、销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技术开 发、技 术服 务、技 术推广</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 w:right="0"/>
              <w:jc w:val="center"/>
              <w:rPr>
                <w:rFonts w:ascii="Times New Roman" w:hAnsi="Times New Roman" w:cs="Times New Roman" w:eastAsia="Times New Roman" w:hint="default"/>
                <w:sz w:val="18"/>
                <w:szCs w:val="18"/>
              </w:rPr>
            </w:pPr>
            <w:r>
              <w:rPr>
                <w:rFonts w:ascii="Times New Roman"/>
                <w:sz w:val="18"/>
              </w:rPr>
              <w:t>3,400,0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6" w:right="0"/>
              <w:jc w:val="left"/>
              <w:rPr>
                <w:rFonts w:ascii="Times New Roman" w:hAnsi="Times New Roman" w:cs="Times New Roman" w:eastAsia="Times New Roman" w:hint="default"/>
                <w:sz w:val="18"/>
                <w:szCs w:val="18"/>
              </w:rPr>
            </w:pPr>
            <w:r>
              <w:rPr>
                <w:rFonts w:ascii="Times New Roman"/>
                <w:sz w:val="18"/>
              </w:rPr>
              <w:t>-950,59</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7.90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广州邦 建电力 技术有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电气设 备的设 计与销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电力技 术的研 究、开 发、销 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 w:right="0"/>
              <w:jc w:val="center"/>
              <w:rPr>
                <w:rFonts w:ascii="Times New Roman" w:hAnsi="Times New Roman" w:cs="Times New Roman" w:eastAsia="Times New Roman" w:hint="default"/>
                <w:sz w:val="18"/>
                <w:szCs w:val="18"/>
              </w:rPr>
            </w:pPr>
            <w:r>
              <w:rPr>
                <w:rFonts w:ascii="Times New Roman"/>
                <w:sz w:val="18"/>
              </w:rPr>
              <w:t>3,400,0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8" w:right="0"/>
              <w:jc w:val="center"/>
              <w:rPr>
                <w:rFonts w:ascii="Times New Roman" w:hAnsi="Times New Roman" w:cs="Times New Roman" w:eastAsia="Times New Roman" w:hint="default"/>
                <w:sz w:val="18"/>
                <w:szCs w:val="18"/>
              </w:rPr>
            </w:pPr>
            <w:r>
              <w:rPr>
                <w:rFonts w:ascii="Times New Roman"/>
                <w:sz w:val="18"/>
              </w:rPr>
              <w:t>-1,496,6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69.44</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北京荣 信瑞科 科技发 展有限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软件、 设备的 设计与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技术开 发、技 术服 务、技 术推广</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 w:right="0"/>
              <w:jc w:val="center"/>
              <w:rPr>
                <w:rFonts w:ascii="Times New Roman" w:hAnsi="Times New Roman" w:cs="Times New Roman" w:eastAsia="Times New Roman" w:hint="default"/>
                <w:sz w:val="18"/>
                <w:szCs w:val="18"/>
              </w:rPr>
            </w:pPr>
            <w:r>
              <w:rPr>
                <w:rFonts w:ascii="Times New Roman"/>
                <w:sz w:val="18"/>
              </w:rPr>
              <w:t>3,400,0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6" w:right="0"/>
              <w:jc w:val="left"/>
              <w:rPr>
                <w:rFonts w:ascii="Times New Roman" w:hAnsi="Times New Roman" w:cs="Times New Roman" w:eastAsia="Times New Roman" w:hint="default"/>
                <w:sz w:val="18"/>
                <w:szCs w:val="18"/>
              </w:rPr>
            </w:pPr>
            <w:r>
              <w:rPr>
                <w:rFonts w:ascii="Times New Roman"/>
                <w:sz w:val="18"/>
              </w:rPr>
              <w:t>-628,29</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0.51</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高压连</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续电容</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5"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荣西电</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电气设</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(HVSC)</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10"/>
              <w:jc w:val="left"/>
              <w:rPr>
                <w:rFonts w:ascii="宋体" w:hAnsi="宋体" w:cs="宋体" w:eastAsia="宋体" w:hint="default"/>
                <w:sz w:val="18"/>
                <w:szCs w:val="18"/>
              </w:rPr>
            </w:pPr>
            <w:r>
              <w:rPr>
                <w:rFonts w:ascii="宋体" w:hAnsi="宋体" w:cs="宋体" w:eastAsia="宋体" w:hint="default"/>
                <w:sz w:val="18"/>
                <w:szCs w:val="18"/>
              </w:rPr>
              <w:t>力传输 技术有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8"/>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08"/>
              <w:jc w:val="left"/>
              <w:rPr>
                <w:rFonts w:ascii="宋体" w:hAnsi="宋体" w:cs="宋体" w:eastAsia="宋体" w:hint="default"/>
                <w:sz w:val="18"/>
                <w:szCs w:val="18"/>
              </w:rPr>
            </w:pPr>
            <w:r>
              <w:rPr>
                <w:rFonts w:ascii="宋体" w:hAnsi="宋体" w:cs="宋体" w:eastAsia="宋体" w:hint="default"/>
                <w:sz w:val="18"/>
                <w:szCs w:val="18"/>
              </w:rPr>
              <w:t>备的设 计与销</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6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欧元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08"/>
              <w:jc w:val="left"/>
              <w:rPr>
                <w:rFonts w:ascii="宋体" w:hAnsi="宋体" w:cs="宋体" w:eastAsia="宋体" w:hint="default"/>
                <w:sz w:val="18"/>
                <w:szCs w:val="18"/>
              </w:rPr>
            </w:pPr>
            <w:r>
              <w:rPr>
                <w:rFonts w:ascii="宋体" w:hAnsi="宋体" w:cs="宋体" w:eastAsia="宋体" w:hint="default"/>
                <w:sz w:val="18"/>
                <w:szCs w:val="18"/>
              </w:rPr>
              <w:t>、静态 无功补</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10" w:right="0"/>
              <w:jc w:val="left"/>
              <w:rPr>
                <w:rFonts w:ascii="Times New Roman" w:hAnsi="Times New Roman" w:cs="Times New Roman" w:eastAsia="Times New Roman" w:hint="default"/>
                <w:sz w:val="18"/>
                <w:szCs w:val="18"/>
              </w:rPr>
            </w:pPr>
            <w:r>
              <w:rPr>
                <w:rFonts w:ascii="Times New Roman"/>
                <w:sz w:val="18"/>
              </w:rPr>
              <w:t>27,893,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10" w:right="0"/>
              <w:jc w:val="left"/>
              <w:rPr>
                <w:rFonts w:ascii="Times New Roman" w:hAnsi="Times New Roman" w:cs="Times New Roman" w:eastAsia="Times New Roman" w:hint="default"/>
                <w:sz w:val="18"/>
                <w:szCs w:val="18"/>
              </w:rPr>
            </w:pPr>
            <w:r>
              <w:rPr>
                <w:rFonts w:ascii="Times New Roman"/>
                <w:sz w:val="18"/>
              </w:rPr>
              <w:t>17,268,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045.94</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6"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(FSC)</w:t>
            </w:r>
            <w:r>
              <w:rPr>
                <w:rFonts w:ascii="宋体" w:hAnsi="宋体" w:cs="宋体" w:eastAsia="宋体" w:hint="default"/>
                <w:sz w:val="18"/>
                <w:szCs w:val="18"/>
              </w:rPr>
              <w:t>的</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402"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图木舒</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控股子</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图木舒</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太阳能</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Times New Roman" w:hAnsi="Times New Roman" w:cs="Times New Roman" w:eastAsia="Times New Roman" w:hint="default"/>
                <w:sz w:val="18"/>
                <w:szCs w:val="18"/>
              </w:rPr>
            </w:pPr>
            <w:r>
              <w:rPr>
                <w:rFonts w:ascii="Times New Roman"/>
                <w:sz w:val="18"/>
              </w:rPr>
              <w:t>600000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太阳能</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0" w:right="0"/>
              <w:jc w:val="left"/>
              <w:rPr>
                <w:rFonts w:ascii="Times New Roman" w:hAnsi="Times New Roman" w:cs="Times New Roman" w:eastAsia="Times New Roman" w:hint="default"/>
                <w:sz w:val="18"/>
                <w:szCs w:val="18"/>
              </w:rPr>
            </w:pPr>
            <w:r>
              <w:rPr>
                <w:rFonts w:ascii="Times New Roman"/>
                <w:sz w:val="18"/>
              </w:rPr>
              <w:t>12,000,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left"/>
              <w:rPr>
                <w:rFonts w:ascii="Times New Roman" w:hAnsi="Times New Roman" w:cs="Times New Roman" w:eastAsia="Times New Roman" w:hint="default"/>
                <w:sz w:val="18"/>
                <w:szCs w:val="18"/>
              </w:rPr>
            </w:pPr>
            <w:r>
              <w:rPr>
                <w:rFonts w:ascii="Times New Roman"/>
                <w:sz w:val="18"/>
              </w:rPr>
              <w:t>-68,341.</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21"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克市荣</w:t>
            </w: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克</w:t>
            </w: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光伏发</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光伏发</w:t>
            </w: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64</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信新能</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电</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电设备</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源有限</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机电设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备安</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光伏发</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哈密荣 信新能 源有限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哈密</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08"/>
              <w:jc w:val="both"/>
              <w:rPr>
                <w:rFonts w:ascii="宋体" w:hAnsi="宋体" w:cs="宋体" w:eastAsia="宋体" w:hint="default"/>
                <w:sz w:val="18"/>
                <w:szCs w:val="18"/>
              </w:rPr>
            </w:pPr>
            <w:r>
              <w:rPr>
                <w:rFonts w:ascii="宋体" w:hAnsi="宋体" w:cs="宋体" w:eastAsia="宋体" w:hint="default"/>
                <w:sz w:val="18"/>
                <w:szCs w:val="18"/>
              </w:rPr>
              <w:t>光伏发 电、风 力发电</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电、风 力发电 项目投 资；机 电设备</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安装、</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新疆荣 信节能 电气有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电气设 备的设 计与销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电力电 子装置 的设 计、销 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6" w:right="0"/>
              <w:jc w:val="left"/>
              <w:rPr>
                <w:rFonts w:ascii="Times New Roman" w:hAnsi="Times New Roman" w:cs="Times New Roman" w:eastAsia="Times New Roman" w:hint="default"/>
                <w:sz w:val="18"/>
                <w:szCs w:val="18"/>
              </w:rPr>
            </w:pPr>
            <w:r>
              <w:rPr>
                <w:rFonts w:ascii="Times New Roman"/>
                <w:sz w:val="18"/>
              </w:rPr>
              <w:t>-135,16</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3.54</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沼气、</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有机复</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荣信电 力工程 </w:t>
            </w:r>
            <w:r>
              <w:rPr>
                <w:rFonts w:ascii="Times New Roman" w:hAnsi="Times New Roman" w:cs="Times New Roman" w:eastAsia="Times New Roman" w:hint="default"/>
                <w:spacing w:val="-6"/>
                <w:sz w:val="18"/>
                <w:szCs w:val="18"/>
              </w:rPr>
              <w:t>JLT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迪拜</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电子设 备贸易</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818000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合肥生 产销 售；环 境污染 防治专</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5,091,6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用设备</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商丘信 力新能 源科技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控股子 公司的 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商丘</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both"/>
              <w:rPr>
                <w:rFonts w:ascii="宋体" w:hAnsi="宋体" w:cs="宋体" w:eastAsia="宋体" w:hint="default"/>
                <w:sz w:val="18"/>
                <w:szCs w:val="18"/>
              </w:rPr>
            </w:pPr>
            <w:r>
              <w:rPr>
                <w:rFonts w:ascii="宋体" w:hAnsi="宋体" w:cs="宋体" w:eastAsia="宋体" w:hint="default"/>
                <w:sz w:val="18"/>
                <w:szCs w:val="18"/>
              </w:rPr>
              <w:t>专用设 备的销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电气设 备的设 计、销 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 w:right="0"/>
              <w:jc w:val="center"/>
              <w:rPr>
                <w:rFonts w:ascii="Times New Roman" w:hAnsi="Times New Roman" w:cs="Times New Roman" w:eastAsia="Times New Roman" w:hint="default"/>
                <w:sz w:val="18"/>
                <w:szCs w:val="18"/>
              </w:rPr>
            </w:pPr>
            <w:r>
              <w:rPr>
                <w:rFonts w:ascii="Times New Roman"/>
                <w:sz w:val="18"/>
              </w:rPr>
              <w:t>4,250,0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6" w:right="0"/>
              <w:jc w:val="left"/>
              <w:rPr>
                <w:rFonts w:ascii="Times New Roman" w:hAnsi="Times New Roman" w:cs="Times New Roman" w:eastAsia="Times New Roman" w:hint="default"/>
                <w:sz w:val="18"/>
                <w:szCs w:val="18"/>
              </w:rPr>
            </w:pPr>
            <w:r>
              <w:rPr>
                <w:rFonts w:ascii="Times New Roman"/>
                <w:sz w:val="18"/>
              </w:rPr>
              <w:t>445,906</w:t>
            </w:r>
          </w:p>
          <w:p>
            <w:pPr>
              <w:pStyle w:val="TableParagraph"/>
              <w:spacing w:line="240" w:lineRule="auto" w:before="105"/>
              <w:ind w:left="426" w:right="0"/>
              <w:jc w:val="left"/>
              <w:rPr>
                <w:rFonts w:ascii="Times New Roman" w:hAnsi="Times New Roman" w:cs="Times New Roman" w:eastAsia="Times New Roman" w:hint="default"/>
                <w:sz w:val="18"/>
                <w:szCs w:val="18"/>
              </w:rPr>
            </w:pPr>
            <w:r>
              <w:rPr>
                <w:rFonts w:ascii="Times New Roman"/>
                <w:sz w:val="18"/>
              </w:rPr>
              <w:t>.03</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pStyle w:val="BodyText"/>
        <w:spacing w:line="256" w:lineRule="auto" w:before="90"/>
        <w:ind w:left="153" w:right="0" w:firstLine="420"/>
        <w:jc w:val="left"/>
      </w:pPr>
      <w:r>
        <w:rPr/>
        <w:t>根据协议，本公司有权控制荣西电力传输技术有限公司</w:t>
      </w:r>
      <w:r>
        <w:rPr>
          <w:rFonts w:ascii="Times New Roman" w:hAnsi="Times New Roman" w:cs="Times New Roman" w:eastAsia="Times New Roman" w:hint="default"/>
        </w:rPr>
        <w:t>(</w:t>
      </w:r>
      <w:r>
        <w:rPr/>
        <w:t>以下简称荣西公司</w:t>
      </w:r>
      <w:r>
        <w:rPr>
          <w:rFonts w:ascii="Times New Roman" w:hAnsi="Times New Roman" w:cs="Times New Roman" w:eastAsia="Times New Roman" w:hint="default"/>
        </w:rPr>
        <w:t>)</w:t>
      </w:r>
      <w:r>
        <w:rPr/>
        <w:t>的财务和经营政策，拥有 对其的实质控制权，故将其纳入合并财务报表范围。</w:t>
      </w:r>
    </w:p>
    <w:p>
      <w:pPr>
        <w:spacing w:line="240" w:lineRule="auto" w:before="10"/>
        <w:rPr>
          <w:rFonts w:ascii="宋体" w:hAnsi="宋体" w:cs="宋体" w:eastAsia="宋体" w:hint="default"/>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2</w:t>
      </w:r>
      <w:r>
        <w:rPr/>
        <w:t>）非同一控制下企业合并取得的子公司</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8"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9"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新能</w:t>
            </w: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新能</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源、节</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源、节</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力筑正</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能设</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新能源 技术股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备、环 保设</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备、环 保设</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21,600,</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66" w:right="0"/>
              <w:jc w:val="left"/>
              <w:rPr>
                <w:rFonts w:ascii="Times New Roman" w:hAnsi="Times New Roman" w:cs="Times New Roman" w:eastAsia="Times New Roman" w:hint="default"/>
                <w:sz w:val="18"/>
                <w:szCs w:val="18"/>
              </w:rPr>
            </w:pPr>
            <w:r>
              <w:rPr>
                <w:rFonts w:ascii="Times New Roman"/>
                <w:sz w:val="18"/>
              </w:rPr>
              <w:t>168,489</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,526.86</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份有限</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备、余</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备、余</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热余压</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热余压</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5"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发电</w:t>
            </w: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发电</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上海地</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澳自动 化科技 有限公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井下防 爆变频 设备</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井下防 爆变频 设备</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55%</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55%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11,632,3</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54.35</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5"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pStyle w:val="BodyText"/>
        <w:spacing w:line="256" w:lineRule="auto" w:before="90"/>
        <w:ind w:left="153" w:right="148" w:firstLine="420"/>
        <w:jc w:val="both"/>
      </w:pPr>
      <w:r>
        <w:rPr/>
        <w:t>本公司拥有北京信力筑正新能源技术股份有限公司</w:t>
      </w:r>
      <w:r>
        <w:rPr>
          <w:rFonts w:ascii="Times New Roman" w:hAnsi="Times New Roman" w:cs="Times New Roman" w:eastAsia="Times New Roman" w:hint="default"/>
        </w:rPr>
        <w:t>(</w:t>
      </w:r>
      <w:r>
        <w:rPr/>
        <w:t>以下简称信力筑正公司</w:t>
      </w:r>
      <w:r>
        <w:rPr>
          <w:rFonts w:ascii="Times New Roman" w:hAnsi="Times New Roman" w:cs="Times New Roman" w:eastAsia="Times New Roman" w:hint="default"/>
        </w:rPr>
        <w:t>)</w:t>
      </w:r>
      <w:r>
        <w:rPr/>
        <w:t>董事会会议半数以上投票 权，拥有对其的实质控制权，故将其纳入合并财务报表范围。</w:t>
      </w:r>
    </w:p>
    <w:p>
      <w:pPr>
        <w:spacing w:line="240" w:lineRule="auto" w:before="10"/>
        <w:rPr>
          <w:rFonts w:ascii="宋体" w:hAnsi="宋体" w:cs="宋体" w:eastAsia="宋体" w:hint="default"/>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pStyle w:val="BodyText"/>
        <w:spacing w:line="240" w:lineRule="auto" w:before="89"/>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因直接设立或投资等方式而增加子公司的情况说明</w:t>
      </w:r>
    </w:p>
    <w:p>
      <w:pPr>
        <w:pStyle w:val="BodyText"/>
        <w:spacing w:line="256" w:lineRule="auto" w:before="21"/>
        <w:ind w:left="153" w:right="15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本期公司与自然人张臣堂共同出资设立图木舒克市荣信新能源有限公司</w:t>
      </w:r>
      <w:r>
        <w:rPr>
          <w:rFonts w:ascii="Times New Roman" w:hAnsi="Times New Roman" w:cs="Times New Roman" w:eastAsia="Times New Roman" w:hint="default"/>
        </w:rPr>
        <w:t>(</w:t>
      </w:r>
      <w:r>
        <w:rPr/>
        <w:t>以下简称图木舒克荣信公 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日在图木舒克市工商行政管理局登记注册，并取得注册号为</w:t>
      </w:r>
      <w:r>
        <w:rPr>
          <w:rFonts w:ascii="Times New Roman" w:hAnsi="Times New Roman" w:cs="Times New Roman" w:eastAsia="Times New Roman" w:hint="default"/>
        </w:rPr>
        <w:t>659003050001332</w:t>
      </w:r>
      <w:r>
        <w:rPr/>
        <w:t>的《企业 </w:t>
      </w:r>
      <w:r>
        <w:rPr>
          <w:spacing w:val="-1"/>
        </w:rPr>
        <w:t>法人营业执照》。该公司注册资本为</w:t>
      </w:r>
      <w:r>
        <w:rPr>
          <w:rFonts w:ascii="Times New Roman" w:hAnsi="Times New Roman" w:cs="Times New Roman" w:eastAsia="Times New Roman" w:hint="default"/>
          <w:spacing w:val="-1"/>
        </w:rPr>
        <w:t>6000</w:t>
      </w:r>
      <w:r>
        <w:rPr>
          <w:spacing w:val="-1"/>
        </w:rPr>
        <w:t>万元，公司应出资</w:t>
      </w:r>
      <w:r>
        <w:rPr>
          <w:rFonts w:ascii="Times New Roman" w:hAnsi="Times New Roman" w:cs="Times New Roman" w:eastAsia="Times New Roman" w:hint="default"/>
          <w:spacing w:val="-1"/>
        </w:rPr>
        <w:t>5,700</w:t>
      </w:r>
      <w:r>
        <w:rPr>
          <w:spacing w:val="-1"/>
        </w:rPr>
        <w:t>万元，占其注册资本的</w:t>
      </w:r>
      <w:r>
        <w:rPr>
          <w:rFonts w:ascii="Times New Roman" w:hAnsi="Times New Roman" w:cs="Times New Roman" w:eastAsia="Times New Roman" w:hint="default"/>
          <w:spacing w:val="-1"/>
        </w:rPr>
        <w:t>95%</w:t>
      </w:r>
      <w:r>
        <w:rPr>
          <w:spacing w:val="-1"/>
        </w:rPr>
        <w:t>，拥有对其的</w:t>
      </w:r>
      <w:r>
        <w:rPr/>
        <w:t> 实质控制权，故自该公司成立之日起，将其纳入合并财务报表范围。</w:t>
      </w:r>
    </w:p>
    <w:p>
      <w:pPr>
        <w:spacing w:after="0" w:line="256"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56" w:lineRule="auto" w:before="35"/>
        <w:ind w:left="153"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本期公司与自然人陈旭光共同出资设立哈密荣信新能源有限公司</w:t>
      </w:r>
      <w:r>
        <w:rPr>
          <w:rFonts w:ascii="Times New Roman" w:hAnsi="Times New Roman" w:cs="Times New Roman" w:eastAsia="Times New Roman" w:hint="default"/>
        </w:rPr>
        <w:t>(</w:t>
      </w:r>
      <w:r>
        <w:rPr/>
        <w:t>以下简称哈密荣信公司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2012 </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19</w:t>
      </w:r>
      <w:r>
        <w:rPr>
          <w:spacing w:val="-3"/>
        </w:rPr>
        <w:t>日在哈密市工商行政管理局登记注册，并取得注册号为</w:t>
      </w:r>
      <w:r>
        <w:rPr>
          <w:rFonts w:ascii="Times New Roman" w:hAnsi="Times New Roman" w:cs="Times New Roman" w:eastAsia="Times New Roman" w:hint="default"/>
          <w:spacing w:val="-3"/>
        </w:rPr>
        <w:t>652201050022083</w:t>
      </w:r>
      <w:r>
        <w:rPr>
          <w:spacing w:val="-3"/>
        </w:rPr>
        <w:t>的《企业法人营业执照》。</w:t>
      </w:r>
      <w:r>
        <w:rPr>
          <w:spacing w:val="-75"/>
        </w:rPr>
        <w:t> </w:t>
      </w:r>
      <w:r>
        <w:rPr>
          <w:spacing w:val="-75"/>
        </w:rPr>
      </w:r>
      <w:r>
        <w:rPr>
          <w:spacing w:val="-2"/>
        </w:rPr>
        <w:t>该公司注册资本为</w:t>
      </w:r>
      <w:r>
        <w:rPr>
          <w:rFonts w:ascii="Times New Roman" w:hAnsi="Times New Roman" w:cs="Times New Roman" w:eastAsia="Times New Roman" w:hint="default"/>
          <w:spacing w:val="-2"/>
        </w:rPr>
        <w:t>5,000</w:t>
      </w:r>
      <w:r>
        <w:rPr>
          <w:spacing w:val="-2"/>
        </w:rPr>
        <w:t>万元，公司应出资</w:t>
      </w:r>
      <w:r>
        <w:rPr>
          <w:rFonts w:ascii="Times New Roman" w:hAnsi="Times New Roman" w:cs="Times New Roman" w:eastAsia="Times New Roman" w:hint="default"/>
          <w:spacing w:val="-2"/>
        </w:rPr>
        <w:t>4,500</w:t>
      </w:r>
      <w:r>
        <w:rPr>
          <w:spacing w:val="-2"/>
        </w:rPr>
        <w:t>万元，占其注册资本的</w:t>
      </w:r>
      <w:r>
        <w:rPr>
          <w:rFonts w:ascii="Times New Roman" w:hAnsi="Times New Roman" w:cs="Times New Roman" w:eastAsia="Times New Roman" w:hint="default"/>
          <w:spacing w:val="-2"/>
        </w:rPr>
        <w:t>90%</w:t>
      </w:r>
      <w:r>
        <w:rPr>
          <w:spacing w:val="-2"/>
        </w:rPr>
        <w:t>，拥有对其的实质控制权，故自</w:t>
      </w:r>
      <w:r>
        <w:rPr>
          <w:spacing w:val="-98"/>
        </w:rPr>
        <w:t> </w:t>
      </w:r>
      <w:r>
        <w:rPr>
          <w:spacing w:val="-98"/>
        </w:rPr>
      </w:r>
      <w:r>
        <w:rPr/>
        <w:t>该公司成立之日起，将其纳入合并财务报表范围。</w:t>
      </w:r>
    </w:p>
    <w:p>
      <w:pPr>
        <w:pStyle w:val="BodyText"/>
        <w:spacing w:line="240" w:lineRule="auto" w:before="22"/>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6"/>
        </w:rPr>
        <w:t> </w:t>
      </w:r>
      <w:r>
        <w:rPr>
          <w:spacing w:val="4"/>
        </w:rPr>
        <w:t>本期公司与自然人陈旭光共同出资设立新疆荣信节能电气有限公司</w:t>
      </w:r>
      <w:r>
        <w:rPr>
          <w:rFonts w:ascii="Times New Roman" w:hAnsi="Times New Roman" w:cs="Times New Roman" w:eastAsia="Times New Roman" w:hint="default"/>
          <w:spacing w:val="4"/>
        </w:rPr>
        <w:t>(</w:t>
      </w:r>
      <w:r>
        <w:rPr>
          <w:spacing w:val="4"/>
        </w:rPr>
        <w:t>以下简称新疆荣信公司</w:t>
      </w:r>
      <w:r>
        <w:rPr>
          <w:rFonts w:ascii="Times New Roman" w:hAnsi="Times New Roman" w:cs="Times New Roman" w:eastAsia="Times New Roman" w:hint="default"/>
          <w:spacing w:val="4"/>
        </w:rPr>
        <w:t>)</w:t>
      </w:r>
      <w:r>
        <w:rPr>
          <w:spacing w:val="4"/>
        </w:rPr>
        <w:t>，于</w:t>
      </w:r>
      <w:r>
        <w:rPr/>
      </w:r>
    </w:p>
    <w:p>
      <w:pPr>
        <w:pStyle w:val="BodyText"/>
        <w:spacing w:line="256" w:lineRule="auto" w:before="21"/>
        <w:ind w:left="153" w:right="211"/>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21</w:t>
      </w:r>
      <w:r>
        <w:rPr>
          <w:spacing w:val="-1"/>
        </w:rPr>
        <w:t>日在哈密市工商行政管理局登记注册，并取得注册号为</w:t>
      </w:r>
      <w:r>
        <w:rPr>
          <w:rFonts w:ascii="Times New Roman" w:hAnsi="Times New Roman" w:cs="Times New Roman" w:eastAsia="Times New Roman" w:hint="default"/>
          <w:spacing w:val="-1"/>
        </w:rPr>
        <w:t>652201050022091</w:t>
      </w:r>
      <w:r>
        <w:rPr>
          <w:spacing w:val="-1"/>
        </w:rPr>
        <w:t>的《企业法人营业执</w:t>
      </w:r>
      <w:r>
        <w:rPr>
          <w:spacing w:val="-84"/>
        </w:rPr>
        <w:t> </w:t>
      </w:r>
      <w:r>
        <w:rPr>
          <w:spacing w:val="-84"/>
        </w:rPr>
      </w:r>
      <w:r>
        <w:rPr>
          <w:spacing w:val="-2"/>
        </w:rPr>
        <w:t>照》。该公司注册资本为人民币</w:t>
      </w:r>
      <w:r>
        <w:rPr>
          <w:rFonts w:ascii="Times New Roman" w:hAnsi="Times New Roman" w:cs="Times New Roman" w:eastAsia="Times New Roman" w:hint="default"/>
          <w:spacing w:val="-2"/>
        </w:rPr>
        <w:t>5,000</w:t>
      </w:r>
      <w:r>
        <w:rPr>
          <w:spacing w:val="-2"/>
        </w:rPr>
        <w:t>万元，公司应出资</w:t>
      </w:r>
      <w:r>
        <w:rPr>
          <w:rFonts w:ascii="Times New Roman" w:hAnsi="Times New Roman" w:cs="Times New Roman" w:eastAsia="Times New Roman" w:hint="default"/>
          <w:spacing w:val="-2"/>
        </w:rPr>
        <w:t>4,500</w:t>
      </w:r>
      <w:r>
        <w:rPr>
          <w:spacing w:val="-2"/>
        </w:rPr>
        <w:t>万元，占其注册资本的</w:t>
      </w:r>
      <w:r>
        <w:rPr>
          <w:rFonts w:ascii="Times New Roman" w:hAnsi="Times New Roman" w:cs="Times New Roman" w:eastAsia="Times New Roman" w:hint="default"/>
          <w:spacing w:val="-2"/>
        </w:rPr>
        <w:t>90%</w:t>
      </w:r>
      <w:r>
        <w:rPr>
          <w:spacing w:val="-2"/>
        </w:rPr>
        <w:t>，拥有对其的实质</w:t>
      </w:r>
      <w:r>
        <w:rPr>
          <w:spacing w:val="-98"/>
        </w:rPr>
        <w:t> </w:t>
      </w:r>
      <w:r>
        <w:rPr>
          <w:spacing w:val="-98"/>
        </w:rPr>
      </w:r>
      <w:r>
        <w:rPr/>
        <w:t>控制权，故自该公司成立之日起，将其纳入合并财务报表范围。</w:t>
      </w:r>
    </w:p>
    <w:p>
      <w:pPr>
        <w:pStyle w:val="BodyText"/>
        <w:spacing w:line="256" w:lineRule="auto" w:before="22"/>
        <w:ind w:left="153" w:right="207"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t>本期公司出资设立荣信电力工程</w:t>
      </w:r>
      <w:r>
        <w:rPr>
          <w:rFonts w:ascii="Times New Roman" w:hAnsi="Times New Roman" w:cs="Times New Roman" w:eastAsia="Times New Roman" w:hint="default"/>
        </w:rPr>
        <w:t>JLT</w:t>
      </w:r>
      <w:r>
        <w:rPr/>
        <w:t>公司</w:t>
      </w:r>
      <w:r>
        <w:rPr>
          <w:rFonts w:ascii="Times New Roman" w:hAnsi="Times New Roman" w:cs="Times New Roman" w:eastAsia="Times New Roman" w:hint="default"/>
        </w:rPr>
        <w:t>(</w:t>
      </w:r>
      <w:r>
        <w:rPr/>
        <w:t>以下简称荣信</w:t>
      </w:r>
      <w:r>
        <w:rPr>
          <w:rFonts w:ascii="Times New Roman" w:hAnsi="Times New Roman" w:cs="Times New Roman" w:eastAsia="Times New Roman" w:hint="default"/>
        </w:rPr>
        <w:t>JLT</w:t>
      </w:r>
      <w:r>
        <w:rPr/>
        <w:t>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日在迪拜多种商 品中心管理局办妥设立登记手续，并取得注册号为</w:t>
      </w:r>
      <w:r>
        <w:rPr>
          <w:rFonts w:ascii="Times New Roman" w:hAnsi="Times New Roman" w:cs="Times New Roman" w:eastAsia="Times New Roman" w:hint="default"/>
        </w:rPr>
        <w:t>JLT4345</w:t>
      </w:r>
      <w:r>
        <w:rPr/>
        <w:t>的《注册证书》。该公司注册资本为</w:t>
      </w:r>
      <w:r>
        <w:rPr>
          <w:rFonts w:ascii="Times New Roman" w:hAnsi="Times New Roman" w:cs="Times New Roman" w:eastAsia="Times New Roman" w:hint="default"/>
        </w:rPr>
        <w:t>818,000</w:t>
      </w:r>
      <w:r>
        <w:rPr/>
        <w:t>美</w:t>
      </w:r>
      <w:r>
        <w:rPr>
          <w:spacing w:val="-102"/>
        </w:rPr>
        <w:t> </w:t>
      </w:r>
      <w:r>
        <w:rPr/>
        <w:t>元，公司出资</w:t>
      </w:r>
      <w:r>
        <w:rPr>
          <w:rFonts w:ascii="Times New Roman" w:hAnsi="Times New Roman" w:cs="Times New Roman" w:eastAsia="Times New Roman" w:hint="default"/>
        </w:rPr>
        <w:t>818,000</w:t>
      </w:r>
      <w:r>
        <w:rPr/>
        <w:t>美元，占其注册资本的</w:t>
      </w:r>
      <w:r>
        <w:rPr>
          <w:rFonts w:ascii="Times New Roman" w:hAnsi="Times New Roman" w:cs="Times New Roman" w:eastAsia="Times New Roman" w:hint="default"/>
        </w:rPr>
        <w:t>100%</w:t>
      </w:r>
      <w:r>
        <w:rPr/>
        <w:t>，拥有对其的实质控制权，故自该公司成立之日起，将</w:t>
      </w:r>
      <w:r>
        <w:rPr>
          <w:spacing w:val="-55"/>
        </w:rPr>
        <w:t> </w:t>
      </w:r>
      <w:r>
        <w:rPr>
          <w:spacing w:val="-55"/>
        </w:rPr>
      </w:r>
      <w:r>
        <w:rPr/>
        <w:t>其纳入合并财务报表范围。</w:t>
      </w:r>
    </w:p>
    <w:p>
      <w:pPr>
        <w:spacing w:line="326" w:lineRule="auto" w:before="88"/>
        <w:ind w:left="154" w:right="5872"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与上年相比本年（期）新增合并单位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 </w:t>
      </w:r>
      <w:r>
        <w:rPr>
          <w:rFonts w:ascii="宋体" w:hAnsi="宋体" w:cs="宋体" w:eastAsia="宋体" w:hint="default"/>
          <w:sz w:val="21"/>
          <w:szCs w:val="21"/>
        </w:rPr>
        <w:t>因直接设立或投资等方式而增加子公司</w:t>
      </w:r>
    </w:p>
    <w:p>
      <w:pPr>
        <w:spacing w:line="240" w:lineRule="auto" w:before="1"/>
        <w:rPr>
          <w:rFonts w:ascii="宋体" w:hAnsi="宋体" w:cs="宋体" w:eastAsia="宋体" w:hint="default"/>
          <w:sz w:val="20"/>
          <w:szCs w:val="20"/>
        </w:rPr>
      </w:pPr>
    </w:p>
    <w:p>
      <w:pPr>
        <w:pStyle w:val="Heading4"/>
        <w:spacing w:line="240" w:lineRule="auto"/>
        <w:ind w:left="153" w:right="0"/>
        <w:jc w:val="left"/>
        <w:rPr>
          <w:b w:val="0"/>
          <w:bCs w:val="0"/>
        </w:rPr>
      </w:pPr>
      <w:r>
        <w:rPr>
          <w:rFonts w:ascii="Times New Roman" w:hAnsi="Times New Roman" w:cs="Times New Roman" w:eastAsia="Times New Roman" w:hint="default"/>
        </w:rPr>
        <w:t>3</w:t>
      </w:r>
      <w:r>
        <w:rPr/>
        <w:t>、报告期内新纳入合并范围的主体和报告期内不再纳入合并范围的主体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6"/>
        <w:ind w:left="0" w:right="2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图木舒克荣信公司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10,633,167.27</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-1,366,832.73</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哈密荣信公司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9,195,534.26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-804,465.74</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新疆荣信公司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8,648,364.63</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-1,351,635.37</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JLT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5,091,559.20</w:t>
            </w:r>
          </w:p>
        </w:tc>
        <w:tc>
          <w:tcPr>
            <w:tcW w:w="26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七、合并财务报表主要项目注释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00000"/>
              <w:bottom w:val="single" w:sz="4" w:space="0" w:color="000000"/>
              <w:right w:val="single" w:sz="4" w:space="0" w:color="000000"/>
            </w:tcBorders>
            <w:shd w:val="clear" w:color="auto" w:fill="D3D3D3"/>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980,465.33</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355,881.79</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980,465.33</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355,881.79</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643,156,705.90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489,239,248.36</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638,065,027.59</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489,239,248.36</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119.11</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818,000.00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5,091,559.20</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158,566,375.10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81,589,682.11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158,566,375.10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81,589,682.11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802,703,546.33</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571,184,812.26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pStyle w:val="BodyText"/>
        <w:spacing w:line="240" w:lineRule="auto" w:before="90"/>
        <w:ind w:left="574" w:right="0"/>
        <w:jc w:val="left"/>
      </w:pPr>
      <w:r>
        <w:rPr/>
        <w:t>银行存款包含用作质押的定期存款</w:t>
      </w:r>
      <w:r>
        <w:rPr>
          <w:rFonts w:ascii="Times New Roman" w:hAnsi="Times New Roman" w:cs="Times New Roman" w:eastAsia="Times New Roman" w:hint="default"/>
        </w:rPr>
        <w:t>152,100,000.00</w:t>
      </w:r>
      <w:r>
        <w:rPr/>
        <w:t>元、已按照定期存款利率计提存款利息的定期存款</w:t>
      </w:r>
    </w:p>
    <w:p>
      <w:pPr>
        <w:pStyle w:val="BodyText"/>
        <w:spacing w:line="240" w:lineRule="auto" w:before="21"/>
        <w:ind w:right="0"/>
        <w:jc w:val="left"/>
      </w:pPr>
      <w:r>
        <w:rPr>
          <w:rFonts w:ascii="Times New Roman" w:hAnsi="Times New Roman" w:cs="Times New Roman" w:eastAsia="Times New Roman" w:hint="default"/>
        </w:rPr>
        <w:t>41,162,213.37</w:t>
      </w:r>
      <w:r>
        <w:rPr/>
        <w:t>元，其他货币资金包含银行承兑汇票保证金</w:t>
      </w:r>
      <w:r>
        <w:rPr>
          <w:rFonts w:ascii="Times New Roman" w:hAnsi="Times New Roman" w:cs="Times New Roman" w:eastAsia="Times New Roman" w:hint="default"/>
        </w:rPr>
        <w:t>108,790,674.69</w:t>
      </w:r>
      <w:r>
        <w:rPr/>
        <w:t>元。</w:t>
      </w:r>
    </w:p>
    <w:p>
      <w:pPr>
        <w:spacing w:line="240" w:lineRule="auto" w:before="8"/>
        <w:rPr>
          <w:rFonts w:ascii="宋体" w:hAnsi="宋体" w:cs="宋体" w:eastAsia="宋体" w:hint="default"/>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1"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117,173,182.05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107,824,814.42</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1,642,000.00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118,815,182.05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107,824,814.42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）期末公司已经背书给他方但尚未到期的票据情况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公司已经背书给其他方但尚未到期的票据</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3"/>
              <w:jc w:val="right"/>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沈阳鼓风机集团自动控 制系统工程公司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0"/>
              <w:jc w:val="righ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国电朔州海丰风力发电 有限责任公司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0"/>
              <w:jc w:val="righ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阳江世纪青山镍业有限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2,214,000.00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0"/>
              <w:jc w:val="righ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沈阳鼓风机集团自动控 制系统工程有限公司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0"/>
              <w:jc w:val="righ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沈阳透平机械股份有限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0"/>
              <w:jc w:val="righ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14,814,000.00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4"/>
        <w:gridCol w:w="1860"/>
        <w:gridCol w:w="1860"/>
        <w:gridCol w:w="1860"/>
        <w:gridCol w:w="2126"/>
      </w:tblGrid>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64"/>
        <w:gridCol w:w="1860"/>
        <w:gridCol w:w="1860"/>
        <w:gridCol w:w="1860"/>
        <w:gridCol w:w="2126"/>
      </w:tblGrid>
      <w:tr>
        <w:trPr>
          <w:trHeight w:val="402"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1,013,332.98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1,053,222.34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841,270.60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1,225,284.72</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1,013,332.98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1,053,222.34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841,270.60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1,225,284.72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64"/>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1,483,477,7</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93.87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136,497,56</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9.36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1,318,778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,903.27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102,070,728.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7.74%</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1,483,477,7</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93.87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136,497,56</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9.36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1,318,778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,903.27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102,070,728.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7.74%</w:t>
            </w:r>
          </w:p>
        </w:tc>
      </w:tr>
      <w:tr>
        <w:trPr>
          <w:trHeight w:val="1026"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8,136,679.0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8,136,679.0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6,417,279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6,417,279.01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1,491,614,4</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72.88</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144,634,24</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8.37</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1,325,196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,182.28</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108,488,007.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38" w:lineRule="auto" w:before="2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71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7"/>
        <w:gridCol w:w="1462"/>
        <w:gridCol w:w="929"/>
        <w:gridCol w:w="1462"/>
      </w:tblGrid>
      <w:tr>
        <w:trPr>
          <w:trHeight w:val="402" w:hRule="exact"/>
        </w:trPr>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00000"/>
              <w:right w:val="single" w:sz="4" w:space="0" w:color="000000"/>
            </w:tcBorders>
            <w:shd w:val="clear" w:color="auto" w:fill="D3D3D3"/>
          </w:tcPr>
          <w:p>
            <w:pP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824,164,838.62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55.56%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41,047,851.83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986,760,438.56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49,372,072.95</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824,164,838.62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55.56%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41,047,851.83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986,760,438.56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49,372,072.95</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459,518,237.06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45,951,823.71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176,151,137.49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17,615,113.75</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104,405,216.40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20,881,043.28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116,766,567.89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23,353,313.58</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95,389,501.79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28,616,850.54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39,100,759.33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11,730,227.80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7"/>
        <w:gridCol w:w="1462"/>
        <w:gridCol w:w="929"/>
        <w:gridCol w:w="1462"/>
      </w:tblGrid>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63,997,318.10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4.31%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19,199,195.43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33,451,340.84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10,035,402.25</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24,820,524.93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1.67%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7,446,157.48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4,417,129.69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0.33%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1,325,138.91</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6,571,658.76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0.43%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1,971,497.63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1,232,288.80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0.09%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369,686.64</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1,483,477,793.87</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136,497,569.36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1,318,778,903.27</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102,070,728.08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38" w:lineRule="auto"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期末单项金额虽不重大但单项计提坏账准备的应收账款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pict>
          <v:shape style="position:absolute;margin-left:119.460007pt;margin-top:108.972946pt;width:128.4pt;height:35.25pt;mso-position-horizontal-relative:page;mso-position-vertical-relative:paragraph;z-index:-96325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（集团）</w:t>
                  </w:r>
                </w:p>
              </w:txbxContent>
            </v:textbox>
            <w10:wrap type="none"/>
          </v:shape>
        </w:pict>
      </w:r>
      <w:r>
        <w:rPr/>
        <w:pict>
          <v:group style="position:absolute;margin-left:152.639999pt;margin-top:108.972946pt;width:95.25pt;height:35.25pt;mso-position-horizontal-relative:page;mso-position-vertical-relative:paragraph;z-index:-963232" coordorigin="3053,2179" coordsize="1905,705">
            <v:group style="position:absolute;left:3053;top:2179;width:1905;height:705" coordorigin="3053,2179" coordsize="1905,705">
              <v:shape style="position:absolute;left:3053;top:2179;width:1905;height:705" coordorigin="3053,2179" coordsize="1905,705" path="m3053,2884l4957,2884,4957,2179,3053,2179,3053,2884xe" filled="true" fillcolor="#ffffff" stroked="false">
                <v:path arrowok="t"/>
                <v:fill type="solid"/>
              </v:shape>
            </v:group>
            <v:group style="position:absolute;left:3076;top:2335;width:1859;height:393" coordorigin="3076,2335" coordsize="1859,393">
              <v:shape style="position:absolute;left:3076;top:2335;width:1859;height:393" coordorigin="3076,2335" coordsize="1859,393" path="m3076,2728l4934,2728,4934,2335,3076,2335,3076,2728xe" filled="true" fillcolor="#ffffff" stroked="false">
                <v:path arrowok="t"/>
                <v:fill type="solid"/>
              </v:shape>
            </v:group>
            <w10:wrap type="none"/>
          </v:group>
        </w:pict>
      </w: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江苏兴利来特钢有限公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公司已破产，且无法收 回货款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河北吉泰特钢有限责任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19"/>
              <w:jc w:val="left"/>
              <w:rPr>
                <w:rFonts w:ascii="宋体" w:hAnsi="宋体" w:cs="宋体" w:eastAsia="宋体" w:hint="default"/>
                <w:sz w:val="18"/>
                <w:szCs w:val="18"/>
              </w:rPr>
            </w:pPr>
            <w:r>
              <w:rPr>
                <w:rFonts w:ascii="宋体" w:hAnsi="宋体" w:cs="宋体" w:eastAsia="宋体" w:hint="default"/>
                <w:sz w:val="18"/>
                <w:szCs w:val="18"/>
              </w:rPr>
              <w:t>重庆市渝西钢铁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山西海鑫国际钢铁有限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陕西省进出口公司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543,807.00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543,807.00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新疆众裕电子新材料有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四川省鑫宏物资贸易有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209,472.01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209,472.01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临沂亿金物资有限责任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宁夏煤业集团有限责任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鸡西煤矿机械有限公司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北京首特冶金工程设计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北京赛瑞斯达电气设计 研究院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山东冠洲股份有限公司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bl>
    <w:p>
      <w:pPr>
        <w:spacing w:after="0" w:line="302"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8,136,679.01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8,136,679.01</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中国南方电网有限责任 公司超高压输电公司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71,039,946.00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北京华泰润达节能科技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48,475,792.50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大唐</w:t>
            </w:r>
            <w:r>
              <w:rPr>
                <w:rFonts w:ascii="Times New Roman" w:hAnsi="Times New Roman" w:cs="Times New Roman" w:eastAsia="Times New Roman" w:hint="default"/>
                <w:sz w:val="18"/>
                <w:szCs w:val="18"/>
              </w:rPr>
              <w:t>(</w:t>
            </w:r>
            <w:r>
              <w:rPr>
                <w:rFonts w:ascii="宋体" w:hAnsi="宋体" w:cs="宋体" w:eastAsia="宋体" w:hint="default"/>
                <w:sz w:val="18"/>
                <w:szCs w:val="18"/>
              </w:rPr>
              <w:t>通辽</w:t>
            </w:r>
            <w:r>
              <w:rPr>
                <w:rFonts w:ascii="Times New Roman" w:hAnsi="Times New Roman" w:cs="Times New Roman" w:eastAsia="Times New Roman" w:hint="default"/>
                <w:sz w:val="18"/>
                <w:szCs w:val="18"/>
              </w:rPr>
              <w:t>)</w:t>
            </w:r>
            <w:r>
              <w:rPr>
                <w:rFonts w:ascii="宋体" w:hAnsi="宋体" w:cs="宋体" w:eastAsia="宋体" w:hint="default"/>
                <w:sz w:val="18"/>
                <w:szCs w:val="18"/>
              </w:rPr>
              <w:t>霍林河新能 源有限公司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福建增晟创新节能科技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30,845,780.00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中海石油（中国）有限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26,747,000.00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209,708,518.50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）应收关联方账款情况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13,386,448.86</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0.9%</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山东荣信汇盛机电科技有限 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14,946,448.86</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）终止确认的应收款项情况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1"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无追索权保理</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250,452,313.26</w:t>
            </w:r>
          </w:p>
        </w:tc>
        <w:tc>
          <w:tcPr>
            <w:tcW w:w="35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250,452,313.26</w:t>
            </w:r>
          </w:p>
        </w:tc>
        <w:tc>
          <w:tcPr>
            <w:tcW w:w="35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78,382,428.9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7,648,001.94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67,589,799.3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5,301,590.24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7.84%</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78,382,428.9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7,648,001.94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67,589,799.3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5,301,590.24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7.84%</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78,382,428.9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7,648,001.94</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67,589,799.3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5,301,590.24</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40" w:lineRule="auto" w:before="2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组合中，采用账龄分析法计提坏账准备的其他应收款</w:t>
      </w:r>
    </w:p>
    <w:p>
      <w:pPr>
        <w:spacing w:before="40"/>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9"/>
        <w:gridCol w:w="1447"/>
        <w:gridCol w:w="1450"/>
        <w:gridCol w:w="656"/>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3D3D3"/>
          </w:tcPr>
          <w:p>
            <w:pPr/>
          </w:p>
        </w:tc>
        <w:tc>
          <w:tcPr>
            <w:tcW w:w="2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39,926,861.88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1,994,843.09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48,700,857.28</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2,363,963.10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39,926,861.88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1,994,843.09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48,700,857.28</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2,363,963.10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26,901,112.00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2,690,111.20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11,986,075.77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1,198,607.58</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5,032,888.77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1,006,577.75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3,318,403.29</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663,680.66</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6,521,566.29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1,956,469.90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3,584,463.00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1,075,338.90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2,960,103.29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888,031.00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3,199,060.00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959,718.00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3,176,060.00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952,818.00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54,301.00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16,290.30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385,403.00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115,620.90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331,102.00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99,330.60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78,382,428.94</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7,648,001.94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67,589,799.34</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5,301,590.24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42"/>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）本报告期实际核销的其他应收款情况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王开迅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4"/>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 已无法取得联系</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20,000.01</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民生金融租赁股份有限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安吉租赁有限公司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贵州电网公司六盘水供 电局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2,343,700.00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青海黄河水电再生铝业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中能电力科技开发有限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34,883,700.00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）其他应收关联方账款情况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158,280.00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158,280.00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87"/>
        <w:gridCol w:w="1062"/>
        <w:gridCol w:w="3054"/>
        <w:gridCol w:w="1062"/>
      </w:tblGrid>
      <w:tr>
        <w:trPr>
          <w:trHeight w:val="402" w:hRule="exact"/>
        </w:trPr>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02" w:type="dxa"/>
            <w:vMerge/>
            <w:tcBorders>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151,518,027.43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147,381,659.70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79.64%</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982" w:header="747"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87"/>
        <w:gridCol w:w="1062"/>
        <w:gridCol w:w="3054"/>
        <w:gridCol w:w="1062"/>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18,123,743.48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10.53%</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36,243,922.02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19.59%</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2,474,810.84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995,245.01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48,820.00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445,606.35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172,165,401.75</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185,066,433.08</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江苏天腾建设集团有限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烟台宝鑫矿山机械有限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哈尔滨哈锅锅炉工程技 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鞍山市祥龙工业设备有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史陶比</w:t>
            </w:r>
            <w:r>
              <w:rPr>
                <w:rFonts w:ascii="Times New Roman" w:hAnsi="Times New Roman" w:cs="Times New Roman" w:eastAsia="Times New Roman" w:hint="default"/>
                <w:sz w:val="18"/>
                <w:szCs w:val="18"/>
              </w:rPr>
              <w:t>(</w:t>
            </w:r>
            <w:r>
              <w:rPr>
                <w:rFonts w:ascii="宋体" w:hAnsi="宋体" w:cs="宋体" w:eastAsia="宋体" w:hint="default"/>
                <w:sz w:val="18"/>
                <w:szCs w:val="18"/>
              </w:rPr>
              <w:t>杭州）精密机械 电子有限公司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6,664,138.18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460"/>
        <w:gridCol w:w="1194"/>
        <w:gridCol w:w="1330"/>
        <w:gridCol w:w="1327"/>
        <w:gridCol w:w="1330"/>
        <w:gridCol w:w="1328"/>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238,917,408.97</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238,917,408.97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214,258,013.71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214,258,013.71</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284,257,153.34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284,257,153.34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180,546,301.85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180,546,301.85</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39,917,942.21</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39,917,942.21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40,762,736.13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40,762,736.13</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3,060,362.74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3,060,362.74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2,782,296.78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2,782,296.78</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566,152,867.26</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566,152,867.26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438,349,348.47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438,349,348.47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57"/>
        <w:gridCol w:w="2922"/>
        <w:gridCol w:w="3188"/>
      </w:tblGrid>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增值税未抵扣金额</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53" w:right="0"/>
              <w:jc w:val="left"/>
              <w:rPr>
                <w:rFonts w:ascii="Times New Roman" w:hAnsi="Times New Roman" w:cs="Times New Roman" w:eastAsia="Times New Roman" w:hint="default"/>
                <w:sz w:val="18"/>
                <w:szCs w:val="18"/>
              </w:rPr>
            </w:pPr>
            <w:r>
              <w:rPr>
                <w:rFonts w:ascii="Times New Roman"/>
                <w:sz w:val="18"/>
              </w:rPr>
              <w:t>61,170,173.70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82" w:header="747" w:top="1060" w:bottom="1180" w:left="980" w:right="98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57"/>
        <w:gridCol w:w="2922"/>
        <w:gridCol w:w="3188"/>
      </w:tblGrid>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多交企业所得税</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3,895,191.80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多交其他税费</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67,726.61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65,133,092.11</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207,900,000.00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132,900,000.00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207,900,000.00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10</w:t>
      </w:r>
      <w:r>
        <w:rPr/>
        <w:t>、对合营企业投资和联营企业投资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8"/>
        <w:gridCol w:w="1194"/>
        <w:gridCol w:w="1196"/>
        <w:gridCol w:w="1194"/>
        <w:gridCol w:w="1198"/>
        <w:gridCol w:w="1196"/>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2" w:right="53"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7" w:right="50"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2" w:right="49"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3"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山东荣信汇盛 机电科技有限 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37,608,661.68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11,499,144.74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26,109,516.94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6,431,136.27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-1,695,809.28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中煤科创节能 技术有限公司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62,956,977.68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14,280,190.63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48,676,787.05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14,691,246.99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471,865.09</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泰信新能源科 技有限公司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6,028,969.39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6,028,969.39</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7"/>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2"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山东荣信</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汇盛机电 科技有限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15,137,60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14,418,81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5.87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-847,904.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1" w:right="0"/>
              <w:jc w:val="left"/>
              <w:rPr>
                <w:rFonts w:ascii="Times New Roman" w:hAnsi="Times New Roman" w:cs="Times New Roman" w:eastAsia="Times New Roman" w:hint="default"/>
                <w:sz w:val="18"/>
                <w:szCs w:val="18"/>
              </w:rPr>
            </w:pPr>
            <w:r>
              <w:rPr>
                <w:rFonts w:ascii="Times New Roman"/>
                <w:sz w:val="18"/>
              </w:rPr>
              <w:t>13,570,91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1.23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中煤科创 节能技术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26,475,10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25,515,06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235,932.5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25,750,99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广州高澜</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节能技术 股份有限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泰信新能 源科技有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2,954,195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2,954,195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2,954,195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52,566,89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47,933,87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2,342,222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50,276,09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9.76</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1327"/>
        <w:gridCol w:w="1595"/>
        <w:gridCol w:w="1594"/>
        <w:gridCol w:w="1462"/>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486,559,534.16</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3" w:right="0"/>
              <w:jc w:val="left"/>
              <w:rPr>
                <w:rFonts w:ascii="Times New Roman" w:hAnsi="Times New Roman" w:cs="Times New Roman" w:eastAsia="Times New Roman" w:hint="default"/>
                <w:sz w:val="18"/>
                <w:szCs w:val="18"/>
              </w:rPr>
            </w:pPr>
            <w:r>
              <w:rPr>
                <w:rFonts w:ascii="Times New Roman"/>
                <w:sz w:val="18"/>
              </w:rPr>
              <w:t>130,495,790.17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4,010,292.68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613,045,031.65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308,623,495.07</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97,258,577.26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405,882,072.33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86,623,109.86</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20,349,033.45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106,972,143.31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24,446,767.77</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5,057,235.00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3,669,322.13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25,834,680.64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11,382,919.69</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2,289,472.13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192,867.97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13,479,523.85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10,570,270.47</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354,896.56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10,925,167.03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995,501.14</w:t>
            </w:r>
          </w:p>
        </w:tc>
        <w:tc>
          <w:tcPr>
            <w:tcW w:w="2922" w:type="dxa"/>
            <w:gridSpan w:val="2"/>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995,501.14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43,917,470.16</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5,186,575.77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148,102.58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48,955,943.35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75,865,493.00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29,229,056.92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2,791,537.21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102,303,012.71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17,854,891.06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8,334,761.07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26,189,652.13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13,159,249.56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9,785,821.96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22,945,071.52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13,558,426.10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2,926,956.76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2,568,285.34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13,917,097.52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5,321,281.64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1,884,922.21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150,158.52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7,056,045.33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4,435,269.54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1,611,336.39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6,046,605.93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1327"/>
        <w:gridCol w:w="1595"/>
        <w:gridCol w:w="1594"/>
        <w:gridCol w:w="1462"/>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945,726.08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945,726.08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20,590,649.02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4,685,258.53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1" w:right="0"/>
              <w:jc w:val="left"/>
              <w:rPr>
                <w:rFonts w:ascii="Times New Roman" w:hAnsi="Times New Roman" w:cs="Times New Roman" w:eastAsia="Times New Roman" w:hint="default"/>
                <w:sz w:val="18"/>
                <w:szCs w:val="18"/>
              </w:rPr>
            </w:pPr>
            <w:r>
              <w:rPr>
                <w:rFonts w:ascii="Times New Roman"/>
                <w:sz w:val="18"/>
              </w:rPr>
              <w:t>73,093.35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25,202,814.20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410,694,041.16</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510,742,018.94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290,768,604.01</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379,692,420.20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73,463,860.30</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84,027,071.79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10,888,341.67</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11,917,583.12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6,061,638.05</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6,423,478.52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6,135,000.93</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4,878,561.10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49,775.06</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49,775.06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23,326,821.14</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23,753,129.15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410,694,041.16</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510,742,018.94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290,768,604.01</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379,692,420.20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73,463,860.30</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84,027,071.79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10,888,341.67</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11,917,583.12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6,061,638.05</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6,423,478.52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6,135,000.93</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4,878,561.10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49,775.06</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49,775.06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23,326,821.14</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23,753,129.15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29,229,056.92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101,377,313.49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北京研发中心</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6,090,596.42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6,090,596.42</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ITER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实验设备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13,632,947.80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13,632,947.80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10,947,723.80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10,947,723.80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特大变频项目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71,899,557.89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71,899,557.89</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6,971,778.55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6,971,778.55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6,968,148.33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6,968,148.33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办公大楼装修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3,035,109.00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3,035,109.00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1,394,139.26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1,394,139.26</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煤气与矸石混烧发电工程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42,815,636.45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42,815,636.45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6,738,699.86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6,738,699.86</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期厂房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18,058,946.35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18,058,946.35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SVG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玻璃房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1,152,400.00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1,152,400.00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新疆厂房工程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哈密厂房工程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沼气工程办公楼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5,715,246.10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5,715,246.10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2,892,182.69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2,892,182.69</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106,420,064.25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106,420,064.25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106,931,048.25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106,931,048.25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2"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7"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北京研 发中心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96,780,0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6,090,59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6.42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6,090,59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6.42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ITER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实</w:t>
            </w: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10,947,7</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2,685,22</w:t>
            </w: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自筹资</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13,632,9</w:t>
            </w:r>
          </w:p>
        </w:tc>
      </w:tr>
      <w:tr>
        <w:trPr>
          <w:trHeight w:val="351"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验设备</w:t>
            </w: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23.80</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4.00</w:t>
            </w: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47.80</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特大变 频项目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182,590,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71,899,5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18,779,4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90,679,0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21.07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设备安 装</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6,968,14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3,630.22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6,971,77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8.55</w:t>
            </w:r>
          </w:p>
        </w:tc>
      </w:tr>
      <w:tr>
        <w:trPr>
          <w:trHeight w:val="361"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办公大</w:t>
            </w: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1,394,13</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1,640,96</w:t>
            </w: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自筹资</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3,035,10</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楼装修</w:t>
            </w: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9.26</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9.74</w:t>
            </w: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9.00</w:t>
            </w: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煤气与</w:t>
            </w: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矸石混</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6,738,69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36,076,9</w:t>
            </w: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自筹资</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4" w:right="0"/>
              <w:jc w:val="left"/>
              <w:rPr>
                <w:rFonts w:ascii="Times New Roman" w:hAnsi="Times New Roman" w:cs="Times New Roman" w:eastAsia="Times New Roman" w:hint="default"/>
                <w:sz w:val="18"/>
                <w:szCs w:val="18"/>
              </w:rPr>
            </w:pPr>
            <w:r>
              <w:rPr>
                <w:rFonts w:ascii="Times New Roman"/>
                <w:sz w:val="18"/>
              </w:rPr>
              <w:t>42,815,6</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烧发电</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9.86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36.59</w:t>
            </w: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36.45</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西区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II</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期厂房</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32,200,0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18,058,9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46.35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56.08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18,058,9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46.35</w:t>
            </w:r>
          </w:p>
        </w:tc>
      </w:tr>
      <w:tr>
        <w:trPr>
          <w:trHeight w:val="363"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SVG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玻</w:t>
            </w:r>
          </w:p>
        </w:tc>
        <w:tc>
          <w:tcPr>
            <w:tcW w:w="734"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1,152,40</w:t>
            </w: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自筹资</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1,152,40</w:t>
            </w:r>
          </w:p>
        </w:tc>
      </w:tr>
      <w:tr>
        <w:trPr>
          <w:trHeight w:val="351"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璃房</w:t>
            </w:r>
          </w:p>
        </w:tc>
        <w:tc>
          <w:tcPr>
            <w:tcW w:w="734"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0.00</w:t>
            </w:r>
          </w:p>
        </w:tc>
      </w:tr>
      <w:tr>
        <w:trPr>
          <w:trHeight w:val="361"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新疆厂</w:t>
            </w:r>
          </w:p>
        </w:tc>
        <w:tc>
          <w:tcPr>
            <w:tcW w:w="734"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9,390,00</w:t>
            </w: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自筹资</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9,390,00</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房工程</w:t>
            </w:r>
          </w:p>
        </w:tc>
        <w:tc>
          <w:tcPr>
            <w:tcW w:w="734"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哈密厂</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3,000,00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自筹资</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3,000,00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房工程</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沼气工 程办公 楼</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4,531,12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7.16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2,648,00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48.95%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6"/>
              <w:jc w:val="right"/>
              <w:rPr>
                <w:rFonts w:ascii="Times New Roman" w:hAnsi="Times New Roman" w:cs="Times New Roman" w:eastAsia="Times New Roman" w:hint="default"/>
                <w:sz w:val="18"/>
                <w:szCs w:val="18"/>
              </w:rPr>
            </w:pPr>
            <w:r>
              <w:rPr>
                <w:rFonts w:ascii="Times New Roman"/>
                <w:sz w:val="18"/>
              </w:rPr>
              <w:t>48.95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2,648,00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2,892,18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7,430,75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4,607,69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5,715,24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6.10</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106,931,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048.25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100,866,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329.49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101,377,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313.49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106,420,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064.25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39,175,610.19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32,384,812.21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71,560,422.40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13,596,064.92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23,350,000.00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36,946,064.92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21,263,141.97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8,485,670.36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29,748,812.33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4,316,403.30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549,141.85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4,865,545.15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13,630,676.98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3,549,131.31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17,179,808.29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2,339,062.76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572,637.78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2,911,700.54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9,043,328.86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2,309,075.06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11,352,403.92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2,248,285.36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667,418.47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2,915,703.83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25,544,933.21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28,835,680.90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54,380,614.11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11,257,002.16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22,777,362.22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34,034,364.38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12,219,813.11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6,176,595.30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18,396,408.41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2,068,117.94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-118,276.62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1,949,841.32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C0C0C0" w:color="auto" w:val="clear"/>
              </w:rPr>
              <w:t>四、减值准备合计</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25,544,933.21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28,835,680.90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54,380,614.11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11,257,002.16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22,777,362.22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34,034,364.38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12,219,813.11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6,176,595.30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18,396,408.41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2,068,117.94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-118,276.62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1,949,841.32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3,562,094.26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4"/>
      </w:tblGrid>
      <w:tr>
        <w:trPr>
          <w:trHeight w:val="401"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特大变频项目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46,146,406.97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41,074,717.55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36,437,887.18</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50,783,237.34</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风电变流器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23,920,708.08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2,380,477.32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26,301,185.40</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SVC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无功预测补偿 方法</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671,369.00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671,369.00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两点式夹具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565,378.00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565,378.00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空心水冷电抗器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1,122,501.00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1,122,501.00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熔断器状态检测方 法</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412,444.00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412,444.00</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变流器控制系统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545,446.40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546,251.40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铝型材水冷散热器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657,027.87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657,027.87</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铝型材水冷散热母 排</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653,756.34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653,756.34</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铝合金夹紧装置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634,464.75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634,464.75</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整流器控制系统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705,409.00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705,409.00</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晶闸管直通型散热 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73,384,253.45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46,706,657.83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36,437,887.18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2,905,499.40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80,747,524.70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27.67%</w:t>
      </w:r>
      <w:r>
        <w:rPr>
          <w:rFonts w:ascii="宋体" w:hAnsi="宋体" w:cs="宋体" w:eastAsia="宋体" w:hint="default"/>
          <w:sz w:val="18"/>
          <w:szCs w:val="18"/>
        </w:rPr>
        <w:t>。</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8"/>
        <w:gridCol w:w="1459"/>
        <w:gridCol w:w="1460"/>
        <w:gridCol w:w="1460"/>
        <w:gridCol w:w="1460"/>
        <w:gridCol w:w="1199"/>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信力筑正公司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4,733,906.33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4,733,906.33</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上海地澳自动化科技有限公司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3,993,764.63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3,993,764.63</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8,727,670.96</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8,727,670.96</w:t>
            </w:r>
          </w:p>
        </w:tc>
        <w:tc>
          <w:tcPr>
            <w:tcW w:w="119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pStyle w:val="BodyText"/>
        <w:spacing w:line="240" w:lineRule="auto" w:before="89"/>
        <w:ind w:left="574" w:right="0"/>
        <w:jc w:val="left"/>
      </w:pPr>
      <w:r>
        <w:rPr/>
        <w:t>通过比较相关资产组组合的账面价值与可收回金额进行减值测试，本公司商誉未发生减值。</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经营租入固定资 产改良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1,260,726.16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529,368.33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731,357.83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1,260,726.16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529,368.33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731,357.83</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17</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）递延所得税资产和递延所得税负债以抵销后的净额列示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61"/>
        <w:gridCol w:w="1627"/>
        <w:gridCol w:w="1627"/>
        <w:gridCol w:w="1626"/>
        <w:gridCol w:w="1628"/>
      </w:tblGrid>
      <w:tr>
        <w:trPr>
          <w:trHeight w:val="317" w:hRule="exact"/>
        </w:trPr>
        <w:tc>
          <w:tcPr>
            <w:tcW w:w="30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7" w:right="86"/>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9"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6" w:type="dxa"/>
            <w:vMerge/>
            <w:tcBorders>
              <w:left w:val="single" w:sz="4" w:space="0" w:color="000000"/>
              <w:right w:val="single" w:sz="4" w:space="0" w:color="000000"/>
            </w:tcBorders>
            <w:shd w:val="clear" w:color="auto" w:fill="D3D3D3"/>
          </w:tcPr>
          <w:p>
            <w:pPr/>
          </w:p>
        </w:tc>
        <w:tc>
          <w:tcPr>
            <w:tcW w:w="1628" w:type="dxa"/>
            <w:vMerge/>
            <w:tcBorders>
              <w:left w:val="single" w:sz="4" w:space="0" w:color="000000"/>
              <w:right w:val="single" w:sz="4" w:space="0" w:color="000000"/>
            </w:tcBorders>
            <w:shd w:val="clear" w:color="auto" w:fill="D3D3D3"/>
          </w:tcPr>
          <w:p>
            <w:pPr/>
          </w:p>
        </w:tc>
      </w:tr>
      <w:tr>
        <w:trPr>
          <w:trHeight w:val="317" w:hRule="exact"/>
        </w:trPr>
        <w:tc>
          <w:tcPr>
            <w:tcW w:w="3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6" w:type="dxa"/>
            <w:vMerge/>
            <w:tcBorders>
              <w:left w:val="single" w:sz="4" w:space="0" w:color="000000"/>
              <w:bottom w:val="single" w:sz="4" w:space="0" w:color="000000"/>
              <w:right w:val="single" w:sz="4" w:space="0" w:color="000000"/>
            </w:tcBorders>
            <w:shd w:val="clear" w:color="auto" w:fill="D3D3D3"/>
          </w:tcPr>
          <w:p>
            <w:pPr/>
          </w:p>
        </w:tc>
        <w:tc>
          <w:tcPr>
            <w:tcW w:w="16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2,222,675.23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13,461,736.28</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5,034,746.57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1" w:right="0"/>
              <w:jc w:val="left"/>
              <w:rPr>
                <w:rFonts w:ascii="Times New Roman" w:hAnsi="Times New Roman" w:cs="Times New Roman" w:eastAsia="Times New Roman" w:hint="default"/>
                <w:sz w:val="18"/>
                <w:szCs w:val="18"/>
              </w:rPr>
            </w:pPr>
            <w:r>
              <w:rPr>
                <w:rFonts w:ascii="Times New Roman"/>
                <w:sz w:val="18"/>
              </w:rPr>
              <w:t>24,346,102.77</w:t>
            </w:r>
          </w:p>
        </w:tc>
      </w:tr>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6,244,433.50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41,629,556.63</w:t>
            </w:r>
          </w:p>
        </w:tc>
        <w:tc>
          <w:tcPr>
            <w:tcW w:w="162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5712"/>
      </w:tblGrid>
      <w:tr>
        <w:trPr>
          <w:trHeight w:val="401"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5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19,878,066.50</w:t>
            </w: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5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26,122,500.00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pStyle w:val="BodyText"/>
        <w:spacing w:line="240" w:lineRule="auto" w:before="89"/>
        <w:ind w:left="490" w:right="0"/>
        <w:jc w:val="left"/>
      </w:pPr>
      <w:r>
        <w:rPr/>
        <w:t>母公司递延所得税资产和递延所得税负债互抵。</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18</w:t>
      </w:r>
      <w:r>
        <w:rPr/>
        <w:t>、资产减值准备明细</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6"/>
        <w:gridCol w:w="1528"/>
        <w:gridCol w:w="1528"/>
        <w:gridCol w:w="1398"/>
        <w:gridCol w:w="1398"/>
        <w:gridCol w:w="1452"/>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116,518,150.46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39,899,152.19</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156,397,302.64</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117,518,150.46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39,899,152.19</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1,020,000.01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156,397,302.64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right="0"/>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714"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预付北京荣信中科电气设备有限公司设立投 资款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305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其他非流动资产的说明</w:t>
      </w:r>
    </w:p>
    <w:p>
      <w:pPr>
        <w:pStyle w:val="BodyText"/>
        <w:spacing w:line="240" w:lineRule="auto" w:before="90"/>
        <w:ind w:left="0" w:right="150"/>
        <w:jc w:val="right"/>
      </w:pPr>
      <w:r>
        <w:rPr>
          <w:rFonts w:ascii="Times New Roman" w:hAnsi="Times New Roman" w:cs="Times New Roman" w:eastAsia="Times New Roman" w:hint="default"/>
        </w:rPr>
        <w:t>2012</w:t>
      </w:r>
      <w:r>
        <w:rPr/>
        <w:t>年度，本公司与杨双等</w:t>
      </w:r>
      <w:r>
        <w:rPr>
          <w:rFonts w:ascii="Times New Roman" w:hAnsi="Times New Roman" w:cs="Times New Roman" w:eastAsia="Times New Roman" w:hint="default"/>
        </w:rPr>
        <w:t>8</w:t>
      </w:r>
      <w:r>
        <w:rPr/>
        <w:t>名自然人共同出资设立北京荣信中科电气设备有限公司，第一期出资款</w:t>
      </w:r>
    </w:p>
    <w:p>
      <w:pPr>
        <w:pStyle w:val="BodyText"/>
        <w:spacing w:line="256" w:lineRule="auto" w:before="21"/>
        <w:ind w:left="153" w:right="146"/>
        <w:jc w:val="both"/>
      </w:pPr>
      <w:r>
        <w:rPr>
          <w:rFonts w:ascii="Times New Roman" w:hAnsi="Times New Roman" w:cs="Times New Roman" w:eastAsia="Times New Roman" w:hint="default"/>
        </w:rPr>
        <w:t>9,000,000.00</w:t>
      </w:r>
      <w:r>
        <w:rPr/>
        <w:t>元，业经北京慧诚志会计师事务所</w:t>
      </w:r>
      <w:r>
        <w:rPr>
          <w:rFonts w:ascii="Times New Roman" w:hAnsi="Times New Roman" w:cs="Times New Roman" w:eastAsia="Times New Roman" w:hint="default"/>
        </w:rPr>
        <w:t>(</w:t>
      </w:r>
      <w:r>
        <w:rPr/>
        <w:t>普通合伙</w:t>
      </w:r>
      <w:r>
        <w:rPr>
          <w:rFonts w:ascii="Times New Roman" w:hAnsi="Times New Roman" w:cs="Times New Roman" w:eastAsia="Times New Roman" w:hint="default"/>
        </w:rPr>
        <w:t>)</w:t>
      </w:r>
      <w:r>
        <w:rPr/>
        <w:t>审验并由其于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日出具《验资报告》 </w:t>
      </w:r>
      <w:r>
        <w:rPr>
          <w:rFonts w:ascii="Times New Roman" w:hAnsi="Times New Roman" w:cs="Times New Roman" w:eastAsia="Times New Roman" w:hint="default"/>
        </w:rPr>
        <w:t>(</w:t>
      </w:r>
      <w:r>
        <w:rPr/>
        <w:t>京慧诚志验字</w:t>
      </w:r>
      <w:r>
        <w:rPr>
          <w:rFonts w:ascii="Times New Roman" w:hAnsi="Times New Roman" w:cs="Times New Roman" w:eastAsia="Times New Roman" w:hint="default"/>
        </w:rPr>
        <w:t>[2012]1054</w:t>
      </w:r>
      <w:r>
        <w:rPr/>
        <w:t>号)。截至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日，北京荣信中科电气设备有限公司工商设立登记尚在</w:t>
      </w:r>
      <w:r>
        <w:rPr>
          <w:spacing w:val="-45"/>
        </w:rPr>
        <w:t> </w:t>
      </w:r>
      <w:r>
        <w:rPr>
          <w:spacing w:val="-45"/>
        </w:rPr>
      </w:r>
      <w:r>
        <w:rPr/>
        <w:t>办理之中。</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0"/>
        <w:jc w:val="both"/>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224,209,000.00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222,000,000.00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230,209,000.00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1,487,798.00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449,500.00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255,627,439.93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179,296,845.59</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257,115,237.93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179,746,345.59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257,115,237.93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474,258,258.47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461,574,295.42</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17,068,289.55</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33,466,911.15</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14,168,795.54</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11,460,401.46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3"/>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505,495,343.56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506,501,608.03</w:t>
            </w:r>
          </w:p>
        </w:tc>
      </w:tr>
    </w:tbl>
    <w:p>
      <w:pPr>
        <w:spacing w:line="240" w:lineRule="auto" w:before="2"/>
        <w:rPr>
          <w:rFonts w:ascii="宋体" w:hAnsi="宋体" w:cs="宋体" w:eastAsia="宋体" w:hint="default"/>
          <w:sz w:val="19"/>
          <w:szCs w:val="19"/>
        </w:rPr>
      </w:pPr>
    </w:p>
    <w:p>
      <w:pPr>
        <w:spacing w:line="506" w:lineRule="auto" w:before="35"/>
        <w:ind w:left="406" w:right="3953" w:hanging="25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）账龄超过一年的大额应付账款情况的说明</w:t>
      </w:r>
      <w:r>
        <w:rPr>
          <w:rFonts w:ascii="宋体" w:hAnsi="宋体" w:cs="宋体" w:eastAsia="宋体" w:hint="default"/>
          <w:b/>
          <w:bCs/>
          <w:w w:val="99"/>
          <w:sz w:val="21"/>
          <w:szCs w:val="21"/>
        </w:rPr>
        <w:t> </w:t>
      </w:r>
      <w:r>
        <w:rPr>
          <w:rFonts w:ascii="宋体" w:hAnsi="宋体" w:cs="宋体" w:eastAsia="宋体" w:hint="default"/>
          <w:sz w:val="21"/>
          <w:szCs w:val="21"/>
        </w:rPr>
        <w:t>账龄超过</w:t>
      </w:r>
      <w:r>
        <w:rPr>
          <w:rFonts w:ascii="Times New Roman" w:hAnsi="Times New Roman" w:cs="Times New Roman" w:eastAsia="Times New Roman" w:hint="default"/>
          <w:sz w:val="21"/>
          <w:szCs w:val="21"/>
        </w:rPr>
        <w:t>1</w:t>
      </w:r>
      <w:r>
        <w:rPr>
          <w:rFonts w:ascii="宋体" w:hAnsi="宋体" w:cs="宋体" w:eastAsia="宋体" w:hint="default"/>
          <w:sz w:val="21"/>
          <w:szCs w:val="21"/>
        </w:rPr>
        <w:t>年的大额应付账款主要为未到约定付款期的款项。</w:t>
      </w:r>
    </w:p>
    <w:p>
      <w:pPr>
        <w:pStyle w:val="Heading4"/>
        <w:spacing w:line="240" w:lineRule="auto" w:before="64"/>
        <w:ind w:right="0"/>
        <w:jc w:val="left"/>
        <w:rPr>
          <w:b w:val="0"/>
          <w:bCs w:val="0"/>
        </w:rPr>
      </w:pPr>
      <w:r>
        <w:rPr>
          <w:rFonts w:ascii="Times New Roman" w:hAnsi="Times New Roman" w:cs="Times New Roman" w:eastAsia="Times New Roman" w:hint="default"/>
        </w:rPr>
        <w:t>23</w:t>
      </w:r>
      <w:r>
        <w:rPr/>
        <w:t>、预收账款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156,671,418.18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154,206,025.10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156,671,418.18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154,206,025.10</w:t>
            </w:r>
          </w:p>
        </w:tc>
      </w:tr>
    </w:tbl>
    <w:p>
      <w:pPr>
        <w:spacing w:line="240" w:lineRule="auto" w:before="2"/>
        <w:rPr>
          <w:rFonts w:ascii="宋体" w:hAnsi="宋体" w:cs="宋体" w:eastAsia="宋体" w:hint="default"/>
          <w:sz w:val="19"/>
          <w:szCs w:val="19"/>
        </w:rPr>
      </w:pPr>
    </w:p>
    <w:p>
      <w:pPr>
        <w:spacing w:line="506" w:lineRule="auto" w:before="35"/>
        <w:ind w:left="490" w:right="4079" w:hanging="337"/>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）账龄超过一年的大额预收账款情况的说明</w:t>
      </w:r>
      <w:r>
        <w:rPr>
          <w:rFonts w:ascii="宋体" w:hAnsi="宋体" w:cs="宋体" w:eastAsia="宋体" w:hint="default"/>
          <w:b/>
          <w:bCs/>
          <w:w w:val="99"/>
          <w:sz w:val="21"/>
          <w:szCs w:val="21"/>
        </w:rPr>
        <w:t> </w:t>
      </w:r>
      <w:r>
        <w:rPr>
          <w:rFonts w:ascii="宋体" w:hAnsi="宋体" w:cs="宋体" w:eastAsia="宋体" w:hint="default"/>
          <w:sz w:val="21"/>
          <w:szCs w:val="21"/>
        </w:rPr>
        <w:t>账龄超过</w:t>
      </w:r>
      <w:r>
        <w:rPr>
          <w:rFonts w:ascii="Times New Roman" w:hAnsi="Times New Roman" w:cs="Times New Roman" w:eastAsia="Times New Roman" w:hint="default"/>
          <w:sz w:val="21"/>
          <w:szCs w:val="21"/>
        </w:rPr>
        <w:t>1</w:t>
      </w:r>
      <w:r>
        <w:rPr>
          <w:rFonts w:ascii="宋体" w:hAnsi="宋体" w:cs="宋体" w:eastAsia="宋体" w:hint="default"/>
          <w:sz w:val="21"/>
          <w:szCs w:val="21"/>
        </w:rPr>
        <w:t>年的预收款项为项目尚未完成，款项暂未结转。</w:t>
      </w:r>
    </w:p>
    <w:p>
      <w:pPr>
        <w:pStyle w:val="Heading4"/>
        <w:spacing w:line="240" w:lineRule="auto" w:before="64"/>
        <w:ind w:right="0"/>
        <w:jc w:val="left"/>
        <w:rPr>
          <w:b w:val="0"/>
          <w:bCs w:val="0"/>
        </w:rPr>
      </w:pPr>
      <w:r>
        <w:rPr>
          <w:rFonts w:ascii="Times New Roman" w:hAnsi="Times New Roman" w:cs="Times New Roman" w:eastAsia="Times New Roman" w:hint="default"/>
        </w:rPr>
        <w:t>24</w:t>
      </w:r>
      <w:r>
        <w:rPr/>
        <w:t>、应付职工薪酬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916,406.11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85,550,249.45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85,033,485.00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1,433,170.56</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915,963.86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25,067,304.08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24,898,754.22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1,084,513.72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21,843.00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8,449,397.00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8,092,813.00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378,427.00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97,500.00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699,129.62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6,433,334.15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5,805,806.82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1,326,656.95</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2,553,342.59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125,597,784.68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123,928,359.04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4,222,768.23</w:t>
            </w:r>
          </w:p>
        </w:tc>
      </w:tr>
    </w:tbl>
    <w:p>
      <w:pPr>
        <w:spacing w:line="336" w:lineRule="auto" w:before="51"/>
        <w:ind w:left="153" w:right="5886" w:firstLine="0"/>
        <w:jc w:val="left"/>
        <w:rPr>
          <w:rFonts w:ascii="宋体" w:hAnsi="宋体" w:cs="宋体" w:eastAsia="宋体" w:hint="default"/>
          <w:sz w:val="21"/>
          <w:szCs w:val="21"/>
        </w:rPr>
      </w:pPr>
      <w:r>
        <w:rPr>
          <w:rFonts w:ascii="宋体" w:hAnsi="宋体" w:cs="宋体" w:eastAsia="宋体" w:hint="default"/>
          <w:sz w:val="18"/>
          <w:szCs w:val="18"/>
        </w:rPr>
        <w:t>工会经费和职工教育经费金额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1,326,656.95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应付职工薪酬预计发放时间、金额等安排 </w:t>
      </w:r>
      <w:r>
        <w:rPr>
          <w:rFonts w:ascii="宋体" w:hAnsi="宋体" w:cs="宋体" w:eastAsia="宋体" w:hint="default"/>
          <w:sz w:val="21"/>
          <w:szCs w:val="21"/>
        </w:rPr>
        <w:t>期末应付职工薪酬发放时间为</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p>
    <w:p>
      <w:pPr>
        <w:spacing w:line="240" w:lineRule="auto" w:before="7"/>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1"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3,879,180.71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-48,766,879.47</w:t>
            </w: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2,312,489.34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1,475,040.00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2,752,965.54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11,403,933.79</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217,157.22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134,465.55</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612,368.30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985,136.08</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175,488.24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113,621.53</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189,076.60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189,076.90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272,870.58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429,756.49</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176,043.39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265,394.02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464,515.85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794,140.39</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11,052,155.77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-32,976,314.72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26</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78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2,179,743.00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其他流动负债应付利息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24,315,573.77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5,820,000.00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24,315,573.77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7,999,743.00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6,638,000.00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9,154,245.00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1,906,780.00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1,387,623.27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751,284.58</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9,932,403.27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10,505,529.58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28</w:t>
      </w:r>
      <w:r>
        <w:rPr/>
        <w:t>、一年内到期的非流动负债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年内到期的长期借款</w:t>
            </w:r>
          </w:p>
        </w:tc>
        <w:tc>
          <w:tcPr>
            <w:tcW w:w="2789"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6"/>
        <w:ind w:left="0" w:right="2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789"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29</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荣信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CP01</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荣信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CP001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pStyle w:val="BodyText"/>
        <w:spacing w:line="256" w:lineRule="auto" w:before="89"/>
        <w:ind w:right="211" w:firstLine="419"/>
        <w:jc w:val="both"/>
      </w:pPr>
      <w:r>
        <w:rPr/>
        <w:t>经公司</w:t>
      </w:r>
      <w:r>
        <w:rPr>
          <w:spacing w:val="-27"/>
        </w:rPr>
        <w:t> </w:t>
      </w:r>
      <w:r>
        <w:rPr>
          <w:rFonts w:ascii="Times New Roman" w:hAnsi="Times New Roman" w:cs="Times New Roman" w:eastAsia="Times New Roman" w:hint="default"/>
        </w:rPr>
        <w:t>2010</w:t>
      </w:r>
      <w:r>
        <w:rPr/>
        <w:t>年第一次临时股东大会批准，公司拟在全国银行间债券市场发行</w:t>
      </w:r>
      <w:r>
        <w:rPr>
          <w:rFonts w:ascii="Times New Roman" w:hAnsi="Times New Roman" w:cs="Times New Roman" w:eastAsia="Times New Roman" w:hint="default"/>
        </w:rPr>
        <w:t>5</w:t>
      </w:r>
      <w:r>
        <w:rPr/>
        <w:t>亿元人民币的短期融资 券。</w:t>
      </w:r>
    </w:p>
    <w:p>
      <w:pPr>
        <w:pStyle w:val="BodyText"/>
        <w:spacing w:line="256" w:lineRule="auto" w:before="22"/>
        <w:ind w:right="211" w:firstLine="420"/>
        <w:jc w:val="both"/>
      </w:pPr>
      <w:r>
        <w:rPr/>
        <w:t>公司</w:t>
      </w:r>
      <w:r>
        <w:rPr>
          <w:rFonts w:ascii="Times New Roman" w:hAnsi="Times New Roman" w:cs="Times New Roman" w:eastAsia="Times New Roman" w:hint="default"/>
        </w:rPr>
        <w:t>2011</w:t>
      </w:r>
      <w:r>
        <w:rPr/>
        <w:t>年度第一期短期融资券于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日发行，债券简称</w:t>
      </w:r>
      <w:r>
        <w:rPr>
          <w:rFonts w:ascii="Times New Roman" w:hAnsi="Times New Roman" w:cs="Times New Roman" w:eastAsia="Times New Roman" w:hint="default"/>
        </w:rPr>
        <w:t>11</w:t>
      </w:r>
      <w:r>
        <w:rPr/>
        <w:t>荣信</w:t>
      </w:r>
      <w:r>
        <w:rPr>
          <w:spacing w:val="8"/>
        </w:rPr>
        <w:t> </w:t>
      </w:r>
      <w:r>
        <w:rPr>
          <w:rFonts w:ascii="Times New Roman" w:hAnsi="Times New Roman" w:cs="Times New Roman" w:eastAsia="Times New Roman" w:hint="default"/>
        </w:rPr>
        <w:t>CP01</w:t>
      </w:r>
      <w:r>
        <w:rPr/>
        <w:t>，债券代码</w:t>
      </w:r>
      <w:r>
        <w:rPr>
          <w:rFonts w:ascii="Times New Roman" w:hAnsi="Times New Roman" w:cs="Times New Roman" w:eastAsia="Times New Roman" w:hint="default"/>
        </w:rPr>
        <w:t>1181304</w:t>
      </w:r>
      <w:r>
        <w:rPr/>
        <w:t>。 发行总额为</w:t>
      </w:r>
      <w:r>
        <w:rPr>
          <w:rFonts w:ascii="Times New Roman" w:hAnsi="Times New Roman" w:cs="Times New Roman" w:eastAsia="Times New Roman" w:hint="default"/>
        </w:rPr>
        <w:t>2</w:t>
      </w:r>
      <w:r>
        <w:rPr/>
        <w:t>亿元人民币，债券期限为 </w:t>
      </w:r>
      <w:r>
        <w:rPr>
          <w:rFonts w:ascii="Times New Roman" w:hAnsi="Times New Roman" w:cs="Times New Roman" w:eastAsia="Times New Roman" w:hint="default"/>
          <w:spacing w:val="-3"/>
        </w:rPr>
        <w:t>366</w:t>
      </w:r>
      <w:r>
        <w:rPr>
          <w:spacing w:val="-3"/>
        </w:rPr>
        <w:t>日，票面年利率为</w:t>
      </w:r>
      <w:r>
        <w:rPr>
          <w:spacing w:val="-50"/>
        </w:rPr>
        <w:t> </w:t>
      </w:r>
      <w:r>
        <w:rPr>
          <w:rFonts w:ascii="Times New Roman" w:hAnsi="Times New Roman" w:cs="Times New Roman" w:eastAsia="Times New Roman" w:hint="default"/>
          <w:spacing w:val="-3"/>
        </w:rPr>
        <w:t>5.82%</w:t>
      </w:r>
      <w:r>
        <w:rPr>
          <w:spacing w:val="-3"/>
        </w:rPr>
        <w:t>，计息方式利随本清。截至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w:t>
      </w:r>
      <w:r>
        <w:rPr>
          <w:rFonts w:ascii="Times New Roman" w:hAnsi="Times New Roman" w:cs="Times New Roman" w:eastAsia="Times New Roman" w:hint="default"/>
        </w:rPr>
        <w:t> </w:t>
      </w:r>
      <w:r>
        <w:rPr/>
        <w:t>日，公司兑付短期融资券</w:t>
      </w:r>
      <w:r>
        <w:rPr>
          <w:rFonts w:ascii="Times New Roman" w:hAnsi="Times New Roman" w:cs="Times New Roman" w:eastAsia="Times New Roman" w:hint="default"/>
        </w:rPr>
        <w:t>2</w:t>
      </w:r>
      <w:r>
        <w:rPr/>
        <w:t>亿元并支付利息</w:t>
      </w:r>
      <w:r>
        <w:rPr>
          <w:rFonts w:ascii="Times New Roman" w:hAnsi="Times New Roman" w:cs="Times New Roman" w:eastAsia="Times New Roman" w:hint="default"/>
        </w:rPr>
        <w:t>1,164</w:t>
      </w:r>
      <w:r>
        <w:rPr/>
        <w:t>万元。</w:t>
      </w:r>
    </w:p>
    <w:p>
      <w:pPr>
        <w:pStyle w:val="BodyText"/>
        <w:spacing w:line="256" w:lineRule="auto" w:before="5"/>
        <w:ind w:right="0" w:firstLine="420"/>
        <w:jc w:val="left"/>
      </w:pPr>
      <w:r>
        <w:rPr>
          <w:spacing w:val="-3"/>
        </w:rPr>
        <w:t>公司</w:t>
      </w:r>
      <w:r>
        <w:rPr>
          <w:rFonts w:ascii="Times New Roman" w:hAnsi="Times New Roman" w:cs="Times New Roman" w:eastAsia="Times New Roman" w:hint="default"/>
          <w:spacing w:val="-3"/>
        </w:rPr>
        <w:t>2012</w:t>
      </w:r>
      <w:r>
        <w:rPr>
          <w:spacing w:val="-3"/>
        </w:rPr>
        <w:t>年度第一期短期融资券于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17</w:t>
      </w:r>
      <w:r>
        <w:rPr>
          <w:spacing w:val="-3"/>
        </w:rPr>
        <w:t>日发行，债券简称</w:t>
      </w:r>
      <w:r>
        <w:rPr>
          <w:rFonts w:ascii="Times New Roman" w:hAnsi="Times New Roman" w:cs="Times New Roman" w:eastAsia="Times New Roman" w:hint="default"/>
          <w:spacing w:val="-3"/>
        </w:rPr>
        <w:t>12</w:t>
      </w:r>
      <w:r>
        <w:rPr>
          <w:spacing w:val="-3"/>
        </w:rPr>
        <w:t>荣信</w:t>
      </w:r>
      <w:r>
        <w:rPr>
          <w:spacing w:val="12"/>
        </w:rPr>
        <w:t> </w:t>
      </w:r>
      <w:r>
        <w:rPr>
          <w:rFonts w:ascii="Times New Roman" w:hAnsi="Times New Roman" w:cs="Times New Roman" w:eastAsia="Times New Roman" w:hint="default"/>
          <w:spacing w:val="-5"/>
        </w:rPr>
        <w:t>CP001</w:t>
      </w:r>
      <w:r>
        <w:rPr>
          <w:spacing w:val="-5"/>
        </w:rPr>
        <w:t>，债券代码</w:t>
      </w:r>
      <w:r>
        <w:rPr>
          <w:rFonts w:ascii="Times New Roman" w:hAnsi="Times New Roman" w:cs="Times New Roman" w:eastAsia="Times New Roman" w:hint="default"/>
          <w:spacing w:val="-5"/>
        </w:rPr>
        <w:t>041262003</w:t>
      </w:r>
      <w:r>
        <w:rPr>
          <w:spacing w:val="-5"/>
        </w:rPr>
        <w:t>，</w:t>
      </w:r>
      <w:r>
        <w:rPr/>
        <w:t> 发行总额为</w:t>
      </w:r>
      <w:r>
        <w:rPr>
          <w:rFonts w:ascii="Times New Roman" w:hAnsi="Times New Roman" w:cs="Times New Roman" w:eastAsia="Times New Roman" w:hint="default"/>
        </w:rPr>
        <w:t>3</w:t>
      </w:r>
      <w:r>
        <w:rPr/>
        <w:t>亿元人民币，债券期限为</w:t>
      </w:r>
      <w:r>
        <w:rPr>
          <w:spacing w:val="-27"/>
        </w:rPr>
        <w:t> </w:t>
      </w:r>
      <w:r>
        <w:rPr>
          <w:rFonts w:ascii="Times New Roman" w:hAnsi="Times New Roman" w:cs="Times New Roman" w:eastAsia="Times New Roman" w:hint="default"/>
        </w:rPr>
        <w:t>366</w:t>
      </w:r>
      <w:r>
        <w:rPr/>
        <w:t>日，票面年利率为</w:t>
      </w:r>
      <w:r>
        <w:rPr>
          <w:rFonts w:ascii="Times New Roman" w:hAnsi="Times New Roman" w:cs="Times New Roman" w:eastAsia="Times New Roman" w:hint="default"/>
        </w:rPr>
        <w:t>8.50%</w:t>
      </w:r>
      <w:r>
        <w:rPr/>
        <w:t>，计息方式为到期一次还本付息。</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30</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4"/>
        <w:gridCol w:w="1064"/>
        <w:gridCol w:w="1063"/>
        <w:gridCol w:w="1064"/>
        <w:gridCol w:w="1064"/>
        <w:gridCol w:w="1063"/>
        <w:gridCol w:w="1057"/>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中国银行股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5.76%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center"/>
              <w:rPr>
                <w:rFonts w:ascii="Times New Roman" w:hAnsi="Times New Roman" w:cs="Times New Roman" w:eastAsia="Times New Roman" w:hint="default"/>
                <w:sz w:val="18"/>
                <w:szCs w:val="18"/>
              </w:rPr>
            </w:pPr>
            <w:r>
              <w:rPr>
                <w:rFonts w:ascii="Times New Roman"/>
                <w:sz w:val="18"/>
              </w:rPr>
              <w:t>10,600,000.0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4"/>
        <w:gridCol w:w="1064"/>
        <w:gridCol w:w="1063"/>
        <w:gridCol w:w="1064"/>
        <w:gridCol w:w="1064"/>
        <w:gridCol w:w="1063"/>
        <w:gridCol w:w="1057"/>
      </w:tblGrid>
      <w:tr>
        <w:trPr>
          <w:trHeight w:val="98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8"/>
              <w:jc w:val="both"/>
              <w:rPr>
                <w:rFonts w:ascii="宋体" w:hAnsi="宋体" w:cs="宋体" w:eastAsia="宋体" w:hint="default"/>
                <w:sz w:val="18"/>
                <w:szCs w:val="18"/>
              </w:rPr>
            </w:pPr>
            <w:r>
              <w:rPr>
                <w:rFonts w:ascii="宋体" w:hAnsi="宋体" w:cs="宋体" w:eastAsia="宋体" w:hint="default"/>
                <w:sz w:val="18"/>
                <w:szCs w:val="18"/>
              </w:rPr>
              <w:t>份有限公司 鞍山铁东支 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长安国际信 托股份有限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6.46%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31</w:t>
      </w:r>
      <w:r>
        <w:rPr/>
        <w:t>、其他非流动负债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大型煤矿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RGM(</w:t>
            </w:r>
            <w:r>
              <w:rPr>
                <w:rFonts w:ascii="宋体" w:hAnsi="宋体" w:cs="宋体" w:eastAsia="宋体" w:hint="default"/>
                <w:sz w:val="18"/>
                <w:szCs w:val="18"/>
              </w:rPr>
              <w:t>国家发改委</w:t>
            </w:r>
            <w:r>
              <w:rPr>
                <w:rFonts w:ascii="Times New Roman" w:hAnsi="Times New Roman" w:cs="Times New Roman" w:eastAsia="Times New Roman" w:hint="default"/>
                <w:sz w:val="18"/>
                <w:szCs w:val="18"/>
              </w:rPr>
              <w:t>)</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10,563,396.51</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11,247,807.03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10KV</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大功率变频装置</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17,486,842.14</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17,486,842.14</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大型煤矿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RGM(</w:t>
            </w:r>
            <w:r>
              <w:rPr>
                <w:rFonts w:ascii="宋体" w:hAnsi="宋体" w:cs="宋体" w:eastAsia="宋体" w:hint="default"/>
                <w:sz w:val="18"/>
                <w:szCs w:val="18"/>
              </w:rPr>
              <w:t>省信息产业厅</w:t>
            </w:r>
            <w:r>
              <w:rPr>
                <w:rFonts w:ascii="Times New Roman" w:hAnsi="Times New Roman" w:cs="Times New Roman" w:eastAsia="Times New Roman" w:hint="default"/>
                <w:sz w:val="18"/>
                <w:szCs w:val="18"/>
              </w:rPr>
              <w:t>)</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1,625,168.68</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1,730,431.84</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SVC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升级</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8,125,843.43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8,652,159.23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套新型电抗器项目</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12,315,789.52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辽宁省电力电子节能装备工程实验室</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50,567,040.28</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52,617,240.24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pStyle w:val="BodyText"/>
        <w:spacing w:line="264" w:lineRule="auto" w:before="89"/>
        <w:ind w:left="153" w:right="14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根据发改高技</w:t>
      </w:r>
      <w:r>
        <w:rPr>
          <w:rFonts w:ascii="Times New Roman" w:hAnsi="Times New Roman" w:cs="Times New Roman" w:eastAsia="Times New Roman" w:hint="default"/>
        </w:rPr>
        <w:t>[2004]2653</w:t>
      </w:r>
      <w:r>
        <w:rPr/>
        <w:t>号文及发改高技</w:t>
      </w:r>
      <w:r>
        <w:rPr>
          <w:rFonts w:ascii="Times New Roman" w:hAnsi="Times New Roman" w:cs="Times New Roman" w:eastAsia="Times New Roman" w:hint="default"/>
        </w:rPr>
        <w:t>[2005]912</w:t>
      </w:r>
      <w:r>
        <w:rPr/>
        <w:t>号文，公司研发的大型煤矿瓦斯安全监控与排放 </w:t>
      </w:r>
      <w:r>
        <w:rPr>
          <w:spacing w:val="3"/>
        </w:rPr>
        <w:t>自动化成套系统产业化项目获得国家发改委立项的第一批国家高科技产业发展项目和产业技术研究与开</w:t>
      </w:r>
      <w:r>
        <w:rPr>
          <w:spacing w:val="-78"/>
        </w:rPr>
        <w:t> </w:t>
      </w:r>
      <w:r>
        <w:rPr>
          <w:spacing w:val="-78"/>
        </w:rPr>
      </w:r>
      <w:r>
        <w:rPr/>
        <w:t>发资金支持，取得拨款共计</w:t>
      </w:r>
      <w:r>
        <w:rPr>
          <w:rFonts w:ascii="Times New Roman" w:hAnsi="Times New Roman" w:cs="Times New Roman" w:eastAsia="Times New Roman" w:hint="default"/>
        </w:rPr>
        <w:t>1,300</w:t>
      </w:r>
      <w:r>
        <w:rPr/>
        <w:t>万元。</w:t>
      </w:r>
    </w:p>
    <w:p>
      <w:pPr>
        <w:pStyle w:val="BodyText"/>
        <w:spacing w:line="256" w:lineRule="auto"/>
        <w:ind w:left="153" w:right="147"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根据发改办能源〔</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1126</w:t>
      </w:r>
      <w:r>
        <w:rPr/>
        <w:t>号文及发改投资〔</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1416</w:t>
      </w:r>
      <w:r>
        <w:rPr/>
        <w:t>号文，公司</w:t>
      </w:r>
      <w:r>
        <w:rPr>
          <w:rFonts w:ascii="Times New Roman" w:hAnsi="Times New Roman" w:cs="Times New Roman" w:eastAsia="Times New Roman" w:hint="default"/>
        </w:rPr>
        <w:t>10KV</w:t>
      </w:r>
      <w:r>
        <w:rPr/>
        <w:t>大功率变频装置项目</w:t>
      </w:r>
      <w:r>
        <w:rPr>
          <w:spacing w:val="1"/>
        </w:rPr>
        <w:t> </w:t>
      </w:r>
      <w:r>
        <w:rPr/>
        <w:t>被列入</w:t>
      </w:r>
      <w:r>
        <w:rPr>
          <w:rFonts w:ascii="Times New Roman" w:hAnsi="Times New Roman" w:cs="Times New Roman" w:eastAsia="Times New Roman" w:hint="default"/>
        </w:rPr>
        <w:t>2009</w:t>
      </w:r>
      <w:r>
        <w:rPr/>
        <w:t>年核电风电装备自主化和能源装备专项，并获得中央项目预算内投资补助拨款</w:t>
      </w:r>
      <w:r>
        <w:rPr>
          <w:rFonts w:ascii="Times New Roman" w:hAnsi="Times New Roman" w:cs="Times New Roman" w:eastAsia="Times New Roman" w:hint="default"/>
        </w:rPr>
        <w:t>1,800</w:t>
      </w:r>
      <w:r>
        <w:rPr/>
        <w:t>万元；</w:t>
      </w:r>
    </w:p>
    <w:p>
      <w:pPr>
        <w:pStyle w:val="BodyText"/>
        <w:spacing w:line="256" w:lineRule="auto" w:before="5"/>
        <w:ind w:left="153" w:right="15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根据辽信息产字</w:t>
      </w:r>
      <w:r>
        <w:rPr>
          <w:rFonts w:ascii="Times New Roman" w:hAnsi="Times New Roman" w:cs="Times New Roman" w:eastAsia="Times New Roman" w:hint="default"/>
        </w:rPr>
        <w:t>[2004]62</w:t>
      </w:r>
      <w:r>
        <w:rPr/>
        <w:t>号文，公司的大型煤矿瓦斯安全监控与排放自动化成套系统获得辽宁省信 息产业厅立项的</w:t>
      </w:r>
      <w:r>
        <w:rPr>
          <w:rFonts w:ascii="Times New Roman" w:hAnsi="Times New Roman" w:cs="Times New Roman" w:eastAsia="Times New Roman" w:hint="default"/>
        </w:rPr>
        <w:t>2004</w:t>
      </w:r>
      <w:r>
        <w:rPr/>
        <w:t>年度省信息产品制造专业专项资金支持，取得拨款</w:t>
      </w:r>
      <w:r>
        <w:rPr>
          <w:rFonts w:ascii="Times New Roman" w:hAnsi="Times New Roman" w:cs="Times New Roman" w:eastAsia="Times New Roman" w:hint="default"/>
        </w:rPr>
        <w:t>200</w:t>
      </w:r>
      <w:r>
        <w:rPr/>
        <w:t>万元。</w:t>
      </w:r>
    </w:p>
    <w:p>
      <w:pPr>
        <w:pStyle w:val="BodyText"/>
        <w:spacing w:line="256" w:lineRule="auto" w:before="5"/>
        <w:ind w:left="153" w:right="150"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根据鞍山市财政局鞍发改发</w:t>
      </w:r>
      <w:r>
        <w:rPr>
          <w:rFonts w:ascii="Times New Roman" w:hAnsi="Times New Roman" w:cs="Times New Roman" w:eastAsia="Times New Roman" w:hint="default"/>
        </w:rPr>
        <w:t>[2008]3</w:t>
      </w:r>
      <w:r>
        <w:rPr/>
        <w:t>号文及鞍山市财政局鞍财指经</w:t>
      </w:r>
      <w:r>
        <w:rPr>
          <w:rFonts w:ascii="Times New Roman" w:hAnsi="Times New Roman" w:cs="Times New Roman" w:eastAsia="Times New Roman" w:hint="default"/>
        </w:rPr>
        <w:t>(2007)597</w:t>
      </w:r>
      <w:r>
        <w:rPr/>
        <w:t>号文，本公司取得拨款 共计</w:t>
      </w:r>
      <w:r>
        <w:rPr>
          <w:rFonts w:ascii="Times New Roman" w:hAnsi="Times New Roman" w:cs="Times New Roman" w:eastAsia="Times New Roman" w:hint="default"/>
        </w:rPr>
        <w:t>1,000</w:t>
      </w:r>
      <w:r>
        <w:rPr/>
        <w:t>万元，专项用于提高自主创新能力及高技术产业发展项目建设。</w:t>
      </w:r>
    </w:p>
    <w:p>
      <w:pPr>
        <w:pStyle w:val="BodyText"/>
        <w:spacing w:line="256" w:lineRule="auto" w:before="5"/>
        <w:ind w:left="153" w:right="150" w:firstLine="42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45"/>
        </w:rPr>
        <w:t> </w:t>
      </w:r>
      <w:r>
        <w:rPr>
          <w:spacing w:val="-2"/>
        </w:rPr>
        <w:t>根据辽宁省财政厅辽财指经〔</w:t>
      </w:r>
      <w:r>
        <w:rPr>
          <w:rFonts w:ascii="Times New Roman" w:hAnsi="Times New Roman" w:cs="Times New Roman" w:eastAsia="Times New Roman" w:hint="default"/>
          <w:spacing w:val="-2"/>
        </w:rPr>
        <w:t>2009</w:t>
      </w:r>
      <w:r>
        <w:rPr>
          <w:spacing w:val="-2"/>
        </w:rPr>
        <w:t>〕</w:t>
      </w:r>
      <w:r>
        <w:rPr>
          <w:rFonts w:ascii="Times New Roman" w:hAnsi="Times New Roman" w:cs="Times New Roman" w:eastAsia="Times New Roman" w:hint="default"/>
          <w:spacing w:val="-2"/>
        </w:rPr>
        <w:t>8051</w:t>
      </w:r>
      <w:r>
        <w:rPr>
          <w:spacing w:val="-2"/>
        </w:rPr>
        <w:t>号文、辽宁省发改委辽发改投资〔</w:t>
      </w:r>
      <w:r>
        <w:rPr>
          <w:rFonts w:ascii="Times New Roman" w:hAnsi="Times New Roman" w:cs="Times New Roman" w:eastAsia="Times New Roman" w:hint="default"/>
          <w:spacing w:val="-2"/>
        </w:rPr>
        <w:t>2009</w:t>
      </w:r>
      <w:r>
        <w:rPr>
          <w:spacing w:val="-2"/>
        </w:rPr>
        <w:t>〕</w:t>
      </w:r>
      <w:r>
        <w:rPr>
          <w:rFonts w:ascii="Times New Roman" w:hAnsi="Times New Roman" w:cs="Times New Roman" w:eastAsia="Times New Roman" w:hint="default"/>
          <w:spacing w:val="-2"/>
        </w:rPr>
        <w:t>1141</w:t>
      </w:r>
      <w:r>
        <w:rPr>
          <w:spacing w:val="-2"/>
        </w:rPr>
        <w:t>号文及鞍山</w:t>
      </w:r>
      <w:r>
        <w:rPr/>
        <w:t> </w:t>
      </w:r>
      <w:r>
        <w:rPr>
          <w:spacing w:val="-1"/>
        </w:rPr>
        <w:t>市发改委鞍发改发〔</w:t>
      </w:r>
      <w:r>
        <w:rPr>
          <w:rFonts w:ascii="Times New Roman" w:hAnsi="Times New Roman" w:cs="Times New Roman" w:eastAsia="Times New Roman" w:hint="default"/>
          <w:spacing w:val="-1"/>
        </w:rPr>
        <w:t>2009</w:t>
      </w:r>
      <w:r>
        <w:rPr>
          <w:spacing w:val="-1"/>
        </w:rPr>
        <w:t>〕</w:t>
      </w:r>
      <w:r>
        <w:rPr>
          <w:rFonts w:ascii="Times New Roman" w:hAnsi="Times New Roman" w:cs="Times New Roman" w:eastAsia="Times New Roman" w:hint="default"/>
          <w:spacing w:val="-1"/>
        </w:rPr>
        <w:t>204</w:t>
      </w:r>
      <w:r>
        <w:rPr>
          <w:spacing w:val="-1"/>
        </w:rPr>
        <w:t>号文，本公司取得拨款</w:t>
      </w:r>
      <w:r>
        <w:rPr>
          <w:rFonts w:ascii="Times New Roman" w:hAnsi="Times New Roman" w:cs="Times New Roman" w:eastAsia="Times New Roman" w:hint="default"/>
          <w:spacing w:val="-1"/>
        </w:rPr>
        <w:t>1,300</w:t>
      </w:r>
      <w:r>
        <w:rPr>
          <w:spacing w:val="-1"/>
        </w:rPr>
        <w:t>万元，专项用于年产</w:t>
      </w:r>
      <w:r>
        <w:rPr>
          <w:rFonts w:ascii="Times New Roman" w:hAnsi="Times New Roman" w:cs="Times New Roman" w:eastAsia="Times New Roman" w:hint="default"/>
          <w:spacing w:val="-1"/>
        </w:rPr>
        <w:t>5000</w:t>
      </w:r>
      <w:r>
        <w:rPr>
          <w:spacing w:val="-1"/>
        </w:rPr>
        <w:t>台</w:t>
      </w:r>
      <w:r>
        <w:rPr>
          <w:rFonts w:ascii="Times New Roman" w:hAnsi="Times New Roman" w:cs="Times New Roman" w:eastAsia="Times New Roman" w:hint="default"/>
          <w:spacing w:val="-1"/>
        </w:rPr>
        <w:t>/</w:t>
      </w:r>
      <w:r>
        <w:rPr>
          <w:spacing w:val="-1"/>
        </w:rPr>
        <w:t>套新型电抗器产业</w:t>
      </w:r>
      <w:r>
        <w:rPr>
          <w:spacing w:val="-92"/>
        </w:rPr>
        <w:t> </w:t>
      </w:r>
      <w:r>
        <w:rPr>
          <w:spacing w:val="-92"/>
        </w:rPr>
      </w:r>
      <w:r>
        <w:rPr/>
        <w:t>化项目建设。</w:t>
      </w:r>
    </w:p>
    <w:p>
      <w:pPr>
        <w:pStyle w:val="BodyText"/>
        <w:spacing w:line="273" w:lineRule="auto" w:before="22"/>
        <w:ind w:left="153" w:right="151" w:firstLine="420"/>
        <w:jc w:val="both"/>
      </w:pPr>
      <w:r>
        <w:rPr/>
        <w:t>6)</w:t>
      </w:r>
      <w:r>
        <w:rPr>
          <w:spacing w:val="-24"/>
        </w:rPr>
        <w:t> </w:t>
      </w:r>
      <w:r>
        <w:rPr/>
        <w:t>根据鞍财指经[2011]374号文，本公司取得拨款50万元，专项用于辽宁省电力电子节能装备工程实</w:t>
      </w:r>
      <w:r>
        <w:rPr/>
        <w:t> 验室的建设。</w:t>
      </w:r>
    </w:p>
    <w:p>
      <w:pPr>
        <w:spacing w:line="240" w:lineRule="auto" w:before="8"/>
        <w:rPr>
          <w:rFonts w:ascii="宋体" w:hAnsi="宋体" w:cs="宋体" w:eastAsia="宋体" w:hint="default"/>
          <w:sz w:val="23"/>
          <w:szCs w:val="23"/>
        </w:rPr>
      </w:pPr>
    </w:p>
    <w:p>
      <w:pPr>
        <w:pStyle w:val="Heading4"/>
        <w:spacing w:line="240" w:lineRule="auto"/>
        <w:ind w:left="153" w:right="0"/>
        <w:jc w:val="left"/>
        <w:rPr>
          <w:b w:val="0"/>
          <w:bCs w:val="0"/>
        </w:rPr>
      </w:pPr>
      <w:r>
        <w:rPr>
          <w:rFonts w:ascii="Times New Roman" w:hAnsi="Times New Roman" w:cs="Times New Roman" w:eastAsia="Times New Roman" w:hint="default"/>
        </w:rPr>
        <w:t>32</w:t>
      </w:r>
      <w:r>
        <w:rPr/>
        <w:t>、股本</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5981"/>
        <w:gridCol w:w="1195"/>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504,000,000.00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504,000,000.00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33</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368,904,542.30</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11,121,618.16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357,782,924.14</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85,440,807.14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63,750,000.00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149,190,807.14</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454,345,349.44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63,750,000.00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11,121,618.16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506,973,731.28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pStyle w:val="BodyText"/>
        <w:spacing w:line="273" w:lineRule="auto" w:before="90"/>
        <w:ind w:left="573" w:right="741"/>
        <w:jc w:val="left"/>
      </w:pPr>
      <w:r>
        <w:rPr/>
        <w:t>本期资本溢价（股本溢价）减少系本公司之子公司的少数股东单方增资引起的资本公积变动。 本期其他资本公积的增加系可供出售金融资产公允价值变动所致。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34</w:t>
      </w:r>
      <w:r>
        <w:rPr/>
        <w:t>、盈余公积</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2" w:right="0"/>
              <w:jc w:val="left"/>
              <w:rPr>
                <w:rFonts w:ascii="Times New Roman" w:hAnsi="Times New Roman" w:cs="Times New Roman" w:eastAsia="Times New Roman" w:hint="default"/>
                <w:sz w:val="18"/>
                <w:szCs w:val="18"/>
              </w:rPr>
            </w:pPr>
            <w:r>
              <w:rPr>
                <w:rFonts w:ascii="Times New Roman"/>
                <w:sz w:val="18"/>
              </w:rPr>
              <w:t>101,564,417.06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13,445,061.92</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115,009,478.98</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1" w:right="0"/>
              <w:jc w:val="left"/>
              <w:rPr>
                <w:rFonts w:ascii="Times New Roman" w:hAnsi="Times New Roman" w:cs="Times New Roman" w:eastAsia="Times New Roman" w:hint="default"/>
                <w:sz w:val="18"/>
                <w:szCs w:val="18"/>
              </w:rPr>
            </w:pPr>
            <w:r>
              <w:rPr>
                <w:rFonts w:ascii="Times New Roman"/>
                <w:sz w:val="18"/>
              </w:rPr>
              <w:t>101,564,417.06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13,445,061.92</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115,009,478.98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35</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8"/>
        <w:gridCol w:w="3728"/>
        <w:gridCol w:w="2122"/>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892,277,709.93</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892,277,709.93</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115,326,193.41</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13,445,061.92</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994,158,841.42</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36</w:t>
      </w:r>
      <w:r>
        <w:rPr/>
        <w:t>、营业收入、营业成本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2"/>
        <w:gridCol w:w="3058"/>
        <w:gridCol w:w="3190"/>
      </w:tblGrid>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5" w:right="0"/>
              <w:jc w:val="left"/>
              <w:rPr>
                <w:rFonts w:ascii="Times New Roman" w:hAnsi="Times New Roman" w:cs="Times New Roman" w:eastAsia="Times New Roman" w:hint="default"/>
                <w:sz w:val="18"/>
                <w:szCs w:val="18"/>
              </w:rPr>
            </w:pPr>
            <w:r>
              <w:rPr>
                <w:rFonts w:ascii="Times New Roman"/>
                <w:sz w:val="18"/>
              </w:rPr>
              <w:t>1,287,133,495.51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1,630,819,959.31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2"/>
        <w:gridCol w:w="3058"/>
        <w:gridCol w:w="3190"/>
      </w:tblGrid>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661,675,739.70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798,885,131.25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714"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节能大功率电力电子设备制造 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1,287,133,495.51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661,675,739.70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1,630,819,959.31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798,885,131.25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1,287,133,495.51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661,675,739.70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1,630,819,959.31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798,885,131.25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电能质量与电力安全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725,506,096.44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364,434,628.18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866,862,803.40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405,473,639.95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电机传动与节能</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330,682,641.63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179,170,883.02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375,491,411.27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148,052,136.37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余热余压节能发电系统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88,111,777.83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59,968,671.08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284,222,178.37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180,555,505.81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142,832,979.61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58,101,557.42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104,243,566.27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64,803,849.12</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1,287,133,495.51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661,675,739.70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1,630,819,959.31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798,885,131.25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1,221,651,013.92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632,318,844.96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1,589,814,623.16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778,749,378.61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65,482,481.59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29,356,894.74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41,005,336.15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20,135,752.64</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1,287,133,495.51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661,675,739.70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1,630,819,959.31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798,885,131.25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2606"/>
        <w:gridCol w:w="412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溧阳昌兴钢铁配套设施有限公司</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81,679,487.23</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中国国际核聚变能源技术执行中心</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76,923,076.92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沈阳鼓风机集团自动控制系统工程</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66,139,401.73</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2606"/>
        <w:gridCol w:w="4127"/>
      </w:tblGrid>
      <w:tr>
        <w:trPr>
          <w:trHeight w:val="36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606" w:type="dxa"/>
            <w:tcBorders>
              <w:top w:val="single" w:sz="4" w:space="0" w:color="000000"/>
              <w:left w:val="single" w:sz="4" w:space="0" w:color="000000"/>
              <w:bottom w:val="single" w:sz="4" w:space="0" w:color="000000"/>
              <w:right w:val="single" w:sz="4" w:space="0" w:color="000000"/>
            </w:tcBorders>
          </w:tcPr>
          <w:p>
            <w:pPr/>
          </w:p>
        </w:tc>
        <w:tc>
          <w:tcPr>
            <w:tcW w:w="4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龙源沈阳风力发电有限公司</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51,282,051.28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中海石油</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25,068,376.07</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301,092,393.23</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37</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4"/>
        <w:gridCol w:w="1992"/>
        <w:gridCol w:w="1861"/>
        <w:gridCol w:w="2921"/>
      </w:tblGrid>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4,718,537.32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7,409,482.06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7,145,590.14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8,495,008.47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3,101,454.13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3,640,053.35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2,063,516.91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2,262,102.68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17,029,098.50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21,806,646.56</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38</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13,046,641.31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10,256,972.01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4,049,333.53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4,904,762.93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14,248,962.09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31,016,821.19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44,550,152.17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124,563,948.06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68,192,753.71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26,902,160.41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运费及包装费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26,534,674.61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35,656,951.31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22,084,380.87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31,238,271.52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192,706,898.29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264,539,887.43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39</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56,659,491.65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32,707,568.96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6,731,488.31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5,246,666.40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4,487,213.44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4,535,648.66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9,952,260.84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13,844,612.69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2,444,689.21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2,186,663.44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24,583,960.53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20,298,343.90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12,979,616.39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11,875,267.36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122,116,899.17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118,156,396.39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8,232,550.58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9,320,478.73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12,430,236.57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9,279,220.93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260,618,406.69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227,450,867.46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40</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51,387,747.22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30,861,338.83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8,624,905.77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10,628,554.36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-4,749,891.05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-290,453.55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银行手续费等其他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29,962,958.08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20,915,247.87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67,975,908.48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40,857,578.79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41</w:t>
      </w:r>
      <w:r>
        <w:rPr/>
        <w:t>、投资收益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-611,972.09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-6,735,069.39</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1,664,475.75</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5,788,027.91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-5,070,593.64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1"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235,932.55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-897,539.02</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山东汇盛</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-847,904.64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-552,216.72</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荣坤博林</w:t>
            </w:r>
          </w:p>
        </w:tc>
        <w:tc>
          <w:tcPr>
            <w:tcW w:w="1993"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-385,313.65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鞍山荣信节能服务有限公司</w:t>
            </w:r>
          </w:p>
        </w:tc>
        <w:tc>
          <w:tcPr>
            <w:tcW w:w="1993"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上期超额亏损</w:t>
            </w:r>
          </w:p>
        </w:tc>
      </w:tr>
      <w:tr>
        <w:trPr>
          <w:trHeight w:val="403"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-611,972.09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-6,735,069.39</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w:t>
      </w:r>
    </w:p>
    <w:p>
      <w:pPr>
        <w:pStyle w:val="BodyText"/>
        <w:spacing w:line="240" w:lineRule="auto" w:before="89"/>
        <w:ind w:left="490" w:right="0"/>
        <w:jc w:val="left"/>
      </w:pPr>
      <w:r>
        <w:rPr/>
        <w:t>本公司不存在投资收益汇回的重大限制。</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42</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4"/>
        <w:gridCol w:w="2525"/>
        <w:gridCol w:w="2789"/>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39,899,152.19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38,981,152.80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39,899,152.19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38,981,152.80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43</w:t>
      </w:r>
      <w:r>
        <w:rPr/>
        <w:t>、营业外收入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3"/>
        <w:gridCol w:w="1955"/>
        <w:gridCol w:w="2160"/>
        <w:gridCol w:w="2160"/>
      </w:tblGrid>
      <w:tr>
        <w:trPr>
          <w:trHeight w:val="161" w:hRule="exact"/>
        </w:trPr>
        <w:tc>
          <w:tcPr>
            <w:tcW w:w="329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vMerge/>
            <w:tcBorders>
              <w:left w:val="single" w:sz="4" w:space="0" w:color="000000"/>
              <w:right w:val="single" w:sz="4" w:space="0" w:color="000000"/>
            </w:tcBorders>
            <w:shd w:val="clear" w:color="auto" w:fill="D3D3D3"/>
          </w:tcPr>
          <w:p>
            <w:pPr/>
          </w:p>
        </w:tc>
        <w:tc>
          <w:tcPr>
            <w:tcW w:w="2160" w:type="dxa"/>
            <w:vMerge/>
            <w:tcBorders>
              <w:left w:val="single" w:sz="4" w:space="0" w:color="000000"/>
              <w:right w:val="single" w:sz="4" w:space="0" w:color="000000"/>
            </w:tcBorders>
            <w:shd w:val="clear" w:color="auto" w:fill="D3D3D3"/>
          </w:tcPr>
          <w:p>
            <w:pPr/>
          </w:p>
        </w:tc>
        <w:tc>
          <w:tcPr>
            <w:tcW w:w="2160" w:type="dxa"/>
            <w:vMerge/>
            <w:tcBorders>
              <w:left w:val="single" w:sz="4" w:space="0" w:color="000000"/>
              <w:right w:val="single" w:sz="4" w:space="0" w:color="000000"/>
            </w:tcBorders>
            <w:shd w:val="clear" w:color="auto" w:fill="D3D3D3"/>
          </w:tcPr>
          <w:p>
            <w:pPr/>
          </w:p>
        </w:tc>
      </w:tr>
      <w:tr>
        <w:trPr>
          <w:trHeight w:val="161" w:hRule="exact"/>
        </w:trPr>
        <w:tc>
          <w:tcPr>
            <w:tcW w:w="329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5" w:type="dxa"/>
            <w:vMerge/>
            <w:tcBorders>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532,688.60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2,511,068.08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532,688.60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532,688.60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2,511,068.08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532,688.60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76,119,440.87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103,183,424.02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9,496,039.96</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869,207.31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1,362,704.47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849,207.31</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77,521,336.78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107,057,196.57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10,877,935.87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辽宁省财政厅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年工程技术研 究中心专项资金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辽财指企〔</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370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1"/>
              <w:jc w:val="left"/>
              <w:rPr>
                <w:rFonts w:ascii="宋体" w:hAnsi="宋体" w:cs="宋体" w:eastAsia="宋体" w:hint="default"/>
                <w:sz w:val="18"/>
                <w:szCs w:val="18"/>
              </w:rPr>
            </w:pPr>
            <w:r>
              <w:rPr>
                <w:rFonts w:ascii="宋体" w:hAnsi="宋体" w:cs="宋体" w:eastAsia="宋体" w:hint="default"/>
                <w:sz w:val="18"/>
                <w:szCs w:val="18"/>
              </w:rPr>
              <w:t>国家高技术研究发展计划</w:t>
            </w:r>
            <w:r>
              <w:rPr>
                <w:rFonts w:ascii="Times New Roman" w:hAnsi="Times New Roman" w:cs="Times New Roman" w:eastAsia="Times New Roman" w:hint="default"/>
                <w:sz w:val="18"/>
                <w:szCs w:val="18"/>
              </w:rPr>
              <w:t>(863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 划</w:t>
            </w:r>
            <w:r>
              <w:rPr>
                <w:rFonts w:ascii="Times New Roman" w:hAnsi="Times New Roman" w:cs="Times New Roman" w:eastAsia="Times New Roman" w:hint="default"/>
                <w:sz w:val="18"/>
                <w:szCs w:val="18"/>
              </w:rPr>
              <w:t>)</w:t>
            </w:r>
            <w:r>
              <w:rPr>
                <w:rFonts w:ascii="宋体" w:hAnsi="宋体" w:cs="宋体" w:eastAsia="宋体" w:hint="default"/>
                <w:sz w:val="18"/>
                <w:szCs w:val="18"/>
              </w:rPr>
              <w:t>专项经费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财教〔</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434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鞍山市财政局</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25WVA</w:t>
            </w:r>
            <w:r>
              <w:rPr>
                <w:rFonts w:ascii="Times New Roman" w:hAnsi="Times New Roman" w:cs="Times New Roman" w:eastAsia="Times New Roman" w:hint="default"/>
                <w:sz w:val="18"/>
                <w:szCs w:val="18"/>
              </w:rPr>
              <w:t> </w:t>
            </w:r>
            <w:r>
              <w:rPr>
                <w:rFonts w:ascii="宋体" w:hAnsi="宋体" w:cs="宋体" w:eastAsia="宋体" w:hint="default"/>
                <w:sz w:val="18"/>
                <w:szCs w:val="18"/>
              </w:rPr>
              <w:t>级高压变 频调速装置研发经费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鞍财指企</w:t>
            </w:r>
            <w:r>
              <w:rPr>
                <w:rFonts w:ascii="Times New Roman" w:hAnsi="Times New Roman" w:cs="Times New Roman" w:eastAsia="Times New Roman" w:hint="default"/>
                <w:sz w:val="18"/>
                <w:szCs w:val="18"/>
              </w:rPr>
              <w:t>[2011]779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辽宁省知识产权局第二届辽宁省 专利金奖</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辽知联会办发</w:t>
            </w:r>
            <w:r>
              <w:rPr>
                <w:rFonts w:ascii="Times New Roman" w:hAnsi="Times New Roman" w:cs="Times New Roman" w:eastAsia="Times New Roman" w:hint="default"/>
                <w:sz w:val="18"/>
                <w:szCs w:val="18"/>
              </w:rPr>
              <w:t>[2012]5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鞍山市财政局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年度省</w:t>
            </w:r>
            <w:r>
              <w:rPr>
                <w:rFonts w:ascii="Times New Roman" w:hAnsi="Times New Roman" w:cs="Times New Roman" w:eastAsia="Times New Roman" w:hint="default"/>
                <w:sz w:val="18"/>
                <w:szCs w:val="18"/>
              </w:rPr>
              <w:t>"</w:t>
            </w:r>
            <w:r>
              <w:rPr>
                <w:rFonts w:ascii="宋体" w:hAnsi="宋体" w:cs="宋体" w:eastAsia="宋体" w:hint="default"/>
                <w:sz w:val="18"/>
                <w:szCs w:val="18"/>
              </w:rPr>
              <w:t>十百</w:t>
            </w:r>
            <w:r>
              <w:rPr>
                <w:rFonts w:ascii="宋体" w:hAnsi="宋体" w:cs="宋体" w:eastAsia="宋体" w:hint="default"/>
                <w:spacing w:val="1"/>
                <w:sz w:val="18"/>
                <w:szCs w:val="18"/>
              </w:rPr>
              <w:t> </w:t>
            </w:r>
            <w:r>
              <w:rPr>
                <w:rFonts w:ascii="宋体" w:hAnsi="宋体" w:cs="宋体" w:eastAsia="宋体" w:hint="default"/>
                <w:sz w:val="18"/>
                <w:szCs w:val="18"/>
              </w:rPr>
              <w:t>千高端人才引进工程</w:t>
            </w:r>
            <w:r>
              <w:rPr>
                <w:rFonts w:ascii="Times New Roman" w:hAnsi="Times New Roman" w:cs="Times New Roman" w:eastAsia="Times New Roman" w:hint="default"/>
                <w:sz w:val="18"/>
                <w:szCs w:val="18"/>
              </w:rPr>
              <w:t>"</w:t>
            </w:r>
            <w:r>
              <w:rPr>
                <w:rFonts w:ascii="宋体" w:hAnsi="宋体" w:cs="宋体" w:eastAsia="宋体" w:hint="default"/>
                <w:sz w:val="18"/>
                <w:szCs w:val="18"/>
              </w:rPr>
              <w:t>启动资金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鞍财指企</w:t>
            </w:r>
            <w:r>
              <w:rPr>
                <w:rFonts w:ascii="Times New Roman" w:hAnsi="Times New Roman" w:cs="Times New Roman" w:eastAsia="Times New Roman" w:hint="default"/>
                <w:sz w:val="18"/>
                <w:szCs w:val="18"/>
              </w:rPr>
              <w:t>[2012]411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鞍山市财政局进出口产品贴息</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335,840.00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鞍财指流</w:t>
            </w:r>
            <w:r>
              <w:rPr>
                <w:rFonts w:ascii="Times New Roman" w:hAnsi="Times New Roman" w:cs="Times New Roman" w:eastAsia="Times New Roman" w:hint="default"/>
                <w:sz w:val="18"/>
                <w:szCs w:val="18"/>
              </w:rPr>
              <w:t>[2012]728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哈密市工业经济发展协调领导小</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哈市工经协办</w:t>
            </w:r>
            <w:r>
              <w:rPr>
                <w:rFonts w:ascii="Times New Roman" w:hAnsi="Times New Roman" w:cs="Times New Roman" w:eastAsia="Times New Roman" w:hint="default"/>
                <w:sz w:val="18"/>
                <w:szCs w:val="18"/>
              </w:rPr>
              <w:t>[2012]4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36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组中小企业发展基金</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鞍山市科技局光伏逆变器研究与 产业化资金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鞍科发</w:t>
            </w:r>
            <w:r>
              <w:rPr>
                <w:rFonts w:ascii="Times New Roman" w:hAnsi="Times New Roman" w:cs="Times New Roman" w:eastAsia="Times New Roman" w:hint="default"/>
                <w:sz w:val="18"/>
                <w:szCs w:val="18"/>
              </w:rPr>
              <w:t>[2011]43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鞍山市财政局储能逆变器研发经 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鞍财指企</w:t>
            </w:r>
            <w:r>
              <w:rPr>
                <w:rFonts w:ascii="Times New Roman" w:hAnsi="Times New Roman" w:cs="Times New Roman" w:eastAsia="Times New Roman" w:hint="default"/>
                <w:sz w:val="18"/>
                <w:szCs w:val="18"/>
              </w:rPr>
              <w:t>[2012]849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辽宁省科技型中小企业技术创新 专项资金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辽科发</w:t>
            </w:r>
            <w:r>
              <w:rPr>
                <w:rFonts w:ascii="Times New Roman" w:hAnsi="Times New Roman" w:cs="Times New Roman" w:eastAsia="Times New Roman" w:hint="default"/>
                <w:sz w:val="18"/>
                <w:szCs w:val="18"/>
              </w:rPr>
              <w:t>[2012]33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中关村科技园区石景山园区企业 贷款贴息</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京发〔</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中关村科技园区石景山园区中小 企业发展专项资金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石科园发〔</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北京市经信委工业保增长奖励</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京经信委发〔</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106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年度企业技术改造和技术创 新资金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《关于兑现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年度企业技术改造 和技术创新资金政策通知》</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鞍山市财政局柔性直流输电关键 技术联合研发经费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辽宁省技术监督局名牌产品奖励</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66,623,400.91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86,962,508.68</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递延收益结转</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2,050,199.96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2,308,947.34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辽宁省财政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年中小企业国际 市场开拓资金</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鞍财指流</w:t>
            </w:r>
            <w:r>
              <w:rPr>
                <w:rFonts w:ascii="Times New Roman" w:hAnsi="Times New Roman" w:cs="Times New Roman" w:eastAsia="Times New Roman" w:hint="default"/>
                <w:sz w:val="18"/>
                <w:szCs w:val="18"/>
              </w:rPr>
              <w:t>[2011]209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科学技术部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年国家科技支撑 计划课题经费</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584,468.00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国科发财</w:t>
            </w:r>
            <w:r>
              <w:rPr>
                <w:rFonts w:ascii="Times New Roman" w:hAnsi="Times New Roman" w:cs="Times New Roman" w:eastAsia="Times New Roman" w:hint="default"/>
                <w:sz w:val="18"/>
                <w:szCs w:val="18"/>
              </w:rPr>
              <w:t>[2011]128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财政部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年国家重点新产品经 费</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国科发技</w:t>
            </w:r>
            <w:r>
              <w:rPr>
                <w:rFonts w:ascii="Times New Roman" w:hAnsi="Times New Roman" w:cs="Times New Roman" w:eastAsia="Times New Roman" w:hint="default"/>
                <w:sz w:val="18"/>
                <w:szCs w:val="18"/>
              </w:rPr>
              <w:t>[2011]420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高新区管委会科技三项经费</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科技三项费用</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省财政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年辽宁省软件与信息 产品制造业发展专项资金</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辽经信软件</w:t>
            </w:r>
            <w:r>
              <w:rPr>
                <w:rFonts w:ascii="Times New Roman" w:hAnsi="Times New Roman" w:cs="Times New Roman" w:eastAsia="Times New Roman" w:hint="default"/>
                <w:sz w:val="18"/>
                <w:szCs w:val="18"/>
              </w:rPr>
              <w:t>[2011]233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财政部国际科技合作专项款</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立项代码</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2011DFB71680</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财政厅中小企业技术创新专项资 金计划</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辽科发</w:t>
            </w:r>
            <w:r>
              <w:rPr>
                <w:rFonts w:ascii="Times New Roman" w:hAnsi="Times New Roman" w:cs="Times New Roman" w:eastAsia="Times New Roman" w:hint="default"/>
                <w:sz w:val="18"/>
                <w:szCs w:val="18"/>
              </w:rPr>
              <w:t>[2011]19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北京中关村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年招商引资款</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石科园发〔</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鞍山市人力资源和社会保障局</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年度引智经费</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辽宁省财政厅企业并购专项资金</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1,538,300.00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辽宁省外经贸厅中小企业资金</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辽宁省技术监督局名牌产品奖励</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60"/>
        <w:gridCol w:w="1994"/>
        <w:gridCol w:w="1993"/>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2" w:right="0"/>
              <w:jc w:val="left"/>
              <w:rPr>
                <w:rFonts w:ascii="Times New Roman" w:hAnsi="Times New Roman" w:cs="Times New Roman" w:eastAsia="Times New Roman" w:hint="default"/>
                <w:sz w:val="18"/>
                <w:szCs w:val="18"/>
              </w:rPr>
            </w:pPr>
            <w:r>
              <w:rPr>
                <w:rFonts w:ascii="Times New Roman"/>
                <w:sz w:val="18"/>
              </w:rPr>
              <w:t>76,119,440.87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6" w:right="0"/>
              <w:jc w:val="left"/>
              <w:rPr>
                <w:rFonts w:ascii="Times New Roman" w:hAnsi="Times New Roman" w:cs="Times New Roman" w:eastAsia="Times New Roman" w:hint="default"/>
                <w:sz w:val="18"/>
                <w:szCs w:val="18"/>
              </w:rPr>
            </w:pPr>
            <w:r>
              <w:rPr>
                <w:rFonts w:ascii="Times New Roman"/>
                <w:sz w:val="18"/>
              </w:rPr>
              <w:t>103,183,424.02</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44</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0"/>
        <w:gridCol w:w="2021"/>
        <w:gridCol w:w="1914"/>
        <w:gridCol w:w="1914"/>
      </w:tblGrid>
      <w:tr>
        <w:trPr>
          <w:trHeight w:val="161" w:hRule="exact"/>
        </w:trPr>
        <w:tc>
          <w:tcPr>
            <w:tcW w:w="3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20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2021"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513,822.76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573,165.06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513,822.76</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513,822.76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573,165.06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513,822.76</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713,370.00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713,370.00</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172,285.10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308,922.09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172,285.10</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1,449,477.86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882,087.15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1,449,477.86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45</w:t>
      </w:r>
      <w:r>
        <w:rPr/>
        <w:t>、所得税费用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55"/>
        <w:gridCol w:w="2524"/>
        <w:gridCol w:w="2389"/>
      </w:tblGrid>
      <w:tr>
        <w:trPr>
          <w:trHeight w:val="401"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23,004,049.53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40,646,762.20</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-2,193,253.36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-11,604,095.94</w:t>
            </w:r>
          </w:p>
        </w:tc>
      </w:tr>
      <w:tr>
        <w:trPr>
          <w:trHeight w:val="403"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20,810,796.17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29,042,666.26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46</w:t>
      </w:r>
      <w:r>
        <w:rPr/>
        <w:t>、基本每股收益和稀释每股收益的计算过程</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基本每股收益的计算过程</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5046"/>
        <w:gridCol w:w="944"/>
        <w:gridCol w:w="2322"/>
      </w:tblGrid>
      <w:tr>
        <w:trPr>
          <w:trHeight w:val="347" w:hRule="exact"/>
        </w:trPr>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2322"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7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w:t>
            </w:r>
          </w:p>
        </w:tc>
      </w:tr>
      <w:tr>
        <w:trPr>
          <w:trHeight w:val="347" w:hRule="exact"/>
        </w:trPr>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A</w:t>
            </w:r>
          </w:p>
        </w:tc>
        <w:tc>
          <w:tcPr>
            <w:tcW w:w="23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115,326,193.41</w:t>
            </w:r>
            <w:r>
              <w:rPr>
                <w:rFonts w:ascii="Times New Roman"/>
                <w:sz w:val="21"/>
              </w:rPr>
            </w:r>
          </w:p>
        </w:tc>
      </w:tr>
      <w:tr>
        <w:trPr>
          <w:trHeight w:val="347" w:hRule="exact"/>
        </w:trPr>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B</w:t>
            </w:r>
          </w:p>
        </w:tc>
        <w:tc>
          <w:tcPr>
            <w:tcW w:w="23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10,949,981.77</w:t>
            </w:r>
          </w:p>
        </w:tc>
      </w:tr>
      <w:tr>
        <w:trPr>
          <w:trHeight w:val="660" w:hRule="exact"/>
        </w:trPr>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97"/>
              <w:jc w:val="left"/>
              <w:rPr>
                <w:rFonts w:ascii="宋体" w:hAnsi="宋体" w:cs="宋体" w:eastAsia="宋体" w:hint="default"/>
                <w:sz w:val="21"/>
                <w:szCs w:val="21"/>
              </w:rPr>
            </w:pPr>
            <w:r>
              <w:rPr>
                <w:rFonts w:ascii="宋体" w:hAnsi="宋体" w:cs="宋体" w:eastAsia="宋体" w:hint="default"/>
                <w:sz w:val="21"/>
                <w:szCs w:val="21"/>
              </w:rPr>
              <w:t>扣除非经营性损益后的归属于公司普通股股东的净利 润</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C=A-B</w:t>
            </w:r>
          </w:p>
        </w:tc>
        <w:tc>
          <w:tcPr>
            <w:tcW w:w="23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104,376,211.64</w:t>
            </w:r>
          </w:p>
        </w:tc>
      </w:tr>
      <w:tr>
        <w:trPr>
          <w:trHeight w:val="347" w:hRule="exact"/>
        </w:trPr>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D</w:t>
            </w:r>
          </w:p>
        </w:tc>
        <w:tc>
          <w:tcPr>
            <w:tcW w:w="23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9"/>
              <w:jc w:val="right"/>
              <w:rPr>
                <w:rFonts w:ascii="Times New Roman" w:hAnsi="Times New Roman" w:cs="Times New Roman" w:eastAsia="Times New Roman" w:hint="default"/>
                <w:sz w:val="21"/>
                <w:szCs w:val="21"/>
              </w:rPr>
            </w:pPr>
            <w:r>
              <w:rPr>
                <w:rFonts w:ascii="Times New Roman"/>
                <w:spacing w:val="-1"/>
                <w:sz w:val="21"/>
              </w:rPr>
              <w:t>504,000,000.00</w:t>
            </w:r>
            <w:r>
              <w:rPr>
                <w:rFonts w:ascii="Times New Roman"/>
                <w:sz w:val="21"/>
              </w:rPr>
            </w:r>
          </w:p>
        </w:tc>
      </w:tr>
      <w:tr>
        <w:trPr>
          <w:trHeight w:val="347" w:hRule="exact"/>
        </w:trPr>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因公积金转增股本或股票股利分配等增加股份数</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E</w:t>
            </w:r>
          </w:p>
        </w:tc>
        <w:tc>
          <w:tcPr>
            <w:tcW w:w="232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F</w:t>
            </w:r>
          </w:p>
        </w:tc>
        <w:tc>
          <w:tcPr>
            <w:tcW w:w="232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G</w:t>
            </w:r>
          </w:p>
        </w:tc>
        <w:tc>
          <w:tcPr>
            <w:tcW w:w="232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H</w:t>
            </w:r>
          </w:p>
        </w:tc>
        <w:tc>
          <w:tcPr>
            <w:tcW w:w="2322"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I</w:t>
            </w:r>
          </w:p>
        </w:tc>
        <w:tc>
          <w:tcPr>
            <w:tcW w:w="232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J</w:t>
            </w:r>
          </w:p>
        </w:tc>
        <w:tc>
          <w:tcPr>
            <w:tcW w:w="232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K</w:t>
            </w:r>
          </w:p>
        </w:tc>
        <w:tc>
          <w:tcPr>
            <w:tcW w:w="23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12.00</w:t>
            </w:r>
          </w:p>
        </w:tc>
      </w:tr>
      <w:tr>
        <w:trPr>
          <w:trHeight w:val="347" w:hRule="exact"/>
        </w:trPr>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L=D+E+F</w:t>
            </w:r>
          </w:p>
        </w:tc>
        <w:tc>
          <w:tcPr>
            <w:tcW w:w="23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504,000,000.00</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5046"/>
        <w:gridCol w:w="944"/>
        <w:gridCol w:w="2322"/>
      </w:tblGrid>
      <w:tr>
        <w:trPr>
          <w:trHeight w:val="659" w:hRule="exact"/>
        </w:trPr>
        <w:tc>
          <w:tcPr>
            <w:tcW w:w="5046"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×G/K-H×I</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/K-J</w:t>
            </w:r>
          </w:p>
        </w:tc>
        <w:tc>
          <w:tcPr>
            <w:tcW w:w="232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M=A/L</w:t>
            </w:r>
          </w:p>
        </w:tc>
        <w:tc>
          <w:tcPr>
            <w:tcW w:w="23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0.23</w:t>
            </w:r>
            <w:r>
              <w:rPr>
                <w:rFonts w:ascii="Times New Roman"/>
                <w:sz w:val="21"/>
              </w:rPr>
            </w:r>
          </w:p>
        </w:tc>
      </w:tr>
      <w:tr>
        <w:trPr>
          <w:trHeight w:val="348" w:hRule="exact"/>
        </w:trPr>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N=C/L</w:t>
            </w:r>
          </w:p>
        </w:tc>
        <w:tc>
          <w:tcPr>
            <w:tcW w:w="23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0.21</w:t>
            </w:r>
            <w:r>
              <w:rPr>
                <w:rFonts w:ascii="Times New Roman"/>
                <w:sz w:val="21"/>
              </w:rPr>
            </w:r>
          </w:p>
        </w:tc>
      </w:tr>
    </w:tbl>
    <w:p>
      <w:pPr>
        <w:pStyle w:val="BodyText"/>
        <w:spacing w:line="276" w:lineRule="exact"/>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稀释每股收益的计算过程与基本每股收益的计算过程相同。</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47</w:t>
      </w:r>
      <w:r>
        <w:rPr/>
        <w:t>、其他综合收益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52"/>
        <w:gridCol w:w="2524"/>
        <w:gridCol w:w="2392"/>
      </w:tblGrid>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6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可供出售金融资产产生的利得（损失）金额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99,150,000.00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09"/>
              <w:jc w:val="righ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14,872,500.00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63,750,000.00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84,277,500.00</w:t>
            </w: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63,750,000.00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84,277,500.00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48</w:t>
      </w:r>
      <w:r>
        <w:rPr/>
        <w:t>、现金流量表附注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6,945,840.00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6,638,000.00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7,399,621.05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218,227.03</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21,201,688.08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支付销售费用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135,110,104.81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支付管理费用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154,337,457.85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108,790,674.69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41,650,208.84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439,888,446.19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初存目的为投资的定期存款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39,936,928.65</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39,936,928.65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用作质押的定期存款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126,278,456.00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126,278,456.00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49</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108,277,382.32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310,360,544.54</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39,899,152.19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38,981,152.80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29,229,056.92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26,690,849.43</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3,562,094.26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2,497,753.36</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529,368.33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316,846.92</w:t>
            </w:r>
          </w:p>
        </w:tc>
      </w:tr>
      <w:tr>
        <w:trPr>
          <w:trHeight w:val="71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-330,461.30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-1,937,903.02</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311,595.46</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4390" w:type="dxa"/>
            <w:tcBorders>
              <w:top w:val="single" w:sz="18" w:space="0" w:color="D3D3D3"/>
              <w:left w:val="single" w:sz="4" w:space="0" w:color="000000"/>
              <w:bottom w:val="single" w:sz="14" w:space="0" w:color="D3D3D3"/>
              <w:right w:val="single" w:sz="4" w:space="0" w:color="000000"/>
            </w:tcBorders>
          </w:tcPr>
          <w:p>
            <w:pPr>
              <w:pStyle w:val="TableParagraph"/>
              <w:tabs>
                <w:tab w:pos="4355" w:val="left" w:leader="none"/>
              </w:tabs>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财务费用(收益以“－”号填列)</w:t>
              <w:tab/>
            </w:r>
            <w:r>
              <w:rPr>
                <w:rFonts w:ascii="宋体" w:hAnsi="宋体" w:cs="宋体" w:eastAsia="宋体" w:hint="default"/>
                <w:sz w:val="18"/>
                <w:szCs w:val="18"/>
              </w:rPr>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50,605,948.83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30,338,279.67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-5,788,027.91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5,070,593.64</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2,812,071.34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-11,626,753.27</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6,244,433.50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-127,803,518.79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-80,175,199.57</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-310,070,501.23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-611,360,368.16</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26,157,886.82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133,062,106.70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2"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-176,363,519.26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-157,782,096.96</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500,650,658.27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505,740,486.60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505,740,486.60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725,931,455.08</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-5,089,828.33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-220,190,968.48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处置子公司及其他营业单位收到的现金和现金等价物</w:t>
            </w:r>
          </w:p>
        </w:tc>
        <w:tc>
          <w:tcPr>
            <w:tcW w:w="2522"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71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22" w:type="dxa"/>
            <w:tcBorders>
              <w:top w:val="single" w:sz="4" w:space="0" w:color="000000"/>
              <w:left w:val="single" w:sz="13"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1,815,583.72</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522"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3,284,416.28</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522"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8,335,524.25</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22"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9,694,252.93</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22"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16,663.37</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22"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1,375,392.05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7"/>
        <w:gridCol w:w="2524"/>
        <w:gridCol w:w="2657"/>
      </w:tblGrid>
      <w:tr>
        <w:trPr>
          <w:trHeight w:val="401"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500,650,658.27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505,740,486.60</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980,465.33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355,881.79</w:t>
            </w:r>
          </w:p>
        </w:tc>
      </w:tr>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449,894,492.53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463,417,704.36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7"/>
        <w:gridCol w:w="2524"/>
        <w:gridCol w:w="2657"/>
      </w:tblGrid>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49,775,700.41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41,966,900.45</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500,650,658.27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505,740,486.60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pStyle w:val="BodyText"/>
        <w:spacing w:line="273" w:lineRule="auto" w:before="90"/>
        <w:ind w:right="0" w:firstLine="420"/>
        <w:jc w:val="left"/>
      </w:pPr>
      <w:r>
        <w:rPr>
          <w:spacing w:val="-1"/>
        </w:rPr>
        <w:t>银行存款包含用作质押的定期存款152,100,000.00元、已按照定期存款利率计提存款利息的定期存款</w:t>
      </w:r>
      <w:r>
        <w:rPr/>
        <w:t> 41</w:t>
      </w:r>
      <w:r>
        <w:rPr>
          <w:rFonts w:ascii="Times New Roman" w:hAnsi="Times New Roman" w:cs="Times New Roman" w:eastAsia="Times New Roman" w:hint="default"/>
        </w:rPr>
        <w:t>,</w:t>
      </w:r>
      <w:r>
        <w:rPr/>
        <w:t>162</w:t>
      </w:r>
      <w:r>
        <w:rPr>
          <w:rFonts w:ascii="Times New Roman" w:hAnsi="Times New Roman" w:cs="Times New Roman" w:eastAsia="Times New Roman" w:hint="default"/>
        </w:rPr>
        <w:t>,</w:t>
      </w:r>
      <w:r>
        <w:rPr/>
        <w:t>213.37元，其他货币资金包含银行承兑汇票保证金108,790,674.69元。</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八、关联方及关联交易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、本企业的子公司情况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诚和伟业</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 发展有限责</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张春生</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电气设备的 设计、销售</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75332402-6</w:t>
            </w:r>
          </w:p>
        </w:tc>
      </w:tr>
      <w:tr>
        <w:trPr>
          <w:trHeight w:val="355"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荣信嘉时</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 发展有限公</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刘晓永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电气设备的 设计、销售</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362" w:lineRule="auto" w:before="51"/>
              <w:ind w:left="22" w:right="142"/>
              <w:jc w:val="left"/>
              <w:rPr>
                <w:rFonts w:ascii="Times New Roman" w:hAnsi="Times New Roman" w:cs="Times New Roman" w:eastAsia="Times New Roman" w:hint="default"/>
                <w:sz w:val="18"/>
                <w:szCs w:val="18"/>
              </w:rPr>
            </w:pPr>
            <w:r>
              <w:rPr>
                <w:rFonts w:ascii="Times New Roman"/>
                <w:sz w:val="18"/>
              </w:rPr>
              <w:t>66629499- X</w:t>
            </w:r>
          </w:p>
        </w:tc>
      </w:tr>
      <w:tr>
        <w:trPr>
          <w:trHeight w:val="351"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荣信电气传</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动系统（上 海）有限公</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王锋</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电气设备的 设计、销售</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66604364-8</w:t>
            </w:r>
          </w:p>
        </w:tc>
      </w:tr>
      <w:tr>
        <w:trPr>
          <w:trHeight w:val="355"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北京诚和龙 盛工程技术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电力设备器 件代理销售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68575973- X</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北京荣科恒 阳整流技术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黎军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整流设备、 变流设备等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55851779-7</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北京荣华恒 信开关技术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赵彩宏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开关技术研 发与推广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56366745-8</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辽宁荣信防 爆电气技术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井下防爆电 气设备的研 发生产与销 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56464854- X</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辽宁荣信电 机控制技术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贾明革</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电气设备的 设计、销售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56758022-9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辽宁荣信众 腾科技有限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郭自勇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电气设备的 设计、销售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56758126-4</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辽宁荣信光 伏技术有限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王文举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电气设备的 设计与销售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56758026-1</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辽宁荣信电 气传动技术 有限责任公 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郭自勇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3"/>
              <w:jc w:val="left"/>
              <w:rPr>
                <w:rFonts w:ascii="宋体" w:hAnsi="宋体" w:cs="宋体" w:eastAsia="宋体" w:hint="default"/>
                <w:sz w:val="18"/>
                <w:szCs w:val="18"/>
              </w:rPr>
            </w:pPr>
            <w:r>
              <w:rPr>
                <w:rFonts w:ascii="宋体" w:hAnsi="宋体" w:cs="宋体" w:eastAsia="宋体" w:hint="default"/>
                <w:sz w:val="18"/>
                <w:szCs w:val="18"/>
              </w:rPr>
              <w:t>电气设备的 设计与销售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25000000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56758411-5</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南京荣信电 力自动化有 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张加康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电气设备的 设计、销售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56722971-1</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北京荣信慧 科科技有限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张海涛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软件、设备 的设计与销 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56949242-5</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北京荣科博 信科技发展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车千里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电气设备的 设计、销售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57122066-4</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广州邦建电 力技术有限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常凯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电气设备的 设计与销售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57401292-4</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北京荣信瑞 科科技发展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软件、设备 的设计与销 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57317621-4</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荣西电力传 输技术有限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路维奇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电气设备的 设计与销售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欧</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56138332-0</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图木舒克市 荣信新能源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图木舒克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张臣堂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太阳能光伏 发电</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59590118-1</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哈密荣信新 能源有限公 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哈密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张臣堂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光伏发电、 风力发电</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59592003-2</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新疆荣信节 能电气有限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张臣堂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电气设备的 设计与销售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59592004-0</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荣信电力工 程</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JLT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迪拜</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黄志伟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电子设备贸 易</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商丘信力新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商丘</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杨昭平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专用设备的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58173380-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67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能源科技有 限公司</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X</w:t>
            </w: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北京信力筑</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新能源、节</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正新能源技 术股份有限</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股份有限公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杨昭平</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能设备、环 保设备、余</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66990243-6</w:t>
            </w:r>
          </w:p>
        </w:tc>
      </w:tr>
      <w:tr>
        <w:trPr>
          <w:trHeight w:val="356"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热余压发电</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上海地澳自 动化科技有 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韩菊娣</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井下防爆变 频设备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66439345- X</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、本企业的合营和联营企业情况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358" w:hRule="exact"/>
        </w:trPr>
        <w:tc>
          <w:tcPr>
            <w:tcW w:w="954"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本企业在被</w:t>
            </w: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33" w:hRule="exact"/>
        </w:trPr>
        <w:tc>
          <w:tcPr>
            <w:tcW w:w="9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01" w:right="110"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81" w:right="113"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158" w:right="23"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12" w:right="23" w:hanging="90"/>
              <w:jc w:val="left"/>
              <w:rPr>
                <w:rFonts w:ascii="宋体" w:hAnsi="宋体" w:cs="宋体" w:eastAsia="宋体" w:hint="default"/>
                <w:sz w:val="18"/>
                <w:szCs w:val="18"/>
              </w:rPr>
            </w:pPr>
            <w:r>
              <w:rPr>
                <w:rFonts w:ascii="宋体" w:hAnsi="宋体" w:cs="宋体" w:eastAsia="宋体" w:hint="default"/>
                <w:sz w:val="18"/>
                <w:szCs w:val="18"/>
              </w:rPr>
              <w:t>投资单位表 决权比例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46" w:hRule="exact"/>
        </w:trPr>
        <w:tc>
          <w:tcPr>
            <w:tcW w:w="954"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58" w:hRule="exact"/>
        </w:trPr>
        <w:tc>
          <w:tcPr>
            <w:tcW w:w="9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山东荣信</w:t>
            </w: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9"/>
              <w:jc w:val="left"/>
              <w:rPr>
                <w:rFonts w:ascii="宋体" w:hAnsi="宋体" w:cs="宋体" w:eastAsia="宋体" w:hint="default"/>
                <w:sz w:val="18"/>
                <w:szCs w:val="18"/>
              </w:rPr>
            </w:pPr>
            <w:r>
              <w:rPr>
                <w:rFonts w:ascii="宋体" w:hAnsi="宋体" w:cs="宋体" w:eastAsia="宋体" w:hint="default"/>
                <w:sz w:val="18"/>
                <w:szCs w:val="18"/>
              </w:rPr>
              <w:t>汇盛机电 科技有限</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济宁市</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姜辉</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设备制造</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773369258-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351" w:hRule="exact"/>
        </w:trPr>
        <w:tc>
          <w:tcPr>
            <w:tcW w:w="9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节能技术</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鄂尔多斯市</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张凯</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50000000</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50%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56690500-1</w:t>
            </w:r>
          </w:p>
        </w:tc>
      </w:tr>
      <w:tr>
        <w:trPr>
          <w:trHeight w:val="352" w:hRule="exact"/>
        </w:trPr>
        <w:tc>
          <w:tcPr>
            <w:tcW w:w="9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9"/>
              <w:jc w:val="both"/>
              <w:rPr>
                <w:rFonts w:ascii="宋体" w:hAnsi="宋体" w:cs="宋体" w:eastAsia="宋体" w:hint="default"/>
                <w:sz w:val="18"/>
                <w:szCs w:val="18"/>
              </w:rPr>
            </w:pPr>
            <w:r>
              <w:rPr>
                <w:rFonts w:ascii="宋体" w:hAnsi="宋体" w:cs="宋体" w:eastAsia="宋体" w:hint="default"/>
                <w:sz w:val="18"/>
                <w:szCs w:val="18"/>
              </w:rPr>
              <w:t>泰信新能 源科技有 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设备销售</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3158000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8" w:hRule="exact"/>
        </w:trPr>
        <w:tc>
          <w:tcPr>
            <w:tcW w:w="9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鞍山荣信</w:t>
            </w: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节能服务</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鞍山市</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杨晶</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10000000</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49%</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49%</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56137830-2</w:t>
            </w:r>
          </w:p>
        </w:tc>
      </w:tr>
      <w:tr>
        <w:trPr>
          <w:trHeight w:val="353" w:hRule="exact"/>
        </w:trPr>
        <w:tc>
          <w:tcPr>
            <w:tcW w:w="9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第一大股东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27926773X</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被投资公司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70646049-8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、关联方交易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409.619995pt;margin-top:-31.567984pt;width:85.35pt;height:50.8pt;mso-position-horizontal-relative:page;mso-position-vertical-relative:paragraph;z-index:-9632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2.178024pt;width:479.1pt;height:143.3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98"/>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2"/>
                          <w:jc w:val="left"/>
                          <w:rPr>
                            <w:rFonts w:ascii="宋体" w:hAnsi="宋体" w:cs="宋体" w:eastAsia="宋体" w:hint="default"/>
                            <w:sz w:val="18"/>
                            <w:szCs w:val="18"/>
                          </w:rPr>
                        </w:pPr>
                        <w:r>
                          <w:rPr>
                            <w:rFonts w:ascii="宋体" w:hAnsi="宋体" w:cs="宋体" w:eastAsia="宋体" w:hint="default"/>
                            <w:sz w:val="18"/>
                            <w:szCs w:val="18"/>
                          </w:rPr>
                          <w:t>鞍山荣信节能服务 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销售代理费</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33,351,812.00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2"/>
                          <w:jc w:val="left"/>
                          <w:rPr>
                            <w:rFonts w:ascii="宋体" w:hAnsi="宋体" w:cs="宋体" w:eastAsia="宋体" w:hint="default"/>
                            <w:sz w:val="18"/>
                            <w:szCs w:val="18"/>
                          </w:rPr>
                        </w:pPr>
                        <w:r>
                          <w:rPr>
                            <w:rFonts w:ascii="宋体" w:hAnsi="宋体" w:cs="宋体" w:eastAsia="宋体" w:hint="default"/>
                            <w:sz w:val="18"/>
                            <w:szCs w:val="18"/>
                          </w:rPr>
                          <w:t>青岛市恒顺电气股 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电能质量与电力安全 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10,422,471.20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409.619995pt;margin-top:-31.567995pt;width:85.35pt;height:50.85pt;mso-position-horizontal-relative:page;mso-position-vertical-relative:paragraph;z-index:-9631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2.148003pt;width:479.1pt;height:143.3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98"/>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中煤科创公司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电能质量与电力安全 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14,337,742.74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6,307,326.23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0.07%</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青岛市恒顺电气股 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电能质量与电力安全 产品配件</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1,675,213.68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）关联方资金拆借</w:t>
      </w:r>
      <w:r>
        <w:rPr>
          <w:b w:val="0"/>
          <w:bCs w:val="0"/>
        </w:rPr>
      </w:r>
    </w:p>
    <w:p>
      <w:pPr>
        <w:spacing w:line="240" w:lineRule="auto" w:before="7"/>
        <w:rPr>
          <w:rFonts w:ascii="宋体" w:hAnsi="宋体" w:cs="宋体" w:eastAsia="宋体" w:hint="default"/>
          <w:b/>
          <w:bCs/>
          <w:sz w:val="30"/>
          <w:szCs w:val="30"/>
        </w:rPr>
      </w:pPr>
    </w:p>
    <w:p>
      <w:pPr>
        <w:pStyle w:val="BodyText"/>
        <w:spacing w:line="410" w:lineRule="auto"/>
        <w:ind w:right="140" w:firstLine="420"/>
        <w:jc w:val="left"/>
      </w:pPr>
      <w:r>
        <w:rPr/>
        <w:t>2012 年度本公司支付节能公司往来款项 11,793.78 万元。截至 2012 年 12 月 31</w:t>
      </w:r>
      <w:r>
        <w:rPr>
          <w:spacing w:val="-30"/>
        </w:rPr>
        <w:t> </w:t>
      </w:r>
      <w:r>
        <w:rPr/>
        <w:t>日，节能公司已</w:t>
      </w:r>
      <w:r>
        <w:rPr/>
        <w:t> 向本公司归还全部款项。</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60"/>
      </w:tblGrid>
      <w:tr>
        <w:trPr>
          <w:trHeight w:val="402" w:hRule="exact"/>
        </w:trPr>
        <w:tc>
          <w:tcPr>
            <w:tcW w:w="2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58" w:type="dxa"/>
            <w:vMerge/>
            <w:tcBorders>
              <w:left w:val="single" w:sz="4" w:space="0" w:color="000000"/>
              <w:bottom w:val="single" w:sz="4" w:space="0" w:color="000000"/>
              <w:right w:val="single" w:sz="4" w:space="0" w:color="000000"/>
            </w:tcBorders>
            <w:shd w:val="clear" w:color="auto" w:fill="D3D3D3"/>
          </w:tcPr>
          <w:p>
            <w:pPr/>
          </w:p>
        </w:tc>
        <w:tc>
          <w:tcPr>
            <w:tcW w:w="166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山东荣信汇盛机电 科技有限公司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中煤科创节能技术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13,386,448.86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669,322.44</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60"/>
      </w:tblGrid>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山东荣信汇盛机电 科技有限公司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78,000.00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中煤科创节能技术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158,280.00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7,914.00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150,000.00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7,500.00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71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2"/>
              <w:jc w:val="left"/>
              <w:rPr>
                <w:rFonts w:ascii="宋体" w:hAnsi="宋体" w:cs="宋体" w:eastAsia="宋体" w:hint="default"/>
                <w:sz w:val="18"/>
                <w:szCs w:val="18"/>
              </w:rPr>
            </w:pPr>
            <w:r>
              <w:rPr>
                <w:rFonts w:ascii="宋体" w:hAnsi="宋体" w:cs="宋体" w:eastAsia="宋体" w:hint="default"/>
                <w:sz w:val="18"/>
                <w:szCs w:val="18"/>
              </w:rPr>
              <w:t>青岛市恒顺电气股份有限公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0" w:right="0"/>
              <w:jc w:val="left"/>
              <w:rPr>
                <w:rFonts w:ascii="Times New Roman" w:hAnsi="Times New Roman" w:cs="Times New Roman" w:eastAsia="Times New Roman" w:hint="default"/>
                <w:sz w:val="18"/>
                <w:szCs w:val="18"/>
              </w:rPr>
            </w:pPr>
            <w:r>
              <w:rPr>
                <w:rFonts w:ascii="Times New Roman"/>
                <w:sz w:val="18"/>
              </w:rPr>
              <w:t>7,374,641.40</w:t>
            </w:r>
          </w:p>
        </w:tc>
        <w:tc>
          <w:tcPr>
            <w:tcW w:w="22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九、或有事项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、为其他单位提供债务担保形成的或有负债及其财务影响</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53" w:right="147" w:firstLine="42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日，本公司与贵州登峰能源集团有限公司</w:t>
      </w:r>
      <w:r>
        <w:rPr>
          <w:rFonts w:ascii="Times New Roman" w:hAnsi="Times New Roman" w:cs="Times New Roman" w:eastAsia="Times New Roman" w:hint="default"/>
          <w:spacing w:val="-2"/>
        </w:rPr>
        <w:t>(</w:t>
      </w:r>
      <w:r>
        <w:rPr>
          <w:spacing w:val="-2"/>
        </w:rPr>
        <w:t>以下简称贵州登峰公司</w:t>
      </w:r>
      <w:r>
        <w:rPr>
          <w:rFonts w:ascii="Times New Roman" w:hAnsi="Times New Roman" w:cs="Times New Roman" w:eastAsia="Times New Roman" w:hint="default"/>
          <w:spacing w:val="-2"/>
        </w:rPr>
        <w:t>)</w:t>
      </w:r>
      <w:r>
        <w:rPr>
          <w:spacing w:val="-2"/>
        </w:rPr>
        <w:t>签订《贵州登峰能源集</w:t>
      </w:r>
      <w:r>
        <w:rPr/>
        <w:t> 团扩能技改工程合同协议书》，合同金额为人民币</w:t>
      </w:r>
      <w:r>
        <w:rPr>
          <w:rFonts w:ascii="Times New Roman" w:hAnsi="Times New Roman" w:cs="Times New Roman" w:eastAsia="Times New Roman" w:hint="default"/>
        </w:rPr>
        <w:t>33,000</w:t>
      </w:r>
      <w:r>
        <w:rPr/>
        <w:t>万元。为保证该合同履行的资金需求，贵州登峰</w:t>
      </w:r>
      <w:r>
        <w:rPr>
          <w:spacing w:val="-81"/>
        </w:rPr>
        <w:t> </w:t>
      </w:r>
      <w:r>
        <w:rPr>
          <w:spacing w:val="-81"/>
        </w:rPr>
      </w:r>
      <w:r>
        <w:rPr>
          <w:spacing w:val="-1"/>
        </w:rPr>
        <w:t>公司、威宁县洁净煤有限公司</w:t>
      </w:r>
      <w:r>
        <w:rPr>
          <w:rFonts w:ascii="Times New Roman" w:hAnsi="Times New Roman" w:cs="Times New Roman" w:eastAsia="Times New Roman" w:hint="default"/>
          <w:spacing w:val="-1"/>
        </w:rPr>
        <w:t>(</w:t>
      </w:r>
      <w:r>
        <w:rPr>
          <w:spacing w:val="-1"/>
        </w:rPr>
        <w:t>以下简称威宁洁净煤公司</w:t>
      </w:r>
      <w:r>
        <w:rPr>
          <w:rFonts w:ascii="Times New Roman" w:hAnsi="Times New Roman" w:cs="Times New Roman" w:eastAsia="Times New Roman" w:hint="default"/>
          <w:spacing w:val="-1"/>
        </w:rPr>
        <w:t>)</w:t>
      </w:r>
      <w:r>
        <w:rPr>
          <w:spacing w:val="-1"/>
        </w:rPr>
        <w:t>分别与民生金融租赁股份有限公司</w:t>
      </w:r>
      <w:r>
        <w:rPr>
          <w:rFonts w:ascii="Times New Roman" w:hAnsi="Times New Roman" w:cs="Times New Roman" w:eastAsia="Times New Roman" w:hint="default"/>
          <w:spacing w:val="-1"/>
        </w:rPr>
        <w:t>(</w:t>
      </w:r>
      <w:r>
        <w:rPr>
          <w:spacing w:val="-1"/>
        </w:rPr>
        <w:t>以下简称民生</w:t>
      </w:r>
      <w:r>
        <w:rPr>
          <w:spacing w:val="-82"/>
        </w:rPr>
        <w:t> </w:t>
      </w:r>
      <w:r>
        <w:rPr>
          <w:spacing w:val="-2"/>
        </w:rPr>
        <w:t>租赁公司</w:t>
      </w:r>
      <w:r>
        <w:rPr>
          <w:rFonts w:ascii="Times New Roman" w:hAnsi="Times New Roman" w:cs="Times New Roman" w:eastAsia="Times New Roman" w:hint="default"/>
          <w:spacing w:val="-2"/>
        </w:rPr>
        <w:t>)</w:t>
      </w:r>
      <w:r>
        <w:rPr>
          <w:spacing w:val="-2"/>
        </w:rPr>
        <w:t>签订《融资租赁合同》，约定民生租赁公司同意受让贵州登峰公司、威宁洁净煤公司享有所有权</w:t>
      </w:r>
      <w:r>
        <w:rPr/>
        <w:t> </w:t>
      </w:r>
      <w:r>
        <w:rPr>
          <w:spacing w:val="-2"/>
        </w:rPr>
        <w:t>的设备，支付价款合计</w:t>
      </w:r>
      <w:r>
        <w:rPr>
          <w:rFonts w:ascii="Times New Roman" w:hAnsi="Times New Roman" w:cs="Times New Roman" w:eastAsia="Times New Roman" w:hint="default"/>
          <w:spacing w:val="-2"/>
        </w:rPr>
        <w:t>5,400</w:t>
      </w:r>
      <w:r>
        <w:rPr>
          <w:spacing w:val="-2"/>
        </w:rPr>
        <w:t>万元，并将该等设备租回给贵州登峰公司、威宁洁净煤公司使用，租赁期限三</w:t>
      </w:r>
      <w:r>
        <w:rPr>
          <w:spacing w:val="-88"/>
        </w:rPr>
        <w:t> </w:t>
      </w:r>
      <w:r>
        <w:rPr>
          <w:spacing w:val="-88"/>
        </w:rPr>
      </w:r>
      <w:r>
        <w:rPr/>
        <w:t>年，租赁本金为</w:t>
      </w:r>
      <w:r>
        <w:rPr>
          <w:rFonts w:ascii="Times New Roman" w:hAnsi="Times New Roman" w:cs="Times New Roman" w:eastAsia="Times New Roman" w:hint="default"/>
        </w:rPr>
        <w:t>5,400</w:t>
      </w:r>
      <w:r>
        <w:rPr/>
        <w:t>万元，支付设备款分别为贵州登峰公司</w:t>
      </w:r>
      <w:r>
        <w:rPr>
          <w:rFonts w:ascii="Times New Roman" w:hAnsi="Times New Roman" w:cs="Times New Roman" w:eastAsia="Times New Roman" w:hint="default"/>
        </w:rPr>
        <w:t>3,400</w:t>
      </w:r>
      <w:r>
        <w:rPr/>
        <w:t>万元、威宁洁净煤公司</w:t>
      </w:r>
      <w:r>
        <w:rPr>
          <w:rFonts w:ascii="Times New Roman" w:hAnsi="Times New Roman" w:cs="Times New Roman" w:eastAsia="Times New Roman" w:hint="default"/>
        </w:rPr>
        <w:t>2,000</w:t>
      </w:r>
      <w:r>
        <w:rPr/>
        <w:t>万元。</w:t>
      </w:r>
    </w:p>
    <w:p>
      <w:pPr>
        <w:pStyle w:val="BodyText"/>
        <w:spacing w:line="256" w:lineRule="auto" w:before="5"/>
        <w:ind w:left="153" w:right="151" w:firstLine="420"/>
        <w:jc w:val="both"/>
      </w:pPr>
      <w:r>
        <w:rPr>
          <w:spacing w:val="-2"/>
        </w:rPr>
        <w:t>本公司为上述《融资租赁合同》项下全部债务提供连带责任保证，担保金额人民币</w:t>
      </w:r>
      <w:r>
        <w:rPr>
          <w:rFonts w:ascii="Times New Roman" w:hAnsi="Times New Roman" w:cs="Times New Roman" w:eastAsia="Times New Roman" w:hint="default"/>
          <w:spacing w:val="-2"/>
        </w:rPr>
        <w:t>5,400</w:t>
      </w:r>
      <w:r>
        <w:rPr>
          <w:spacing w:val="-2"/>
        </w:rPr>
        <w:t>万元，担保期</w:t>
      </w:r>
      <w:r>
        <w:rPr/>
        <w:t> 限自保证合同生效之日起至主合同履行期限届满之日后两年止。</w:t>
      </w:r>
    </w:p>
    <w:p>
      <w:pPr>
        <w:pStyle w:val="BodyText"/>
        <w:spacing w:line="273" w:lineRule="auto" w:before="22"/>
        <w:ind w:left="153" w:right="150" w:firstLine="420"/>
        <w:jc w:val="both"/>
      </w:pPr>
      <w:r>
        <w:rPr>
          <w:spacing w:val="-1"/>
        </w:rPr>
        <w:t>同时贵州登峰公司等相关各方就本公司此次担保行为，以不可撤销连带责任保证、土地使用权、房屋</w:t>
      </w:r>
      <w:r>
        <w:rPr/>
        <w:t> 所有权、煤矿采矿权、股权及股东个人无条件连带责任保证等共计</w:t>
      </w:r>
      <w:r>
        <w:rPr>
          <w:rFonts w:ascii="Times New Roman" w:hAnsi="Times New Roman" w:cs="Times New Roman" w:eastAsia="Times New Roman" w:hint="default"/>
        </w:rPr>
        <w:t>32,344.06</w:t>
      </w:r>
      <w:r>
        <w:rPr/>
        <w:t>万元提供反担保。</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十、承诺事项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574" w:right="8090" w:hanging="421"/>
        <w:jc w:val="left"/>
        <w:rPr>
          <w:rFonts w:ascii="宋体" w:hAnsi="宋体" w:cs="宋体" w:eastAsia="宋体" w:hint="default"/>
          <w:sz w:val="21"/>
          <w:szCs w:val="21"/>
        </w:rPr>
      </w:pPr>
      <w:r>
        <w:rPr/>
        <w:pict>
          <v:shape style="position:absolute;margin-left:56.34pt;margin-top:46.944088pt;width:416.7pt;height:52.8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56"/>
                    <w:gridCol w:w="4157"/>
                  </w:tblGrid>
                  <w:tr>
                    <w:trPr>
                      <w:trHeight w:val="347" w:hRule="exact"/>
                    </w:trPr>
                    <w:tc>
                      <w:tcPr>
                        <w:tcW w:w="4156" w:type="dxa"/>
                        <w:tcBorders>
                          <w:top w:val="single" w:sz="6" w:space="0" w:color="000000"/>
                          <w:left w:val="single" w:sz="6" w:space="0" w:color="000000"/>
                          <w:bottom w:val="single" w:sz="6" w:space="0" w:color="000000"/>
                          <w:right w:val="single" w:sz="6" w:space="0" w:color="000000"/>
                        </w:tcBorders>
                      </w:tcPr>
                      <w:p>
                        <w:pPr>
                          <w:pStyle w:val="TableParagraph"/>
                          <w:tabs>
                            <w:tab w:pos="461" w:val="left" w:leader="none"/>
                          </w:tabs>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157"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412" w:right="0"/>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63"/>
                            <w:sz w:val="21"/>
                            <w:szCs w:val="21"/>
                          </w:rPr>
                          <w:t> </w:t>
                        </w:r>
                        <w:r>
                          <w:rPr>
                            <w:rFonts w:ascii="宋体" w:hAnsi="宋体" w:cs="宋体" w:eastAsia="宋体" w:hint="default"/>
                            <w:sz w:val="21"/>
                            <w:szCs w:val="21"/>
                          </w:rPr>
                          <w:t>额</w:t>
                        </w:r>
                      </w:p>
                    </w:tc>
                  </w:tr>
                  <w:tr>
                    <w:trPr>
                      <w:trHeight w:val="347" w:hRule="exact"/>
                    </w:trPr>
                    <w:tc>
                      <w:tcPr>
                        <w:tcW w:w="415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机器设备采购</w:t>
                        </w:r>
                      </w:p>
                    </w:tc>
                    <w:tc>
                      <w:tcPr>
                        <w:tcW w:w="41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1"/>
                            <w:szCs w:val="21"/>
                          </w:rPr>
                        </w:pPr>
                        <w:r>
                          <w:rPr>
                            <w:rFonts w:ascii="Times New Roman"/>
                            <w:spacing w:val="-1"/>
                            <w:sz w:val="21"/>
                          </w:rPr>
                          <w:t>1,251,467.00</w:t>
                        </w:r>
                      </w:p>
                    </w:tc>
                  </w:tr>
                  <w:tr>
                    <w:trPr>
                      <w:trHeight w:val="348" w:hRule="exact"/>
                    </w:trPr>
                    <w:tc>
                      <w:tcPr>
                        <w:tcW w:w="415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工程合同</w:t>
                        </w:r>
                      </w:p>
                    </w:tc>
                    <w:tc>
                      <w:tcPr>
                        <w:tcW w:w="41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1"/>
                            <w:szCs w:val="21"/>
                          </w:rPr>
                        </w:pPr>
                        <w:r>
                          <w:rPr>
                            <w:rFonts w:ascii="Times New Roman"/>
                            <w:spacing w:val="-1"/>
                            <w:sz w:val="21"/>
                          </w:rPr>
                          <w:t>6,650,000.00</w:t>
                        </w:r>
                      </w:p>
                    </w:tc>
                  </w:tr>
                </w:tbl>
                <w:p>
                  <w:pPr/>
                </w:p>
              </w:txbxContent>
            </v:textbox>
            <w10:wrap type="none"/>
          </v:shape>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
          <w:w w:val="99"/>
          <w:sz w:val="21"/>
          <w:szCs w:val="21"/>
        </w:rPr>
        <w:t> </w:t>
      </w:r>
      <w:r>
        <w:rPr>
          <w:rFonts w:ascii="宋体" w:hAnsi="宋体" w:cs="宋体" w:eastAsia="宋体" w:hint="default"/>
          <w:sz w:val="21"/>
          <w:szCs w:val="21"/>
        </w:rPr>
        <w:t>重大承诺事项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right="0"/>
        <w:jc w:val="left"/>
        <w:rPr>
          <w:b w:val="0"/>
          <w:bCs w:val="0"/>
        </w:rPr>
      </w:pPr>
      <w:r>
        <w:rPr/>
        <w:t>十一、资产负债表日后事项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0"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发行债券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年公司债券（第一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4" w:right="0"/>
              <w:jc w:val="left"/>
              <w:rPr>
                <w:rFonts w:ascii="Times New Roman" w:hAnsi="Times New Roman" w:cs="Times New Roman" w:eastAsia="Times New Roman" w:hint="default"/>
                <w:sz w:val="18"/>
                <w:szCs w:val="18"/>
              </w:rPr>
            </w:pPr>
            <w:r>
              <w:rPr>
                <w:rFonts w:ascii="Times New Roman"/>
                <w:sz w:val="18"/>
              </w:rPr>
              <w:t>-7,152,540.98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2" w:hRule="exact"/>
        </w:trPr>
        <w:tc>
          <w:tcPr>
            <w:tcW w:w="2392" w:type="dxa"/>
            <w:vMerge w:val="restart"/>
            <w:tcBorders>
              <w:top w:val="single" w:sz="4" w:space="0" w:color="000000"/>
              <w:left w:val="single" w:sz="4" w:space="0" w:color="000000"/>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w:t>
            </w:r>
            <w:r>
              <w:rPr>
                <w:rFonts w:ascii="宋体" w:hAnsi="宋体" w:cs="宋体" w:eastAsia="宋体" w:hint="default"/>
                <w:spacing w:val="-90"/>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tc>
        <w:tc>
          <w:tcPr>
            <w:tcW w:w="2392" w:type="dxa"/>
            <w:vMerge w:val="restart"/>
            <w:tcBorders>
              <w:top w:val="single" w:sz="4" w:space="0" w:color="000000"/>
              <w:left w:val="single" w:sz="4" w:space="0" w:color="000000"/>
              <w:right w:val="single" w:sz="4" w:space="0" w:color="000000"/>
            </w:tcBorders>
          </w:tcPr>
          <w:p>
            <w:pPr>
              <w:pStyle w:val="TableParagraph"/>
              <w:spacing w:line="2224" w:lineRule="exact"/>
              <w:ind w:right="-50"/>
              <w:jc w:val="left"/>
              <w:rPr>
                <w:rFonts w:ascii="宋体" w:hAnsi="宋体" w:cs="宋体" w:eastAsia="宋体" w:hint="default"/>
                <w:sz w:val="20"/>
                <w:szCs w:val="20"/>
              </w:rPr>
            </w:pPr>
            <w:r>
              <w:rPr>
                <w:rFonts w:ascii="宋体" w:hAnsi="宋体" w:cs="宋体" w:eastAsia="宋体" w:hint="default"/>
                <w:position w:val="-43"/>
                <w:sz w:val="20"/>
                <w:szCs w:val="20"/>
              </w:rPr>
              <w:pict>
                <v:group style="width:119.1pt;height:111.25pt;mso-position-horizontal-relative:char;mso-position-vertical-relative:line" coordorigin="0,0" coordsize="2382,2225">
                  <v:group style="position:absolute;left:0;top:0;width:2382;height:2225" coordorigin="0,0" coordsize="2382,2225">
                    <v:shape style="position:absolute;left:0;top:0;width:2382;height:2225" coordorigin="0,0" coordsize="2382,2225" path="m0,2225l2382,2225,2382,0,0,0,0,2225xe" filled="true" fillcolor="#ffffff" stroked="false">
                      <v:path arrowok="t"/>
                      <v:fill type="solid"/>
                    </v:shape>
                  </v:group>
                </v:group>
              </w:pict>
            </w:r>
            <w:r>
              <w:rPr>
                <w:rFonts w:ascii="宋体" w:hAnsi="宋体" w:cs="宋体" w:eastAsia="宋体" w:hint="default"/>
                <w:position w:val="-43"/>
                <w:sz w:val="20"/>
                <w:szCs w:val="20"/>
              </w:rPr>
            </w:r>
          </w:p>
        </w:tc>
        <w:tc>
          <w:tcPr>
            <w:tcW w:w="2392" w:type="dxa"/>
            <w:vMerge w:val="restart"/>
            <w:tcBorders>
              <w:top w:val="single" w:sz="4" w:space="0" w:color="000000"/>
              <w:left w:val="single" w:sz="4" w:space="0" w:color="000000"/>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13 </w:t>
            </w:r>
            <w:r>
              <w:rPr>
                <w:rFonts w:ascii="宋体" w:hAnsi="宋体" w:cs="宋体" w:eastAsia="宋体" w:hint="default"/>
                <w:sz w:val="18"/>
                <w:szCs w:val="18"/>
              </w:rPr>
              <w:t>荣信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，上市代码</w:t>
            </w: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112145</w:t>
            </w:r>
            <w:r>
              <w:rPr>
                <w:rFonts w:ascii="宋体" w:hAnsi="宋体" w:cs="宋体" w:eastAsia="宋体" w:hint="default"/>
                <w:sz w:val="18"/>
                <w:szCs w:val="18"/>
              </w:rPr>
              <w:t>，发行总额为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亿元，</w:t>
            </w: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债券期限为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年，票面年利率</w:t>
            </w: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5.90%</w:t>
            </w:r>
            <w:r>
              <w:rPr>
                <w:rFonts w:ascii="宋体" w:hAnsi="宋体" w:cs="宋体" w:eastAsia="宋体" w:hint="default"/>
                <w:sz w:val="18"/>
                <w:szCs w:val="18"/>
              </w:rPr>
              <w:t>，还本付息方式为：</w:t>
            </w: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308" w:hRule="exact"/>
        </w:trPr>
        <w:tc>
          <w:tcPr>
            <w:tcW w:w="2392" w:type="dxa"/>
            <w:vMerge/>
            <w:tcBorders>
              <w:left w:val="single" w:sz="4" w:space="0" w:color="000000"/>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单利计息，每年付息一次，到</w:t>
            </w: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357" w:hRule="exact"/>
        </w:trPr>
        <w:tc>
          <w:tcPr>
            <w:tcW w:w="2392" w:type="dxa"/>
            <w:vMerge/>
            <w:tcBorders>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期一次还本。</w:t>
            </w: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pict>
          <v:shape style="position:absolute;margin-left:263.041809pt;margin-top:-124.286049pt;width:152.25pt;height:111.25pt;mso-position-horizontal-relative:page;mso-position-vertical-relative:paragraph;z-index:-962992"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日发行，</w:t>
                  </w:r>
                </w:p>
              </w:txbxContent>
            </v:textbox>
            <w10:wrap type="none"/>
          </v:shape>
        </w:pict>
      </w: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765;top:16;width:23;height:392" coordorigin="4765,16" coordsize="23,392">
              <v:shape style="position:absolute;left:4765;top:16;width:23;height:392" coordorigin="4765,16" coordsize="23,392" path="m4765,407l4788,407,4788,16,4765,16,4765,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728;height:392" coordorigin="37,16" coordsize="4728,392">
              <v:shape style="position:absolute;left:37;top:16;width:4728;height:392" coordorigin="37,16" coordsize="4728,392" path="m37,407l4765,407,4765,16,37,16,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5;height:2" coordorigin="5,413" coordsize="4785,2">
              <v:shape style="position:absolute;left:5;top:413;width:4785;height:2" coordorigin="5,413" coordsize="4785,0" path="m5,413l4789,413e" filled="false" stroked="true" strokeweight=".47998pt" strokecolor="#000000">
                <v:path arrowok="t"/>
              </v:shape>
            </v:group>
            <v:group style="position:absolute;left:4794;top:14;width:2;height:404" coordorigin="4794,14" coordsize="2,404">
              <v:shape style="position:absolute;left:4794;top:14;width:2;height:404" coordorigin="4794,14" coordsize="0,404" path="m4794,14l4794,418e" filled="false" stroked="true" strokeweight=".48001pt" strokecolor="#000000">
                <v:path arrowok="t"/>
              </v:shape>
            </v:group>
            <v:group style="position:absolute;left:4799;top:413;width:4774;height:2" coordorigin="4799,413" coordsize="4774,2">
              <v:shape style="position:absolute;left:4799;top:413;width:4774;height:2" coordorigin="4799,413" coordsize="4774,0" path="m4799,413l9572,413e" filled="false" stroked="true" strokeweight=".4799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10;top:10;width:4784;height:404" type="#_x0000_t202" filled="false" stroked="false">
                <v:textbox inset="0,0,0,0">
                  <w:txbxContent>
                    <w:p>
                      <w:pPr>
                        <w:spacing w:before="57"/>
                        <w:ind w:left="27"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9235;top:130;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BodyText"/>
        <w:spacing w:line="240" w:lineRule="auto" w:before="35"/>
        <w:ind w:right="0"/>
        <w:jc w:val="left"/>
      </w:pPr>
      <w:r>
        <w:rPr/>
        <w:t>根据本公司第四届董事会第二十六次会议，本期公司不进行利润分配。</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十二、其他重要事项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、企业合并</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pPr>
      <w:r>
        <w:rPr/>
        <w:t>企业合并情况详见本财务报表附注企业合并及合并财务报表之说明。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r>
        <w:rPr>
          <w:rFonts w:ascii="Times New Roman" w:hAnsi="Times New Roman" w:cs="Times New Roman" w:eastAsia="Times New Roman" w:hint="default"/>
        </w:rPr>
        <w:t>2</w:t>
      </w:r>
      <w:r>
        <w:rPr/>
        <w:t>、租赁</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74" w:right="4310"/>
        <w:jc w:val="left"/>
      </w:pPr>
      <w:r>
        <w:rPr/>
        <w:t>经营租赁 公司以后年度将支付的不可撤销最低租赁付款额如下：</w:t>
      </w:r>
    </w:p>
    <w:tbl>
      <w:tblPr>
        <w:tblW w:w="0" w:type="auto"/>
        <w:jc w:val="left"/>
        <w:tblInd w:w="146" w:type="dxa"/>
        <w:tblLayout w:type="fixed"/>
        <w:tblCellMar>
          <w:top w:w="0" w:type="dxa"/>
          <w:left w:w="0" w:type="dxa"/>
          <w:bottom w:w="0" w:type="dxa"/>
          <w:right w:w="0" w:type="dxa"/>
        </w:tblCellMar>
        <w:tblLook w:val="01E0"/>
      </w:tblPr>
      <w:tblGrid>
        <w:gridCol w:w="4156"/>
        <w:gridCol w:w="4157"/>
      </w:tblGrid>
      <w:tr>
        <w:trPr>
          <w:trHeight w:val="347" w:hRule="exact"/>
        </w:trPr>
        <w:tc>
          <w:tcPr>
            <w:tcW w:w="415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剩余租赁期</w:t>
            </w:r>
          </w:p>
        </w:tc>
        <w:tc>
          <w:tcPr>
            <w:tcW w:w="4157"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412" w:right="0"/>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63"/>
                <w:sz w:val="21"/>
                <w:szCs w:val="21"/>
              </w:rPr>
              <w:t> </w:t>
            </w:r>
            <w:r>
              <w:rPr>
                <w:rFonts w:ascii="宋体" w:hAnsi="宋体" w:cs="宋体" w:eastAsia="宋体" w:hint="default"/>
                <w:sz w:val="21"/>
                <w:szCs w:val="21"/>
              </w:rPr>
              <w:t>额</w:t>
            </w:r>
          </w:p>
        </w:tc>
      </w:tr>
      <w:tr>
        <w:trPr>
          <w:trHeight w:val="348" w:hRule="exact"/>
        </w:trPr>
        <w:tc>
          <w:tcPr>
            <w:tcW w:w="415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41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1"/>
                <w:szCs w:val="21"/>
              </w:rPr>
            </w:pPr>
            <w:r>
              <w:rPr>
                <w:rFonts w:ascii="Times New Roman"/>
                <w:spacing w:val="-1"/>
                <w:sz w:val="21"/>
              </w:rPr>
              <w:t>1,348,262.72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61"/>
        <w:gridCol w:w="1520"/>
        <w:gridCol w:w="1522"/>
        <w:gridCol w:w="1523"/>
        <w:gridCol w:w="1522"/>
        <w:gridCol w:w="1522"/>
      </w:tblGrid>
      <w:tr>
        <w:trPr>
          <w:trHeight w:val="714"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75"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05" w:right="35"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1" w:hRule="exact"/>
        </w:trPr>
        <w:tc>
          <w:tcPr>
            <w:tcW w:w="9569"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132,900,000.00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174,150,000.00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207,900,000.00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132,900,000.00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174,150,000.00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207,900,000.00</w:t>
            </w: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十三、母公司财务报表主要项目注释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3D3D3"/>
          </w:tcPr>
          <w:p>
            <w:pP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1,279,031,533.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25</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120,268,712.02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1,139,711,150.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92,679,365.47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8.13%</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个别认定法组合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13,013,674.25</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1%</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2,641,784.60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1,292,045,207.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120,268,712.02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1,142,352,935.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92,679,365.47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8.13%</w:t>
            </w:r>
          </w:p>
        </w:tc>
      </w:tr>
      <w:tr>
        <w:trPr>
          <w:trHeight w:val="1026"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8,136,679.01</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0.63%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8,136,679.01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6,417,279.01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6,417,279.01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1,300,181,886.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51</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128,405,391.03</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1,148,770,214.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99,096,644.48</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38" w:lineRule="auto" w:before="2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组合中，采用账龄分析法计提坏账准备的应收账款</w:t>
      </w:r>
    </w:p>
    <w:p>
      <w:pPr>
        <w:spacing w:before="43"/>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71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993"/>
        <w:gridCol w:w="665"/>
        <w:gridCol w:w="1462"/>
        <w:gridCol w:w="2126"/>
        <w:gridCol w:w="664"/>
        <w:gridCol w:w="1594"/>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6" w:type="dxa"/>
            <w:vMerge/>
            <w:tcBorders>
              <w:left w:val="single" w:sz="4" w:space="0" w:color="000000"/>
              <w:right w:val="single" w:sz="4" w:space="0" w:color="000000"/>
            </w:tcBorders>
            <w:shd w:val="clear" w:color="auto" w:fill="D3D3D3"/>
          </w:tcPr>
          <w:p>
            <w:pPr/>
          </w:p>
        </w:tc>
        <w:tc>
          <w:tcPr>
            <w:tcW w:w="26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734,171,133.18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36,708,556.66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812,247,598.40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40,612,379.92</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734,171,133.18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36,708,556.66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812,247,598.40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40,612,379.92</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348,066,965.16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27.21%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34,806,696.52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173,358,008.29</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17,335,800.83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994"/>
        <w:gridCol w:w="665"/>
        <w:gridCol w:w="1462"/>
        <w:gridCol w:w="2126"/>
        <w:gridCol w:w="664"/>
        <w:gridCol w:w="1594"/>
      </w:tblGrid>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102,845,716.40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8.04%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20,569,143.28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115,004,784.61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23,000,956.92</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93,947,718.51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7.35%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28,184,315.56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39,100,759.33</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11,730,227.80</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62,555,534.82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4.89%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18,766,660.45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33,451,340.84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10,035,402.25</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24,820,524.93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1.94%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7,446,157.48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4,417,129.69</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1,325,138.91</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6,571,658.76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0.51%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1,971,497.63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1,232,288.80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369,686.64</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1,279,031,533.25</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120,268,712.02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1,139,711,150.63</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92,679,365.47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38" w:lineRule="auto"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期末单项金额虽不重大但单项计提坏账准备的应收账款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pict>
          <v:shape style="position:absolute;margin-left:119.460007pt;margin-top:108.972931pt;width:128.4pt;height:35.25pt;mso-position-horizontal-relative:page;mso-position-vertical-relative:paragraph;z-index:-96296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（集团）</w:t>
                  </w:r>
                </w:p>
              </w:txbxContent>
            </v:textbox>
            <w10:wrap type="none"/>
          </v:shape>
        </w:pict>
      </w:r>
      <w:r>
        <w:rPr/>
        <w:pict>
          <v:group style="position:absolute;margin-left:152.639999pt;margin-top:108.972931pt;width:95.25pt;height:35.25pt;mso-position-horizontal-relative:page;mso-position-vertical-relative:paragraph;z-index:-962944" coordorigin="3053,2179" coordsize="1905,705">
            <v:group style="position:absolute;left:3053;top:2179;width:1905;height:705" coordorigin="3053,2179" coordsize="1905,705">
              <v:shape style="position:absolute;left:3053;top:2179;width:1905;height:705" coordorigin="3053,2179" coordsize="1905,705" path="m3053,2884l4957,2884,4957,2179,3053,2179,3053,2884xe" filled="true" fillcolor="#ffffff" stroked="false">
                <v:path arrowok="t"/>
                <v:fill type="solid"/>
              </v:shape>
            </v:group>
            <v:group style="position:absolute;left:3076;top:2335;width:1859;height:393" coordorigin="3076,2335" coordsize="1859,393">
              <v:shape style="position:absolute;left:3076;top:2335;width:1859;height:393" coordorigin="3076,2335" coordsize="1859,393" path="m3076,2728l4934,2728,4934,2335,3076,2335,3076,2728xe" filled="true" fillcolor="#ffffff" stroked="false">
                <v:path arrowok="t"/>
                <v:fill type="solid"/>
              </v:shape>
            </v:group>
            <w10:wrap type="none"/>
          </v:group>
        </w:pict>
      </w: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江苏兴利来特钢有限公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公司已破产，且无法收 回货款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河北吉泰特钢有限责任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19"/>
              <w:jc w:val="left"/>
              <w:rPr>
                <w:rFonts w:ascii="宋体" w:hAnsi="宋体" w:cs="宋体" w:eastAsia="宋体" w:hint="default"/>
                <w:sz w:val="18"/>
                <w:szCs w:val="18"/>
              </w:rPr>
            </w:pPr>
            <w:r>
              <w:rPr>
                <w:rFonts w:ascii="宋体" w:hAnsi="宋体" w:cs="宋体" w:eastAsia="宋体" w:hint="default"/>
                <w:sz w:val="18"/>
                <w:szCs w:val="18"/>
              </w:rPr>
              <w:t>重庆市渝西钢铁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山西海鑫国际钢铁有限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陕西省进出口公司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543,807.00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543,807.00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新疆众裕电子新材料有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四川省鑫宏物资贸易有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209,472.01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209,472.01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临沂亿金物资有限责任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宁夏煤业集团有限责任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鸡西煤矿机械有限公司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北京首特冶金工程设计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北京赛瑞斯达电气设计 研究院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bl>
    <w:p>
      <w:pPr>
        <w:spacing w:after="0" w:line="302"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山东冠洲股份有限公司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年以上，且已无 法取得联系</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8,136,679.01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8,136,679.01</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中国南方电风有限责任 公司超高压输电公司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71,039,946.00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大唐</w:t>
            </w:r>
            <w:r>
              <w:rPr>
                <w:rFonts w:ascii="Times New Roman" w:hAnsi="Times New Roman" w:cs="Times New Roman" w:eastAsia="Times New Roman" w:hint="default"/>
                <w:sz w:val="18"/>
                <w:szCs w:val="18"/>
              </w:rPr>
              <w:t>(</w:t>
            </w:r>
            <w:r>
              <w:rPr>
                <w:rFonts w:ascii="宋体" w:hAnsi="宋体" w:cs="宋体" w:eastAsia="宋体" w:hint="default"/>
                <w:sz w:val="18"/>
                <w:szCs w:val="18"/>
              </w:rPr>
              <w:t>通辽</w:t>
            </w:r>
            <w:r>
              <w:rPr>
                <w:rFonts w:ascii="Times New Roman" w:hAnsi="Times New Roman" w:cs="Times New Roman" w:eastAsia="Times New Roman" w:hint="default"/>
                <w:sz w:val="18"/>
                <w:szCs w:val="18"/>
              </w:rPr>
              <w:t>)</w:t>
            </w:r>
            <w:r>
              <w:rPr>
                <w:rFonts w:ascii="宋体" w:hAnsi="宋体" w:cs="宋体" w:eastAsia="宋体" w:hint="default"/>
                <w:sz w:val="18"/>
                <w:szCs w:val="18"/>
              </w:rPr>
              <w:t>霍林河新能 源有限公司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中海石油（中国）有限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26,747,000.00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中铁二局集团电务工程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云南昆钢重型装备制造 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161,336,946.00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）应收关联方账款情况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北京荣信瑞科科技发展有限 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6,652,251.00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0"/>
              <w:jc w:val="center"/>
              <w:rPr>
                <w:rFonts w:ascii="宋体" w:hAnsi="宋体" w:cs="宋体" w:eastAsia="宋体" w:hint="default"/>
                <w:sz w:val="18"/>
                <w:szCs w:val="18"/>
              </w:rPr>
            </w:pPr>
            <w:r>
              <w:rPr>
                <w:rFonts w:ascii="宋体" w:hAnsi="宋体" w:cs="宋体" w:eastAsia="宋体" w:hint="default"/>
                <w:sz w:val="18"/>
                <w:szCs w:val="18"/>
              </w:rPr>
              <w:t>荣西电力传输技术有限公司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773,923.25</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0"/>
              <w:jc w:val="center"/>
              <w:rPr>
                <w:rFonts w:ascii="宋体" w:hAnsi="宋体" w:cs="宋体" w:eastAsia="宋体" w:hint="default"/>
                <w:sz w:val="18"/>
                <w:szCs w:val="18"/>
              </w:rPr>
            </w:pPr>
            <w:r>
              <w:rPr>
                <w:rFonts w:ascii="宋体" w:hAnsi="宋体" w:cs="宋体" w:eastAsia="宋体" w:hint="default"/>
                <w:sz w:val="18"/>
                <w:szCs w:val="18"/>
              </w:rPr>
              <w:t>新疆荣信节能电气有限公司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4,629,000.00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0.36%</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上海地澳自动化科技有限公 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958,500.00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0"/>
              <w:jc w:val="center"/>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合营单位</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10,701,966.54</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0.82%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23,715,640.79</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27"/>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3"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3"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3"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35,365,281.32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3,906,600.38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32,110,878.08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3,201,660.63</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9.97%</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35,365,281.32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3,906,600.38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32,110,878.08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3,201,660.63</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9.97%</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35,365,281.32</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3,906,600.38</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32,110,878.08</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3,201,660.63</w:t>
            </w:r>
          </w:p>
        </w:tc>
        <w:tc>
          <w:tcPr>
            <w:tcW w:w="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40" w:lineRule="auto" w:before="2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组合中，采用账龄分析法计提坏账准备的其他应收款</w:t>
      </w:r>
    </w:p>
    <w:p>
      <w:pPr>
        <w:spacing w:before="40"/>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00000"/>
              <w:right w:val="single" w:sz="4" w:space="0" w:color="000000"/>
            </w:tcBorders>
            <w:shd w:val="clear" w:color="auto" w:fill="D3D3D3"/>
          </w:tcPr>
          <w:p>
            <w:pP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21,976,418.09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1,098,820.90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21,022,629.58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65.47%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1,051,131.48</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21,976,418.09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1,098,820.90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21,022,629.58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65.47%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1,051,131.48</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5,191,211.73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519,121.17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4,235,668.50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423,566.85</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1,706,371.50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341,274.30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3,288,117.00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657,623.40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6,491,280.00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1,947,384.01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3,564,463.00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1,069,338.90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2,929,817.00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878,945.11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3,179,060.00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953,718.00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3,176,060.00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952,818.00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54,301.00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16,290.30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385,403.00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115,620.90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331,102.00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99,330.60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35,365,281.32</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3,906,600.38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32,110,878.08</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3,201,660.63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42"/>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贵州电网公司六盘水供 电局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2,343,700.00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青海黄河水电再生铝业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中能电力科技开发有限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中国水利电力物资有限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978,649.00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广铁集团焦柳铁路洛张 电改工程建设指挥部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7,161,349.00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）其他应收关联方账款情况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158,280.00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158,280.00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3"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诚和伟业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荣信嘉时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上海清方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信力筑正</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21,600,00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21,600,00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21,600,00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62"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诚和龙盛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上海地澳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荣科恒阳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荣华恒信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荣信防爆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18,092,86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18,092,86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18,092,86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荣信电通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荣信电机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荣信众腾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荣信光伏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5,808,004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5,808,004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5,808,004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荣信电气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22,509,73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14,449,73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22,509,73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南京荣信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荣信慧科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荣科博信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荣西电力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27,893,70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27,893,70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27,893,70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广州邦建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荣信瑞科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广州高澜 节能技术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图木舒克 荣信公司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哈密荣信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新疆荣信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电力工程</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JLT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5,091,559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5,091,559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5,091,559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泰信新能 源科技有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2,954,195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2,954,195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2,954,195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山东荣信</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汇盛机电 科技有限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15,137,60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14,418,81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5.87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-847,904.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1" w:right="0"/>
              <w:jc w:val="left"/>
              <w:rPr>
                <w:rFonts w:ascii="Times New Roman" w:hAnsi="Times New Roman" w:cs="Times New Roman" w:eastAsia="Times New Roman" w:hint="default"/>
                <w:sz w:val="18"/>
                <w:szCs w:val="18"/>
              </w:rPr>
            </w:pPr>
            <w:r>
              <w:rPr>
                <w:rFonts w:ascii="Times New Roman"/>
                <w:sz w:val="18"/>
              </w:rPr>
              <w:t>13,570,91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1.23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中煤科创 节能技术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26,475,10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25,515,06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235,932.5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25,750,99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271,212,7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59.20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213,028,1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81.85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54,893,78</w:t>
            </w:r>
          </w:p>
          <w:p>
            <w:pPr>
              <w:pStyle w:val="TableParagraph"/>
              <w:spacing w:line="240" w:lineRule="auto" w:before="106"/>
              <w:ind w:left="455" w:right="0"/>
              <w:jc w:val="left"/>
              <w:rPr>
                <w:rFonts w:ascii="Times New Roman" w:hAnsi="Times New Roman" w:cs="Times New Roman" w:eastAsia="Times New Roman" w:hint="default"/>
                <w:sz w:val="18"/>
                <w:szCs w:val="18"/>
              </w:rPr>
            </w:pPr>
            <w:r>
              <w:rPr>
                <w:rFonts w:ascii="Times New Roman"/>
                <w:sz w:val="18"/>
              </w:rPr>
              <w:t>2.11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267,921,9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63.96</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5"/>
        <w:gridCol w:w="3455"/>
        <w:gridCol w:w="3588"/>
      </w:tblGrid>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1,083,731,360.13</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1,390,032,851.71</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1,083,731,360.13</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1,390,032,851.71</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638,465,653.85</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833,524,774.99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w:t>
            </w:r>
            <w:r>
              <w:rPr>
                <w:rFonts w:ascii="Times New Roman" w:hAnsi="Times New Roman" w:cs="Times New Roman" w:eastAsia="Times New Roman" w:hint="default"/>
                <w:sz w:val="18"/>
                <w:szCs w:val="18"/>
              </w:rPr>
              <w:t>(</w:t>
            </w:r>
            <w:r>
              <w:rPr>
                <w:rFonts w:ascii="宋体" w:hAnsi="宋体" w:cs="宋体" w:eastAsia="宋体" w:hint="default"/>
                <w:sz w:val="18"/>
                <w:szCs w:val="18"/>
              </w:rPr>
              <w:t>装置</w:t>
            </w:r>
            <w:r>
              <w:rPr>
                <w:rFonts w:ascii="Times New Roman" w:hAnsi="Times New Roman" w:cs="Times New Roman" w:eastAsia="Times New Roman" w:hint="default"/>
                <w:sz w:val="18"/>
                <w:szCs w:val="18"/>
              </w:rPr>
              <w:t>)</w:t>
            </w:r>
            <w:r>
              <w:rPr>
                <w:rFonts w:ascii="宋体" w:hAnsi="宋体" w:cs="宋体" w:eastAsia="宋体" w:hint="default"/>
                <w:sz w:val="18"/>
                <w:szCs w:val="18"/>
              </w:rPr>
              <w:t>制造业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1,083,731,360.13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638,465,653.85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1,390,032,851.71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833,524,774.99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1,083,731,360.13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638,465,653.85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1,390,032,851.71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833,524,774.99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电能质量与电力安全</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722,181,310.11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366,643,338.05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866,862,803.40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8" w:right="0"/>
              <w:jc w:val="left"/>
              <w:rPr>
                <w:rFonts w:ascii="Times New Roman" w:hAnsi="Times New Roman" w:cs="Times New Roman" w:eastAsia="Times New Roman" w:hint="default"/>
                <w:sz w:val="18"/>
                <w:szCs w:val="18"/>
              </w:rPr>
            </w:pPr>
            <w:r>
              <w:rPr>
                <w:rFonts w:ascii="Times New Roman"/>
                <w:sz w:val="18"/>
              </w:rPr>
              <w:t>417,473,639.95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电机传动与节能</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244,381,559.17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203,090,621.87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332,163,378.20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8" w:right="0"/>
              <w:jc w:val="left"/>
              <w:rPr>
                <w:rFonts w:ascii="Times New Roman" w:hAnsi="Times New Roman" w:cs="Times New Roman" w:eastAsia="Times New Roman" w:hint="default"/>
                <w:sz w:val="18"/>
                <w:szCs w:val="18"/>
              </w:rPr>
            </w:pPr>
            <w:r>
              <w:rPr>
                <w:rFonts w:ascii="Times New Roman"/>
                <w:sz w:val="18"/>
              </w:rPr>
              <w:t>289,741,688.93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117,168,490.85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68,731,693.93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191,006,670.11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4" w:right="0"/>
              <w:jc w:val="left"/>
              <w:rPr>
                <w:rFonts w:ascii="Times New Roman" w:hAnsi="Times New Roman" w:cs="Times New Roman" w:eastAsia="Times New Roman" w:hint="default"/>
                <w:sz w:val="18"/>
                <w:szCs w:val="18"/>
              </w:rPr>
            </w:pPr>
            <w:r>
              <w:rPr>
                <w:rFonts w:ascii="Times New Roman"/>
                <w:sz w:val="18"/>
              </w:rPr>
              <w:t>126,309,446.11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1,083,731,360.13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638,465,653.85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1,390,032,851.71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8" w:right="0"/>
              <w:jc w:val="left"/>
              <w:rPr>
                <w:rFonts w:ascii="Times New Roman" w:hAnsi="Times New Roman" w:cs="Times New Roman" w:eastAsia="Times New Roman" w:hint="default"/>
                <w:sz w:val="18"/>
                <w:szCs w:val="18"/>
              </w:rPr>
            </w:pPr>
            <w:r>
              <w:rPr>
                <w:rFonts w:ascii="Times New Roman"/>
                <w:sz w:val="18"/>
              </w:rPr>
              <w:t>833,524,774.99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1,018,248,878.54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609,108,759.11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1,349,027,515.56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812,655,191.48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65,482,481.59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29,356,894.74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41,005,336.15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20,869,583.51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1,083,731,360.13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638,465,653.85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1,390,032,851.71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833,524,774.99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中国国际核聚变能源技术执行中心</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76,923,076.92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沈阳鼓风机集团自动控制系统工程有限公司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66,139,401.73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龙源沈阳风力发电有限公司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51,282,051.28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中海石油（中国）有限公司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25,068,376.07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南非国家电网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22,724,143.98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242,137,049.98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2"/>
        <w:gridCol w:w="2524"/>
        <w:gridCol w:w="2522"/>
      </w:tblGrid>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28" w:right="0"/>
              <w:jc w:val="left"/>
              <w:rPr>
                <w:rFonts w:ascii="Times New Roman" w:hAnsi="Times New Roman" w:cs="Times New Roman" w:eastAsia="Times New Roman" w:hint="default"/>
                <w:sz w:val="18"/>
                <w:szCs w:val="18"/>
              </w:rPr>
            </w:pPr>
            <w:r>
              <w:rPr>
                <w:rFonts w:ascii="Times New Roman"/>
                <w:sz w:val="18"/>
              </w:rPr>
              <w:t>-611,972.09</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5" w:right="0"/>
              <w:jc w:val="left"/>
              <w:rPr>
                <w:rFonts w:ascii="Times New Roman" w:hAnsi="Times New Roman" w:cs="Times New Roman" w:eastAsia="Times New Roman" w:hint="default"/>
                <w:sz w:val="18"/>
                <w:szCs w:val="18"/>
              </w:rPr>
            </w:pPr>
            <w:r>
              <w:rPr>
                <w:rFonts w:ascii="Times New Roman"/>
                <w:sz w:val="18"/>
              </w:rPr>
              <w:t>-6,349,755.74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522"/>
        <w:gridCol w:w="2524"/>
        <w:gridCol w:w="2522"/>
      </w:tblGrid>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2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5,788,027.91</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5" w:right="0"/>
              <w:jc w:val="left"/>
              <w:rPr>
                <w:rFonts w:ascii="Times New Roman" w:hAnsi="Times New Roman" w:cs="Times New Roman" w:eastAsia="Times New Roman" w:hint="default"/>
                <w:sz w:val="18"/>
                <w:szCs w:val="18"/>
              </w:rPr>
            </w:pPr>
            <w:r>
              <w:rPr>
                <w:rFonts w:ascii="Times New Roman"/>
                <w:sz w:val="18"/>
              </w:rPr>
              <w:t>-6,349,755.74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235,932.55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-897,539.02</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山东荣信汇盛机电科技有限公司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-847,904.64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-552,216.72</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节能公司</w:t>
            </w:r>
          </w:p>
        </w:tc>
        <w:tc>
          <w:tcPr>
            <w:tcW w:w="17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上期超额亏损</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-611,972.09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-6,349,755.74</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52"/>
        <w:gridCol w:w="2258"/>
        <w:gridCol w:w="2257"/>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134,450,619.23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228,033,886.89</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31,400,185.51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35,231,589.08</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25,450,165.51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23,585,605.19</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1,178,573.12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1,175,678.30</w:t>
            </w:r>
          </w:p>
        </w:tc>
      </w:tr>
      <w:tr>
        <w:trPr>
          <w:trHeight w:val="71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-4,350.49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-2,164,359.41</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311,595.46</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38,338,158.57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20,243,964.20</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-5,788,027.91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6,349,755.74</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551,279.64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6,545,692.14</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6,244,433.50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-82,196,770.53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32,074,016.04</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-378,865,626.39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-590,393,650.32</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159,216,818.17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52,145,486.72</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-69,712,946.61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-187,172,335.43</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354,008,604.61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345,871,248.76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52"/>
        <w:gridCol w:w="2258"/>
        <w:gridCol w:w="2257"/>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345,871,248.76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658,907,946.82</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8,137,355.85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-313,036,698.06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十四、补充资料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39"/>
        <w:gridCol w:w="2178"/>
        <w:gridCol w:w="1914"/>
        <w:gridCol w:w="1938"/>
      </w:tblGrid>
      <w:tr>
        <w:trPr>
          <w:trHeight w:val="206" w:hRule="exact"/>
        </w:trPr>
        <w:tc>
          <w:tcPr>
            <w:tcW w:w="3539"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353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tcBorders>
              <w:left w:val="single" w:sz="4" w:space="0" w:color="000000"/>
              <w:right w:val="single" w:sz="4" w:space="0" w:color="000000"/>
            </w:tcBorders>
            <w:shd w:val="clear" w:color="auto" w:fill="D3D3D3"/>
          </w:tcPr>
          <w:p>
            <w:pPr/>
          </w:p>
        </w:tc>
        <w:tc>
          <w:tcPr>
            <w:tcW w:w="3852"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539" w:type="dxa"/>
            <w:vMerge/>
            <w:tcBorders>
              <w:left w:val="single" w:sz="4" w:space="0" w:color="000000"/>
              <w:bottom w:val="nil" w:sz="6" w:space="0" w:color="auto"/>
              <w:right w:val="single" w:sz="4" w:space="0" w:color="000000"/>
            </w:tcBorders>
            <w:shd w:val="clear" w:color="auto" w:fill="D3D3D3"/>
          </w:tcPr>
          <w:p>
            <w:pPr/>
          </w:p>
        </w:tc>
        <w:tc>
          <w:tcPr>
            <w:tcW w:w="2178" w:type="dxa"/>
            <w:vMerge/>
            <w:tcBorders>
              <w:left w:val="single" w:sz="4" w:space="0" w:color="000000"/>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6" w:hRule="exact"/>
        </w:trPr>
        <w:tc>
          <w:tcPr>
            <w:tcW w:w="3539"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r>
      <w:tr>
        <w:trPr>
          <w:trHeight w:val="714" w:hRule="exact"/>
        </w:trPr>
        <w:tc>
          <w:tcPr>
            <w:tcW w:w="3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549"/>
        <w:gridCol w:w="1573"/>
        <w:gridCol w:w="1417"/>
        <w:gridCol w:w="859"/>
        <w:gridCol w:w="2914"/>
      </w:tblGrid>
      <w:tr>
        <w:trPr>
          <w:trHeight w:val="659"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6"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变动幅度</w:t>
            </w:r>
          </w:p>
          <w:p>
            <w:pPr>
              <w:pStyle w:val="TableParagraph"/>
              <w:spacing w:line="240" w:lineRule="auto" w:before="116"/>
              <w:ind w:left="1" w:right="0"/>
              <w:jc w:val="center"/>
              <w:rPr>
                <w:rFonts w:ascii="Times New Roman" w:hAnsi="Times New Roman" w:cs="Times New Roman" w:eastAsia="Times New Roman" w:hint="default"/>
                <w:sz w:val="18"/>
                <w:szCs w:val="18"/>
              </w:rPr>
            </w:pPr>
            <w:r>
              <w:rPr>
                <w:rFonts w:ascii="Times New Roman"/>
                <w:sz w:val="18"/>
              </w:rPr>
              <w:t>(%)</w:t>
            </w:r>
          </w:p>
        </w:tc>
        <w:tc>
          <w:tcPr>
            <w:tcW w:w="2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908"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660"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802,703,546.33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571,184,812.26</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40.53</w:t>
            </w:r>
          </w:p>
        </w:tc>
        <w:tc>
          <w:tcPr>
            <w:tcW w:w="2914"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2" w:right="7"/>
              <w:jc w:val="left"/>
              <w:rPr>
                <w:rFonts w:ascii="宋体" w:hAnsi="宋体" w:cs="宋体" w:eastAsia="宋体" w:hint="default"/>
                <w:sz w:val="18"/>
                <w:szCs w:val="18"/>
              </w:rPr>
            </w:pPr>
            <w:r>
              <w:rPr>
                <w:rFonts w:ascii="宋体" w:hAnsi="宋体" w:cs="宋体" w:eastAsia="宋体" w:hint="default"/>
                <w:sz w:val="18"/>
                <w:szCs w:val="18"/>
              </w:rPr>
              <w:t>本期发行第二期短期融资债券、新增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借款及回款增加所致</w:t>
            </w:r>
          </w:p>
        </w:tc>
      </w:tr>
      <w:tr>
        <w:trPr>
          <w:trHeight w:val="659"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207,900,000.00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132,900,000.00</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56.43</w:t>
            </w:r>
          </w:p>
        </w:tc>
        <w:tc>
          <w:tcPr>
            <w:tcW w:w="2914"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z w:val="18"/>
                <w:szCs w:val="18"/>
              </w:rPr>
              <w:t>本期可供出售金融资产公允价值变动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增加所致</w:t>
            </w:r>
          </w:p>
        </w:tc>
      </w:tr>
      <w:tr>
        <w:trPr>
          <w:trHeight w:val="347"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54,380,614.11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25,544,933.21</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112.88</w:t>
            </w:r>
          </w:p>
        </w:tc>
        <w:tc>
          <w:tcPr>
            <w:tcW w:w="2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本期新增土地使用权所致</w:t>
            </w:r>
          </w:p>
        </w:tc>
      </w:tr>
      <w:tr>
        <w:trPr>
          <w:trHeight w:val="347"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445,000,000.00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230,209,000.00</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93.30</w:t>
            </w:r>
          </w:p>
        </w:tc>
        <w:tc>
          <w:tcPr>
            <w:tcW w:w="2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本期新增借款所致</w:t>
            </w:r>
          </w:p>
        </w:tc>
      </w:tr>
      <w:tr>
        <w:trPr>
          <w:trHeight w:val="347"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257,115,237.93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179,746,345.59</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43.04</w:t>
            </w:r>
          </w:p>
        </w:tc>
        <w:tc>
          <w:tcPr>
            <w:tcW w:w="2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本期采购材料增加票据结算所致</w:t>
            </w:r>
          </w:p>
        </w:tc>
      </w:tr>
      <w:tr>
        <w:trPr>
          <w:trHeight w:val="347"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4,222,768.23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2,553,342.59</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65.38</w:t>
            </w:r>
          </w:p>
        </w:tc>
        <w:tc>
          <w:tcPr>
            <w:tcW w:w="2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本期工资增加所致</w:t>
            </w:r>
          </w:p>
        </w:tc>
      </w:tr>
      <w:tr>
        <w:trPr>
          <w:trHeight w:val="660"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11,052,155.77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-32,976,314.72</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-133.52</w:t>
            </w:r>
          </w:p>
        </w:tc>
        <w:tc>
          <w:tcPr>
            <w:tcW w:w="2914"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2" w:right="7"/>
              <w:jc w:val="left"/>
              <w:rPr>
                <w:rFonts w:ascii="宋体" w:hAnsi="宋体" w:cs="宋体" w:eastAsia="宋体" w:hint="default"/>
                <w:sz w:val="18"/>
                <w:szCs w:val="18"/>
              </w:rPr>
            </w:pPr>
            <w:r>
              <w:rPr>
                <w:rFonts w:ascii="宋体" w:hAnsi="宋体" w:cs="宋体" w:eastAsia="宋体" w:hint="default"/>
                <w:sz w:val="18"/>
                <w:szCs w:val="18"/>
              </w:rPr>
              <w:t>本期多交或未抵扣税款重分类至其他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流动资产科目所致</w:t>
            </w:r>
          </w:p>
        </w:tc>
      </w:tr>
      <w:tr>
        <w:trPr>
          <w:trHeight w:val="659"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24,315,573.77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7,999,743.00</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203.95</w:t>
            </w:r>
          </w:p>
        </w:tc>
        <w:tc>
          <w:tcPr>
            <w:tcW w:w="2914"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z w:val="18"/>
                <w:szCs w:val="18"/>
              </w:rPr>
              <w:t>本期计提第二期短期融资债券利息所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致</w:t>
            </w:r>
          </w:p>
        </w:tc>
      </w:tr>
      <w:tr>
        <w:trPr>
          <w:trHeight w:val="347"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200,000,000.00</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w:t>
            </w:r>
          </w:p>
        </w:tc>
        <w:tc>
          <w:tcPr>
            <w:tcW w:w="2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本期第二期短期融资债券到账所致</w:t>
            </w:r>
          </w:p>
        </w:tc>
      </w:tr>
      <w:tr>
        <w:trPr>
          <w:trHeight w:val="347"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100,000,000.00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10,600,000.00</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843.40</w:t>
            </w:r>
          </w:p>
        </w:tc>
        <w:tc>
          <w:tcPr>
            <w:tcW w:w="2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本期新增借款所致</w:t>
            </w:r>
          </w:p>
        </w:tc>
      </w:tr>
      <w:tr>
        <w:trPr>
          <w:trHeight w:val="659"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0"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变动幅度</w:t>
            </w:r>
          </w:p>
          <w:p>
            <w:pPr>
              <w:pStyle w:val="TableParagraph"/>
              <w:spacing w:line="240" w:lineRule="auto" w:before="116"/>
              <w:ind w:left="1" w:right="0"/>
              <w:jc w:val="center"/>
              <w:rPr>
                <w:rFonts w:ascii="Times New Roman" w:hAnsi="Times New Roman" w:cs="Times New Roman" w:eastAsia="Times New Roman" w:hint="default"/>
                <w:sz w:val="18"/>
                <w:szCs w:val="18"/>
              </w:rPr>
            </w:pPr>
            <w:r>
              <w:rPr>
                <w:rFonts w:ascii="Times New Roman"/>
                <w:sz w:val="18"/>
              </w:rPr>
              <w:t>(%)</w:t>
            </w:r>
          </w:p>
        </w:tc>
        <w:tc>
          <w:tcPr>
            <w:tcW w:w="2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908"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347"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67,975,908.48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40,857,578.79</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66.37</w:t>
            </w:r>
          </w:p>
        </w:tc>
        <w:tc>
          <w:tcPr>
            <w:tcW w:w="2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本期新增借款等增加利息支出所致</w:t>
            </w:r>
          </w:p>
        </w:tc>
      </w:tr>
      <w:tr>
        <w:trPr>
          <w:trHeight w:val="348" w:hRule="exact"/>
        </w:trPr>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5,788,027.91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-5,070,593.64</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-214.15</w:t>
            </w:r>
          </w:p>
        </w:tc>
        <w:tc>
          <w:tcPr>
            <w:tcW w:w="2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本期处置联营企业所致</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3286" w:right="0"/>
        <w:jc w:val="left"/>
        <w:rPr>
          <w:b w:val="0"/>
          <w:bCs w:val="0"/>
        </w:rPr>
      </w:pPr>
      <w:bookmarkStart w:name="_TOC_250000" w:id="11"/>
      <w:r>
        <w:rPr/>
        <w:t>第十一节</w:t>
      </w:r>
      <w:r>
        <w:rPr>
          <w:spacing w:val="-9"/>
        </w:rPr>
        <w:t> </w:t>
      </w:r>
      <w:r>
        <w:rPr/>
        <w:t>备查文件目录</w:t>
      </w:r>
      <w:bookmarkEnd w:id="11"/>
      <w:r>
        <w:rPr>
          <w:b w:val="0"/>
          <w:bCs w:val="0"/>
        </w:rPr>
      </w:r>
    </w:p>
    <w:p>
      <w:pPr>
        <w:spacing w:line="240" w:lineRule="auto" w:before="7"/>
        <w:rPr>
          <w:rFonts w:ascii="宋体" w:hAnsi="宋体" w:cs="宋体" w:eastAsia="宋体" w:hint="default"/>
          <w:b/>
          <w:bCs/>
          <w:sz w:val="46"/>
          <w:szCs w:val="46"/>
        </w:rPr>
      </w:pPr>
    </w:p>
    <w:p>
      <w:pPr>
        <w:pStyle w:val="BodyText"/>
        <w:spacing w:line="386" w:lineRule="auto"/>
        <w:ind w:left="633" w:right="139"/>
        <w:jc w:val="left"/>
      </w:pPr>
      <w:r>
        <w:rPr/>
        <w:t>一、载有公司董事、高管人员签名并加盖公司公章的</w:t>
      </w:r>
      <w:r>
        <w:rPr>
          <w:rFonts w:ascii="Times New Roman" w:hAnsi="Times New Roman" w:cs="Times New Roman" w:eastAsia="Times New Roman" w:hint="default"/>
        </w:rPr>
        <w:t>2012</w:t>
      </w:r>
      <w:r>
        <w:rPr/>
        <w:t>年年度报告全文及摘要。 </w:t>
      </w:r>
      <w:r>
        <w:rPr>
          <w:spacing w:val="-2"/>
        </w:rPr>
        <w:t>二、载有法定代表人左强先生、主管会计工作的负责人龙浩先生、会计机构负责人陈宏先生签名并盖</w:t>
      </w:r>
    </w:p>
    <w:p>
      <w:pPr>
        <w:pStyle w:val="BodyText"/>
        <w:spacing w:line="408" w:lineRule="auto" w:before="65"/>
        <w:ind w:left="634" w:right="2780" w:hanging="480"/>
        <w:jc w:val="left"/>
      </w:pPr>
      <w:r>
        <w:rPr/>
        <w:t>章的财务报告文本。 三、载有会计师事务所盖章、注册会计师签名并盖章的审计报告原件。</w:t>
      </w:r>
    </w:p>
    <w:p>
      <w:pPr>
        <w:pStyle w:val="BodyText"/>
        <w:spacing w:line="408" w:lineRule="auto" w:before="46"/>
        <w:ind w:right="138" w:firstLine="480"/>
        <w:jc w:val="left"/>
      </w:pPr>
      <w:r>
        <w:rPr>
          <w:spacing w:val="-2"/>
        </w:rPr>
        <w:t>四、报告期内在《证券时报》、《中国证券报》及巨潮资讯网上公开披露过的所有公司文件的正本及</w:t>
      </w:r>
      <w:r>
        <w:rPr/>
        <w:t> 公告的原稿。</w:t>
      </w:r>
    </w:p>
    <w:p>
      <w:pPr>
        <w:pStyle w:val="BodyText"/>
        <w:spacing w:line="408" w:lineRule="auto" w:before="46"/>
        <w:ind w:left="634" w:right="5300"/>
        <w:jc w:val="left"/>
      </w:pPr>
      <w:r>
        <w:rPr/>
        <w:t>五、其他相关资料。 以上备查文件的备置地点：公司证券事务部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ind w:left="0" w:right="150"/>
        <w:jc w:val="right"/>
      </w:pPr>
      <w:r>
        <w:rPr/>
        <w:t>荣信电力电子股份有限公司</w:t>
      </w:r>
    </w:p>
    <w:p>
      <w:pPr>
        <w:spacing w:line="240" w:lineRule="auto" w:before="10"/>
        <w:rPr>
          <w:rFonts w:ascii="宋体" w:hAnsi="宋体" w:cs="宋体" w:eastAsia="宋体" w:hint="default"/>
          <w:sz w:val="14"/>
          <w:szCs w:val="14"/>
        </w:rPr>
      </w:pPr>
    </w:p>
    <w:p>
      <w:pPr>
        <w:pStyle w:val="BodyText"/>
        <w:spacing w:line="240" w:lineRule="auto"/>
        <w:ind w:left="0" w:right="150"/>
        <w:jc w:val="right"/>
      </w:pPr>
      <w:r>
        <w:rPr/>
        <w:t>法定代表人：左强</w:t>
      </w:r>
    </w:p>
    <w:p>
      <w:pPr>
        <w:spacing w:line="240" w:lineRule="auto" w:before="10"/>
        <w:rPr>
          <w:rFonts w:ascii="宋体" w:hAnsi="宋体" w:cs="宋体" w:eastAsia="宋体" w:hint="default"/>
          <w:sz w:val="14"/>
          <w:szCs w:val="14"/>
        </w:rPr>
      </w:pPr>
    </w:p>
    <w:p>
      <w:pPr>
        <w:pStyle w:val="BodyText"/>
        <w:spacing w:line="240" w:lineRule="auto"/>
        <w:ind w:left="0" w:right="151"/>
        <w:jc w:val="righ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15</w:t>
      </w:r>
      <w:r>
        <w:rPr>
          <w:spacing w:val="-1"/>
        </w:rPr>
        <w:t>日</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9641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4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9641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964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179993pt;margin-top:36.325325pt;width:186.45pt;height:11.5pt;mso-position-horizontal-relative:page;mso-position-vertical-relative:page;z-index:-964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7"/>
      <w:ind w:left="154"/>
    </w:pPr>
    <w:rPr>
      <w:rFonts w:ascii="宋体" w:hAnsi="宋体" w:eastAsia="宋体"/>
      <w:b/>
      <w:bCs/>
      <w:sz w:val="21"/>
      <w:szCs w:val="21"/>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i/>
      <w:sz w:val="22"/>
      <w:szCs w:val="22"/>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rxpe.com/" TargetMode="External"/><Relationship Id="rId9" Type="http://schemas.openxmlformats.org/officeDocument/2006/relationships/hyperlink" Target="mailto:zqb@rxpe.com" TargetMode="External"/><Relationship Id="rId10" Type="http://schemas.openxmlformats.org/officeDocument/2006/relationships/hyperlink" Target="mailto:zdb@rxpe.com" TargetMode="External"/><Relationship Id="rId11" Type="http://schemas.openxmlformats.org/officeDocument/2006/relationships/hyperlink" Target="mailto:zht@rxpe.com" TargetMode="External"/><Relationship Id="rId12" Type="http://schemas.openxmlformats.org/officeDocument/2006/relationships/hyperlink" Target="http://www.cninfo.com.cn/" TargetMode="External"/><Relationship Id="rId13" Type="http://schemas.openxmlformats.org/officeDocument/2006/relationships/image" Target="media/image1.jpe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oter" Target="footer3.xml"/><Relationship Id="rId1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&lt;4D6963726F736F667420576F7264202D2032303132C4EAB6C8B1A8B8E6C8ABCEC4&gt;</dc:title>
  <dcterms:created xsi:type="dcterms:W3CDTF">2020-05-04T00:14:01Z</dcterms:created>
  <dcterms:modified xsi:type="dcterms:W3CDTF">2020-05-04T00:14:01Z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2013-04-15T00:00:00Z</vt:filetime>
  </property>
  <property fmtid="{D5CDD505-2E9C-101B-9397-08002B2CF9AE}" pid="3" name="Creator">
    <vt:lpwstr>PScript5.dll Version 5.2</vt:lpwstr>
  </property>
  <property fmtid="{D5CDD505-2E9C-101B-9397-08002B2CF9AE}" pid="4" name="LastSaved">
    <vt:filetime>2020-05-03T00:00:00Z</vt:filetime>
  </property>
</Properties>
</file>