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37" w:bottom="988" w:left="3770" w:header="0" w:footer="3" w:gutter="0"/>
          <w:pgNumType w:start="1"/>
          <w:cols w:space="720"/>
          <w:noEndnote/>
          <w:rtlGutter w:val="0"/>
          <w:docGrid w:linePitch="360"/>
        </w:sectPr>
      </w:pPr>
    </w:p>
    <w:p>
      <w:pPr>
        <w:pStyle w:val="Style6"/>
        <w:keepNext/>
        <w:keepLines/>
        <w:framePr w:w="4363" w:h="442" w:wrap="none" w:vAnchor="text" w:hAnchor="page" w:x="3771" w:y="21"/>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荣信电力电子股份有限公司</w:t>
      </w:r>
      <w:bookmarkEnd w:id="0"/>
      <w:bookmarkEnd w:id="1"/>
      <w:bookmarkEnd w:id="2"/>
    </w:p>
    <w:p>
      <w:pPr>
        <w:pStyle w:val="Style8"/>
        <w:keepNext w:val="0"/>
        <w:keepLines w:val="0"/>
        <w:framePr w:w="2050" w:h="446" w:wrap="none" w:vAnchor="text" w:hAnchor="page" w:x="4923" w:y="83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p>
      <w:pPr>
        <w:pStyle w:val="Style11"/>
        <w:keepNext w:val="0"/>
        <w:keepLines w:val="0"/>
        <w:framePr w:w="1886" w:h="446" w:wrap="none" w:vAnchor="text" w:hAnchor="page" w:x="5004" w:y="7244"/>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type w:val="continuous"/>
          <w:pgSz w:w="11900" w:h="16840"/>
          <w:pgMar w:top="1022" w:right="1137" w:bottom="988" w:left="3770" w:header="0" w:footer="3" w:gutter="0"/>
          <w:cols w:space="720"/>
          <w:noEndnote/>
          <w:rtlGutter w:val="0"/>
          <w:docGrid w:linePitch="360"/>
        </w:sectPr>
      </w:pPr>
    </w:p>
    <w:p>
      <w:pPr>
        <w:pStyle w:val="Style14"/>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line="490" w:lineRule="exact"/>
        <w:ind w:left="0" w:right="0" w:firstLine="440"/>
        <w:jc w:val="both"/>
      </w:pPr>
      <w:r>
        <w:rPr>
          <w:color w:val="000000"/>
          <w:spacing w:val="0"/>
          <w:w w:val="100"/>
          <w:position w:val="0"/>
        </w:rPr>
        <w:t>本公司董事会、监事会及董事、监事、高级管理人员保证年度报告内容的真实、准确、完整，不存在 虚假记载、误导性陈述或重大遗漏，并承担个别和连带的法律责任。</w:t>
      </w:r>
    </w:p>
    <w:p>
      <w:pPr>
        <w:pStyle w:val="Style16"/>
        <w:keepNext w:val="0"/>
        <w:keepLines w:val="0"/>
        <w:widowControl w:val="0"/>
        <w:shd w:val="clear" w:color="auto" w:fill="auto"/>
        <w:bidi w:val="0"/>
        <w:spacing w:before="0" w:line="475" w:lineRule="exact"/>
        <w:ind w:left="0" w:right="0" w:firstLine="44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470" w:lineRule="exact"/>
        <w:ind w:left="0" w:right="0" w:firstLine="44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16"/>
        <w:keepNext w:val="0"/>
        <w:keepLines w:val="0"/>
        <w:widowControl w:val="0"/>
        <w:shd w:val="clear" w:color="auto" w:fill="auto"/>
        <w:bidi w:val="0"/>
        <w:spacing w:before="0" w:line="475" w:lineRule="exact"/>
        <w:ind w:left="0" w:right="0" w:firstLine="440"/>
        <w:jc w:val="both"/>
        <w:sectPr>
          <w:headerReference w:type="default" r:id="rId7"/>
          <w:footerReference w:type="default" r:id="rId8"/>
          <w:footnotePr>
            <w:pos w:val="pageBottom"/>
            <w:numFmt w:val="decimal"/>
            <w:numRestart w:val="continuous"/>
          </w:footnotePr>
          <w:pgSz w:w="11900" w:h="16840"/>
          <w:pgMar w:top="1974" w:right="1107" w:bottom="1974" w:left="1112" w:header="0" w:footer="3" w:gutter="0"/>
          <w:cols w:space="720"/>
          <w:noEndnote/>
          <w:rtlGutter w:val="0"/>
          <w:docGrid w:linePitch="360"/>
        </w:sectPr>
      </w:pPr>
      <w:r>
        <w:rPr>
          <w:color w:val="000000"/>
          <w:spacing w:val="0"/>
          <w:w w:val="100"/>
          <w:position w:val="0"/>
        </w:rPr>
        <w:t>公司负责人左强、主管会计工作负责人戴东及会计机构负责人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陈宏声明：保证年度报 告中财务报告的真实、准确、完整。</w:t>
      </w:r>
    </w:p>
    <w:p>
      <w:pPr>
        <w:pStyle w:val="Style6"/>
        <w:keepNext/>
        <w:keepLines/>
        <w:widowControl w:val="0"/>
        <w:shd w:val="clear" w:color="auto" w:fill="auto"/>
        <w:bidi w:val="0"/>
        <w:spacing w:before="760" w:after="158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9"/>
        <w:keepNext w:val="0"/>
        <w:keepLines w:val="0"/>
        <w:widowControl w:val="0"/>
        <w:shd w:val="clear" w:color="auto" w:fill="auto"/>
        <w:tabs>
          <w:tab w:pos="810" w:val="left"/>
          <w:tab w:leader="dot" w:pos="9602"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9"/>
        <w:keepNext w:val="0"/>
        <w:keepLines w:val="0"/>
        <w:widowControl w:val="0"/>
        <w:shd w:val="clear" w:color="auto" w:fill="auto"/>
        <w:tabs>
          <w:tab w:leader="dot" w:pos="9602" w:val="right"/>
        </w:tabs>
        <w:bidi w:val="0"/>
        <w:spacing w:before="0" w:line="240" w:lineRule="auto"/>
        <w:ind w:left="0" w:right="0" w:firstLine="0"/>
        <w:jc w:val="left"/>
      </w:pPr>
      <w:hyperlink w:anchor="bookmark21"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9"/>
        <w:keepNext w:val="0"/>
        <w:keepLines w:val="0"/>
        <w:widowControl w:val="0"/>
        <w:shd w:val="clear" w:color="auto" w:fill="auto"/>
        <w:tabs>
          <w:tab w:pos="810" w:val="left"/>
          <w:tab w:leader="dot" w:pos="9602" w:val="right"/>
        </w:tabs>
        <w:bidi w:val="0"/>
        <w:spacing w:before="0" w:line="240" w:lineRule="auto"/>
        <w:ind w:left="0" w:right="0" w:firstLine="0"/>
        <w:jc w:val="left"/>
      </w:pPr>
      <w:hyperlink w:anchor="bookmark44" w:tooltip="Current Document">
        <w:r>
          <w:rPr>
            <w:color w:val="000000"/>
            <w:spacing w:val="0"/>
            <w:w w:val="100"/>
            <w:position w:val="0"/>
          </w:rPr>
          <w:t>第三节</w:t>
          <w:tab/>
          <w:t>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9"/>
        <w:keepNext w:val="0"/>
        <w:keepLines w:val="0"/>
        <w:widowControl w:val="0"/>
        <w:shd w:val="clear" w:color="auto" w:fill="auto"/>
        <w:tabs>
          <w:tab w:leader="dot" w:pos="9602" w:val="right"/>
        </w:tabs>
        <w:bidi w:val="0"/>
        <w:spacing w:before="0" w:line="240" w:lineRule="auto"/>
        <w:ind w:left="0" w:right="0" w:firstLine="0"/>
        <w:jc w:val="left"/>
      </w:pPr>
      <w:hyperlink w:anchor="bookmark54"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9"/>
        <w:keepNext w:val="0"/>
        <w:keepLines w:val="0"/>
        <w:widowControl w:val="0"/>
        <w:shd w:val="clear" w:color="auto" w:fill="auto"/>
        <w:tabs>
          <w:tab w:pos="810" w:val="left"/>
          <w:tab w:leader="dot" w:pos="9602" w:val="right"/>
        </w:tabs>
        <w:bidi w:val="0"/>
        <w:spacing w:before="0" w:line="240" w:lineRule="auto"/>
        <w:ind w:left="0" w:right="0" w:firstLine="0"/>
        <w:jc w:val="left"/>
      </w:pPr>
      <w:hyperlink w:anchor="bookmark202"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19"/>
        <w:keepNext w:val="0"/>
        <w:keepLines w:val="0"/>
        <w:widowControl w:val="0"/>
        <w:shd w:val="clear" w:color="auto" w:fill="auto"/>
        <w:tabs>
          <w:tab w:pos="810" w:val="left"/>
          <w:tab w:leader="dot" w:pos="9602" w:val="right"/>
        </w:tabs>
        <w:bidi w:val="0"/>
        <w:spacing w:before="0" w:line="240" w:lineRule="auto"/>
        <w:ind w:left="0" w:right="0" w:firstLine="0"/>
        <w:jc w:val="left"/>
      </w:pPr>
      <w:hyperlink w:anchor="bookmark237"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19"/>
        <w:keepNext w:val="0"/>
        <w:keepLines w:val="0"/>
        <w:widowControl w:val="0"/>
        <w:shd w:val="clear" w:color="auto" w:fill="auto"/>
        <w:tabs>
          <w:tab w:leader="dot" w:pos="9602" w:val="right"/>
        </w:tabs>
        <w:bidi w:val="0"/>
        <w:spacing w:before="0" w:line="240" w:lineRule="auto"/>
        <w:ind w:left="0" w:right="0" w:firstLine="0"/>
        <w:jc w:val="left"/>
      </w:pPr>
      <w:hyperlink w:anchor="bookmark259"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19"/>
        <w:keepNext w:val="0"/>
        <w:keepLines w:val="0"/>
        <w:widowControl w:val="0"/>
        <w:shd w:val="clear" w:color="auto" w:fill="auto"/>
        <w:tabs>
          <w:tab w:leader="dot" w:pos="9602" w:val="right"/>
        </w:tabs>
        <w:bidi w:val="0"/>
        <w:spacing w:before="0" w:line="240" w:lineRule="auto"/>
        <w:ind w:left="0" w:right="0" w:firstLine="0"/>
        <w:jc w:val="left"/>
      </w:pPr>
      <w:hyperlink w:anchor="bookmark284"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9"/>
        <w:keepNext w:val="0"/>
        <w:keepLines w:val="0"/>
        <w:widowControl w:val="0"/>
        <w:shd w:val="clear" w:color="auto" w:fill="auto"/>
        <w:tabs>
          <w:tab w:leader="dot" w:pos="9602" w:val="right"/>
        </w:tabs>
        <w:bidi w:val="0"/>
        <w:spacing w:before="0" w:line="240" w:lineRule="auto"/>
        <w:ind w:left="0" w:right="0" w:firstLine="0"/>
        <w:jc w:val="left"/>
      </w:pPr>
      <w:hyperlink w:anchor="bookmark353"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9"/>
        <w:keepNext w:val="0"/>
        <w:keepLines w:val="0"/>
        <w:widowControl w:val="0"/>
        <w:shd w:val="clear" w:color="auto" w:fill="auto"/>
        <w:tabs>
          <w:tab w:pos="810" w:val="left"/>
          <w:tab w:leader="dot" w:pos="9602" w:val="right"/>
        </w:tabs>
        <w:bidi w:val="0"/>
        <w:spacing w:before="0" w:line="240" w:lineRule="auto"/>
        <w:ind w:left="0" w:right="0" w:firstLine="0"/>
        <w:jc w:val="left"/>
      </w:pPr>
      <w:hyperlink w:anchor="bookmark380"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19"/>
        <w:keepNext w:val="0"/>
        <w:keepLines w:val="0"/>
        <w:widowControl w:val="0"/>
        <w:shd w:val="clear" w:color="auto" w:fill="auto"/>
        <w:tabs>
          <w:tab w:leader="dot" w:pos="9602" w:val="right"/>
        </w:tabs>
        <w:bidi w:val="0"/>
        <w:spacing w:before="0" w:line="240" w:lineRule="auto"/>
        <w:ind w:left="0" w:right="0" w:firstLine="0"/>
        <w:jc w:val="left"/>
      </w:pPr>
      <w:hyperlink w:anchor="bookmark1212" w:tooltip="Current Document">
        <w:r>
          <w:rPr>
            <w:color w:val="000000"/>
            <w:spacing w:val="0"/>
            <w:w w:val="100"/>
            <w:position w:val="0"/>
          </w:rPr>
          <w:t>第十一节备查文件目录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139</w:t>
        </w:r>
      </w:hyperlink>
      <w:r>
        <w:br w:type="page"/>
      </w:r>
      <w:r>
        <w:fldChar w:fldCharType="end"/>
      </w:r>
    </w:p>
    <w:p>
      <w:pPr>
        <w:pStyle w:val="Style14"/>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公司、荣信股份、本公司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荣信电力电子股份有限公司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SVC</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Static Var Compensator</w:t>
            </w:r>
            <w:r>
              <w:rPr>
                <w:color w:val="000000"/>
                <w:spacing w:val="0"/>
                <w:w w:val="100"/>
                <w:position w:val="0"/>
              </w:rPr>
              <w:t>,</w:t>
            </w:r>
            <w:r>
              <w:rPr>
                <w:color w:val="000000"/>
                <w:spacing w:val="0"/>
                <w:w w:val="100"/>
                <w:position w:val="0"/>
              </w:rPr>
              <w:t>高压动态无功补偿装置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MABZ</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智能瓦斯排放装置</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FC</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电力滤波装置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HVC</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High Voltage Converter</w:t>
            </w:r>
            <w:r>
              <w:rPr>
                <w:color w:val="000000"/>
                <w:spacing w:val="0"/>
                <w:w w:val="100"/>
                <w:position w:val="0"/>
              </w:rPr>
              <w:t>，高压变频装置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VFS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Variable Frequency Starter</w:t>
            </w:r>
            <w:r>
              <w:rPr>
                <w:color w:val="000000"/>
                <w:spacing w:val="0"/>
                <w:w w:val="100"/>
                <w:position w:val="0"/>
              </w:rPr>
              <w:t>，高压软起动装置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SVG</w:t>
            </w:r>
            <w:r>
              <w:rPr>
                <w:color w:val="000000"/>
                <w:spacing w:val="0"/>
                <w:w w:val="100"/>
                <w:position w:val="0"/>
              </w:rPr>
              <w:t>、</w:t>
            </w:r>
            <w:r>
              <w:rPr>
                <w:rFonts w:ascii="Times New Roman" w:eastAsia="Times New Roman" w:hAnsi="Times New Roman" w:cs="Times New Roman"/>
                <w:color w:val="000000"/>
                <w:spacing w:val="0"/>
                <w:w w:val="100"/>
                <w:position w:val="0"/>
              </w:rPr>
              <w:t>STATCOM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高压大功率静止无功发生器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HVDC</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轻型直流输电系统</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FSC</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串补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FCL</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高压固态开关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HPR</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整流器</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PVVC</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光伏逆变器</w:t>
            </w:r>
          </w:p>
        </w:tc>
      </w:tr>
    </w:tbl>
    <w:p>
      <w:pPr>
        <w:sectPr>
          <w:footnotePr>
            <w:pos w:val="pageBottom"/>
            <w:numFmt w:val="decimal"/>
            <w:numRestart w:val="continuous"/>
          </w:footnotePr>
          <w:pgSz w:w="11900" w:h="16840"/>
          <w:pgMar w:top="2094" w:right="1134" w:bottom="6601" w:left="1100" w:header="0" w:footer="3" w:gutter="0"/>
          <w:cols w:space="720"/>
          <w:noEndnote/>
          <w:rtlGutter w:val="0"/>
          <w:docGrid w:linePitch="360"/>
        </w:sectPr>
      </w:pPr>
    </w:p>
    <w:p>
      <w:pPr>
        <w:pStyle w:val="Style14"/>
        <w:keepNext/>
        <w:keepLines/>
        <w:widowControl w:val="0"/>
        <w:shd w:val="clear" w:color="auto" w:fill="auto"/>
        <w:bidi w:val="0"/>
        <w:spacing w:before="460" w:after="80" w:line="240" w:lineRule="auto"/>
        <w:ind w:left="0" w:right="0" w:firstLine="0"/>
        <w:jc w:val="center"/>
      </w:pPr>
      <w:bookmarkStart w:id="12" w:name="bookmark12"/>
      <w:bookmarkStart w:id="13" w:name="bookmark13"/>
      <w:bookmarkStart w:id="14" w:name="bookmark14"/>
      <w:r>
        <w:rPr>
          <w:color w:val="000000"/>
          <w:spacing w:val="0"/>
          <w:w w:val="100"/>
          <w:position w:val="0"/>
        </w:rPr>
        <w:t>重大风险提示</w:t>
      </w:r>
      <w:bookmarkEnd w:id="12"/>
      <w:bookmarkEnd w:id="13"/>
      <w:bookmarkEnd w:id="14"/>
    </w:p>
    <w:p>
      <w:pPr>
        <w:pStyle w:val="Style16"/>
        <w:keepNext w:val="0"/>
        <w:keepLines w:val="0"/>
        <w:widowControl w:val="0"/>
        <w:numPr>
          <w:ilvl w:val="0"/>
          <w:numId w:val="1"/>
        </w:numPr>
        <w:shd w:val="clear" w:color="auto" w:fill="auto"/>
        <w:tabs>
          <w:tab w:pos="961" w:val="left"/>
        </w:tabs>
        <w:bidi w:val="0"/>
        <w:spacing w:before="0" w:line="470" w:lineRule="exact"/>
        <w:ind w:left="0" w:right="0" w:firstLine="440"/>
        <w:jc w:val="both"/>
      </w:pPr>
      <w:bookmarkStart w:id="15" w:name="bookmark15"/>
      <w:bookmarkEnd w:id="15"/>
      <w:r>
        <w:rPr>
          <w:color w:val="000000"/>
          <w:spacing w:val="0"/>
          <w:w w:val="100"/>
          <w:position w:val="0"/>
        </w:rPr>
        <w:t>应收账款发生坏账的风险。截至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日，公司应收账款余额为</w:t>
      </w:r>
      <w:r>
        <w:rPr>
          <w:rFonts w:ascii="Times New Roman" w:eastAsia="Times New Roman" w:hAnsi="Times New Roman" w:cs="Times New Roman"/>
          <w:color w:val="000000"/>
          <w:spacing w:val="0"/>
          <w:w w:val="100"/>
          <w:position w:val="0"/>
        </w:rPr>
        <w:t>156,535.12</w:t>
      </w:r>
      <w:r>
        <w:rPr>
          <w:color w:val="000000"/>
          <w:spacing w:val="0"/>
          <w:w w:val="100"/>
          <w:position w:val="0"/>
        </w:rPr>
        <w:t>万元，占 流动资产的</w:t>
      </w:r>
      <w:r>
        <w:rPr>
          <w:rFonts w:ascii="Times New Roman" w:eastAsia="Times New Roman" w:hAnsi="Times New Roman" w:cs="Times New Roman"/>
          <w:color w:val="000000"/>
          <w:spacing w:val="0"/>
          <w:w w:val="100"/>
          <w:position w:val="0"/>
        </w:rPr>
        <w:t>45.34%</w:t>
      </w:r>
      <w:r>
        <w:rPr>
          <w:color w:val="000000"/>
          <w:spacing w:val="0"/>
          <w:w w:val="100"/>
          <w:position w:val="0"/>
        </w:rPr>
        <w:t>，占总资产的</w:t>
      </w:r>
      <w:r>
        <w:rPr>
          <w:rFonts w:ascii="Times New Roman" w:eastAsia="Times New Roman" w:hAnsi="Times New Roman" w:cs="Times New Roman"/>
          <w:color w:val="000000"/>
          <w:spacing w:val="0"/>
          <w:w w:val="100"/>
          <w:position w:val="0"/>
        </w:rPr>
        <w:t>35.46%</w:t>
      </w:r>
      <w:r>
        <w:rPr>
          <w:color w:val="000000"/>
          <w:spacing w:val="0"/>
          <w:w w:val="100"/>
          <w:position w:val="0"/>
        </w:rPr>
        <w:t>。公司应收账款规模增长主要是由于公司业务规模扩大且信用政 策有所放松所致。公司应收账款债务人主要是冶金、煤炭、电力等行业内的大中型企业，部分客户受宏观 经济环境等因素影响导致付款周期有所延长。若宏观经济环境、客户经营状况等发生不利变化，将导致公 司面临坏账的风险。公司采取加大应收账款催收力度、将应收账款投保及足额计提减值准备等措施防范经 营风险。</w:t>
      </w:r>
    </w:p>
    <w:p>
      <w:pPr>
        <w:pStyle w:val="Style16"/>
        <w:keepNext w:val="0"/>
        <w:keepLines w:val="0"/>
        <w:widowControl w:val="0"/>
        <w:numPr>
          <w:ilvl w:val="0"/>
          <w:numId w:val="1"/>
        </w:numPr>
        <w:shd w:val="clear" w:color="auto" w:fill="auto"/>
        <w:tabs>
          <w:tab w:pos="961" w:val="left"/>
        </w:tabs>
        <w:bidi w:val="0"/>
        <w:spacing w:before="0" w:line="478" w:lineRule="exact"/>
        <w:ind w:left="0" w:right="0" w:firstLine="440"/>
        <w:jc w:val="both"/>
      </w:pPr>
      <w:bookmarkStart w:id="16" w:name="bookmark16"/>
      <w:bookmarkEnd w:id="16"/>
      <w:r>
        <w:rPr>
          <w:color w:val="000000"/>
          <w:spacing w:val="0"/>
          <w:w w:val="100"/>
          <w:position w:val="0"/>
        </w:rPr>
        <w:t>毛利下降风险。随着公司产品市场需求的迅速增长，参与竞争的企业将逐步增加及人力成本的 提高使公司产品的毛利有下降的趋势。公司将通过增加研发投入，走高端路线保持产品高技术含量、推进 产业技术升级、提高订单的整体质量等方式来稳定产品的利润水平。</w:t>
      </w:r>
    </w:p>
    <w:p>
      <w:pPr>
        <w:pStyle w:val="Style16"/>
        <w:keepNext w:val="0"/>
        <w:keepLines w:val="0"/>
        <w:widowControl w:val="0"/>
        <w:numPr>
          <w:ilvl w:val="0"/>
          <w:numId w:val="1"/>
        </w:numPr>
        <w:shd w:val="clear" w:color="auto" w:fill="auto"/>
        <w:tabs>
          <w:tab w:pos="961" w:val="left"/>
        </w:tabs>
        <w:bidi w:val="0"/>
        <w:spacing w:before="0" w:line="474" w:lineRule="exact"/>
        <w:ind w:left="0" w:right="0" w:firstLine="440"/>
        <w:jc w:val="both"/>
      </w:pPr>
      <w:bookmarkStart w:id="17" w:name="bookmark17"/>
      <w:bookmarkEnd w:id="17"/>
      <w:r>
        <w:rPr>
          <w:color w:val="000000"/>
          <w:spacing w:val="0"/>
          <w:w w:val="100"/>
          <w:position w:val="0"/>
        </w:rPr>
        <w:t>市场风险。由于本行业在国家政策支持和在节能减排的宏观背景下，市场空间广阔，市场参与 者逐渐增加，市场竞争逐渐加剧，导致市场份额下降及销售规模增速放缓的市场风险。公司将通过开拓新 的市场领域，加快产品国际化进程、加快技术升级速度和新产品产业化进程保证市场竞争力，实现销售规 模稳定增长。</w:t>
      </w:r>
    </w:p>
    <w:p>
      <w:pPr>
        <w:pStyle w:val="Style16"/>
        <w:keepNext w:val="0"/>
        <w:keepLines w:val="0"/>
        <w:widowControl w:val="0"/>
        <w:numPr>
          <w:ilvl w:val="0"/>
          <w:numId w:val="1"/>
        </w:numPr>
        <w:shd w:val="clear" w:color="auto" w:fill="auto"/>
        <w:tabs>
          <w:tab w:pos="956" w:val="left"/>
        </w:tabs>
        <w:bidi w:val="0"/>
        <w:spacing w:before="0" w:line="472" w:lineRule="exact"/>
        <w:ind w:left="0" w:right="0" w:firstLine="440"/>
        <w:jc w:val="both"/>
      </w:pPr>
      <w:bookmarkStart w:id="18" w:name="bookmark18"/>
      <w:bookmarkEnd w:id="18"/>
      <w:r>
        <w:rPr>
          <w:color w:val="000000"/>
          <w:spacing w:val="0"/>
          <w:w w:val="100"/>
          <w:position w:val="0"/>
        </w:rPr>
        <w:t>管理风险。企业经营规模的扩张，将对公司管理团队的管理和协调能力提出较高的要求，为此 公司将进一步加强管理队伍建设，通过加强对现有管理人员的培训，不断提高其管理水平和协调能力。完 善公司治理的经营管理机制，形成更加科学有效的决策机制，同时不断完善绩效考核机制，形成更加有效 的激励约束机制，使公司的经营模式和管理机制能够更加符合公司发展需要。</w:t>
      </w:r>
    </w:p>
    <w:p>
      <w:pPr>
        <w:pStyle w:val="Style16"/>
        <w:keepNext w:val="0"/>
        <w:keepLines w:val="0"/>
        <w:widowControl w:val="0"/>
        <w:numPr>
          <w:ilvl w:val="0"/>
          <w:numId w:val="1"/>
        </w:numPr>
        <w:shd w:val="clear" w:color="auto" w:fill="auto"/>
        <w:tabs>
          <w:tab w:pos="961" w:val="left"/>
        </w:tabs>
        <w:bidi w:val="0"/>
        <w:spacing w:before="0" w:line="474" w:lineRule="exact"/>
        <w:ind w:left="0" w:right="0" w:firstLine="440"/>
        <w:jc w:val="both"/>
      </w:pPr>
      <w:bookmarkStart w:id="19" w:name="bookmark19"/>
      <w:bookmarkEnd w:id="19"/>
      <w:r>
        <w:rPr>
          <w:color w:val="000000"/>
          <w:spacing w:val="0"/>
          <w:w w:val="100"/>
          <w:position w:val="0"/>
        </w:rPr>
        <w:t>订单取消风险。公司主导产品为定制化的产品，实行订单生产，由于公司订单执行期较长，报 告期末，公司及控股子公司未执行合同</w:t>
      </w:r>
      <w:r>
        <w:rPr>
          <w:rFonts w:ascii="Times New Roman" w:eastAsia="Times New Roman" w:hAnsi="Times New Roman" w:cs="Times New Roman"/>
          <w:color w:val="000000"/>
          <w:spacing w:val="0"/>
          <w:w w:val="100"/>
          <w:position w:val="0"/>
        </w:rPr>
        <w:t>177,395.12</w:t>
      </w:r>
      <w:r>
        <w:rPr>
          <w:color w:val="000000"/>
          <w:spacing w:val="0"/>
          <w:w w:val="100"/>
          <w:position w:val="0"/>
        </w:rPr>
        <w:t>万元(含税)结转至</w:t>
      </w:r>
      <w:r>
        <w:rPr>
          <w:rFonts w:ascii="Times New Roman" w:eastAsia="Times New Roman" w:hAnsi="Times New Roman" w:cs="Times New Roman"/>
          <w:color w:val="000000"/>
          <w:spacing w:val="0"/>
          <w:w w:val="100"/>
          <w:position w:val="0"/>
        </w:rPr>
        <w:t>2014</w:t>
      </w:r>
      <w:r>
        <w:rPr>
          <w:color w:val="000000"/>
          <w:spacing w:val="0"/>
          <w:w w:val="100"/>
          <w:position w:val="0"/>
        </w:rPr>
        <w:t>年执行。未执行订单在履行 过程中如果遇到宏观经济环境、客户经营状况发生不利变化等不可预计的或不可抗力等因素的影响，有可 能会导致订单无法全部履行或终止的风险。</w:t>
      </w:r>
      <w:r>
        <w:br w:type="page"/>
      </w:r>
    </w:p>
    <w:p>
      <w:pPr>
        <w:pStyle w:val="Style14"/>
        <w:keepNext/>
        <w:keepLines/>
        <w:widowControl w:val="0"/>
        <w:shd w:val="clear" w:color="auto" w:fill="auto"/>
        <w:bidi w:val="0"/>
        <w:spacing w:before="0" w:after="56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w:t>
      </w:r>
      <w:bookmarkEnd w:id="20"/>
      <w:bookmarkEnd w:id="21"/>
      <w:bookmarkEnd w:id="22"/>
    </w:p>
    <w:p>
      <w:pPr>
        <w:pStyle w:val="Style25"/>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一</w:t>
      </w:r>
      <w:bookmarkEnd w:id="25"/>
      <w:r>
        <w:rPr>
          <w:color w:val="000000"/>
          <w:spacing w:val="0"/>
          <w:w w:val="100"/>
          <w:position w:val="0"/>
          <w:sz w:val="24"/>
          <w:szCs w:val="24"/>
        </w:rPr>
        <w:t>、公司信息</w:t>
      </w:r>
      <w:bookmarkEnd w:id="23"/>
      <w:bookmarkEnd w:id="24"/>
      <w:bookmarkEnd w:id="26"/>
    </w:p>
    <w:tbl>
      <w:tblPr>
        <w:tblOverlap w:val="never"/>
        <w:jc w:val="center"/>
        <w:tblLayout w:type="fixed"/>
      </w:tblPr>
      <w:tblGrid>
        <w:gridCol w:w="2285"/>
        <w:gridCol w:w="2952"/>
        <w:gridCol w:w="2160"/>
        <w:gridCol w:w="218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荣信电力电子股份有限公司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荣信股份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RONGXIN POWER ELECTRONIC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RXPE</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鞍山高新区鞍千路</w:t>
            </w:r>
            <w:r>
              <w:rPr>
                <w:rFonts w:ascii="Times New Roman" w:eastAsia="Times New Roman" w:hAnsi="Times New Roman" w:cs="Times New Roman"/>
                <w:color w:val="000000"/>
                <w:spacing w:val="0"/>
                <w:w w:val="100"/>
                <w:position w:val="0"/>
              </w:rPr>
              <w:t>261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114051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鞍山高新区科技路</w:t>
            </w:r>
            <w:r>
              <w:rPr>
                <w:rFonts w:ascii="Times New Roman" w:eastAsia="Times New Roman" w:hAnsi="Times New Roman" w:cs="Times New Roman"/>
                <w:color w:val="000000"/>
                <w:spacing w:val="0"/>
                <w:w w:val="100"/>
                <w:position w:val="0"/>
              </w:rPr>
              <w:t>108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114051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"http://www.rxpe.com" </w:instrText>
            </w:r>
            <w:r>
              <w:fldChar w:fldCharType="separate"/>
            </w:r>
            <w:r>
              <w:rPr>
                <w:rFonts w:ascii="Times New Roman" w:eastAsia="Times New Roman" w:hAnsi="Times New Roman" w:cs="Times New Roman"/>
                <w:color w:val="000000"/>
                <w:spacing w:val="0"/>
                <w:w w:val="100"/>
                <w:position w:val="0"/>
              </w:rPr>
              <w:t>www.rxpe.com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"mailto:zqb@rxpe.com" </w:instrText>
            </w:r>
            <w:r>
              <w:fldChar w:fldCharType="separate"/>
            </w:r>
            <w:r>
              <w:rPr>
                <w:rFonts w:ascii="Times New Roman" w:eastAsia="Times New Roman" w:hAnsi="Times New Roman" w:cs="Times New Roman"/>
                <w:color w:val="000000"/>
                <w:spacing w:val="0"/>
                <w:w w:val="100"/>
                <w:position w:val="0"/>
              </w:rPr>
              <w:t>zqb@rxpe.com</w:t>
            </w:r>
            <w:r>
              <w:fldChar w:fldCharType="end"/>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赵殿波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张洪涛</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鞍山高新区科技路</w:t>
            </w:r>
            <w:r>
              <w:rPr>
                <w:rFonts w:ascii="Times New Roman" w:eastAsia="Times New Roman" w:hAnsi="Times New Roman" w:cs="Times New Roman"/>
                <w:color w:val="000000"/>
                <w:spacing w:val="0"/>
                <w:w w:val="100"/>
                <w:position w:val="0"/>
              </w:rPr>
              <w:t>108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鞍山高新区科技路</w:t>
            </w:r>
            <w:r>
              <w:rPr>
                <w:rFonts w:ascii="Times New Roman" w:eastAsia="Times New Roman" w:hAnsi="Times New Roman" w:cs="Times New Roman"/>
                <w:color w:val="000000"/>
                <w:spacing w:val="0"/>
                <w:w w:val="100"/>
                <w:position w:val="0"/>
              </w:rPr>
              <w:t>108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0412-7213602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0412-7213602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0412-7213646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0412-7213646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"mailto:zdb@rxpe.com" </w:instrText>
            </w:r>
            <w:r>
              <w:fldChar w:fldCharType="separate"/>
            </w:r>
            <w:r>
              <w:rPr>
                <w:rFonts w:ascii="Times New Roman" w:eastAsia="Times New Roman" w:hAnsi="Times New Roman" w:cs="Times New Roman"/>
                <w:color w:val="000000"/>
                <w:spacing w:val="0"/>
                <w:w w:val="100"/>
                <w:position w:val="0"/>
              </w:rPr>
              <w:t>zdb@rxpe.com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"mailto:zht@rxpe.com" </w:instrText>
            </w:r>
            <w:r>
              <w:fldChar w:fldCharType="separate"/>
            </w:r>
            <w:r>
              <w:rPr>
                <w:rFonts w:ascii="Times New Roman" w:eastAsia="Times New Roman" w:hAnsi="Times New Roman" w:cs="Times New Roman"/>
                <w:color w:val="000000"/>
                <w:spacing w:val="0"/>
                <w:w w:val="100"/>
                <w:position w:val="0"/>
              </w:rPr>
              <w:t>zht@rxpe.com</w:t>
            </w:r>
            <w:r>
              <w:fldChar w:fldCharType="end"/>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730"/>
        <w:gridCol w:w="585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鞍山高新区科技路</w:t>
            </w:r>
            <w:r>
              <w:rPr>
                <w:rFonts w:ascii="Times New Roman" w:eastAsia="Times New Roman" w:hAnsi="Times New Roman" w:cs="Times New Roman"/>
                <w:color w:val="000000"/>
                <w:spacing w:val="0"/>
                <w:w w:val="100"/>
                <w:position w:val="0"/>
              </w:rPr>
              <w:t>108</w:t>
            </w:r>
            <w:r>
              <w:rPr>
                <w:color w:val="000000"/>
                <w:spacing w:val="0"/>
                <w:w w:val="100"/>
                <w:position w:val="0"/>
              </w:rPr>
              <w:t>号公司证券事务部</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、注册变更情况</w:t>
      </w:r>
      <w:bookmarkEnd w:id="35"/>
      <w:bookmarkEnd w:id="36"/>
      <w:bookmarkEnd w:id="38"/>
    </w:p>
    <w:tbl>
      <w:tblPr>
        <w:tblOverlap w:val="never"/>
        <w:jc w:val="center"/>
        <w:tblLayout w:type="fixed"/>
      </w:tblPr>
      <w:tblGrid>
        <w:gridCol w:w="1598"/>
        <w:gridCol w:w="1594"/>
        <w:gridCol w:w="1594"/>
        <w:gridCol w:w="1598"/>
        <w:gridCol w:w="1584"/>
        <w:gridCol w:w="161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辽宁省工商行政管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2100001050674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210301118887313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11888731-3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辽宁省工商行政管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210000004920217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210301118887313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11888731-3</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、其他有关资料</w:t>
      </w:r>
      <w:bookmarkEnd w:id="39"/>
      <w:bookmarkEnd w:id="40"/>
      <w:bookmarkEnd w:id="4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深圳市福田区滨河大厦</w:t>
            </w:r>
            <w:r>
              <w:rPr>
                <w:rFonts w:ascii="Times New Roman" w:eastAsia="Times New Roman" w:hAnsi="Times New Roman" w:cs="Times New Roman"/>
                <w:color w:val="000000"/>
                <w:spacing w:val="0"/>
                <w:w w:val="100"/>
                <w:position w:val="0"/>
              </w:rPr>
              <w:t>5020</w:t>
            </w:r>
            <w:r>
              <w:rPr>
                <w:color w:val="000000"/>
                <w:spacing w:val="0"/>
                <w:w w:val="100"/>
                <w:position w:val="0"/>
              </w:rPr>
              <w:t>号证券大厦</w:t>
            </w:r>
            <w:r>
              <w:rPr>
                <w:rFonts w:ascii="Times New Roman" w:eastAsia="Times New Roman" w:hAnsi="Times New Roman" w:cs="Times New Roman"/>
                <w:color w:val="000000"/>
                <w:spacing w:val="0"/>
                <w:w w:val="100"/>
                <w:position w:val="0"/>
              </w:rPr>
              <w:t>1501</w:t>
            </w:r>
            <w:r>
              <w:rPr>
                <w:color w:val="000000"/>
                <w:spacing w:val="0"/>
                <w:w w:val="100"/>
                <w:position w:val="0"/>
              </w:rPr>
              <w:t>、十六层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朱伟峰赵国梁</w:t>
            </w:r>
          </w:p>
        </w:tc>
      </w:tr>
    </w:tbl>
    <w:p>
      <w:pPr>
        <w:sectPr>
          <w:footnotePr>
            <w:pos w:val="pageBottom"/>
            <w:numFmt w:val="decimal"/>
            <w:numRestart w:val="continuous"/>
          </w:footnotePr>
          <w:pgSz w:w="11900" w:h="16840"/>
          <w:pgMar w:top="1455" w:right="1136" w:bottom="2761" w:left="1088" w:header="0" w:footer="3" w:gutter="0"/>
          <w:cols w:space="720"/>
          <w:noEndnote/>
          <w:rtlGutter w:val="0"/>
          <w:docGrid w:linePitch="360"/>
        </w:sectPr>
      </w:pPr>
    </w:p>
    <w:p>
      <w:pPr>
        <w:pStyle w:val="Style14"/>
        <w:keepNext/>
        <w:keepLines/>
        <w:widowControl w:val="0"/>
        <w:shd w:val="clear" w:color="auto" w:fill="auto"/>
        <w:bidi w:val="0"/>
        <w:spacing w:before="480" w:line="240" w:lineRule="auto"/>
        <w:ind w:left="0" w:right="0" w:firstLine="0"/>
        <w:jc w:val="center"/>
      </w:pPr>
      <w:bookmarkStart w:id="43" w:name="bookmark43"/>
      <w:bookmarkStart w:id="44" w:name="bookmark44"/>
      <w:bookmarkStart w:id="45" w:name="bookmark45"/>
      <w:r>
        <w:rPr>
          <w:color w:val="000000"/>
          <w:spacing w:val="0"/>
          <w:w w:val="100"/>
          <w:position w:val="0"/>
        </w:rPr>
        <w:t>第三节会计数据和财务指标摘要</w:t>
      </w:r>
      <w:bookmarkEnd w:id="43"/>
      <w:bookmarkEnd w:id="44"/>
      <w:bookmarkEnd w:id="45"/>
    </w:p>
    <w:p>
      <w:pPr>
        <w:pStyle w:val="Style25"/>
        <w:keepNext/>
        <w:keepLines/>
        <w:widowControl w:val="0"/>
        <w:shd w:val="clear" w:color="auto" w:fill="auto"/>
        <w:bidi w:val="0"/>
        <w:spacing w:before="0" w:after="220" w:line="240" w:lineRule="auto"/>
        <w:ind w:left="0" w:right="0" w:firstLine="240"/>
        <w:jc w:val="both"/>
      </w:pPr>
      <w:bookmarkStart w:id="46" w:name="bookmark46"/>
      <w:bookmarkStart w:id="47" w:name="bookmark47"/>
      <w:bookmarkStart w:id="48" w:name="bookmark48"/>
      <w:r>
        <w:rPr>
          <w:color w:val="000000"/>
          <w:spacing w:val="0"/>
          <w:w w:val="100"/>
          <w:position w:val="0"/>
          <w:sz w:val="24"/>
          <w:szCs w:val="24"/>
        </w:rPr>
        <w:t>、主要会计数据和财务指标</w:t>
      </w:r>
      <w:bookmarkEnd w:id="46"/>
      <w:bookmarkEnd w:id="47"/>
      <w:bookmarkEnd w:id="48"/>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21"/>
        <w:gridCol w:w="1738"/>
        <w:gridCol w:w="1738"/>
        <w:gridCol w:w="1742"/>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1,497,530,910.47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1,287,133,495.51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1,630,819,959.31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75,843,521.47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115,326,193.41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283,780,765.05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-75,514,177.41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104,376,211.64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266,906,235.30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-160,368,307.81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-176,363,519.26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-157,782,096.96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4,414,479,701.84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4,214,032,344.58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3,450,506,107.18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2,056,610,625.06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2,120,142,051.68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1,952,187,476.43</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二</w:t>
      </w:r>
      <w:bookmarkEnd w:id="51"/>
      <w:r>
        <w:rPr>
          <w:color w:val="000000"/>
          <w:spacing w:val="0"/>
          <w:w w:val="100"/>
          <w:position w:val="0"/>
          <w:sz w:val="24"/>
          <w:szCs w:val="24"/>
        </w:rPr>
        <w:t>、非经常性损益项目及金额</w:t>
      </w:r>
      <w:bookmarkEnd w:id="49"/>
      <w:bookmarkEnd w:id="50"/>
      <w:bookmarkEnd w:id="5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-1,610,331.91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4,938,865.84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3,602,378.77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固定资产、长期股权 投资处置净损益</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21,930,439.64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9,496,039.96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16,220,915.34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计入营业外收入的政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府补助</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156,058,022.79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处置可供出售金融资 产取得的投资收益</w:t>
            </w: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8"/>
      </w:tblGrid>
      <w:tr>
        <w:trPr>
          <w:trHeight w:val="37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1,775,699.85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626,922.21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1,053,782.38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26,804,539.65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1,961,441.00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3,200,351.24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451,591.84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1,437,035.24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802,195.50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151,357,698.88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10,949,981.77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16,874,529.75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60" w:lineRule="auto"/>
        <w:ind w:left="0" w:right="0" w:firstLine="0"/>
        <w:jc w:val="left"/>
        <w:sectPr>
          <w:footnotePr>
            <w:pos w:val="pageBottom"/>
            <w:numFmt w:val="decimal"/>
            <w:numRestart w:val="continuous"/>
          </w:footnotePr>
          <w:pgSz w:w="11900" w:h="16840"/>
          <w:pgMar w:top="1436" w:right="1124" w:bottom="1590" w:left="109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620" w:line="240" w:lineRule="auto"/>
        <w:ind w:left="0" w:right="0" w:firstLine="0"/>
        <w:jc w:val="center"/>
      </w:pPr>
      <w:bookmarkStart w:id="53" w:name="bookmark53"/>
      <w:bookmarkStart w:id="54" w:name="bookmark54"/>
      <w:bookmarkStart w:id="55" w:name="bookmark55"/>
      <w:r>
        <w:rPr>
          <w:color w:val="000000"/>
          <w:spacing w:val="0"/>
          <w:w w:val="100"/>
          <w:position w:val="0"/>
        </w:rPr>
        <w:t>第四节董事会报告</w:t>
      </w:r>
      <w:bookmarkEnd w:id="53"/>
      <w:bookmarkEnd w:id="54"/>
      <w:bookmarkEnd w:id="55"/>
    </w:p>
    <w:p>
      <w:pPr>
        <w:pStyle w:val="Style25"/>
        <w:keepNext/>
        <w:keepLines/>
        <w:widowControl w:val="0"/>
        <w:shd w:val="clear" w:color="auto" w:fill="auto"/>
        <w:bidi w:val="0"/>
        <w:spacing w:before="0" w:after="20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、概述</w:t>
      </w:r>
      <w:bookmarkEnd w:id="56"/>
      <w:bookmarkEnd w:id="57"/>
      <w:bookmarkEnd w:id="59"/>
    </w:p>
    <w:p>
      <w:pPr>
        <w:pStyle w:val="Style16"/>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年，在国内外经济形势复杂多变，经济增速仍旧低迷的背景下，公司所处行业面临的竞争形势依 然严峻，下游产业放缓，行业产能过剩，竞争加剧的局面未得到明显改善，公司经营业绩同比有所下降。</w:t>
      </w:r>
    </w:p>
    <w:p>
      <w:pPr>
        <w:pStyle w:val="Style16"/>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年，公司产品质量和服务意识又上了一个台阶，多项产品技术取得了新突破。</w:t>
      </w:r>
    </w:p>
    <w:p>
      <w:pPr>
        <w:pStyle w:val="Style16"/>
        <w:keepNext w:val="0"/>
        <w:keepLines w:val="0"/>
        <w:widowControl w:val="0"/>
        <w:shd w:val="clear" w:color="auto" w:fill="auto"/>
        <w:tabs>
          <w:tab w:pos="1184" w:val="left"/>
        </w:tabs>
        <w:bidi w:val="0"/>
        <w:spacing w:before="0" w:after="0" w:line="470" w:lineRule="exact"/>
        <w:ind w:left="0" w:right="0" w:firstLine="500"/>
        <w:jc w:val="both"/>
      </w:pPr>
      <w:bookmarkStart w:id="60" w:name="bookmark60"/>
      <w:r>
        <w:rPr>
          <w:color w:val="000000"/>
          <w:spacing w:val="0"/>
          <w:w w:val="100"/>
          <w:position w:val="0"/>
        </w:rPr>
        <w:t>（</w:t>
      </w:r>
      <w:bookmarkEnd w:id="60"/>
      <w:r>
        <w:rPr>
          <w:color w:val="000000"/>
          <w:spacing w:val="0"/>
          <w:w w:val="100"/>
          <w:position w:val="0"/>
        </w:rPr>
        <w:t>一）</w:t>
        <w:tab/>
      </w:r>
      <w:r>
        <w:rPr>
          <w:rFonts w:ascii="Times New Roman" w:eastAsia="Times New Roman" w:hAnsi="Times New Roman" w:cs="Times New Roman"/>
          <w:color w:val="000000"/>
          <w:spacing w:val="0"/>
          <w:w w:val="100"/>
          <w:position w:val="0"/>
        </w:rPr>
        <w:t>2013</w:t>
      </w:r>
      <w:r>
        <w:rPr>
          <w:color w:val="000000"/>
          <w:spacing w:val="0"/>
          <w:w w:val="100"/>
          <w:position w:val="0"/>
        </w:rPr>
        <w:t>年，国家</w:t>
      </w:r>
      <w:r>
        <w:rPr>
          <w:rFonts w:ascii="Times New Roman" w:eastAsia="Times New Roman" w:hAnsi="Times New Roman" w:cs="Times New Roman"/>
          <w:color w:val="000000"/>
          <w:spacing w:val="0"/>
          <w:w w:val="100"/>
          <w:position w:val="0"/>
        </w:rPr>
        <w:t>863</w:t>
      </w:r>
      <w:r>
        <w:rPr>
          <w:color w:val="000000"/>
          <w:spacing w:val="0"/>
          <w:w w:val="100"/>
          <w:position w:val="0"/>
        </w:rPr>
        <w:t>计划项目——南方电网广东汕头南澳岛的三端柔性直流输电工程完成了三端 投产启动。公司作为项目主要参与单位之一，承担了核心的主换流阀、控制保护系统等研发、设计和制造 任务。该项目的成功，标志着公司在柔性直流输电技术方面站在了世界前列。</w:t>
      </w:r>
    </w:p>
    <w:p>
      <w:pPr>
        <w:pStyle w:val="Style16"/>
        <w:keepNext w:val="0"/>
        <w:keepLines w:val="0"/>
        <w:widowControl w:val="0"/>
        <w:shd w:val="clear" w:color="auto" w:fill="auto"/>
        <w:tabs>
          <w:tab w:pos="1184" w:val="left"/>
        </w:tabs>
        <w:bidi w:val="0"/>
        <w:spacing w:before="0" w:after="0" w:line="470" w:lineRule="exact"/>
        <w:ind w:left="0" w:right="0" w:firstLine="500"/>
        <w:jc w:val="both"/>
      </w:pPr>
      <w:bookmarkStart w:id="61" w:name="bookmark61"/>
      <w:r>
        <w:rPr>
          <w:color w:val="000000"/>
          <w:spacing w:val="0"/>
          <w:w w:val="100"/>
          <w:position w:val="0"/>
        </w:rPr>
        <w:t>（</w:t>
      </w:r>
      <w:bookmarkEnd w:id="61"/>
      <w:r>
        <w:rPr>
          <w:color w:val="000000"/>
          <w:spacing w:val="0"/>
          <w:w w:val="100"/>
          <w:position w:val="0"/>
        </w:rPr>
        <w:t>二）</w:t>
        <w:tab/>
        <w:t>南网</w:t>
      </w:r>
      <w:r>
        <w:rPr>
          <w:rFonts w:ascii="Times New Roman" w:eastAsia="Times New Roman" w:hAnsi="Times New Roman" w:cs="Times New Roman"/>
          <w:color w:val="000000"/>
          <w:spacing w:val="0"/>
          <w:w w:val="100"/>
          <w:position w:val="0"/>
        </w:rPr>
        <w:t>STATCOM</w:t>
      </w:r>
      <w:r>
        <w:rPr>
          <w:color w:val="000000"/>
          <w:spacing w:val="0"/>
          <w:w w:val="100"/>
          <w:position w:val="0"/>
        </w:rPr>
        <w:t>一期推广的</w:t>
      </w:r>
      <w:r>
        <w:rPr>
          <w:rFonts w:ascii="Times New Roman" w:eastAsia="Times New Roman" w:hAnsi="Times New Roman" w:cs="Times New Roman"/>
          <w:color w:val="000000"/>
          <w:spacing w:val="0"/>
          <w:w w:val="100"/>
          <w:position w:val="0"/>
        </w:rPr>
        <w:t>3</w:t>
      </w:r>
      <w:r>
        <w:rPr>
          <w:color w:val="000000"/>
          <w:spacing w:val="0"/>
          <w:w w:val="100"/>
          <w:position w:val="0"/>
        </w:rPr>
        <w:t>套</w:t>
      </w:r>
      <w:r>
        <w:rPr>
          <w:rFonts w:ascii="Times New Roman" w:eastAsia="Times New Roman" w:hAnsi="Times New Roman" w:cs="Times New Roman"/>
          <w:color w:val="000000"/>
          <w:spacing w:val="0"/>
          <w:w w:val="100"/>
          <w:position w:val="0"/>
        </w:rPr>
        <w:t>35KV±200MSTATCOM</w:t>
      </w:r>
      <w:r>
        <w:rPr>
          <w:color w:val="000000"/>
          <w:spacing w:val="0"/>
          <w:w w:val="100"/>
          <w:position w:val="0"/>
        </w:rPr>
        <w:t>全部按期投产，并在雨季多次响应动作, 符合并超过技术标准要求，为南方电网系统稳定做出实际贡献。这是迄今为止世界上最大规模、最大容量 的</w:t>
      </w:r>
      <w:r>
        <w:rPr>
          <w:rFonts w:ascii="Times New Roman" w:eastAsia="Times New Roman" w:hAnsi="Times New Roman" w:cs="Times New Roman"/>
          <w:color w:val="000000"/>
          <w:spacing w:val="0"/>
          <w:w w:val="100"/>
          <w:position w:val="0"/>
        </w:rPr>
        <w:t>STATCOM</w:t>
      </w:r>
      <w:r>
        <w:rPr>
          <w:color w:val="000000"/>
          <w:spacing w:val="0"/>
          <w:w w:val="100"/>
          <w:position w:val="0"/>
        </w:rPr>
        <w:t>应用，装置全部由公司独家供应，夯实了我们一个里程碑式的骄人业绩，为公司国际市场的 打开奠定了坚实的基础。</w:t>
      </w:r>
    </w:p>
    <w:p>
      <w:pPr>
        <w:pStyle w:val="Style16"/>
        <w:keepNext w:val="0"/>
        <w:keepLines w:val="0"/>
        <w:widowControl w:val="0"/>
        <w:shd w:val="clear" w:color="auto" w:fill="auto"/>
        <w:tabs>
          <w:tab w:pos="1184" w:val="left"/>
        </w:tabs>
        <w:bidi w:val="0"/>
        <w:spacing w:before="0" w:after="0" w:line="470" w:lineRule="exact"/>
        <w:ind w:left="0" w:right="0" w:firstLine="500"/>
        <w:jc w:val="both"/>
      </w:pPr>
      <w:bookmarkStart w:id="62" w:name="bookmark62"/>
      <w:r>
        <w:rPr>
          <w:color w:val="000000"/>
          <w:spacing w:val="0"/>
          <w:w w:val="100"/>
          <w:position w:val="0"/>
        </w:rPr>
        <w:t>（</w:t>
      </w:r>
      <w:bookmarkEnd w:id="62"/>
      <w:r>
        <w:rPr>
          <w:color w:val="000000"/>
          <w:spacing w:val="0"/>
          <w:w w:val="100"/>
          <w:position w:val="0"/>
        </w:rPr>
        <w:t>三）</w:t>
        <w:tab/>
      </w:r>
      <w:r>
        <w:rPr>
          <w:rFonts w:ascii="Times New Roman" w:eastAsia="Times New Roman" w:hAnsi="Times New Roman" w:cs="Times New Roman"/>
          <w:color w:val="000000"/>
          <w:spacing w:val="0"/>
          <w:w w:val="100"/>
          <w:position w:val="0"/>
        </w:rPr>
        <w:t>2013</w:t>
      </w:r>
      <w:r>
        <w:rPr>
          <w:color w:val="000000"/>
          <w:spacing w:val="0"/>
          <w:w w:val="100"/>
          <w:position w:val="0"/>
        </w:rPr>
        <w:t>年，高压变频业务取得新进展。产品质量、服务都有了新的提升，普通变频器业务摆脱困 境，新签合同同比增长</w:t>
      </w:r>
      <w:r>
        <w:rPr>
          <w:rFonts w:ascii="Times New Roman" w:eastAsia="Times New Roman" w:hAnsi="Times New Roman" w:cs="Times New Roman"/>
          <w:color w:val="000000"/>
          <w:spacing w:val="0"/>
          <w:w w:val="100"/>
          <w:position w:val="0"/>
        </w:rPr>
        <w:t>15%</w:t>
      </w:r>
      <w:r>
        <w:rPr>
          <w:color w:val="000000"/>
          <w:spacing w:val="0"/>
          <w:w w:val="100"/>
          <w:position w:val="0"/>
        </w:rPr>
        <w:t>，超大功率变频依然处于国内领先地位。</w:t>
      </w:r>
    </w:p>
    <w:p>
      <w:pPr>
        <w:pStyle w:val="Style16"/>
        <w:keepNext w:val="0"/>
        <w:keepLines w:val="0"/>
        <w:widowControl w:val="0"/>
        <w:shd w:val="clear" w:color="auto" w:fill="auto"/>
        <w:tabs>
          <w:tab w:pos="834" w:val="left"/>
        </w:tabs>
        <w:bidi w:val="0"/>
        <w:spacing w:before="0" w:after="0" w:line="470" w:lineRule="exact"/>
        <w:ind w:left="0" w:right="0" w:firstLine="500"/>
        <w:jc w:val="both"/>
      </w:pPr>
      <w:bookmarkStart w:id="63" w:name="bookmark63"/>
      <w:r>
        <w:rPr>
          <w:rFonts w:ascii="Times New Roman" w:eastAsia="Times New Roman" w:hAnsi="Times New Roman" w:cs="Times New Roman"/>
          <w:color w:val="000000"/>
          <w:spacing w:val="0"/>
          <w:w w:val="100"/>
          <w:position w:val="0"/>
        </w:rPr>
        <w:t>1</w:t>
      </w:r>
      <w:bookmarkEnd w:id="63"/>
      <w:r>
        <w:rPr>
          <w:color w:val="000000"/>
          <w:spacing w:val="0"/>
          <w:w w:val="100"/>
          <w:position w:val="0"/>
        </w:rPr>
        <w:t>）</w:t>
        <w:tab/>
        <w:t>基于</w:t>
      </w:r>
      <w:r>
        <w:rPr>
          <w:rFonts w:ascii="Times New Roman" w:eastAsia="Times New Roman" w:hAnsi="Times New Roman" w:cs="Times New Roman"/>
          <w:color w:val="000000"/>
          <w:spacing w:val="0"/>
          <w:w w:val="100"/>
          <w:position w:val="0"/>
        </w:rPr>
        <w:t>IEGT</w:t>
      </w:r>
      <w:r>
        <w:rPr>
          <w:color w:val="000000"/>
          <w:spacing w:val="0"/>
          <w:w w:val="100"/>
          <w:position w:val="0"/>
        </w:rPr>
        <w:t>的大功率高压变频器的投运，最大功率达</w:t>
      </w:r>
      <w:r>
        <w:rPr>
          <w:rFonts w:ascii="Times New Roman" w:eastAsia="Times New Roman" w:hAnsi="Times New Roman" w:cs="Times New Roman"/>
          <w:color w:val="000000"/>
          <w:spacing w:val="0"/>
          <w:w w:val="100"/>
          <w:position w:val="0"/>
        </w:rPr>
        <w:t>32MVA</w:t>
      </w:r>
      <w:r>
        <w:rPr>
          <w:color w:val="000000"/>
          <w:spacing w:val="0"/>
          <w:w w:val="100"/>
          <w:position w:val="0"/>
        </w:rPr>
        <w:t>、</w:t>
      </w:r>
      <w:r>
        <w:rPr>
          <w:rFonts w:ascii="Times New Roman" w:eastAsia="Times New Roman" w:hAnsi="Times New Roman" w:cs="Times New Roman"/>
          <w:color w:val="000000"/>
          <w:spacing w:val="0"/>
          <w:w w:val="100"/>
          <w:position w:val="0"/>
        </w:rPr>
        <w:t>10KV</w:t>
      </w:r>
      <w:r>
        <w:rPr>
          <w:color w:val="000000"/>
          <w:spacing w:val="0"/>
          <w:w w:val="100"/>
          <w:position w:val="0"/>
        </w:rPr>
        <w:t>，作为先进的电压源型装置， 目前只有西门子和荣信掌握</w:t>
      </w:r>
      <w:r>
        <w:rPr>
          <w:rFonts w:ascii="Times New Roman" w:eastAsia="Times New Roman" w:hAnsi="Times New Roman" w:cs="Times New Roman"/>
          <w:color w:val="000000"/>
          <w:spacing w:val="0"/>
          <w:w w:val="100"/>
          <w:position w:val="0"/>
        </w:rPr>
        <w:t>30M</w:t>
      </w:r>
      <w:r>
        <w:rPr>
          <w:color w:val="000000"/>
          <w:spacing w:val="0"/>
          <w:w w:val="100"/>
          <w:position w:val="0"/>
        </w:rPr>
        <w:t>以上的技术，我们已经具有进军国际市场的坚实业绩基础。</w:t>
      </w:r>
    </w:p>
    <w:p>
      <w:pPr>
        <w:pStyle w:val="Style16"/>
        <w:keepNext w:val="0"/>
        <w:keepLines w:val="0"/>
        <w:widowControl w:val="0"/>
        <w:shd w:val="clear" w:color="auto" w:fill="auto"/>
        <w:tabs>
          <w:tab w:pos="872" w:val="left"/>
        </w:tabs>
        <w:bidi w:val="0"/>
        <w:spacing w:before="0" w:after="0" w:line="470" w:lineRule="exact"/>
        <w:ind w:left="0" w:right="0" w:firstLine="500"/>
        <w:jc w:val="both"/>
      </w:pPr>
      <w:bookmarkStart w:id="64" w:name="bookmark64"/>
      <w:r>
        <w:rPr>
          <w:rFonts w:ascii="Times New Roman" w:eastAsia="Times New Roman" w:hAnsi="Times New Roman" w:cs="Times New Roman"/>
          <w:color w:val="000000"/>
          <w:spacing w:val="0"/>
          <w:w w:val="100"/>
          <w:position w:val="0"/>
        </w:rPr>
        <w:t>2</w:t>
      </w:r>
      <w:bookmarkEnd w:id="64"/>
      <w:r>
        <w:rPr>
          <w:color w:val="000000"/>
          <w:spacing w:val="0"/>
          <w:w w:val="100"/>
          <w:position w:val="0"/>
        </w:rPr>
        <w:t>）</w:t>
        <w:tab/>
        <w:t>继承担中石油西气东输二线工程</w:t>
      </w:r>
      <w:r>
        <w:rPr>
          <w:rFonts w:ascii="Times New Roman" w:eastAsia="Times New Roman" w:hAnsi="Times New Roman" w:cs="Times New Roman"/>
          <w:color w:val="000000"/>
          <w:spacing w:val="0"/>
          <w:w w:val="100"/>
          <w:position w:val="0"/>
        </w:rPr>
        <w:t>3</w:t>
      </w:r>
      <w:r>
        <w:rPr>
          <w:color w:val="000000"/>
          <w:spacing w:val="0"/>
          <w:w w:val="100"/>
          <w:position w:val="0"/>
        </w:rPr>
        <w:t>套</w:t>
      </w:r>
      <w:r>
        <w:rPr>
          <w:rFonts w:ascii="Times New Roman" w:eastAsia="Times New Roman" w:hAnsi="Times New Roman" w:cs="Times New Roman"/>
          <w:color w:val="000000"/>
          <w:spacing w:val="0"/>
          <w:w w:val="100"/>
          <w:position w:val="0"/>
        </w:rPr>
        <w:t>25MVA</w:t>
      </w:r>
      <w:r>
        <w:rPr>
          <w:color w:val="000000"/>
          <w:spacing w:val="0"/>
          <w:w w:val="100"/>
          <w:position w:val="0"/>
        </w:rPr>
        <w:t>大功率变频系统后，</w:t>
      </w:r>
      <w:r>
        <w:rPr>
          <w:rFonts w:ascii="Times New Roman" w:eastAsia="Times New Roman" w:hAnsi="Times New Roman" w:cs="Times New Roman"/>
          <w:color w:val="000000"/>
          <w:spacing w:val="0"/>
          <w:w w:val="100"/>
          <w:position w:val="0"/>
        </w:rPr>
        <w:t>2013</w:t>
      </w:r>
      <w:r>
        <w:rPr>
          <w:color w:val="000000"/>
          <w:spacing w:val="0"/>
          <w:w w:val="100"/>
          <w:position w:val="0"/>
        </w:rPr>
        <w:t>年，公司又成功签订中石油 西气东输三线工程</w:t>
      </w:r>
      <w:r>
        <w:rPr>
          <w:rFonts w:ascii="Times New Roman" w:eastAsia="Times New Roman" w:hAnsi="Times New Roman" w:cs="Times New Roman"/>
          <w:color w:val="000000"/>
          <w:spacing w:val="0"/>
          <w:w w:val="100"/>
          <w:position w:val="0"/>
        </w:rPr>
        <w:t>6</w:t>
      </w:r>
      <w:r>
        <w:rPr>
          <w:color w:val="000000"/>
          <w:spacing w:val="0"/>
          <w:w w:val="100"/>
          <w:position w:val="0"/>
        </w:rPr>
        <w:t>套</w:t>
      </w:r>
      <w:r>
        <w:rPr>
          <w:rFonts w:ascii="Times New Roman" w:eastAsia="Times New Roman" w:hAnsi="Times New Roman" w:cs="Times New Roman"/>
          <w:color w:val="000000"/>
          <w:spacing w:val="0"/>
          <w:w w:val="100"/>
          <w:position w:val="0"/>
        </w:rPr>
        <w:t>25MVA</w:t>
      </w:r>
      <w:r>
        <w:rPr>
          <w:color w:val="000000"/>
          <w:spacing w:val="0"/>
          <w:w w:val="100"/>
          <w:position w:val="0"/>
        </w:rPr>
        <w:t>大功率变频系统国产化合同。</w:t>
      </w:r>
    </w:p>
    <w:p>
      <w:pPr>
        <w:pStyle w:val="Style16"/>
        <w:keepNext w:val="0"/>
        <w:keepLines w:val="0"/>
        <w:widowControl w:val="0"/>
        <w:shd w:val="clear" w:color="auto" w:fill="auto"/>
        <w:tabs>
          <w:tab w:pos="1179" w:val="left"/>
        </w:tabs>
        <w:bidi w:val="0"/>
        <w:spacing w:before="0" w:after="0" w:line="470" w:lineRule="exact"/>
        <w:ind w:left="0" w:right="0" w:firstLine="500"/>
        <w:jc w:val="both"/>
      </w:pPr>
      <w:bookmarkStart w:id="65" w:name="bookmark65"/>
      <w:r>
        <w:rPr>
          <w:color w:val="000000"/>
          <w:spacing w:val="0"/>
          <w:w w:val="100"/>
          <w:position w:val="0"/>
        </w:rPr>
        <w:t>（</w:t>
      </w:r>
      <w:bookmarkEnd w:id="65"/>
      <w:r>
        <w:rPr>
          <w:color w:val="000000"/>
          <w:spacing w:val="0"/>
          <w:w w:val="100"/>
          <w:position w:val="0"/>
        </w:rPr>
        <w:t>四）</w:t>
        <w:tab/>
        <w:t>应用荣信公司光伏逆变器、</w:t>
      </w:r>
      <w:r>
        <w:rPr>
          <w:rFonts w:ascii="Times New Roman" w:eastAsia="Times New Roman" w:hAnsi="Times New Roman" w:cs="Times New Roman"/>
          <w:color w:val="000000"/>
          <w:spacing w:val="0"/>
          <w:w w:val="100"/>
          <w:position w:val="0"/>
        </w:rPr>
        <w:t>SVG</w:t>
      </w:r>
      <w:r>
        <w:rPr>
          <w:color w:val="000000"/>
          <w:spacing w:val="0"/>
          <w:w w:val="100"/>
          <w:position w:val="0"/>
        </w:rPr>
        <w:t>的哈密荣信新能源有限公司石城子</w:t>
      </w:r>
      <w:r>
        <w:rPr>
          <w:rFonts w:ascii="Times New Roman" w:eastAsia="Times New Roman" w:hAnsi="Times New Roman" w:cs="Times New Roman"/>
          <w:color w:val="000000"/>
          <w:spacing w:val="0"/>
          <w:w w:val="100"/>
          <w:position w:val="0"/>
        </w:rPr>
        <w:t>40MWA</w:t>
      </w:r>
      <w:r>
        <w:rPr>
          <w:color w:val="000000"/>
          <w:spacing w:val="0"/>
          <w:w w:val="100"/>
          <w:position w:val="0"/>
        </w:rPr>
        <w:t>光伏发电项目实现 并网发电，这标志着公司正式进入光伏电站建设领域。</w:t>
      </w:r>
    </w:p>
    <w:p>
      <w:pPr>
        <w:pStyle w:val="Style16"/>
        <w:keepNext w:val="0"/>
        <w:keepLines w:val="0"/>
        <w:widowControl w:val="0"/>
        <w:shd w:val="clear" w:color="auto" w:fill="auto"/>
        <w:tabs>
          <w:tab w:pos="1189" w:val="left"/>
        </w:tabs>
        <w:bidi w:val="0"/>
        <w:spacing w:before="0" w:after="0" w:line="470" w:lineRule="exact"/>
        <w:ind w:left="0" w:right="0" w:firstLine="500"/>
        <w:jc w:val="both"/>
      </w:pPr>
      <w:bookmarkStart w:id="66" w:name="bookmark66"/>
      <w:r>
        <w:rPr>
          <w:color w:val="000000"/>
          <w:spacing w:val="0"/>
          <w:w w:val="100"/>
          <w:position w:val="0"/>
        </w:rPr>
        <w:t>（</w:t>
      </w:r>
      <w:bookmarkEnd w:id="66"/>
      <w:r>
        <w:rPr>
          <w:color w:val="000000"/>
          <w:spacing w:val="0"/>
          <w:w w:val="100"/>
          <w:position w:val="0"/>
        </w:rPr>
        <w:t>五）</w:t>
        <w:tab/>
      </w:r>
      <w:r>
        <w:rPr>
          <w:rFonts w:ascii="Times New Roman" w:eastAsia="Times New Roman" w:hAnsi="Times New Roman" w:cs="Times New Roman"/>
          <w:color w:val="000000"/>
          <w:spacing w:val="0"/>
          <w:w w:val="100"/>
          <w:position w:val="0"/>
        </w:rPr>
        <w:t>2013</w:t>
      </w:r>
      <w:r>
        <w:rPr>
          <w:color w:val="000000"/>
          <w:spacing w:val="0"/>
          <w:w w:val="100"/>
          <w:position w:val="0"/>
        </w:rPr>
        <w:t>年，公司承建的国内容量最大</w:t>
      </w:r>
      <w:r>
        <w:rPr>
          <w:color w:val="000000"/>
          <w:spacing w:val="0"/>
          <w:w w:val="100"/>
          <w:position w:val="0"/>
        </w:rPr>
        <w:t>（</w:t>
      </w:r>
      <w:r>
        <w:rPr>
          <w:rFonts w:ascii="Times New Roman" w:eastAsia="Times New Roman" w:hAnsi="Times New Roman" w:cs="Times New Roman"/>
          <w:color w:val="000000"/>
          <w:spacing w:val="0"/>
          <w:w w:val="100"/>
          <w:position w:val="0"/>
        </w:rPr>
        <w:t>5MW</w:t>
      </w:r>
      <w:r>
        <w:rPr>
          <w:color w:val="000000"/>
          <w:spacing w:val="0"/>
          <w:w w:val="100"/>
          <w:position w:val="0"/>
        </w:rPr>
        <w:t>）</w:t>
      </w:r>
      <w:r>
        <w:rPr>
          <w:color w:val="000000"/>
          <w:spacing w:val="0"/>
          <w:w w:val="100"/>
          <w:position w:val="0"/>
        </w:rPr>
        <w:t>、技术最先进的储能系统在龙源电力法库风电场 成功投运。</w:t>
      </w:r>
    </w:p>
    <w:p>
      <w:pPr>
        <w:pStyle w:val="Style16"/>
        <w:keepNext w:val="0"/>
        <w:keepLines w:val="0"/>
        <w:widowControl w:val="0"/>
        <w:shd w:val="clear" w:color="auto" w:fill="auto"/>
        <w:bidi w:val="0"/>
        <w:spacing w:before="0" w:after="100" w:line="470" w:lineRule="exact"/>
        <w:ind w:left="0" w:right="0" w:firstLine="500"/>
        <w:jc w:val="both"/>
      </w:pPr>
      <w:r>
        <w:rPr>
          <w:color w:val="000000"/>
          <w:spacing w:val="0"/>
          <w:w w:val="100"/>
          <w:position w:val="0"/>
        </w:rPr>
        <w:t>在经济低迷的大背景下，在电力电子行业群英并起的环境里，我们继续保有市场第一的份额，我们继 续拥有最丰富的产品线，我们越来越看清我们的短板、越来越懂得互相协作的重要，我们明确了以客户为 中心的方向，坚持以奋斗者为本，以我们现在的基础，只要我们坚持不懈下去，我们坚信一定能够走出低 迷。</w:t>
      </w:r>
    </w:p>
    <w:p>
      <w:pPr>
        <w:pStyle w:val="Style25"/>
        <w:keepNext/>
        <w:keepLines/>
        <w:widowControl w:val="0"/>
        <w:shd w:val="clear" w:color="auto" w:fill="auto"/>
        <w:bidi w:val="0"/>
        <w:spacing w:before="0" w:after="12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sz w:val="24"/>
          <w:szCs w:val="24"/>
        </w:rPr>
        <w:t>二</w:t>
      </w:r>
      <w:bookmarkEnd w:id="69"/>
      <w:r>
        <w:rPr>
          <w:color w:val="000000"/>
          <w:spacing w:val="0"/>
          <w:w w:val="100"/>
          <w:position w:val="0"/>
          <w:sz w:val="24"/>
          <w:szCs w:val="24"/>
        </w:rPr>
        <w:t>、主营业务分析</w:t>
      </w:r>
      <w:bookmarkEnd w:id="67"/>
      <w:bookmarkEnd w:id="68"/>
      <w:bookmarkEnd w:id="70"/>
    </w:p>
    <w:p>
      <w:pPr>
        <w:pStyle w:val="Style34"/>
        <w:keepNext/>
        <w:keepLines/>
        <w:widowControl w:val="0"/>
        <w:shd w:val="clear" w:color="auto" w:fill="auto"/>
        <w:bidi w:val="0"/>
        <w:spacing w:before="0" w:after="180" w:line="474" w:lineRule="exact"/>
        <w:ind w:left="0" w:right="0" w:firstLine="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、概述</w:t>
      </w:r>
      <w:bookmarkEnd w:id="71"/>
      <w:bookmarkEnd w:id="72"/>
      <w:bookmarkEnd w:id="74"/>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本公司及控股子公司主要从事节能大功率电力电子设备的设计和制造业务，产品包括：</w:t>
      </w:r>
    </w:p>
    <w:p>
      <w:pPr>
        <w:pStyle w:val="Style16"/>
        <w:keepNext w:val="0"/>
        <w:keepLines w:val="0"/>
        <w:widowControl w:val="0"/>
        <w:shd w:val="clear" w:color="auto" w:fill="auto"/>
        <w:bidi w:val="0"/>
        <w:spacing w:before="0" w:after="0" w:line="473" w:lineRule="exact"/>
        <w:ind w:left="0" w:right="0" w:firstLine="500"/>
        <w:jc w:val="both"/>
      </w:pPr>
      <w:r>
        <w:rPr>
          <w:b/>
          <w:bCs/>
          <w:color w:val="000000"/>
          <w:spacing w:val="0"/>
          <w:w w:val="100"/>
          <w:position w:val="0"/>
        </w:rPr>
        <w:t>电能质量与电力安全：</w:t>
      </w:r>
      <w:r>
        <w:rPr>
          <w:color w:val="000000"/>
          <w:spacing w:val="0"/>
          <w:w w:val="100"/>
          <w:position w:val="0"/>
        </w:rPr>
        <w:t>高压动态无功补偿装置</w:t>
      </w:r>
      <w:r>
        <w:rPr>
          <w:color w:val="000000"/>
          <w:spacing w:val="0"/>
          <w:w w:val="100"/>
          <w:position w:val="0"/>
        </w:rPr>
        <w:t>（</w:t>
      </w:r>
      <w:r>
        <w:rPr>
          <w:rFonts w:ascii="Times New Roman" w:eastAsia="Times New Roman" w:hAnsi="Times New Roman" w:cs="Times New Roman"/>
          <w:color w:val="000000"/>
          <w:spacing w:val="0"/>
          <w:w w:val="100"/>
          <w:position w:val="0"/>
        </w:rPr>
        <w:t>SVC</w:t>
      </w:r>
      <w:r>
        <w:rPr>
          <w:color w:val="000000"/>
          <w:spacing w:val="0"/>
          <w:w w:val="100"/>
          <w:position w:val="0"/>
        </w:rPr>
        <w:t>）</w:t>
      </w:r>
      <w:r>
        <w:rPr>
          <w:color w:val="000000"/>
          <w:spacing w:val="0"/>
          <w:w w:val="100"/>
          <w:position w:val="0"/>
        </w:rPr>
        <w:t>、高压静止无功发生器</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w:t>
      </w:r>
      <w:r>
        <w:rPr>
          <w:color w:val="000000"/>
          <w:spacing w:val="0"/>
          <w:w w:val="100"/>
          <w:position w:val="0"/>
        </w:rPr>
        <w:t>、串补</w:t>
      </w:r>
      <w:r>
        <w:rPr>
          <w:rFonts w:ascii="Times New Roman" w:eastAsia="Times New Roman" w:hAnsi="Times New Roman" w:cs="Times New Roman"/>
          <w:color w:val="000000"/>
          <w:spacing w:val="0"/>
          <w:w w:val="100"/>
          <w:position w:val="0"/>
        </w:rPr>
        <w:t>（FSC）</w:t>
      </w:r>
      <w:r>
        <w:rPr>
          <w:color w:val="000000"/>
          <w:spacing w:val="0"/>
          <w:w w:val="100"/>
          <w:position w:val="0"/>
        </w:rPr>
        <w:t xml:space="preserve">、 </w:t>
      </w:r>
      <w:r>
        <w:rPr>
          <w:color w:val="000000"/>
          <w:spacing w:val="0"/>
          <w:w w:val="100"/>
          <w:position w:val="0"/>
        </w:rPr>
        <w:t>电力滤波装置</w:t>
      </w:r>
      <w:r>
        <w:rPr>
          <w:color w:val="000000"/>
          <w:spacing w:val="0"/>
          <w:w w:val="100"/>
          <w:position w:val="0"/>
        </w:rPr>
        <w:t>（</w:t>
      </w:r>
      <w:r>
        <w:rPr>
          <w:rFonts w:ascii="Times New Roman" w:eastAsia="Times New Roman" w:hAnsi="Times New Roman" w:cs="Times New Roman"/>
          <w:color w:val="000000"/>
          <w:spacing w:val="0"/>
          <w:w w:val="100"/>
          <w:position w:val="0"/>
        </w:rPr>
        <w:t>FC</w:t>
      </w:r>
      <w:r>
        <w:rPr>
          <w:color w:val="000000"/>
          <w:spacing w:val="0"/>
          <w:w w:val="100"/>
          <w:position w:val="0"/>
        </w:rPr>
        <w:t>）</w:t>
      </w:r>
      <w:r>
        <w:rPr>
          <w:color w:val="000000"/>
          <w:spacing w:val="0"/>
          <w:w w:val="100"/>
          <w:position w:val="0"/>
        </w:rPr>
        <w:t>、有源滤波装置（</w:t>
      </w:r>
      <w:r>
        <w:rPr>
          <w:rFonts w:ascii="Times New Roman" w:eastAsia="Times New Roman" w:hAnsi="Times New Roman" w:cs="Times New Roman"/>
          <w:color w:val="000000"/>
          <w:spacing w:val="0"/>
          <w:w w:val="100"/>
          <w:position w:val="0"/>
        </w:rPr>
        <w:t>APF</w:t>
      </w:r>
      <w:r>
        <w:rPr>
          <w:color w:val="000000"/>
          <w:spacing w:val="0"/>
          <w:w w:val="100"/>
          <w:position w:val="0"/>
        </w:rPr>
        <w:t>）、</w:t>
      </w:r>
      <w:r>
        <w:rPr>
          <w:color w:val="000000"/>
          <w:spacing w:val="0"/>
          <w:w w:val="100"/>
          <w:position w:val="0"/>
        </w:rPr>
        <w:t>高压固态开关</w:t>
      </w:r>
      <w:r>
        <w:rPr>
          <w:color w:val="000000"/>
          <w:spacing w:val="0"/>
          <w:w w:val="100"/>
          <w:position w:val="0"/>
        </w:rPr>
        <w:t>（</w:t>
      </w:r>
      <w:r>
        <w:rPr>
          <w:rFonts w:ascii="Times New Roman" w:eastAsia="Times New Roman" w:hAnsi="Times New Roman" w:cs="Times New Roman"/>
          <w:color w:val="000000"/>
          <w:spacing w:val="0"/>
          <w:w w:val="100"/>
          <w:position w:val="0"/>
        </w:rPr>
        <w:t>FCL</w:t>
      </w:r>
      <w:r>
        <w:rPr>
          <w:color w:val="000000"/>
          <w:spacing w:val="0"/>
          <w:w w:val="100"/>
          <w:position w:val="0"/>
        </w:rPr>
        <w:t>）</w:t>
      </w:r>
      <w:r>
        <w:rPr>
          <w:color w:val="000000"/>
          <w:spacing w:val="0"/>
          <w:w w:val="100"/>
          <w:position w:val="0"/>
        </w:rPr>
        <w:t>、电抗器（</w:t>
      </w:r>
      <w:r>
        <w:rPr>
          <w:rFonts w:ascii="Times New Roman" w:eastAsia="Times New Roman" w:hAnsi="Times New Roman" w:cs="Times New Roman"/>
          <w:color w:val="000000"/>
          <w:spacing w:val="0"/>
          <w:w w:val="100"/>
          <w:position w:val="0"/>
        </w:rPr>
        <w:t>HCR</w:t>
      </w:r>
      <w:r>
        <w:rPr>
          <w:color w:val="000000"/>
          <w:spacing w:val="0"/>
          <w:w w:val="100"/>
          <w:position w:val="0"/>
        </w:rPr>
        <w:t>）。</w:t>
      </w:r>
    </w:p>
    <w:p>
      <w:pPr>
        <w:pStyle w:val="Style16"/>
        <w:keepNext w:val="0"/>
        <w:keepLines w:val="0"/>
        <w:widowControl w:val="0"/>
        <w:shd w:val="clear" w:color="auto" w:fill="auto"/>
        <w:bidi w:val="0"/>
        <w:spacing w:before="0" w:after="0" w:line="473" w:lineRule="exact"/>
        <w:ind w:left="0" w:right="0" w:firstLine="500"/>
        <w:jc w:val="both"/>
      </w:pPr>
      <w:r>
        <w:rPr>
          <w:b/>
          <w:bCs/>
          <w:color w:val="000000"/>
          <w:spacing w:val="0"/>
          <w:w w:val="100"/>
          <w:position w:val="0"/>
        </w:rPr>
        <w:t>变频传动与新能源控制系统：</w:t>
      </w:r>
      <w:r>
        <w:rPr>
          <w:color w:val="000000"/>
          <w:spacing w:val="0"/>
          <w:w w:val="100"/>
          <w:position w:val="0"/>
        </w:rPr>
        <w:t>高压变频装置</w:t>
      </w:r>
      <w:r>
        <w:rPr>
          <w:color w:val="000000"/>
          <w:spacing w:val="0"/>
          <w:w w:val="100"/>
          <w:position w:val="0"/>
        </w:rPr>
        <w:t>（</w:t>
      </w:r>
      <w:r>
        <w:rPr>
          <w:rFonts w:ascii="Times New Roman" w:eastAsia="Times New Roman" w:hAnsi="Times New Roman" w:cs="Times New Roman"/>
          <w:color w:val="000000"/>
          <w:spacing w:val="0"/>
          <w:w w:val="100"/>
          <w:position w:val="0"/>
        </w:rPr>
        <w:t>HVC</w:t>
      </w:r>
      <w:r>
        <w:rPr>
          <w:color w:val="000000"/>
          <w:spacing w:val="0"/>
          <w:w w:val="100"/>
          <w:position w:val="0"/>
        </w:rPr>
        <w:t>）、</w:t>
      </w:r>
      <w:r>
        <w:rPr>
          <w:color w:val="000000"/>
          <w:spacing w:val="0"/>
          <w:w w:val="100"/>
          <w:position w:val="0"/>
        </w:rPr>
        <w:t>高压软启动装置</w:t>
      </w:r>
      <w:r>
        <w:rPr>
          <w:color w:val="000000"/>
          <w:spacing w:val="0"/>
          <w:w w:val="100"/>
          <w:position w:val="0"/>
        </w:rPr>
        <w:t>（</w:t>
      </w:r>
      <w:r>
        <w:rPr>
          <w:rFonts w:ascii="Times New Roman" w:eastAsia="Times New Roman" w:hAnsi="Times New Roman" w:cs="Times New Roman"/>
          <w:color w:val="000000"/>
          <w:spacing w:val="0"/>
          <w:w w:val="100"/>
          <w:position w:val="0"/>
        </w:rPr>
        <w:t>VFS</w:t>
      </w:r>
      <w:r>
        <w:rPr>
          <w:color w:val="000000"/>
          <w:spacing w:val="0"/>
          <w:w w:val="100"/>
          <w:position w:val="0"/>
        </w:rPr>
        <w:t>）、</w:t>
      </w:r>
      <w:r>
        <w:rPr>
          <w:color w:val="000000"/>
          <w:spacing w:val="0"/>
          <w:w w:val="100"/>
          <w:position w:val="0"/>
        </w:rPr>
        <w:t xml:space="preserve">智能瓦斯排放装置 </w:t>
      </w:r>
      <w:r>
        <w:rPr>
          <w:color w:val="000000"/>
          <w:spacing w:val="0"/>
          <w:w w:val="100"/>
          <w:position w:val="0"/>
        </w:rPr>
        <w:t>（</w:t>
      </w:r>
      <w:r>
        <w:rPr>
          <w:rFonts w:ascii="Times New Roman" w:eastAsia="Times New Roman" w:hAnsi="Times New Roman" w:cs="Times New Roman"/>
          <w:color w:val="000000"/>
          <w:spacing w:val="0"/>
          <w:w w:val="100"/>
          <w:position w:val="0"/>
        </w:rPr>
        <w:t>MABZ</w:t>
      </w:r>
      <w:r>
        <w:rPr>
          <w:color w:val="000000"/>
          <w:spacing w:val="0"/>
          <w:w w:val="100"/>
          <w:position w:val="0"/>
        </w:rPr>
        <w:t>）</w:t>
      </w:r>
      <w:r>
        <w:rPr>
          <w:color w:val="000000"/>
          <w:spacing w:val="0"/>
          <w:w w:val="100"/>
          <w:position w:val="0"/>
        </w:rPr>
        <w:t>、轻型直流输电系统（</w:t>
      </w:r>
      <w:r>
        <w:rPr>
          <w:rFonts w:ascii="Times New Roman" w:eastAsia="Times New Roman" w:hAnsi="Times New Roman" w:cs="Times New Roman"/>
          <w:color w:val="000000"/>
          <w:spacing w:val="0"/>
          <w:w w:val="100"/>
          <w:position w:val="0"/>
        </w:rPr>
        <w:t>HVDC</w:t>
      </w:r>
      <w:r>
        <w:rPr>
          <w:color w:val="000000"/>
          <w:spacing w:val="0"/>
          <w:w w:val="100"/>
          <w:position w:val="0"/>
        </w:rPr>
        <w:t>）</w:t>
      </w:r>
      <w:r>
        <w:rPr>
          <w:color w:val="000000"/>
          <w:spacing w:val="0"/>
          <w:w w:val="100"/>
          <w:position w:val="0"/>
        </w:rPr>
        <w:t>、整流器</w:t>
      </w:r>
      <w:r>
        <w:rPr>
          <w:color w:val="000000"/>
          <w:spacing w:val="0"/>
          <w:w w:val="100"/>
          <w:position w:val="0"/>
        </w:rPr>
        <w:t>（</w:t>
      </w:r>
      <w:r>
        <w:rPr>
          <w:rFonts w:ascii="Times New Roman" w:eastAsia="Times New Roman" w:hAnsi="Times New Roman" w:cs="Times New Roman"/>
          <w:color w:val="000000"/>
          <w:spacing w:val="0"/>
          <w:w w:val="100"/>
          <w:position w:val="0"/>
        </w:rPr>
        <w:t>HPR</w:t>
      </w:r>
      <w:r>
        <w:rPr>
          <w:color w:val="000000"/>
          <w:spacing w:val="0"/>
          <w:w w:val="100"/>
          <w:position w:val="0"/>
        </w:rPr>
        <w:t>）、</w:t>
      </w:r>
      <w:r>
        <w:rPr>
          <w:color w:val="000000"/>
          <w:spacing w:val="0"/>
          <w:w w:val="100"/>
          <w:position w:val="0"/>
        </w:rPr>
        <w:t>新能源控制装置及矿井传动和自动化控制 设备。</w:t>
      </w:r>
    </w:p>
    <w:p>
      <w:pPr>
        <w:pStyle w:val="Style16"/>
        <w:keepNext w:val="0"/>
        <w:keepLines w:val="0"/>
        <w:widowControl w:val="0"/>
        <w:shd w:val="clear" w:color="auto" w:fill="auto"/>
        <w:bidi w:val="0"/>
        <w:spacing w:before="0" w:after="0" w:line="473" w:lineRule="exact"/>
        <w:ind w:left="0" w:right="0" w:firstLine="440"/>
        <w:jc w:val="left"/>
      </w:pPr>
      <w:r>
        <w:rPr>
          <w:b/>
          <w:bCs/>
          <w:color w:val="000000"/>
          <w:spacing w:val="0"/>
          <w:w w:val="100"/>
          <w:position w:val="0"/>
        </w:rPr>
        <w:t>余热余压节能发电系统：</w:t>
      </w:r>
      <w:r>
        <w:rPr>
          <w:color w:val="000000"/>
          <w:spacing w:val="0"/>
          <w:w w:val="100"/>
          <w:position w:val="0"/>
        </w:rPr>
        <w:t>高炉炉顶余压发电节能系统（</w:t>
      </w:r>
      <w:r>
        <w:rPr>
          <w:rFonts w:ascii="Times New Roman" w:eastAsia="Times New Roman" w:hAnsi="Times New Roman" w:cs="Times New Roman"/>
          <w:color w:val="000000"/>
          <w:spacing w:val="0"/>
          <w:w w:val="100"/>
          <w:position w:val="0"/>
        </w:rPr>
        <w:t>TRT</w:t>
      </w:r>
      <w:r>
        <w:rPr>
          <w:color w:val="000000"/>
          <w:spacing w:val="0"/>
          <w:w w:val="100"/>
          <w:position w:val="0"/>
        </w:rPr>
        <w:t>）</w:t>
      </w:r>
      <w:r>
        <w:rPr>
          <w:color w:val="000000"/>
          <w:spacing w:val="0"/>
          <w:w w:val="100"/>
          <w:position w:val="0"/>
        </w:rPr>
        <w:t>、余热节能发电系统等。</w:t>
      </w:r>
    </w:p>
    <w:p>
      <w:pPr>
        <w:pStyle w:val="Style16"/>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149,753.09</w:t>
      </w:r>
      <w:r>
        <w:rPr>
          <w:color w:val="000000"/>
          <w:spacing w:val="0"/>
          <w:w w:val="100"/>
          <w:position w:val="0"/>
        </w:rPr>
        <w:t>万元，实现营业利润</w:t>
      </w:r>
      <w:r>
        <w:rPr>
          <w:rFonts w:ascii="Times New Roman" w:eastAsia="Times New Roman" w:hAnsi="Times New Roman" w:cs="Times New Roman"/>
          <w:color w:val="000000"/>
          <w:spacing w:val="0"/>
          <w:w w:val="100"/>
          <w:position w:val="0"/>
        </w:rPr>
        <w:t>3,098.6</w:t>
      </w:r>
      <w:r>
        <w:rPr>
          <w:rFonts w:ascii="Times New Roman" w:eastAsia="Times New Roman" w:hAnsi="Times New Roman" w:cs="Times New Roman"/>
          <w:color w:val="000000"/>
          <w:spacing w:val="0"/>
          <w:w w:val="100"/>
          <w:position w:val="0"/>
        </w:rPr>
        <w:t>0</w:t>
      </w:r>
      <w:r>
        <w:rPr>
          <w:color w:val="000000"/>
          <w:spacing w:val="0"/>
          <w:w w:val="100"/>
          <w:position w:val="0"/>
        </w:rPr>
        <w:t>万元，实现净利润</w:t>
      </w:r>
      <w:r>
        <w:rPr>
          <w:rFonts w:ascii="Times New Roman" w:eastAsia="Times New Roman" w:hAnsi="Times New Roman" w:cs="Times New Roman"/>
          <w:color w:val="000000"/>
          <w:spacing w:val="0"/>
          <w:w w:val="100"/>
          <w:position w:val="0"/>
        </w:rPr>
        <w:t>7,584.35</w:t>
      </w:r>
      <w:r>
        <w:rPr>
          <w:color w:val="000000"/>
          <w:spacing w:val="0"/>
          <w:w w:val="100"/>
          <w:position w:val="0"/>
        </w:rPr>
        <w:t>万元, 经营活动产生的现金流量净额为</w:t>
      </w:r>
      <w:r>
        <w:rPr>
          <w:rFonts w:ascii="Times New Roman" w:eastAsia="Times New Roman" w:hAnsi="Times New Roman" w:cs="Times New Roman"/>
          <w:color w:val="000000"/>
          <w:spacing w:val="0"/>
          <w:w w:val="100"/>
          <w:position w:val="0"/>
        </w:rPr>
        <w:t>-16,036.83</w:t>
      </w:r>
      <w:r>
        <w:rPr>
          <w:color w:val="000000"/>
          <w:spacing w:val="0"/>
          <w:w w:val="100"/>
          <w:position w:val="0"/>
        </w:rPr>
        <w:t>万元。</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报告期，公司销售收入同比增长</w:t>
      </w:r>
      <w:r>
        <w:rPr>
          <w:rFonts w:ascii="Times New Roman" w:eastAsia="Times New Roman" w:hAnsi="Times New Roman" w:cs="Times New Roman"/>
          <w:color w:val="000000"/>
          <w:spacing w:val="0"/>
          <w:w w:val="100"/>
          <w:position w:val="0"/>
        </w:rPr>
        <w:t>16.35%</w:t>
      </w:r>
      <w:r>
        <w:rPr>
          <w:color w:val="000000"/>
          <w:spacing w:val="0"/>
          <w:w w:val="100"/>
          <w:position w:val="0"/>
        </w:rPr>
        <w:t>,主要是由于</w:t>
      </w:r>
      <w:r>
        <w:rPr>
          <w:rFonts w:ascii="Times New Roman" w:eastAsia="Times New Roman" w:hAnsi="Times New Roman" w:cs="Times New Roman"/>
          <w:color w:val="000000"/>
          <w:spacing w:val="0"/>
          <w:w w:val="100"/>
          <w:position w:val="0"/>
        </w:rPr>
        <w:t>2012</w:t>
      </w:r>
      <w:r>
        <w:rPr>
          <w:color w:val="000000"/>
          <w:spacing w:val="0"/>
          <w:w w:val="100"/>
          <w:position w:val="0"/>
        </w:rPr>
        <w:t>年结转到</w:t>
      </w:r>
      <w:r>
        <w:rPr>
          <w:rFonts w:ascii="Times New Roman" w:eastAsia="Times New Roman" w:hAnsi="Times New Roman" w:cs="Times New Roman"/>
          <w:color w:val="000000"/>
          <w:spacing w:val="0"/>
          <w:w w:val="100"/>
          <w:position w:val="0"/>
        </w:rPr>
        <w:t>2013</w:t>
      </w:r>
      <w:r>
        <w:rPr>
          <w:color w:val="000000"/>
          <w:spacing w:val="0"/>
          <w:w w:val="100"/>
          <w:position w:val="0"/>
        </w:rPr>
        <w:t>年的未执行合同同比增长所 致。</w:t>
      </w:r>
    </w:p>
    <w:p>
      <w:pPr>
        <w:pStyle w:val="Style16"/>
        <w:keepNext w:val="0"/>
        <w:keepLines w:val="0"/>
        <w:widowControl w:val="0"/>
        <w:shd w:val="clear" w:color="auto" w:fill="auto"/>
        <w:bidi w:val="0"/>
        <w:spacing w:before="0" w:after="0" w:line="480" w:lineRule="exact"/>
        <w:ind w:left="0" w:right="0" w:firstLine="500"/>
        <w:jc w:val="both"/>
      </w:pPr>
      <w:r>
        <w:rPr>
          <w:color w:val="000000"/>
          <w:spacing w:val="0"/>
          <w:w w:val="100"/>
          <w:position w:val="0"/>
        </w:rPr>
        <w:t>报告期，营业利润和归属于上市公司股东的净利润同比下降，主要是由于产品毛利下降，且期间费 用较高的原因。</w:t>
      </w:r>
    </w:p>
    <w:p>
      <w:pPr>
        <w:pStyle w:val="Style16"/>
        <w:keepNext w:val="0"/>
        <w:keepLines w:val="0"/>
        <w:widowControl w:val="0"/>
        <w:shd w:val="clear" w:color="auto" w:fill="auto"/>
        <w:bidi w:val="0"/>
        <w:spacing w:before="0" w:after="0" w:line="480" w:lineRule="exact"/>
        <w:ind w:left="0" w:right="0" w:firstLine="500"/>
        <w:jc w:val="both"/>
      </w:pPr>
      <w:r>
        <w:rPr>
          <w:color w:val="000000"/>
          <w:spacing w:val="0"/>
          <w:w w:val="100"/>
          <w:position w:val="0"/>
        </w:rPr>
        <w:t>报告期，公司综合毛利同比下降</w:t>
      </w:r>
      <w:r>
        <w:rPr>
          <w:rFonts w:ascii="Times New Roman" w:eastAsia="Times New Roman" w:hAnsi="Times New Roman" w:cs="Times New Roman"/>
          <w:color w:val="000000"/>
          <w:spacing w:val="0"/>
          <w:w w:val="100"/>
          <w:position w:val="0"/>
        </w:rPr>
        <w:t>8.32%</w:t>
      </w:r>
      <w:r>
        <w:rPr>
          <w:color w:val="000000"/>
          <w:spacing w:val="0"/>
          <w:w w:val="100"/>
          <w:position w:val="0"/>
        </w:rPr>
        <w:t>，主要是由于行业竞争加剧，产品价格下降的原因。另外，报 告期毛利水平较低的余热余压发电产品收入同比增长较多也是摊薄毛利的一个主要因素。</w:t>
      </w:r>
    </w:p>
    <w:p>
      <w:pPr>
        <w:pStyle w:val="Style16"/>
        <w:keepNext w:val="0"/>
        <w:keepLines w:val="0"/>
        <w:widowControl w:val="0"/>
        <w:shd w:val="clear" w:color="auto" w:fill="auto"/>
        <w:bidi w:val="0"/>
        <w:spacing w:before="0" w:after="0" w:line="475" w:lineRule="exact"/>
        <w:ind w:left="0" w:right="0" w:firstLine="500"/>
        <w:jc w:val="both"/>
      </w:pPr>
      <w:r>
        <w:rPr>
          <w:color w:val="000000"/>
          <w:spacing w:val="0"/>
          <w:w w:val="100"/>
          <w:position w:val="0"/>
        </w:rPr>
        <w:t>报告期，公司期间费用较高，其中：管理费用同比增长</w:t>
      </w:r>
      <w:r>
        <w:rPr>
          <w:rFonts w:ascii="Times New Roman" w:eastAsia="Times New Roman" w:hAnsi="Times New Roman" w:cs="Times New Roman"/>
          <w:color w:val="000000"/>
          <w:spacing w:val="0"/>
          <w:w w:val="100"/>
          <w:position w:val="0"/>
        </w:rPr>
        <w:t>25.22%</w:t>
      </w:r>
      <w:r>
        <w:rPr>
          <w:color w:val="000000"/>
          <w:spacing w:val="0"/>
          <w:w w:val="100"/>
          <w:position w:val="0"/>
        </w:rPr>
        <w:t>,主要是公司子公司较多，体量增加较 快，管理成本增加；财务费用同比增加</w:t>
      </w:r>
      <w:r>
        <w:rPr>
          <w:rFonts w:ascii="Times New Roman" w:eastAsia="Times New Roman" w:hAnsi="Times New Roman" w:cs="Times New Roman"/>
          <w:color w:val="000000"/>
          <w:spacing w:val="0"/>
          <w:w w:val="100"/>
          <w:position w:val="0"/>
        </w:rPr>
        <w:t>18.60%</w:t>
      </w:r>
      <w:r>
        <w:rPr>
          <w:color w:val="000000"/>
          <w:spacing w:val="0"/>
          <w:w w:val="100"/>
          <w:position w:val="0"/>
        </w:rPr>
        <w:t>,主要是借款增加的原因；销售费用同比增长</w:t>
      </w:r>
      <w:r>
        <w:rPr>
          <w:rFonts w:ascii="Times New Roman" w:eastAsia="Times New Roman" w:hAnsi="Times New Roman" w:cs="Times New Roman"/>
          <w:color w:val="000000"/>
          <w:spacing w:val="0"/>
          <w:w w:val="100"/>
          <w:position w:val="0"/>
        </w:rPr>
        <w:t>32.28%</w:t>
      </w:r>
      <w:r>
        <w:rPr>
          <w:color w:val="000000"/>
          <w:spacing w:val="0"/>
          <w:w w:val="100"/>
          <w:position w:val="0"/>
        </w:rPr>
        <w:t>，主要 是行业竞争加剧，市场开拓费用增加所致。</w:t>
      </w:r>
    </w:p>
    <w:p>
      <w:pPr>
        <w:pStyle w:val="Style16"/>
        <w:keepNext w:val="0"/>
        <w:keepLines w:val="0"/>
        <w:widowControl w:val="0"/>
        <w:shd w:val="clear" w:color="auto" w:fill="auto"/>
        <w:bidi w:val="0"/>
        <w:spacing w:before="0" w:after="0" w:line="474" w:lineRule="exact"/>
        <w:ind w:left="0" w:right="0" w:firstLine="500"/>
        <w:jc w:val="both"/>
      </w:pPr>
      <w:r>
        <w:rPr>
          <w:color w:val="000000"/>
          <w:spacing w:val="0"/>
          <w:w w:val="100"/>
          <w:position w:val="0"/>
        </w:rPr>
        <w:t>报告期，公司处置可供出售金融资产，通过二级市场减持恒顺电气股票</w:t>
      </w:r>
      <w:r>
        <w:rPr>
          <w:rFonts w:ascii="Times New Roman" w:eastAsia="Times New Roman" w:hAnsi="Times New Roman" w:cs="Times New Roman"/>
          <w:color w:val="000000"/>
          <w:spacing w:val="0"/>
          <w:w w:val="100"/>
          <w:position w:val="0"/>
        </w:rPr>
        <w:t>3,000</w:t>
      </w:r>
      <w:r>
        <w:rPr>
          <w:color w:val="000000"/>
          <w:spacing w:val="0"/>
          <w:w w:val="100"/>
          <w:position w:val="0"/>
        </w:rPr>
        <w:t xml:space="preserve">万股，取得投资收益 </w:t>
      </w:r>
      <w:r>
        <w:rPr>
          <w:rFonts w:ascii="Times New Roman" w:eastAsia="Times New Roman" w:hAnsi="Times New Roman" w:cs="Times New Roman"/>
          <w:color w:val="000000"/>
          <w:spacing w:val="0"/>
          <w:w w:val="100"/>
          <w:position w:val="0"/>
        </w:rPr>
        <w:t>15,605.80</w:t>
      </w:r>
      <w:r>
        <w:rPr>
          <w:color w:val="000000"/>
          <w:spacing w:val="0"/>
          <w:w w:val="100"/>
          <w:position w:val="0"/>
        </w:rPr>
        <w:t>万元，投资收益同比大幅增长，对报告期利润贡献较大，报告期末，公司不再持有可供出售金融 资产。</w:t>
      </w:r>
    </w:p>
    <w:p>
      <w:pPr>
        <w:pStyle w:val="Style16"/>
        <w:keepNext w:val="0"/>
        <w:keepLines w:val="0"/>
        <w:widowControl w:val="0"/>
        <w:shd w:val="clear" w:color="auto" w:fill="auto"/>
        <w:bidi w:val="0"/>
        <w:spacing w:before="0" w:after="0" w:line="474" w:lineRule="exact"/>
        <w:ind w:left="0" w:right="0" w:firstLine="500"/>
        <w:jc w:val="both"/>
      </w:pPr>
      <w:r>
        <w:rPr>
          <w:color w:val="000000"/>
          <w:spacing w:val="0"/>
          <w:w w:val="100"/>
          <w:position w:val="0"/>
        </w:rPr>
        <w:t>报告期，经营活动产生的现金流量净额为</w:t>
      </w:r>
      <w:r>
        <w:rPr>
          <w:rFonts w:ascii="Times New Roman" w:eastAsia="Times New Roman" w:hAnsi="Times New Roman" w:cs="Times New Roman"/>
          <w:color w:val="000000"/>
          <w:spacing w:val="0"/>
          <w:w w:val="100"/>
          <w:position w:val="0"/>
        </w:rPr>
        <w:t>-16,036.83</w:t>
      </w:r>
      <w:r>
        <w:rPr>
          <w:color w:val="000000"/>
          <w:spacing w:val="0"/>
          <w:w w:val="100"/>
          <w:position w:val="0"/>
        </w:rPr>
        <w:t>万元，同比增加</w:t>
      </w:r>
      <w:r>
        <w:rPr>
          <w:rFonts w:ascii="Times New Roman" w:eastAsia="Times New Roman" w:hAnsi="Times New Roman" w:cs="Times New Roman"/>
          <w:color w:val="000000"/>
          <w:spacing w:val="0"/>
          <w:w w:val="100"/>
          <w:position w:val="0"/>
        </w:rPr>
        <w:t>9.07%</w:t>
      </w:r>
      <w:r>
        <w:rPr>
          <w:color w:val="000000"/>
          <w:spacing w:val="0"/>
          <w:w w:val="100"/>
          <w:position w:val="0"/>
        </w:rPr>
        <w:t>,公司经营性现金流有所改 观但仍面临较大压力，主要是公司下游客户受低迷经济的影响，付款周期较长，导致经营活动的现金流入 较慢造成。</w:t>
      </w:r>
    </w:p>
    <w:p>
      <w:pPr>
        <w:pStyle w:val="Style16"/>
        <w:keepNext w:val="0"/>
        <w:keepLines w:val="0"/>
        <w:widowControl w:val="0"/>
        <w:shd w:val="clear" w:color="auto" w:fill="auto"/>
        <w:bidi w:val="0"/>
        <w:spacing w:before="0" w:after="0" w:line="474" w:lineRule="exact"/>
        <w:ind w:left="0" w:right="0" w:firstLine="0"/>
        <w:jc w:val="left"/>
      </w:pPr>
      <w:r>
        <w:rPr>
          <w:color w:val="000000"/>
          <w:spacing w:val="0"/>
          <w:w w:val="100"/>
          <w:position w:val="0"/>
        </w:rPr>
        <w:t>公司回顾总结前期披露的发展战略和经营计划在报告期内的进展情况</w:t>
      </w:r>
    </w:p>
    <w:p>
      <w:pPr>
        <w:pStyle w:val="Style16"/>
        <w:keepNext w:val="0"/>
        <w:keepLines w:val="0"/>
        <w:widowControl w:val="0"/>
        <w:shd w:val="clear" w:color="auto" w:fill="auto"/>
        <w:bidi w:val="0"/>
        <w:spacing w:before="0" w:after="540" w:line="474" w:lineRule="exact"/>
        <w:ind w:left="0" w:right="0" w:firstLine="440"/>
        <w:jc w:val="both"/>
      </w:pPr>
      <w:r>
        <w:rPr>
          <w:color w:val="000000"/>
          <w:spacing w:val="0"/>
          <w:w w:val="100"/>
          <w:position w:val="0"/>
        </w:rPr>
        <w:t xml:space="preserve">报告期，公司以节能大功率电力电子设备制造为主营业务方向，不断优化现有业务经营管理，并通过 </w:t>
      </w:r>
      <w:r>
        <w:rPr>
          <w:color w:val="000000"/>
          <w:spacing w:val="0"/>
          <w:w w:val="100"/>
          <w:position w:val="0"/>
        </w:rPr>
        <w:t>新产品研制开发、自主创新、积极开拓国内国际市场等手段，保持公司</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w:t>
      </w:r>
      <w:r>
        <w:rPr>
          <w:rFonts w:ascii="Times New Roman" w:eastAsia="Times New Roman" w:hAnsi="Times New Roman" w:cs="Times New Roman"/>
          <w:color w:val="000000"/>
          <w:spacing w:val="0"/>
          <w:w w:val="100"/>
          <w:position w:val="0"/>
        </w:rPr>
        <w:t>HVC</w:t>
      </w:r>
      <w:r>
        <w:rPr>
          <w:color w:val="000000"/>
          <w:spacing w:val="0"/>
          <w:w w:val="100"/>
          <w:position w:val="0"/>
        </w:rPr>
        <w:t>、</w:t>
      </w:r>
      <w:r>
        <w:rPr>
          <w:rFonts w:ascii="Times New Roman" w:eastAsia="Times New Roman" w:hAnsi="Times New Roman" w:cs="Times New Roman"/>
          <w:color w:val="000000"/>
          <w:spacing w:val="0"/>
          <w:w w:val="100"/>
          <w:position w:val="0"/>
        </w:rPr>
        <w:t>HVDC</w:t>
      </w:r>
      <w:r>
        <w:rPr>
          <w:color w:val="000000"/>
          <w:spacing w:val="0"/>
          <w:w w:val="100"/>
          <w:position w:val="0"/>
        </w:rPr>
        <w:t>等主导 产品优势并不断拓宽产品线与产品业务，巩固公司在节能大功率电力电子设备制造业的领先地位。但由于 市场竞争加剧，公司新签订单及产品毛利下降，且期间费用居高不下，导致经营业绩不符合预期。</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0" w:line="506"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、收入</w:t>
      </w:r>
      <w:bookmarkEnd w:id="75"/>
      <w:bookmarkEnd w:id="76"/>
      <w:bookmarkEnd w:id="78"/>
    </w:p>
    <w:p>
      <w:pPr>
        <w:pStyle w:val="Style16"/>
        <w:keepNext w:val="0"/>
        <w:keepLines w:val="0"/>
        <w:widowControl w:val="0"/>
        <w:shd w:val="clear" w:color="auto" w:fill="auto"/>
        <w:bidi w:val="0"/>
        <w:spacing w:before="0" w:after="0" w:line="485" w:lineRule="exact"/>
        <w:ind w:left="0" w:right="0" w:firstLine="0"/>
        <w:jc w:val="left"/>
      </w:pPr>
      <w:r>
        <w:rPr>
          <w:color w:val="000000"/>
          <w:spacing w:val="0"/>
          <w:w w:val="100"/>
          <w:position w:val="0"/>
        </w:rPr>
        <w:t>说明</w:t>
      </w:r>
    </w:p>
    <w:p>
      <w:pPr>
        <w:pStyle w:val="Style16"/>
        <w:keepNext w:val="0"/>
        <w:keepLines w:val="0"/>
        <w:widowControl w:val="0"/>
        <w:shd w:val="clear" w:color="auto" w:fill="auto"/>
        <w:bidi w:val="0"/>
        <w:spacing w:before="0" w:after="0" w:line="485" w:lineRule="exact"/>
        <w:ind w:left="0" w:right="0" w:firstLine="440"/>
        <w:jc w:val="left"/>
      </w:pPr>
      <w:r>
        <w:rPr>
          <w:color w:val="000000"/>
          <w:spacing w:val="0"/>
          <w:w w:val="100"/>
          <w:position w:val="0"/>
        </w:rPr>
        <w:t>公司主导产品为定制化的产品，订单生产，量身定制，实行以销定产。</w:t>
      </w:r>
    </w:p>
    <w:p>
      <w:pPr>
        <w:pStyle w:val="Style16"/>
        <w:keepNext w:val="0"/>
        <w:keepLines w:val="0"/>
        <w:widowControl w:val="0"/>
        <w:shd w:val="clear" w:color="auto" w:fill="auto"/>
        <w:bidi w:val="0"/>
        <w:spacing w:before="0" w:after="0" w:line="485" w:lineRule="exact"/>
        <w:ind w:left="0" w:right="0" w:firstLine="440"/>
        <w:jc w:val="left"/>
      </w:pPr>
      <w:r>
        <w:rPr>
          <w:color w:val="000000"/>
          <w:spacing w:val="0"/>
          <w:w w:val="100"/>
          <w:position w:val="0"/>
        </w:rPr>
        <w:t>报告期，公司实现销售收入</w:t>
      </w:r>
      <w:r>
        <w:rPr>
          <w:rFonts w:ascii="Times New Roman" w:eastAsia="Times New Roman" w:hAnsi="Times New Roman" w:cs="Times New Roman"/>
          <w:color w:val="000000"/>
          <w:spacing w:val="0"/>
          <w:w w:val="100"/>
          <w:position w:val="0"/>
        </w:rPr>
        <w:t>149,753.09</w:t>
      </w:r>
      <w:r>
        <w:rPr>
          <w:color w:val="000000"/>
          <w:spacing w:val="0"/>
          <w:w w:val="100"/>
          <w:position w:val="0"/>
        </w:rPr>
        <w:t>万元，同比增长</w:t>
      </w:r>
      <w:r>
        <w:rPr>
          <w:rFonts w:ascii="Times New Roman" w:eastAsia="Times New Roman" w:hAnsi="Times New Roman" w:cs="Times New Roman"/>
          <w:color w:val="000000"/>
          <w:spacing w:val="0"/>
          <w:w w:val="100"/>
          <w:position w:val="0"/>
        </w:rPr>
        <w:t>16.35%</w:t>
      </w:r>
      <w:r>
        <w:rPr>
          <w:color w:val="000000"/>
          <w:spacing w:val="0"/>
          <w:w w:val="100"/>
          <w:position w:val="0"/>
        </w:rPr>
        <w:t>，主要是由于</w:t>
      </w:r>
      <w:r>
        <w:rPr>
          <w:rFonts w:ascii="Times New Roman" w:eastAsia="Times New Roman" w:hAnsi="Times New Roman" w:cs="Times New Roman"/>
          <w:color w:val="000000"/>
          <w:spacing w:val="0"/>
          <w:w w:val="100"/>
          <w:position w:val="0"/>
        </w:rPr>
        <w:t>2012</w:t>
      </w:r>
      <w:r>
        <w:rPr>
          <w:color w:val="000000"/>
          <w:spacing w:val="0"/>
          <w:w w:val="100"/>
          <w:position w:val="0"/>
        </w:rPr>
        <w:t>年结转到</w:t>
      </w:r>
      <w:r>
        <w:rPr>
          <w:rFonts w:ascii="Times New Roman" w:eastAsia="Times New Roman" w:hAnsi="Times New Roman" w:cs="Times New Roman"/>
          <w:color w:val="000000"/>
          <w:spacing w:val="0"/>
          <w:w w:val="100"/>
          <w:position w:val="0"/>
        </w:rPr>
        <w:t>2013</w:t>
      </w:r>
      <w:r>
        <w:rPr>
          <w:color w:val="000000"/>
          <w:spacing w:val="0"/>
          <w:w w:val="100"/>
          <w:position w:val="0"/>
        </w:rPr>
        <w:t>年的未 执行合同同比增长所致。</w:t>
      </w:r>
    </w:p>
    <w:p>
      <w:pPr>
        <w:pStyle w:val="Style16"/>
        <w:keepNext w:val="0"/>
        <w:keepLines w:val="0"/>
        <w:widowControl w:val="0"/>
        <w:shd w:val="clear" w:color="auto" w:fill="auto"/>
        <w:bidi w:val="0"/>
        <w:spacing w:before="0" w:after="200" w:line="485" w:lineRule="exact"/>
        <w:ind w:left="0" w:right="0" w:firstLine="3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年，公司本部及控股子公司新签订订单</w:t>
      </w:r>
      <w:r>
        <w:rPr>
          <w:rFonts w:ascii="Times New Roman" w:eastAsia="Times New Roman" w:hAnsi="Times New Roman" w:cs="Times New Roman"/>
          <w:color w:val="000000"/>
          <w:spacing w:val="0"/>
          <w:w w:val="100"/>
          <w:position w:val="0"/>
        </w:rPr>
        <w:t>185,886.89</w:t>
      </w:r>
      <w:r>
        <w:rPr>
          <w:color w:val="000000"/>
          <w:spacing w:val="0"/>
          <w:w w:val="100"/>
          <w:position w:val="0"/>
        </w:rPr>
        <w:t>万元（含税），同比下降</w:t>
      </w:r>
      <w:r>
        <w:rPr>
          <w:rFonts w:ascii="Times New Roman" w:eastAsia="Times New Roman" w:hAnsi="Times New Roman" w:cs="Times New Roman"/>
          <w:color w:val="000000"/>
          <w:spacing w:val="0"/>
          <w:w w:val="100"/>
          <w:position w:val="0"/>
        </w:rPr>
        <w:t>29.51%</w:t>
      </w:r>
      <w:r>
        <w:rPr>
          <w:color w:val="000000"/>
          <w:spacing w:val="0"/>
          <w:w w:val="100"/>
          <w:position w:val="0"/>
        </w:rPr>
        <w:t>。主要是公司整</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流器、海外业务及煤炭</w:t>
      </w:r>
      <w:r>
        <w:rPr>
          <w:rFonts w:ascii="Times New Roman" w:eastAsia="Times New Roman" w:hAnsi="Times New Roman" w:cs="Times New Roman"/>
          <w:color w:val="000000"/>
          <w:spacing w:val="0"/>
          <w:w w:val="100"/>
          <w:position w:val="0"/>
        </w:rPr>
        <w:t>EPC</w:t>
      </w:r>
      <w:r>
        <w:rPr>
          <w:color w:val="000000"/>
          <w:spacing w:val="0"/>
          <w:w w:val="100"/>
          <w:position w:val="0"/>
        </w:rPr>
        <w:t>业务的同比减少所致。</w:t>
      </w:r>
    </w:p>
    <w:p>
      <w:pPr>
        <w:pStyle w:val="Style16"/>
        <w:keepNext w:val="0"/>
        <w:keepLines w:val="0"/>
        <w:widowControl w:val="0"/>
        <w:shd w:val="clear" w:color="auto" w:fill="auto"/>
        <w:tabs>
          <w:tab w:pos="7338" w:val="left"/>
        </w:tabs>
        <w:bidi w:val="0"/>
        <w:spacing w:before="0" w:line="240" w:lineRule="auto"/>
        <w:ind w:left="0" w:right="0" w:firstLine="440"/>
        <w:jc w:val="left"/>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1</w:t>
      </w:r>
      <w:r>
        <w:rPr>
          <w:color w:val="000000"/>
          <w:spacing w:val="0"/>
          <w:w w:val="100"/>
          <w:position w:val="0"/>
        </w:rPr>
        <w:t>）订单行业分布</w:t>
        <w:tab/>
        <w:t>单位</w:t>
      </w:r>
      <w:r>
        <w:rPr>
          <w:rFonts w:ascii="Times New Roman" w:eastAsia="Times New Roman" w:hAnsi="Times New Roman" w:cs="Times New Roman"/>
          <w:color w:val="000000"/>
          <w:spacing w:val="0"/>
          <w:w w:val="100"/>
          <w:position w:val="0"/>
        </w:rPr>
        <w:t>:</w:t>
      </w:r>
      <w:r>
        <w:rPr>
          <w:color w:val="000000"/>
          <w:spacing w:val="0"/>
          <w:w w:val="100"/>
          <w:position w:val="0"/>
        </w:rPr>
        <w:t>万元</w:t>
      </w:r>
    </w:p>
    <w:tbl>
      <w:tblPr>
        <w:tblOverlap w:val="never"/>
        <w:jc w:val="center"/>
        <w:tblLayout w:type="fixed"/>
      </w:tblPr>
      <w:tblGrid>
        <w:gridCol w:w="571"/>
        <w:gridCol w:w="1162"/>
        <w:gridCol w:w="1162"/>
        <w:gridCol w:w="1162"/>
        <w:gridCol w:w="1061"/>
        <w:gridCol w:w="1162"/>
        <w:gridCol w:w="1157"/>
        <w:gridCol w:w="1162"/>
        <w:gridCol w:w="1277"/>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冶金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煤炭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石油石化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2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47,854.64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56,315.40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18,340.96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20,136.02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22,704.93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5,316.58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15,218.36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185,886.89</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pStyle w:val="Style27"/>
        <w:keepNext w:val="0"/>
        <w:keepLines w:val="0"/>
        <w:widowControl w:val="0"/>
        <w:shd w:val="clear" w:color="auto" w:fill="auto"/>
        <w:tabs>
          <w:tab w:pos="7603" w:val="left"/>
        </w:tabs>
        <w:bidi w:val="0"/>
        <w:spacing w:before="0" w:after="0" w:line="240" w:lineRule="auto"/>
        <w:ind w:left="586"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）订单分产品情况</w:t>
        <w:tab/>
        <w:t>单位：万元</w:t>
      </w:r>
    </w:p>
    <w:tbl>
      <w:tblPr>
        <w:tblOverlap w:val="never"/>
        <w:jc w:val="center"/>
        <w:tblLayout w:type="fixed"/>
      </w:tblPr>
      <w:tblGrid>
        <w:gridCol w:w="662"/>
        <w:gridCol w:w="1157"/>
        <w:gridCol w:w="1147"/>
        <w:gridCol w:w="1123"/>
        <w:gridCol w:w="1162"/>
        <w:gridCol w:w="1157"/>
        <w:gridCol w:w="1152"/>
        <w:gridCol w:w="1152"/>
        <w:gridCol w:w="1162"/>
      </w:tblGrid>
      <w:tr>
        <w:trPr>
          <w:trHeight w:val="136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产 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317" w:lineRule="exact"/>
              <w:ind w:left="0" w:right="0" w:firstLine="0"/>
              <w:jc w:val="left"/>
              <w:rPr>
                <w:sz w:val="20"/>
                <w:szCs w:val="20"/>
              </w:rPr>
            </w:pPr>
            <w:r>
              <w:rPr>
                <w:color w:val="000000"/>
                <w:spacing w:val="0"/>
                <w:w w:val="100"/>
                <w:position w:val="0"/>
                <w:sz w:val="20"/>
                <w:szCs w:val="20"/>
              </w:rPr>
              <w:t>高压动态无 功补偿装置</w:t>
            </w:r>
          </w:p>
          <w:p>
            <w:pPr>
              <w:pStyle w:val="Style22"/>
              <w:keepNext w:val="0"/>
              <w:keepLines w:val="0"/>
              <w:widowControl w:val="0"/>
              <w:shd w:val="clear" w:color="auto" w:fill="auto"/>
              <w:bidi w:val="0"/>
              <w:spacing w:before="0" w:after="0" w:line="331"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SVC</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光伏逆变器</w:t>
            </w:r>
          </w:p>
          <w:p>
            <w:pPr>
              <w:pStyle w:val="Style22"/>
              <w:keepNext w:val="0"/>
              <w:keepLines w:val="0"/>
              <w:widowControl w:val="0"/>
              <w:shd w:val="clear" w:color="auto" w:fill="auto"/>
              <w:bidi w:val="0"/>
              <w:spacing w:before="0" w:after="0" w:line="326"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PVVC</w:t>
            </w:r>
            <w:r>
              <w:rPr>
                <w:color w:val="000000"/>
                <w:spacing w:val="0"/>
                <w:w w:val="100"/>
                <w:position w:val="0"/>
                <w:sz w:val="20"/>
                <w:szCs w:val="20"/>
              </w:rPr>
              <w:t>及配 套设备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312" w:lineRule="exact"/>
              <w:ind w:left="0" w:right="0" w:firstLine="0"/>
              <w:jc w:val="center"/>
              <w:rPr>
                <w:sz w:val="20"/>
                <w:szCs w:val="20"/>
              </w:rPr>
            </w:pPr>
            <w:r>
              <w:rPr>
                <w:color w:val="000000"/>
                <w:spacing w:val="0"/>
                <w:w w:val="100"/>
                <w:position w:val="0"/>
                <w:sz w:val="20"/>
                <w:szCs w:val="20"/>
              </w:rPr>
              <w:t>轻型直流输 电系统</w:t>
            </w:r>
          </w:p>
          <w:p>
            <w:pPr>
              <w:pStyle w:val="Style22"/>
              <w:keepNext w:val="0"/>
              <w:keepLines w:val="0"/>
              <w:widowControl w:val="0"/>
              <w:shd w:val="clear" w:color="auto" w:fill="auto"/>
              <w:bidi w:val="0"/>
              <w:spacing w:before="0" w:after="0" w:line="326"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HVDC</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40" w:line="240" w:lineRule="auto"/>
              <w:ind w:left="0" w:right="0" w:firstLine="0"/>
              <w:jc w:val="center"/>
              <w:rPr>
                <w:sz w:val="20"/>
                <w:szCs w:val="20"/>
              </w:rPr>
            </w:pPr>
            <w:r>
              <w:rPr>
                <w:color w:val="000000"/>
                <w:spacing w:val="0"/>
                <w:w w:val="100"/>
                <w:position w:val="0"/>
                <w:sz w:val="20"/>
                <w:szCs w:val="20"/>
              </w:rPr>
              <w:t>静止无功发</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生器</w:t>
            </w:r>
            <w:r>
              <w:rPr>
                <w:rFonts w:ascii="Times New Roman" w:eastAsia="Times New Roman" w:hAnsi="Times New Roman" w:cs="Times New Roman"/>
                <w:color w:val="000000"/>
                <w:spacing w:val="0"/>
                <w:w w:val="100"/>
                <w:position w:val="0"/>
                <w:sz w:val="20"/>
                <w:szCs w:val="20"/>
              </w:rPr>
              <w:t>SVG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left"/>
              <w:rPr>
                <w:sz w:val="20"/>
                <w:szCs w:val="20"/>
              </w:rPr>
            </w:pPr>
            <w:r>
              <w:rPr>
                <w:color w:val="000000"/>
                <w:spacing w:val="0"/>
                <w:w w:val="100"/>
                <w:position w:val="0"/>
                <w:sz w:val="20"/>
                <w:szCs w:val="20"/>
              </w:rPr>
              <w:t xml:space="preserve">高压变频调 速装置及高 压软启动装 置 </w:t>
            </w:r>
            <w:r>
              <w:rPr>
                <w:rFonts w:ascii="Times New Roman" w:eastAsia="Times New Roman" w:hAnsi="Times New Roman" w:cs="Times New Roman"/>
                <w:color w:val="000000"/>
                <w:spacing w:val="0"/>
                <w:w w:val="100"/>
                <w:position w:val="0"/>
                <w:sz w:val="20"/>
                <w:szCs w:val="20"/>
              </w:rPr>
              <w:t>HVC/VFS</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312" w:lineRule="exact"/>
              <w:ind w:left="0" w:right="0" w:firstLine="0"/>
              <w:jc w:val="center"/>
              <w:rPr>
                <w:sz w:val="20"/>
                <w:szCs w:val="20"/>
              </w:rPr>
            </w:pPr>
            <w:r>
              <w:rPr>
                <w:color w:val="000000"/>
                <w:spacing w:val="0"/>
                <w:w w:val="100"/>
                <w:position w:val="0"/>
                <w:sz w:val="20"/>
                <w:szCs w:val="20"/>
              </w:rPr>
              <w:t>智能瓦斯排 放装置</w:t>
            </w:r>
          </w:p>
          <w:p>
            <w:pPr>
              <w:pStyle w:val="Style22"/>
              <w:keepNext w:val="0"/>
              <w:keepLines w:val="0"/>
              <w:widowControl w:val="0"/>
              <w:shd w:val="clear" w:color="auto" w:fill="auto"/>
              <w:bidi w:val="0"/>
              <w:spacing w:before="0" w:after="0" w:line="32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MABZ</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98" w:lineRule="exact"/>
              <w:ind w:left="0" w:right="0" w:firstLine="0"/>
              <w:jc w:val="center"/>
              <w:rPr>
                <w:sz w:val="20"/>
                <w:szCs w:val="20"/>
              </w:rPr>
            </w:pPr>
            <w:r>
              <w:rPr>
                <w:color w:val="000000"/>
                <w:spacing w:val="0"/>
                <w:w w:val="100"/>
                <w:position w:val="0"/>
                <w:sz w:val="20"/>
                <w:szCs w:val="20"/>
              </w:rPr>
              <w:t>余热余压节 能发电</w:t>
            </w:r>
          </w:p>
          <w:p>
            <w:pPr>
              <w:pStyle w:val="Style22"/>
              <w:keepNext w:val="0"/>
              <w:keepLines w:val="0"/>
              <w:widowControl w:val="0"/>
              <w:shd w:val="clear" w:color="auto" w:fill="auto"/>
              <w:bidi w:val="0"/>
              <w:spacing w:before="0" w:after="0" w:line="312"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TRT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备件及其他</w:t>
            </w:r>
          </w:p>
        </w:tc>
      </w:tr>
      <w:tr>
        <w:trPr>
          <w:trHeight w:val="42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25,699.61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8,085.20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18,495.86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57,839.81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38,308.85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4,619.35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8,838.22</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4.75%</w:t>
            </w:r>
          </w:p>
        </w:tc>
      </w:tr>
    </w:tbl>
    <w:p>
      <w:pPr>
        <w:pStyle w:val="Style16"/>
        <w:keepNext w:val="0"/>
        <w:keepLines w:val="0"/>
        <w:widowControl w:val="0"/>
        <w:shd w:val="clear" w:color="auto" w:fill="auto"/>
        <w:bidi w:val="0"/>
        <w:spacing w:before="0" w:after="240" w:line="494" w:lineRule="exact"/>
        <w:ind w:left="0" w:right="0" w:firstLine="440"/>
        <w:jc w:val="left"/>
      </w:pPr>
      <w:r>
        <w:rPr>
          <w:color w:val="000000"/>
          <w:spacing w:val="0"/>
          <w:w w:val="100"/>
          <w:position w:val="0"/>
        </w:rPr>
        <w:t>公司订单分布与上年相比未发生重大变化，公司收入结构以及业务订单的行业分布日趋合理，保证了 公司营业收入的相对稳定。</w:t>
      </w:r>
    </w:p>
    <w:p>
      <w:pPr>
        <w:pStyle w:val="Style16"/>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年，公司新签海外订单</w:t>
      </w:r>
      <w:r>
        <w:rPr>
          <w:rFonts w:ascii="Times New Roman" w:eastAsia="Times New Roman" w:hAnsi="Times New Roman" w:cs="Times New Roman"/>
          <w:color w:val="000000"/>
          <w:spacing w:val="0"/>
          <w:w w:val="100"/>
          <w:position w:val="0"/>
        </w:rPr>
        <w:t>11,595.39</w:t>
      </w:r>
      <w:r>
        <w:rPr>
          <w:color w:val="000000"/>
          <w:spacing w:val="0"/>
          <w:w w:val="100"/>
          <w:position w:val="0"/>
        </w:rPr>
        <w:t>万元，同比下降</w:t>
      </w:r>
      <w:r>
        <w:rPr>
          <w:rFonts w:ascii="Times New Roman" w:eastAsia="Times New Roman" w:hAnsi="Times New Roman" w:cs="Times New Roman"/>
          <w:color w:val="000000"/>
          <w:spacing w:val="0"/>
          <w:w w:val="100"/>
          <w:position w:val="0"/>
        </w:rPr>
        <w:t>64.79%</w:t>
      </w:r>
      <w:r>
        <w:rPr>
          <w:color w:val="000000"/>
          <w:spacing w:val="0"/>
          <w:w w:val="100"/>
          <w:position w:val="0"/>
        </w:rPr>
        <w:t>。</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公司实物销售收入是否大于劳务收入</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节能大功率电力电子装</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销售量（订单）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1,858,868,900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2,637,224,800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-29.51%</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备制造业</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生产量（销售收入）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1,497,530,910.47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1,287,133,495.51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w:t>
            </w:r>
          </w:p>
        </w:tc>
      </w:tr>
    </w:tbl>
    <w:p>
      <w:pPr>
        <w:pStyle w:val="Style16"/>
        <w:keepNext w:val="0"/>
        <w:keepLines w:val="0"/>
        <w:widowControl w:val="0"/>
        <w:shd w:val="clear" w:color="auto" w:fill="auto"/>
        <w:bidi w:val="0"/>
        <w:spacing w:before="0" w:after="280" w:line="468" w:lineRule="exact"/>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报告期末，公司及控股子公司未执行合同</w:t>
      </w:r>
      <w:r>
        <w:rPr>
          <w:rFonts w:ascii="Times New Roman" w:eastAsia="Times New Roman" w:hAnsi="Times New Roman" w:cs="Times New Roman"/>
          <w:color w:val="000000"/>
          <w:spacing w:val="0"/>
          <w:w w:val="100"/>
          <w:position w:val="0"/>
        </w:rPr>
        <w:t>177,395.12</w:t>
      </w:r>
      <w:r>
        <w:rPr>
          <w:color w:val="000000"/>
          <w:spacing w:val="0"/>
          <w:w w:val="100"/>
          <w:position w:val="0"/>
        </w:rPr>
        <w:t>万元（含税），转入</w:t>
      </w:r>
      <w:r>
        <w:rPr>
          <w:rFonts w:ascii="Times New Roman" w:eastAsia="Times New Roman" w:hAnsi="Times New Roman" w:cs="Times New Roman"/>
          <w:color w:val="000000"/>
          <w:spacing w:val="0"/>
          <w:w w:val="100"/>
          <w:position w:val="0"/>
        </w:rPr>
        <w:t>2014</w:t>
      </w:r>
      <w:r>
        <w:rPr>
          <w:color w:val="000000"/>
          <w:spacing w:val="0"/>
          <w:w w:val="100"/>
          <w:position w:val="0"/>
        </w:rPr>
        <w:t>年执行。</w:t>
      </w:r>
    </w:p>
    <w:p>
      <w:pPr>
        <w:pStyle w:val="Style16"/>
        <w:keepNext w:val="0"/>
        <w:keepLines w:val="0"/>
        <w:widowControl w:val="0"/>
        <w:shd w:val="clear" w:color="auto" w:fill="auto"/>
        <w:bidi w:val="0"/>
        <w:spacing w:before="0" w:after="200" w:line="468" w:lineRule="exact"/>
        <w:ind w:left="0" w:right="0" w:firstLine="460"/>
        <w:jc w:val="left"/>
      </w:pPr>
      <w:r>
        <w:rPr>
          <w:color w:val="000000"/>
          <w:spacing w:val="0"/>
          <w:w w:val="100"/>
          <w:position w:val="0"/>
        </w:rPr>
        <w:t>公司主导产品为定制化的产品，实行订单生产，由于公司订单执行期较长，报告期末，公司及控股子 公司未执行合同结转至</w:t>
      </w:r>
      <w:r>
        <w:rPr>
          <w:rFonts w:ascii="Times New Roman" w:eastAsia="Times New Roman" w:hAnsi="Times New Roman" w:cs="Times New Roman"/>
          <w:color w:val="000000"/>
          <w:spacing w:val="0"/>
          <w:w w:val="100"/>
          <w:position w:val="0"/>
        </w:rPr>
        <w:t>2014</w:t>
      </w:r>
      <w:r>
        <w:rPr>
          <w:color w:val="000000"/>
          <w:spacing w:val="0"/>
          <w:w w:val="100"/>
          <w:position w:val="0"/>
        </w:rPr>
        <w:t>年执行。未执行订单在履行过程中如果遇到宏观经济环境、客户经营状况发生 不利变化等不可预计的或不可抗力等因素的影响，有可能会导致订单无法全部履行或终止的风险。</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527,434,912.16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w:t>
            </w:r>
          </w:p>
        </w:tc>
      </w:tr>
    </w:tbl>
    <w:p>
      <w:pPr>
        <w:widowControl w:val="0"/>
        <w:spacing w:after="5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中国能源建设集团广东省电力设计研究院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157,997,435.93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宁夏申银焦化有限公司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119,555,555.56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7.98%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广州供电局有限公司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116,733,333.30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沈阳透平机械股份有限公司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72,661,389.72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广东电网公司东莞供电局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60,487,197.65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4.04%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527,434,912.16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w:t>
            </w:r>
          </w:p>
        </w:tc>
      </w:tr>
    </w:tbl>
    <w:p>
      <w:pPr>
        <w:widowControl w:val="0"/>
        <w:spacing w:after="279" w:line="1" w:lineRule="exact"/>
      </w:pPr>
    </w:p>
    <w:p>
      <w:pPr>
        <w:pStyle w:val="Style34"/>
        <w:keepNext/>
        <w:keepLines/>
        <w:widowControl w:val="0"/>
        <w:shd w:val="clear" w:color="auto" w:fill="auto"/>
        <w:bidi w:val="0"/>
        <w:spacing w:before="0" w:after="38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3</w:t>
      </w:r>
      <w:bookmarkEnd w:id="82"/>
      <w:r>
        <w:rPr>
          <w:color w:val="000000"/>
          <w:spacing w:val="0"/>
          <w:w w:val="100"/>
          <w:position w:val="0"/>
        </w:rPr>
        <w:t>、成本</w:t>
      </w:r>
      <w:bookmarkEnd w:id="80"/>
      <w:bookmarkEnd w:id="81"/>
      <w:bookmarkEnd w:id="8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节能大功率电力 电子设备制造业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838,563,065.36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617,144,962.42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节能大功率电力 电子设备制造业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16,903,628.34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11,645,493.02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节能大功率电力 电子设备制造业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38,905,176.35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32,885,284.26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154,352,000.00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来恩伟业</w:t>
            </w:r>
            <w:r>
              <w:rPr>
                <w:rFonts w:ascii="Times New Roman" w:eastAsia="Times New Roman" w:hAnsi="Times New Roman" w:cs="Times New Roman"/>
                <w:color w:val="000000"/>
                <w:spacing w:val="0"/>
                <w:w w:val="100"/>
                <w:position w:val="0"/>
              </w:rPr>
              <w:t>（</w:t>
            </w:r>
            <w:r>
              <w:rPr>
                <w:color w:val="000000"/>
                <w:spacing w:val="0"/>
                <w:w w:val="100"/>
                <w:position w:val="0"/>
              </w:rPr>
              <w:t>鹤壁</w:t>
            </w:r>
            <w:r>
              <w:rPr>
                <w:rFonts w:ascii="Times New Roman" w:eastAsia="Times New Roman" w:hAnsi="Times New Roman" w:cs="Times New Roman"/>
                <w:color w:val="000000"/>
                <w:spacing w:val="0"/>
                <w:w w:val="100"/>
                <w:position w:val="0"/>
              </w:rPr>
              <w:t>）</w:t>
            </w:r>
            <w:r>
              <w:rPr>
                <w:color w:val="000000"/>
                <w:spacing w:val="0"/>
                <w:w w:val="100"/>
                <w:position w:val="0"/>
              </w:rPr>
              <w:t>电子科技有限责任公司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36,312,721.32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广州高澜节能技术股份有限公司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30,247,785.55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上海吉电电子技术有限公司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30,089,611.05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SAET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29,654,782.38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北京晶川电子技术发展有限责任公司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28,047,311.12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154,352,211.42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w:t>
            </w:r>
          </w:p>
        </w:tc>
      </w:tr>
    </w:tbl>
    <w:p>
      <w:pPr>
        <w:widowControl w:val="0"/>
        <w:spacing w:after="99" w:line="1" w:lineRule="exact"/>
      </w:pPr>
    </w:p>
    <w:p>
      <w:pPr>
        <w:pStyle w:val="Style34"/>
        <w:keepNext/>
        <w:keepLines/>
        <w:widowControl w:val="0"/>
        <w:shd w:val="clear" w:color="auto" w:fill="auto"/>
        <w:tabs>
          <w:tab w:pos="382" w:val="left"/>
        </w:tabs>
        <w:bidi w:val="0"/>
        <w:spacing w:before="0" w:after="200" w:line="470" w:lineRule="exact"/>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4</w:t>
      </w:r>
      <w:bookmarkEnd w:id="86"/>
      <w:r>
        <w:rPr>
          <w:color w:val="000000"/>
          <w:spacing w:val="0"/>
          <w:w w:val="100"/>
          <w:position w:val="0"/>
        </w:rPr>
        <w:t>、</w:t>
        <w:tab/>
        <w:t>费用</w:t>
      </w:r>
      <w:bookmarkEnd w:id="84"/>
      <w:bookmarkEnd w:id="85"/>
      <w:bookmarkEnd w:id="87"/>
    </w:p>
    <w:p>
      <w:pPr>
        <w:pStyle w:val="Style16"/>
        <w:keepNext w:val="0"/>
        <w:keepLines w:val="0"/>
        <w:widowControl w:val="0"/>
        <w:shd w:val="clear" w:color="auto" w:fill="auto"/>
        <w:bidi w:val="0"/>
        <w:spacing w:before="0" w:after="200" w:line="468" w:lineRule="exact"/>
        <w:ind w:left="0" w:right="0" w:firstLine="480"/>
        <w:jc w:val="left"/>
      </w:pPr>
      <w:r>
        <w:rPr>
          <w:color w:val="000000"/>
          <w:spacing w:val="0"/>
          <w:w w:val="100"/>
          <w:position w:val="0"/>
        </w:rPr>
        <w:t>报告期，公司销售费用</w:t>
      </w:r>
      <w:r>
        <w:rPr>
          <w:rFonts w:ascii="Times New Roman" w:eastAsia="Times New Roman" w:hAnsi="Times New Roman" w:cs="Times New Roman"/>
          <w:color w:val="000000"/>
          <w:spacing w:val="0"/>
          <w:w w:val="100"/>
          <w:position w:val="0"/>
        </w:rPr>
        <w:t>25,491.7</w:t>
      </w:r>
      <w:r>
        <w:rPr>
          <w:rFonts w:ascii="Times New Roman" w:eastAsia="Times New Roman" w:hAnsi="Times New Roman" w:cs="Times New Roman"/>
          <w:color w:val="000000"/>
          <w:spacing w:val="0"/>
          <w:w w:val="100"/>
          <w:position w:val="0"/>
        </w:rPr>
        <w:t>1</w:t>
      </w:r>
      <w:r>
        <w:rPr>
          <w:color w:val="000000"/>
          <w:spacing w:val="0"/>
          <w:w w:val="100"/>
          <w:position w:val="0"/>
        </w:rPr>
        <w:t>万元，同比增长</w:t>
      </w:r>
      <w:r>
        <w:rPr>
          <w:rFonts w:ascii="Times New Roman" w:eastAsia="Times New Roman" w:hAnsi="Times New Roman" w:cs="Times New Roman"/>
          <w:color w:val="000000"/>
          <w:spacing w:val="0"/>
          <w:w w:val="100"/>
          <w:position w:val="0"/>
        </w:rPr>
        <w:t>32.28%</w:t>
      </w:r>
      <w:r>
        <w:rPr>
          <w:color w:val="000000"/>
          <w:spacing w:val="0"/>
          <w:w w:val="100"/>
          <w:position w:val="0"/>
        </w:rPr>
        <w:t>,主要是行业竞争加剧，市场开拓费用增加所 致；管理费用</w:t>
      </w:r>
      <w:r>
        <w:rPr>
          <w:rFonts w:ascii="Times New Roman" w:eastAsia="Times New Roman" w:hAnsi="Times New Roman" w:cs="Times New Roman"/>
          <w:color w:val="000000"/>
          <w:spacing w:val="0"/>
          <w:w w:val="100"/>
          <w:position w:val="0"/>
        </w:rPr>
        <w:t>32,634.51</w:t>
      </w:r>
      <w:r>
        <w:rPr>
          <w:color w:val="000000"/>
          <w:spacing w:val="0"/>
          <w:w w:val="100"/>
          <w:position w:val="0"/>
        </w:rPr>
        <w:t>万元，同比增长</w:t>
      </w:r>
      <w:r>
        <w:rPr>
          <w:rFonts w:ascii="Times New Roman" w:eastAsia="Times New Roman" w:hAnsi="Times New Roman" w:cs="Times New Roman"/>
          <w:color w:val="000000"/>
          <w:spacing w:val="0"/>
          <w:w w:val="100"/>
          <w:position w:val="0"/>
        </w:rPr>
        <w:t>25.22%</w:t>
      </w:r>
      <w:r>
        <w:rPr>
          <w:color w:val="000000"/>
          <w:spacing w:val="0"/>
          <w:w w:val="100"/>
          <w:position w:val="0"/>
        </w:rPr>
        <w:t>，主要是公司子公司较多，体量增加较快，管理成本增加； 财务费用</w:t>
      </w:r>
      <w:r>
        <w:rPr>
          <w:rFonts w:ascii="Times New Roman" w:eastAsia="Times New Roman" w:hAnsi="Times New Roman" w:cs="Times New Roman"/>
          <w:color w:val="000000"/>
          <w:spacing w:val="0"/>
          <w:w w:val="100"/>
          <w:position w:val="0"/>
        </w:rPr>
        <w:t>8,061.97</w:t>
      </w:r>
      <w:r>
        <w:rPr>
          <w:color w:val="000000"/>
          <w:spacing w:val="0"/>
          <w:w w:val="100"/>
          <w:position w:val="0"/>
        </w:rPr>
        <w:t>万元，同比增加</w:t>
      </w:r>
      <w:r>
        <w:rPr>
          <w:rFonts w:ascii="Times New Roman" w:eastAsia="Times New Roman" w:hAnsi="Times New Roman" w:cs="Times New Roman"/>
          <w:color w:val="000000"/>
          <w:spacing w:val="0"/>
          <w:w w:val="100"/>
          <w:position w:val="0"/>
        </w:rPr>
        <w:t>18.60%</w:t>
      </w:r>
      <w:r>
        <w:rPr>
          <w:color w:val="000000"/>
          <w:spacing w:val="0"/>
          <w:w w:val="100"/>
          <w:position w:val="0"/>
        </w:rPr>
        <w:t>，主要是借款增加的原因。</w:t>
      </w:r>
    </w:p>
    <w:p>
      <w:pPr>
        <w:pStyle w:val="Style34"/>
        <w:keepNext/>
        <w:keepLines/>
        <w:widowControl w:val="0"/>
        <w:shd w:val="clear" w:color="auto" w:fill="auto"/>
        <w:tabs>
          <w:tab w:pos="382" w:val="left"/>
        </w:tabs>
        <w:bidi w:val="0"/>
        <w:spacing w:before="0" w:after="200" w:line="470" w:lineRule="exact"/>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5</w:t>
      </w:r>
      <w:bookmarkEnd w:id="90"/>
      <w:r>
        <w:rPr>
          <w:color w:val="000000"/>
          <w:spacing w:val="0"/>
          <w:w w:val="100"/>
          <w:position w:val="0"/>
        </w:rPr>
        <w:t>、</w:t>
        <w:tab/>
        <w:t>研发支出</w:t>
      </w:r>
      <w:bookmarkEnd w:id="88"/>
      <w:bookmarkEnd w:id="89"/>
      <w:bookmarkEnd w:id="91"/>
    </w:p>
    <w:p>
      <w:pPr>
        <w:pStyle w:val="Style16"/>
        <w:keepNext w:val="0"/>
        <w:keepLines w:val="0"/>
        <w:widowControl w:val="0"/>
        <w:shd w:val="clear" w:color="auto" w:fill="auto"/>
        <w:bidi w:val="0"/>
        <w:spacing w:before="0" w:after="100" w:line="473" w:lineRule="exact"/>
        <w:ind w:left="0" w:right="0" w:firstLine="480"/>
        <w:jc w:val="left"/>
      </w:pPr>
      <w:r>
        <w:rPr>
          <w:color w:val="000000"/>
          <w:spacing w:val="0"/>
          <w:w w:val="100"/>
          <w:position w:val="0"/>
        </w:rPr>
        <w:t>报告期，公司根据国际上节能大功率电力电子设备制造业发展趋势和国内市场需要，有针对性地进行 电力电子等技术领域的基础研究和专项技术开发，保证公司产品的技术水平保持国内领先，并开发行业前 沿技术，力争与国际先进技术水平同步。</w:t>
      </w:r>
    </w:p>
    <w:p>
      <w:pPr>
        <w:pStyle w:val="Style16"/>
        <w:keepNext w:val="0"/>
        <w:keepLines w:val="0"/>
        <w:widowControl w:val="0"/>
        <w:shd w:val="clear" w:color="auto" w:fill="auto"/>
        <w:tabs>
          <w:tab w:pos="8606" w:val="left"/>
        </w:tabs>
        <w:bidi w:val="0"/>
        <w:spacing w:before="0" w:after="0" w:line="240" w:lineRule="auto"/>
        <w:ind w:left="0" w:right="0" w:firstLine="480"/>
        <w:jc w:val="left"/>
        <w:rPr>
          <w:sz w:val="18"/>
          <w:szCs w:val="18"/>
        </w:rPr>
      </w:pPr>
      <w:r>
        <w:rPr>
          <w:color w:val="000000"/>
          <w:spacing w:val="0"/>
          <w:w w:val="100"/>
          <w:position w:val="0"/>
          <w:sz w:val="20"/>
          <w:szCs w:val="20"/>
        </w:rPr>
        <w:t>报告期，公司共计投入研发资金</w:t>
      </w:r>
      <w:r>
        <w:rPr>
          <w:rFonts w:ascii="Times New Roman" w:eastAsia="Times New Roman" w:hAnsi="Times New Roman" w:cs="Times New Roman"/>
          <w:color w:val="000000"/>
          <w:spacing w:val="0"/>
          <w:w w:val="100"/>
          <w:position w:val="0"/>
          <w:sz w:val="20"/>
          <w:szCs w:val="20"/>
        </w:rPr>
        <w:t>15,055.04</w:t>
      </w:r>
      <w:r>
        <w:rPr>
          <w:color w:val="000000"/>
          <w:spacing w:val="0"/>
          <w:w w:val="100"/>
          <w:position w:val="0"/>
          <w:sz w:val="20"/>
          <w:szCs w:val="20"/>
        </w:rPr>
        <w:t>万元，占</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年销售收入</w:t>
      </w:r>
      <w:r>
        <w:rPr>
          <w:rFonts w:ascii="Times New Roman" w:eastAsia="Times New Roman" w:hAnsi="Times New Roman" w:cs="Times New Roman"/>
          <w:color w:val="000000"/>
          <w:spacing w:val="0"/>
          <w:w w:val="100"/>
          <w:position w:val="0"/>
          <w:sz w:val="20"/>
          <w:szCs w:val="20"/>
        </w:rPr>
        <w:t>10.05%</w:t>
      </w:r>
      <w:r>
        <w:rPr>
          <w:color w:val="000000"/>
          <w:spacing w:val="0"/>
          <w:w w:val="100"/>
          <w:position w:val="0"/>
          <w:sz w:val="20"/>
          <w:szCs w:val="20"/>
        </w:rPr>
        <w:t>。</w:t>
        <w:tab/>
      </w:r>
      <w:r>
        <w:rPr>
          <w:b/>
          <w:bCs/>
          <w:color w:val="000000"/>
          <w:spacing w:val="0"/>
          <w:w w:val="100"/>
          <w:position w:val="0"/>
          <w:sz w:val="18"/>
          <w:szCs w:val="18"/>
        </w:rPr>
        <w:t>单位</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万元</w:t>
      </w:r>
    </w:p>
    <w:tbl>
      <w:tblPr>
        <w:tblOverlap w:val="never"/>
        <w:jc w:val="center"/>
        <w:tblLayout w:type="fixed"/>
      </w:tblPr>
      <w:tblGrid>
        <w:gridCol w:w="2981"/>
        <w:gridCol w:w="2458"/>
        <w:gridCol w:w="2179"/>
        <w:gridCol w:w="2256"/>
      </w:tblGrid>
      <w:tr>
        <w:trPr>
          <w:trHeight w:val="360" w:hRule="exact"/>
        </w:trPr>
        <w:tc>
          <w:tcPr>
            <w:tcBorders>
              <w:top w:val="single" w:sz="4"/>
              <w:left w:val="single" w:sz="4"/>
            </w:tcBorders>
            <w:shd w:val="clear" w:color="auto" w:fill="969696"/>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w:t>
            </w:r>
          </w:p>
        </w:tc>
        <w:tc>
          <w:tcPr>
            <w:tcBorders>
              <w:top w:val="single" w:sz="4"/>
              <w:left w:val="single" w:sz="4"/>
            </w:tcBorders>
            <w:shd w:val="clear" w:color="auto" w:fill="969696"/>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sz w:val="24"/>
                <w:szCs w:val="24"/>
              </w:rPr>
              <w:t>年</w:t>
            </w:r>
          </w:p>
        </w:tc>
        <w:tc>
          <w:tcPr>
            <w:tcBorders>
              <w:top w:val="single" w:sz="4"/>
              <w:left w:val="single" w:sz="4"/>
            </w:tcBorders>
            <w:shd w:val="clear" w:color="auto" w:fill="969696"/>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 xml:space="preserve">2012 </w:t>
            </w:r>
            <w:r>
              <w:rPr>
                <w:color w:val="000000"/>
                <w:spacing w:val="0"/>
                <w:w w:val="100"/>
                <w:position w:val="0"/>
                <w:sz w:val="24"/>
                <w:szCs w:val="24"/>
              </w:rPr>
              <w:t>年</w:t>
            </w:r>
          </w:p>
        </w:tc>
        <w:tc>
          <w:tcPr>
            <w:tcBorders>
              <w:top w:val="single" w:sz="4"/>
              <w:left w:val="single" w:sz="4"/>
              <w:right w:val="single" w:sz="4"/>
            </w:tcBorders>
            <w:shd w:val="clear" w:color="auto" w:fill="969696"/>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sz w:val="24"/>
                <w:szCs w:val="24"/>
              </w:rPr>
              <w:t>年</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研发支出总额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15,055.04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16,882.36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13,206.44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占销售收入比重</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w:t>
            </w:r>
          </w:p>
        </w:tc>
      </w:tr>
    </w:tbl>
    <w:p>
      <w:pPr>
        <w:pStyle w:val="Style16"/>
        <w:keepNext w:val="0"/>
        <w:keepLines w:val="0"/>
        <w:widowControl w:val="0"/>
        <w:shd w:val="clear" w:color="auto" w:fill="auto"/>
        <w:bidi w:val="0"/>
        <w:spacing w:before="0" w:after="440" w:line="470" w:lineRule="exact"/>
        <w:ind w:left="0" w:right="0" w:firstLine="480"/>
        <w:jc w:val="left"/>
      </w:pPr>
      <w:r>
        <w:rPr>
          <w:color w:val="000000"/>
          <w:spacing w:val="0"/>
          <w:w w:val="100"/>
          <w:position w:val="0"/>
        </w:rPr>
        <w:t>报告期，公司及控股子公司有</w:t>
      </w:r>
      <w:r>
        <w:rPr>
          <w:rFonts w:ascii="Times New Roman" w:eastAsia="Times New Roman" w:hAnsi="Times New Roman" w:cs="Times New Roman"/>
          <w:color w:val="000000"/>
          <w:spacing w:val="0"/>
          <w:w w:val="100"/>
          <w:position w:val="0"/>
        </w:rPr>
        <w:t>52</w:t>
      </w:r>
      <w:r>
        <w:rPr>
          <w:color w:val="000000"/>
          <w:spacing w:val="0"/>
          <w:w w:val="100"/>
          <w:position w:val="0"/>
        </w:rPr>
        <w:t>项专利获得授权，其中：发明专利</w:t>
      </w:r>
      <w:r>
        <w:rPr>
          <w:rFonts w:ascii="Times New Roman" w:eastAsia="Times New Roman" w:hAnsi="Times New Roman" w:cs="Times New Roman"/>
          <w:color w:val="000000"/>
          <w:spacing w:val="0"/>
          <w:w w:val="100"/>
          <w:position w:val="0"/>
        </w:rPr>
        <w:t>10</w:t>
      </w:r>
      <w:r>
        <w:rPr>
          <w:color w:val="000000"/>
          <w:spacing w:val="0"/>
          <w:w w:val="100"/>
          <w:position w:val="0"/>
        </w:rPr>
        <w:t>项，实用新型专利</w:t>
      </w:r>
      <w:r>
        <w:rPr>
          <w:rFonts w:ascii="Times New Roman" w:eastAsia="Times New Roman" w:hAnsi="Times New Roman" w:cs="Times New Roman"/>
          <w:color w:val="000000"/>
          <w:spacing w:val="0"/>
          <w:w w:val="100"/>
          <w:position w:val="0"/>
        </w:rPr>
        <w:t>42</w:t>
      </w:r>
      <w:r>
        <w:rPr>
          <w:color w:val="000000"/>
          <w:spacing w:val="0"/>
          <w:w w:val="100"/>
          <w:position w:val="0"/>
        </w:rPr>
        <w:t>项；申请并 已受理的专利</w:t>
      </w:r>
      <w:r>
        <w:rPr>
          <w:rFonts w:ascii="Times New Roman" w:eastAsia="Times New Roman" w:hAnsi="Times New Roman" w:cs="Times New Roman"/>
          <w:color w:val="000000"/>
          <w:spacing w:val="0"/>
          <w:w w:val="100"/>
          <w:position w:val="0"/>
        </w:rPr>
        <w:t>64</w:t>
      </w:r>
      <w:r>
        <w:rPr>
          <w:color w:val="000000"/>
          <w:spacing w:val="0"/>
          <w:w w:val="100"/>
          <w:position w:val="0"/>
        </w:rPr>
        <w:t>项，其中：发明专利</w:t>
      </w:r>
      <w:r>
        <w:rPr>
          <w:rFonts w:ascii="Times New Roman" w:eastAsia="Times New Roman" w:hAnsi="Times New Roman" w:cs="Times New Roman"/>
          <w:color w:val="000000"/>
          <w:spacing w:val="0"/>
          <w:w w:val="100"/>
          <w:position w:val="0"/>
        </w:rPr>
        <w:t>24</w:t>
      </w:r>
      <w:r>
        <w:rPr>
          <w:color w:val="000000"/>
          <w:spacing w:val="0"/>
          <w:w w:val="100"/>
          <w:position w:val="0"/>
        </w:rPr>
        <w:t>项，实用新型</w:t>
      </w:r>
      <w:r>
        <w:rPr>
          <w:rFonts w:ascii="Times New Roman" w:eastAsia="Times New Roman" w:hAnsi="Times New Roman" w:cs="Times New Roman"/>
          <w:color w:val="000000"/>
          <w:spacing w:val="0"/>
          <w:w w:val="100"/>
          <w:position w:val="0"/>
        </w:rPr>
        <w:t>40</w:t>
      </w:r>
      <w:r>
        <w:rPr>
          <w:color w:val="000000"/>
          <w:spacing w:val="0"/>
          <w:w w:val="100"/>
          <w:position w:val="0"/>
        </w:rPr>
        <w:t>项；取得软件著作权</w:t>
      </w:r>
      <w:r>
        <w:rPr>
          <w:rFonts w:ascii="Times New Roman" w:eastAsia="Times New Roman" w:hAnsi="Times New Roman" w:cs="Times New Roman"/>
          <w:color w:val="000000"/>
          <w:spacing w:val="0"/>
          <w:w w:val="100"/>
          <w:position w:val="0"/>
        </w:rPr>
        <w:t>2</w:t>
      </w:r>
      <w:r>
        <w:rPr>
          <w:color w:val="000000"/>
          <w:spacing w:val="0"/>
          <w:w w:val="100"/>
          <w:position w:val="0"/>
        </w:rPr>
        <w:t>项。</w:t>
      </w:r>
    </w:p>
    <w:p>
      <w:pPr>
        <w:pStyle w:val="Style34"/>
        <w:keepNext/>
        <w:keepLines/>
        <w:widowControl w:val="0"/>
        <w:shd w:val="clear" w:color="auto" w:fill="auto"/>
        <w:bidi w:val="0"/>
        <w:spacing w:before="0" w:after="38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6</w:t>
      </w:r>
      <w:bookmarkEnd w:id="94"/>
      <w:r>
        <w:rPr>
          <w:color w:val="000000"/>
          <w:spacing w:val="0"/>
          <w:w w:val="100"/>
          <w:position w:val="0"/>
        </w:rPr>
        <w:t>、现金流</w:t>
      </w:r>
      <w:bookmarkEnd w:id="92"/>
      <w:bookmarkEnd w:id="93"/>
      <w:bookmarkEnd w:id="95"/>
    </w:p>
    <w:p>
      <w:pPr>
        <w:pStyle w:val="Style29"/>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1,351,483,248.08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1,456,321,093.77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1,511,851,555.89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1,632,684,613.03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-160,368,307.81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-176,363,519.26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198,071,478.65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6,961,792.46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2,745.12%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85,917,448.98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108,239,787.45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-20.62%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112,154,029.67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-101,277,994.99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210.74%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1,172,123,956.00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1,049,091,504.53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983,227,212.35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776,096,332.28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188,896,743.65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272,995,172.25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-30.81%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140,677,917.84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-5,089,828.33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2,863.9%</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报告期，经营活动产生的现金流量净额为</w:t>
      </w:r>
      <w:r>
        <w:rPr>
          <w:rFonts w:ascii="Times New Roman" w:eastAsia="Times New Roman" w:hAnsi="Times New Roman" w:cs="Times New Roman"/>
          <w:color w:val="000000"/>
          <w:spacing w:val="0"/>
          <w:w w:val="100"/>
          <w:position w:val="0"/>
        </w:rPr>
        <w:t>-16,036.83</w:t>
      </w:r>
      <w:r>
        <w:rPr>
          <w:color w:val="000000"/>
          <w:spacing w:val="0"/>
          <w:w w:val="100"/>
          <w:position w:val="0"/>
        </w:rPr>
        <w:t>万元，同比增加</w:t>
      </w:r>
      <w:r>
        <w:rPr>
          <w:rFonts w:ascii="Times New Roman" w:eastAsia="Times New Roman" w:hAnsi="Times New Roman" w:cs="Times New Roman"/>
          <w:color w:val="000000"/>
          <w:spacing w:val="0"/>
          <w:w w:val="100"/>
          <w:position w:val="0"/>
        </w:rPr>
        <w:t>9.07%</w:t>
      </w:r>
      <w:r>
        <w:rPr>
          <w:color w:val="000000"/>
          <w:spacing w:val="0"/>
          <w:w w:val="100"/>
          <w:position w:val="0"/>
        </w:rPr>
        <w:t>,公司经营性现金流有所改 观但仍面临较大压力，主要是公司下游客户受低迷经济的影响，付款周期较长，导致经营活动的现金流入 较慢造成。</w:t>
      </w:r>
    </w:p>
    <w:p>
      <w:pPr>
        <w:pStyle w:val="Style16"/>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本公司为改善经营活动现金流状况，采取了以下措施：</w:t>
      </w:r>
    </w:p>
    <w:p>
      <w:pPr>
        <w:pStyle w:val="Style16"/>
        <w:keepNext w:val="0"/>
        <w:keepLines w:val="0"/>
        <w:widowControl w:val="0"/>
        <w:numPr>
          <w:ilvl w:val="0"/>
          <w:numId w:val="3"/>
        </w:numPr>
        <w:shd w:val="clear" w:color="auto" w:fill="auto"/>
        <w:tabs>
          <w:tab w:pos="865" w:val="left"/>
        </w:tabs>
        <w:bidi w:val="0"/>
        <w:spacing w:before="0" w:after="0" w:line="472" w:lineRule="exact"/>
        <w:ind w:left="0" w:right="0" w:firstLine="500"/>
        <w:jc w:val="both"/>
      </w:pPr>
      <w:bookmarkStart w:id="96" w:name="bookmark96"/>
      <w:bookmarkEnd w:id="96"/>
      <w:r>
        <w:rPr>
          <w:color w:val="000000"/>
          <w:spacing w:val="0"/>
          <w:w w:val="100"/>
          <w:position w:val="0"/>
        </w:rPr>
        <w:t>加大应收账款催收力度：公司已采取加大应收账款催收力度、将客户回款情况作为关键指标对公司 销售人员进行考核等多种措施以缩短销售回款周期等，这在一定程度上增加了现金流的流入。</w:t>
      </w:r>
    </w:p>
    <w:p>
      <w:pPr>
        <w:pStyle w:val="Style16"/>
        <w:keepNext w:val="0"/>
        <w:keepLines w:val="0"/>
        <w:widowControl w:val="0"/>
        <w:numPr>
          <w:ilvl w:val="0"/>
          <w:numId w:val="3"/>
        </w:numPr>
        <w:shd w:val="clear" w:color="auto" w:fill="auto"/>
        <w:tabs>
          <w:tab w:pos="865" w:val="left"/>
        </w:tabs>
        <w:bidi w:val="0"/>
        <w:spacing w:before="0" w:after="0" w:line="472" w:lineRule="exact"/>
        <w:ind w:left="0" w:right="0" w:firstLine="500"/>
        <w:jc w:val="both"/>
      </w:pPr>
      <w:bookmarkStart w:id="97" w:name="bookmark97"/>
      <w:bookmarkEnd w:id="97"/>
      <w:r>
        <w:rPr>
          <w:color w:val="000000"/>
          <w:spacing w:val="0"/>
          <w:w w:val="100"/>
          <w:position w:val="0"/>
        </w:rPr>
        <w:t>应收账款保理融资：为了加强应收账款回收、加快资金周转，报告期内，公司开展了应收账款保理 业务，公司通过保理业务获取银行融资，相当于应收账款提前收回。应收账款保理业务的开展有助于公司 提前收取货款，盘活资金并缓解现金流压力。</w:t>
      </w:r>
    </w:p>
    <w:p>
      <w:pPr>
        <w:pStyle w:val="Style16"/>
        <w:keepNext w:val="0"/>
        <w:keepLines w:val="0"/>
        <w:widowControl w:val="0"/>
        <w:numPr>
          <w:ilvl w:val="0"/>
          <w:numId w:val="3"/>
        </w:numPr>
        <w:shd w:val="clear" w:color="auto" w:fill="auto"/>
        <w:tabs>
          <w:tab w:pos="865" w:val="left"/>
        </w:tabs>
        <w:bidi w:val="0"/>
        <w:spacing w:before="0" w:after="0" w:line="472" w:lineRule="exact"/>
        <w:ind w:left="0" w:right="0" w:firstLine="500"/>
        <w:jc w:val="both"/>
      </w:pPr>
      <w:bookmarkStart w:id="98" w:name="bookmark98"/>
      <w:bookmarkEnd w:id="98"/>
      <w:r>
        <w:rPr>
          <w:color w:val="000000"/>
          <w:spacing w:val="0"/>
          <w:w w:val="100"/>
          <w:position w:val="0"/>
        </w:rPr>
        <w:t>提高上游议价能力：报告期内，公司不断提高对上游供应商议价能力，延长采购款支付期限，从而 减少现金流出。</w:t>
      </w:r>
    </w:p>
    <w:p>
      <w:pPr>
        <w:pStyle w:val="Style16"/>
        <w:keepNext w:val="0"/>
        <w:keepLines w:val="0"/>
        <w:widowControl w:val="0"/>
        <w:numPr>
          <w:ilvl w:val="0"/>
          <w:numId w:val="3"/>
        </w:numPr>
        <w:shd w:val="clear" w:color="auto" w:fill="auto"/>
        <w:tabs>
          <w:tab w:pos="855" w:val="left"/>
        </w:tabs>
        <w:bidi w:val="0"/>
        <w:spacing w:before="0" w:after="0" w:line="472" w:lineRule="exact"/>
        <w:ind w:left="0" w:right="0" w:firstLine="500"/>
        <w:jc w:val="both"/>
      </w:pPr>
      <w:bookmarkStart w:id="99" w:name="bookmark99"/>
      <w:bookmarkEnd w:id="99"/>
      <w:r>
        <w:rPr>
          <w:color w:val="000000"/>
          <w:spacing w:val="0"/>
          <w:w w:val="100"/>
          <w:position w:val="0"/>
        </w:rPr>
        <w:t>应收票据贴现或转让：由于公司应收票据同样具有现金的高流动性，公司可将持有的银行承兑汇票 随时向银行贴现或背书转让，从而增加现金流入。</w:t>
      </w:r>
    </w:p>
    <w:p>
      <w:pPr>
        <w:pStyle w:val="Style16"/>
        <w:keepNext w:val="0"/>
        <w:keepLines w:val="0"/>
        <w:widowControl w:val="0"/>
        <w:shd w:val="clear" w:color="auto" w:fill="auto"/>
        <w:bidi w:val="0"/>
        <w:spacing w:before="0" w:after="0" w:line="485" w:lineRule="exact"/>
        <w:ind w:left="0" w:right="0" w:firstLine="500"/>
        <w:jc w:val="both"/>
      </w:pPr>
      <w:r>
        <w:rPr>
          <w:color w:val="000000"/>
          <w:spacing w:val="0"/>
          <w:w w:val="100"/>
          <w:position w:val="0"/>
        </w:rPr>
        <w:t>报告期，投资活动现金流入同比增加</w:t>
      </w:r>
      <w:r>
        <w:rPr>
          <w:rFonts w:ascii="Times New Roman" w:eastAsia="Times New Roman" w:hAnsi="Times New Roman" w:cs="Times New Roman"/>
          <w:color w:val="000000"/>
          <w:spacing w:val="0"/>
          <w:w w:val="100"/>
          <w:position w:val="0"/>
        </w:rPr>
        <w:t>2,745.12%</w:t>
      </w:r>
      <w:r>
        <w:rPr>
          <w:color w:val="000000"/>
          <w:spacing w:val="0"/>
          <w:w w:val="100"/>
          <w:position w:val="0"/>
        </w:rPr>
        <w:t>，主要是报告期出售可供出售金融资产收到现金增加 所致。</w:t>
      </w:r>
    </w:p>
    <w:p>
      <w:pPr>
        <w:pStyle w:val="Style16"/>
        <w:keepNext w:val="0"/>
        <w:keepLines w:val="0"/>
        <w:widowControl w:val="0"/>
        <w:shd w:val="clear" w:color="auto" w:fill="auto"/>
        <w:bidi w:val="0"/>
        <w:spacing w:before="0" w:after="0" w:line="485" w:lineRule="exact"/>
        <w:ind w:left="0" w:right="0" w:firstLine="500"/>
        <w:jc w:val="both"/>
      </w:pPr>
      <w:r>
        <w:rPr>
          <w:color w:val="000000"/>
          <w:spacing w:val="0"/>
          <w:w w:val="100"/>
          <w:position w:val="0"/>
        </w:rPr>
        <w:t>报告期，投资活动产生的现金流量净额同比变动</w:t>
      </w:r>
      <w:r>
        <w:rPr>
          <w:rFonts w:ascii="Times New Roman" w:eastAsia="Times New Roman" w:hAnsi="Times New Roman" w:cs="Times New Roman"/>
          <w:color w:val="000000"/>
          <w:spacing w:val="0"/>
          <w:w w:val="100"/>
          <w:position w:val="0"/>
        </w:rPr>
        <w:t>210.74%</w:t>
      </w:r>
      <w:r>
        <w:rPr>
          <w:color w:val="000000"/>
          <w:spacing w:val="0"/>
          <w:w w:val="100"/>
          <w:position w:val="0"/>
        </w:rPr>
        <w:t>,主要是由于出售可供出售金融资产导致投 资活动现金流入增加所致。</w:t>
      </w:r>
    </w:p>
    <w:p>
      <w:pPr>
        <w:pStyle w:val="Style16"/>
        <w:keepNext w:val="0"/>
        <w:keepLines w:val="0"/>
        <w:widowControl w:val="0"/>
        <w:shd w:val="clear" w:color="auto" w:fill="auto"/>
        <w:bidi w:val="0"/>
        <w:spacing w:before="0" w:after="40" w:line="475" w:lineRule="exact"/>
        <w:ind w:left="0" w:right="0" w:firstLine="500"/>
        <w:jc w:val="both"/>
      </w:pPr>
      <w:r>
        <w:rPr>
          <w:color w:val="000000"/>
          <w:spacing w:val="0"/>
          <w:w w:val="100"/>
          <w:position w:val="0"/>
        </w:rPr>
        <w:t>报告期内现金及现金等价物净额同比变动</w:t>
      </w:r>
      <w:r>
        <w:rPr>
          <w:rFonts w:ascii="Times New Roman" w:eastAsia="Times New Roman" w:hAnsi="Times New Roman" w:cs="Times New Roman"/>
          <w:color w:val="000000"/>
          <w:spacing w:val="0"/>
          <w:w w:val="100"/>
          <w:position w:val="0"/>
        </w:rPr>
        <w:t>2,863.90%</w:t>
      </w:r>
      <w:r>
        <w:rPr>
          <w:color w:val="000000"/>
          <w:spacing w:val="0"/>
          <w:w w:val="100"/>
          <w:position w:val="0"/>
        </w:rPr>
        <w:t>，主要是报告期内投资活动产生的现金流量净额 同比增加所致。</w:t>
      </w:r>
    </w:p>
    <w:p>
      <w:pPr>
        <w:pStyle w:val="Style16"/>
        <w:keepNext w:val="0"/>
        <w:keepLines w:val="0"/>
        <w:widowControl w:val="0"/>
        <w:shd w:val="clear" w:color="auto" w:fill="auto"/>
        <w:bidi w:val="0"/>
        <w:spacing w:before="0" w:after="260" w:line="470" w:lineRule="exact"/>
        <w:ind w:left="0" w:right="0" w:firstLine="0"/>
        <w:jc w:val="both"/>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报告期内，导致公司经营性现金流与净利润存在差异的主要原因是存货和经营性应收项目与经营性 应付项目的变化幅度不同。</w:t>
      </w:r>
    </w:p>
    <w:p>
      <w:pPr>
        <w:pStyle w:val="Style16"/>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报告期内，公司新增业务订单以及由此带来的原材料采购等快速增长导致经营活动现金流出较快；同 时，公司给予客户宽松的信用政策，销售回款期长，及公司部分客户采用银行承兑汇票进行结算，现金回 笼率较低，公司应收账款和应收票据增加，导致经营活动的现金流入较慢，这与公司所处行业以及公司业 务发展的阶段性特点有关。</w:t>
      </w:r>
    </w:p>
    <w:p>
      <w:pPr>
        <w:pStyle w:val="Style25"/>
        <w:keepNext/>
        <w:keepLines/>
        <w:widowControl w:val="0"/>
        <w:shd w:val="clear" w:color="auto" w:fill="auto"/>
        <w:bidi w:val="0"/>
        <w:spacing w:before="0" w:after="36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三</w:t>
      </w:r>
      <w:bookmarkEnd w:id="102"/>
      <w:r>
        <w:rPr>
          <w:color w:val="000000"/>
          <w:spacing w:val="0"/>
          <w:w w:val="100"/>
          <w:position w:val="0"/>
          <w:sz w:val="24"/>
          <w:szCs w:val="24"/>
        </w:rPr>
        <w:t>、主营业务构成情况</w:t>
      </w:r>
      <w:bookmarkEnd w:id="100"/>
      <w:bookmarkEnd w:id="101"/>
      <w:bookmarkEnd w:id="1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节能大功率电力 电子设备制造业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1,497,530,910.47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894,371,870.05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电能质量与电力 安全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687,145,710.02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403,690,728.42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变频传动与新能 源控制系统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466,785,959.37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285,388,448.50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余热余压节能发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177,209,178.25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135,100,792.27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166,390,062.83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70,191,900.86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1,422,297,201.86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841,250,152.11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75,233,708.61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53,121,717.94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80.95%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w:t>
            </w:r>
          </w:p>
        </w:tc>
      </w:tr>
    </w:tbl>
    <w:p>
      <w:pPr>
        <w:pStyle w:val="Style29"/>
        <w:keepNext w:val="0"/>
        <w:keepLines w:val="0"/>
        <w:widowControl w:val="0"/>
        <w:shd w:val="clear" w:color="auto" w:fill="auto"/>
        <w:bidi w:val="0"/>
        <w:spacing w:before="0" w:after="32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sz w:val="24"/>
          <w:szCs w:val="24"/>
        </w:rPr>
        <w:t>四</w:t>
      </w:r>
      <w:bookmarkEnd w:id="106"/>
      <w:r>
        <w:rPr>
          <w:color w:val="000000"/>
          <w:spacing w:val="0"/>
          <w:w w:val="100"/>
          <w:position w:val="0"/>
          <w:sz w:val="24"/>
          <w:szCs w:val="24"/>
        </w:rPr>
        <w:t>、资产、负债状况分析</w:t>
      </w:r>
      <w:bookmarkEnd w:id="104"/>
      <w:bookmarkEnd w:id="105"/>
      <w:bookmarkEnd w:id="107"/>
    </w:p>
    <w:p>
      <w:pPr>
        <w:pStyle w:val="Style34"/>
        <w:keepNext/>
        <w:keepLines/>
        <w:widowControl w:val="0"/>
        <w:shd w:val="clear" w:color="auto" w:fill="auto"/>
        <w:bidi w:val="0"/>
        <w:spacing w:before="0" w:after="340" w:line="240" w:lineRule="auto"/>
        <w:ind w:left="0" w:right="0" w:firstLine="0"/>
        <w:jc w:val="both"/>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、资产项目重大变动情况</w:t>
      </w:r>
      <w:bookmarkEnd w:id="108"/>
      <w:bookmarkEnd w:id="109"/>
      <w:bookmarkEnd w:id="1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413"/>
        <w:gridCol w:w="648"/>
        <w:gridCol w:w="1200"/>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比重增减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42"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p>
        </w:tc>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776,028,832.3</w:t>
            </w:r>
          </w:p>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802,703,546.33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1,565,351,240.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1,346,980,224.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696,356,662.3</w:t>
            </w:r>
          </w:p>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566,152,867.26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62,232,607.46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50,276,099.76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663,491,660.9</w:t>
            </w:r>
          </w:p>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510,742,018.94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137,237,040.9</w:t>
            </w:r>
          </w:p>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106,420,064.25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报告期内本公司应收账款期末余额较大的原因是：</w:t>
      </w:r>
      <w:r>
        <w:rPr>
          <w:rFonts w:ascii="Times New Roman" w:eastAsia="Times New Roman" w:hAnsi="Times New Roman" w:cs="Times New Roman"/>
          <w:color w:val="000000"/>
          <w:spacing w:val="0"/>
          <w:w w:val="100"/>
          <w:position w:val="0"/>
        </w:rPr>
        <w:t>A.</w:t>
      </w:r>
      <w:r>
        <w:rPr>
          <w:color w:val="000000"/>
          <w:spacing w:val="0"/>
          <w:w w:val="100"/>
          <w:position w:val="0"/>
        </w:rPr>
        <w:t>公司产品主要为大型定制化设备，单笔业务金额 较大，在收入确认后完全收款之前，相应应收账款规模较大。</w:t>
      </w:r>
      <w:r>
        <w:rPr>
          <w:rFonts w:ascii="Times New Roman" w:eastAsia="Times New Roman" w:hAnsi="Times New Roman" w:cs="Times New Roman"/>
          <w:color w:val="000000"/>
          <w:spacing w:val="0"/>
          <w:w w:val="100"/>
          <w:position w:val="0"/>
        </w:rPr>
        <w:t>B.</w:t>
      </w:r>
      <w:r>
        <w:rPr>
          <w:color w:val="000000"/>
          <w:spacing w:val="0"/>
          <w:w w:val="100"/>
          <w:position w:val="0"/>
        </w:rPr>
        <w:t xml:space="preserve">公司产品主要面向冶金、煤炭、发电、有 色金属等基础性行业，该等行业内客户以国有大中型企业居多，内部审批流程相对复杂、付款周期较长。 </w:t>
      </w:r>
      <w:r>
        <w:rPr>
          <w:rFonts w:ascii="Times New Roman" w:eastAsia="Times New Roman" w:hAnsi="Times New Roman" w:cs="Times New Roman"/>
          <w:color w:val="000000"/>
          <w:spacing w:val="0"/>
          <w:w w:val="100"/>
          <w:position w:val="0"/>
        </w:rPr>
        <w:t>C.</w:t>
      </w:r>
      <w:r>
        <w:rPr>
          <w:color w:val="000000"/>
          <w:spacing w:val="0"/>
          <w:w w:val="100"/>
          <w:position w:val="0"/>
        </w:rPr>
        <w:t>公司为进一步开拓市场，实行较为宽松的信用政策，客户付款周期有所延长。</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为了使应收账款的增加不会对公司持续经营构成不利影响。</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公司主要采取了以下措施：</w:t>
      </w:r>
      <w:r>
        <w:rPr>
          <w:rFonts w:ascii="Times New Roman" w:eastAsia="Times New Roman" w:hAnsi="Times New Roman" w:cs="Times New Roman"/>
          <w:color w:val="000000"/>
          <w:spacing w:val="0"/>
          <w:w w:val="100"/>
          <w:position w:val="0"/>
        </w:rPr>
        <w:t>A.</w:t>
      </w:r>
      <w:r>
        <w:rPr>
          <w:color w:val="000000"/>
          <w:spacing w:val="0"/>
          <w:w w:val="100"/>
          <w:position w:val="0"/>
        </w:rPr>
        <w:t>公司对应收账款均按照账龄进行坏账准备的计提，计提方式为</w:t>
      </w:r>
      <w:r>
        <w:rPr>
          <w:rFonts w:ascii="Times New Roman" w:eastAsia="Times New Roman" w:hAnsi="Times New Roman" w:cs="Times New Roman"/>
          <w:color w:val="000000"/>
          <w:spacing w:val="0"/>
          <w:w w:val="100"/>
          <w:position w:val="0"/>
        </w:rPr>
        <w:t>1</w:t>
      </w:r>
      <w:r>
        <w:rPr>
          <w:color w:val="000000"/>
          <w:spacing w:val="0"/>
          <w:w w:val="100"/>
          <w:position w:val="0"/>
        </w:rPr>
        <w:t>年以内</w:t>
      </w:r>
    </w:p>
    <w:p>
      <w:pPr>
        <w:pStyle w:val="Style16"/>
        <w:keepNext w:val="0"/>
        <w:keepLines w:val="0"/>
        <w:widowControl w:val="0"/>
        <w:shd w:val="clear" w:color="auto" w:fill="auto"/>
        <w:bidi w:val="0"/>
        <w:spacing w:before="0" w:after="180" w:line="470" w:lineRule="exact"/>
        <w:ind w:left="0" w:right="0" w:firstLine="0"/>
        <w:jc w:val="both"/>
      </w:pP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年）计提</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年计提</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2-3</w:t>
      </w:r>
      <w:r>
        <w:rPr>
          <w:color w:val="000000"/>
          <w:spacing w:val="0"/>
          <w:w w:val="100"/>
          <w:position w:val="0"/>
        </w:rPr>
        <w:t>年计提</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年以上计提</w:t>
      </w:r>
      <w:r>
        <w:rPr>
          <w:rFonts w:ascii="Times New Roman" w:eastAsia="Times New Roman" w:hAnsi="Times New Roman" w:cs="Times New Roman"/>
          <w:color w:val="000000"/>
          <w:spacing w:val="0"/>
          <w:w w:val="100"/>
          <w:position w:val="0"/>
        </w:rPr>
        <w:t>30%</w:t>
      </w:r>
      <w:r>
        <w:rPr>
          <w:color w:val="000000"/>
          <w:spacing w:val="0"/>
          <w:w w:val="100"/>
          <w:position w:val="0"/>
        </w:rPr>
        <w:t>，并对部分账龄较长预计无法 收回的应收账款</w:t>
      </w:r>
      <w:r>
        <w:rPr>
          <w:rFonts w:ascii="Times New Roman" w:eastAsia="Times New Roman" w:hAnsi="Times New Roman" w:cs="Times New Roman"/>
          <w:color w:val="000000"/>
          <w:spacing w:val="0"/>
          <w:w w:val="100"/>
          <w:position w:val="0"/>
        </w:rPr>
        <w:t>100%</w:t>
      </w:r>
      <w:r>
        <w:rPr>
          <w:color w:val="000000"/>
          <w:spacing w:val="0"/>
          <w:w w:val="100"/>
          <w:position w:val="0"/>
        </w:rPr>
        <w:t>计提了坏账准备。</w:t>
      </w:r>
      <w:r>
        <w:rPr>
          <w:rFonts w:ascii="Times New Roman" w:eastAsia="Times New Roman" w:hAnsi="Times New Roman" w:cs="Times New Roman"/>
          <w:color w:val="000000"/>
          <w:spacing w:val="0"/>
          <w:w w:val="100"/>
          <w:position w:val="0"/>
        </w:rPr>
        <w:t>B.</w:t>
      </w:r>
      <w:r>
        <w:rPr>
          <w:color w:val="000000"/>
          <w:spacing w:val="0"/>
          <w:w w:val="100"/>
          <w:position w:val="0"/>
        </w:rPr>
        <w:t>为了加强应收账款回收、加快资金周转，报告期内公司开展了 应收账款保理业务，公司通过保理业务获取银行融资，相当于应收账款提前收回。应收账款保理业务的开 展有助于公司提前收取货款，盘活和缓解流动资金压力。通过开展应收账款保理业务，一方面可以将账期 较长的应收账款提前收回，从而加快周转；另一方面，公司所开展的保理业务的相关成本及条件相对其他 融资方式（银行借款）较为优惠，可降低公司整体融资成本。</w:t>
      </w:r>
      <w:r>
        <w:rPr>
          <w:rFonts w:ascii="Times New Roman" w:eastAsia="Times New Roman" w:hAnsi="Times New Roman" w:cs="Times New Roman"/>
          <w:color w:val="000000"/>
          <w:spacing w:val="0"/>
          <w:w w:val="100"/>
          <w:position w:val="0"/>
        </w:rPr>
        <w:t>C.</w:t>
      </w:r>
      <w:r>
        <w:rPr>
          <w:color w:val="000000"/>
          <w:spacing w:val="0"/>
          <w:w w:val="100"/>
          <w:position w:val="0"/>
        </w:rPr>
        <w:t>公司已采取加大应收款项催收力度、将客 户回款情况作为关键指标对公司销售人员进行考核等多种措施以缩短销售回款周期等，这将在一定程度上 使公司应收账款增速得到放缓，从而减小公司应收账款持续快速增加对公司盈利能力指标的影响。</w:t>
      </w:r>
    </w:p>
    <w:p>
      <w:pPr>
        <w:pStyle w:val="Style34"/>
        <w:keepNext/>
        <w:keepLines/>
        <w:widowControl w:val="0"/>
        <w:shd w:val="clear" w:color="auto" w:fill="auto"/>
        <w:bidi w:val="0"/>
        <w:spacing w:before="0" w:after="38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、负债项目重大变动情况</w:t>
      </w:r>
      <w:bookmarkEnd w:id="112"/>
      <w:bookmarkEnd w:id="113"/>
      <w:bookmarkEnd w:id="11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1"/>
        <w:gridCol w:w="1200"/>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比重增减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220,030,000.0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3</w:t>
      </w:r>
      <w:bookmarkEnd w:id="118"/>
      <w:r>
        <w:rPr>
          <w:color w:val="000000"/>
          <w:spacing w:val="0"/>
          <w:w w:val="100"/>
          <w:position w:val="0"/>
        </w:rPr>
        <w:t>、以公允价值计量的资产和负债</w:t>
      </w:r>
      <w:bookmarkEnd w:id="116"/>
      <w:bookmarkEnd w:id="117"/>
      <w:bookmarkEnd w:id="11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 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189,808,022.79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189,808,022.79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18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sz w:val="24"/>
          <w:szCs w:val="24"/>
        </w:rPr>
        <w:t>五</w:t>
      </w:r>
      <w:bookmarkEnd w:id="122"/>
      <w:r>
        <w:rPr>
          <w:color w:val="000000"/>
          <w:spacing w:val="0"/>
          <w:w w:val="100"/>
          <w:position w:val="0"/>
          <w:sz w:val="24"/>
          <w:szCs w:val="24"/>
        </w:rPr>
        <w:t>、核心竞争力分析</w:t>
      </w:r>
      <w:bookmarkEnd w:id="120"/>
      <w:bookmarkEnd w:id="121"/>
      <w:bookmarkEnd w:id="123"/>
    </w:p>
    <w:p>
      <w:pPr>
        <w:pStyle w:val="Style16"/>
        <w:keepNext w:val="0"/>
        <w:keepLines w:val="0"/>
        <w:widowControl w:val="0"/>
        <w:shd w:val="clear" w:color="auto" w:fill="auto"/>
        <w:bidi w:val="0"/>
        <w:spacing w:before="0" w:after="300" w:line="468" w:lineRule="exact"/>
        <w:ind w:left="0" w:right="0" w:firstLine="480"/>
        <w:jc w:val="both"/>
      </w:pPr>
      <w:r>
        <w:rPr>
          <w:color w:val="000000"/>
          <w:spacing w:val="0"/>
          <w:w w:val="100"/>
          <w:position w:val="0"/>
        </w:rPr>
        <w:t>公司的竞争优势是立足高端，实施蓝海战略。与国际竞争对手相比，公司的竞争优势主要体现在较高 的产品性价比和及时有效的低成本售后服务。与国内竞争对手相比，公司又具有全面的技术创新能力、完 善的试验和检测设备、领先的生产制造成本和强大的品牌影响力，具体包括如下竞争优势和竞争劣势：</w:t>
      </w:r>
    </w:p>
    <w:p>
      <w:pPr>
        <w:pStyle w:val="Style34"/>
        <w:keepNext/>
        <w:keepLines/>
        <w:widowControl w:val="0"/>
        <w:shd w:val="clear" w:color="auto" w:fill="auto"/>
        <w:bidi w:val="0"/>
        <w:spacing w:before="0" w:after="0" w:line="480" w:lineRule="auto"/>
        <w:ind w:left="0" w:right="0" w:firstLine="440"/>
        <w:jc w:val="both"/>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1</w:t>
      </w:r>
      <w:bookmarkEnd w:id="126"/>
      <w:r>
        <w:rPr>
          <w:color w:val="000000"/>
          <w:spacing w:val="0"/>
          <w:w w:val="100"/>
          <w:position w:val="0"/>
        </w:rPr>
        <w:t>、竞争优势</w:t>
      </w:r>
      <w:bookmarkEnd w:id="124"/>
      <w:bookmarkEnd w:id="125"/>
      <w:bookmarkEnd w:id="127"/>
    </w:p>
    <w:p>
      <w:pPr>
        <w:pStyle w:val="Style16"/>
        <w:keepNext w:val="0"/>
        <w:keepLines w:val="0"/>
        <w:widowControl w:val="0"/>
        <w:shd w:val="clear" w:color="auto" w:fill="auto"/>
        <w:tabs>
          <w:tab w:pos="928" w:val="left"/>
        </w:tabs>
        <w:bidi w:val="0"/>
        <w:spacing w:before="0" w:after="100" w:line="468" w:lineRule="exact"/>
        <w:ind w:left="0" w:right="0" w:firstLine="440"/>
        <w:jc w:val="both"/>
      </w:pPr>
      <w:bookmarkStart w:id="128" w:name="bookmark128"/>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w:t>
        <w:tab/>
        <w:t>品牌与声誉优势</w:t>
      </w:r>
    </w:p>
    <w:p>
      <w:pPr>
        <w:pStyle w:val="Style16"/>
        <w:keepNext w:val="0"/>
        <w:keepLines w:val="0"/>
        <w:widowControl w:val="0"/>
        <w:shd w:val="clear" w:color="auto" w:fill="auto"/>
        <w:bidi w:val="0"/>
        <w:spacing w:before="0" w:after="100" w:line="461"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国内市场份额大，应用量多，在线运行率较高，成为业内具有较强品牌影响力的产品。 公司</w:t>
      </w:r>
      <w:r>
        <w:rPr>
          <w:rFonts w:ascii="Times New Roman" w:eastAsia="Times New Roman" w:hAnsi="Times New Roman" w:cs="Times New Roman"/>
          <w:color w:val="000000"/>
          <w:spacing w:val="0"/>
          <w:w w:val="100"/>
          <w:position w:val="0"/>
        </w:rPr>
        <w:t>HVC</w:t>
      </w:r>
      <w:r>
        <w:rPr>
          <w:color w:val="000000"/>
          <w:spacing w:val="0"/>
          <w:w w:val="100"/>
          <w:position w:val="0"/>
        </w:rPr>
        <w:t>、</w:t>
      </w:r>
      <w:r>
        <w:rPr>
          <w:rFonts w:ascii="Times New Roman" w:eastAsia="Times New Roman" w:hAnsi="Times New Roman" w:cs="Times New Roman"/>
          <w:color w:val="000000"/>
          <w:spacing w:val="0"/>
          <w:w w:val="100"/>
          <w:position w:val="0"/>
        </w:rPr>
        <w:t>MABZ</w:t>
      </w:r>
      <w:r>
        <w:rPr>
          <w:color w:val="000000"/>
          <w:spacing w:val="0"/>
          <w:w w:val="100"/>
          <w:position w:val="0"/>
        </w:rPr>
        <w:t>、</w:t>
      </w:r>
      <w:r>
        <w:rPr>
          <w:rFonts w:ascii="Times New Roman" w:eastAsia="Times New Roman" w:hAnsi="Times New Roman" w:cs="Times New Roman"/>
          <w:color w:val="000000"/>
          <w:spacing w:val="0"/>
          <w:w w:val="100"/>
          <w:position w:val="0"/>
        </w:rPr>
        <w:t>PVVC</w:t>
      </w:r>
      <w:r>
        <w:rPr>
          <w:color w:val="000000"/>
          <w:spacing w:val="0"/>
          <w:w w:val="100"/>
          <w:position w:val="0"/>
        </w:rPr>
        <w:t>、</w:t>
      </w:r>
      <w:r>
        <w:rPr>
          <w:rFonts w:ascii="Times New Roman" w:eastAsia="Times New Roman" w:hAnsi="Times New Roman" w:cs="Times New Roman"/>
          <w:color w:val="000000"/>
          <w:spacing w:val="0"/>
          <w:w w:val="100"/>
          <w:position w:val="0"/>
        </w:rPr>
        <w:t>HVDC</w:t>
      </w:r>
      <w:r>
        <w:rPr>
          <w:color w:val="000000"/>
          <w:spacing w:val="0"/>
          <w:w w:val="100"/>
          <w:position w:val="0"/>
        </w:rPr>
        <w:t>等产品自投放市场以来，正在逐渐成为业内有影响力的品牌。</w:t>
      </w:r>
    </w:p>
    <w:p>
      <w:pPr>
        <w:pStyle w:val="Style16"/>
        <w:keepNext w:val="0"/>
        <w:keepLines w:val="0"/>
        <w:widowControl w:val="0"/>
        <w:shd w:val="clear" w:color="auto" w:fill="auto"/>
        <w:tabs>
          <w:tab w:pos="928" w:val="left"/>
        </w:tabs>
        <w:bidi w:val="0"/>
        <w:spacing w:before="0" w:after="100" w:line="468" w:lineRule="exact"/>
        <w:ind w:left="0" w:right="0" w:firstLine="440"/>
        <w:jc w:val="both"/>
      </w:pPr>
      <w:bookmarkStart w:id="129" w:name="bookmark129"/>
      <w:r>
        <w:rPr>
          <w:color w:val="000000"/>
          <w:spacing w:val="0"/>
          <w:w w:val="100"/>
          <w:position w:val="0"/>
        </w:rPr>
        <w:t>（</w:t>
      </w:r>
      <w:bookmarkEnd w:id="129"/>
      <w:r>
        <w:rPr>
          <w:rFonts w:ascii="Times New Roman" w:eastAsia="Times New Roman" w:hAnsi="Times New Roman" w:cs="Times New Roman"/>
          <w:color w:val="000000"/>
          <w:spacing w:val="0"/>
          <w:w w:val="100"/>
          <w:position w:val="0"/>
        </w:rPr>
        <w:t>2</w:t>
      </w:r>
      <w:r>
        <w:rPr>
          <w:color w:val="000000"/>
          <w:spacing w:val="0"/>
          <w:w w:val="100"/>
          <w:position w:val="0"/>
        </w:rPr>
        <w:t>）</w:t>
        <w:tab/>
        <w:t>研发与创新能力优势</w:t>
      </w:r>
    </w:p>
    <w:p>
      <w:pPr>
        <w:pStyle w:val="Style16"/>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公司具有国内同行业中较为全面的技术创新能力，同时拥有</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w:t>
      </w:r>
      <w:r>
        <w:rPr>
          <w:rFonts w:ascii="Times New Roman" w:eastAsia="Times New Roman" w:hAnsi="Times New Roman" w:cs="Times New Roman"/>
          <w:color w:val="000000"/>
          <w:spacing w:val="0"/>
          <w:w w:val="100"/>
          <w:position w:val="0"/>
        </w:rPr>
        <w:t>HVC</w:t>
      </w:r>
      <w:r>
        <w:rPr>
          <w:color w:val="000000"/>
          <w:spacing w:val="0"/>
          <w:w w:val="100"/>
          <w:position w:val="0"/>
        </w:rPr>
        <w:t>、</w:t>
      </w:r>
      <w:r>
        <w:rPr>
          <w:rFonts w:ascii="Times New Roman" w:eastAsia="Times New Roman" w:hAnsi="Times New Roman" w:cs="Times New Roman"/>
          <w:color w:val="000000"/>
          <w:spacing w:val="0"/>
          <w:w w:val="100"/>
          <w:position w:val="0"/>
        </w:rPr>
        <w:t>MABZ</w:t>
      </w:r>
      <w:r>
        <w:rPr>
          <w:color w:val="000000"/>
          <w:spacing w:val="0"/>
          <w:w w:val="100"/>
          <w:position w:val="0"/>
        </w:rPr>
        <w:t>、</w:t>
      </w:r>
      <w:r>
        <w:rPr>
          <w:rFonts w:ascii="Times New Roman" w:eastAsia="Times New Roman" w:hAnsi="Times New Roman" w:cs="Times New Roman"/>
          <w:color w:val="000000"/>
          <w:spacing w:val="0"/>
          <w:w w:val="100"/>
          <w:position w:val="0"/>
        </w:rPr>
        <w:t>PVVC</w:t>
      </w:r>
      <w:r>
        <w:rPr>
          <w:color w:val="000000"/>
          <w:spacing w:val="0"/>
          <w:w w:val="100"/>
          <w:position w:val="0"/>
        </w:rPr>
        <w:t>、</w:t>
      </w:r>
      <w:r>
        <w:rPr>
          <w:rFonts w:ascii="Times New Roman" w:eastAsia="Times New Roman" w:hAnsi="Times New Roman" w:cs="Times New Roman"/>
          <w:color w:val="000000"/>
          <w:spacing w:val="0"/>
          <w:w w:val="100"/>
          <w:position w:val="0"/>
        </w:rPr>
        <w:t xml:space="preserve">HVDC </w:t>
      </w:r>
      <w:r>
        <w:rPr>
          <w:color w:val="000000"/>
          <w:spacing w:val="0"/>
          <w:w w:val="100"/>
          <w:position w:val="0"/>
        </w:rPr>
        <w:t>等产品与技术。公司连续多年被认定为国家规划布局内重点软件企业，</w:t>
      </w:r>
      <w:r>
        <w:rPr>
          <w:rFonts w:ascii="Times New Roman" w:eastAsia="Times New Roman" w:hAnsi="Times New Roman" w:cs="Times New Roman"/>
          <w:color w:val="000000"/>
          <w:spacing w:val="0"/>
          <w:w w:val="100"/>
          <w:position w:val="0"/>
        </w:rPr>
        <w:t>2011</w:t>
      </w:r>
      <w:r>
        <w:rPr>
          <w:color w:val="000000"/>
          <w:spacing w:val="0"/>
          <w:w w:val="100"/>
          <w:position w:val="0"/>
        </w:rPr>
        <w:t>年被认定为高新技术企业，是 首部</w:t>
      </w:r>
      <w:r>
        <w:rPr>
          <w:rFonts w:ascii="Times New Roman" w:eastAsia="Times New Roman" w:hAnsi="Times New Roman" w:cs="Times New Roman"/>
          <w:color w:val="000000"/>
          <w:spacing w:val="0"/>
          <w:w w:val="100"/>
          <w:position w:val="0"/>
        </w:rPr>
        <w:t>SVC</w:t>
      </w:r>
      <w:r>
        <w:rPr>
          <w:color w:val="000000"/>
          <w:spacing w:val="0"/>
          <w:w w:val="100"/>
          <w:position w:val="0"/>
        </w:rPr>
        <w:t>国家标准主要起草单位，先后获得</w:t>
      </w:r>
      <w:r>
        <w:rPr>
          <w:rFonts w:ascii="Times New Roman" w:eastAsia="Times New Roman" w:hAnsi="Times New Roman" w:cs="Times New Roman"/>
          <w:color w:val="000000"/>
          <w:spacing w:val="0"/>
          <w:w w:val="100"/>
          <w:position w:val="0"/>
        </w:rPr>
        <w:t>334</w:t>
      </w:r>
      <w:r>
        <w:rPr>
          <w:color w:val="000000"/>
          <w:spacing w:val="0"/>
          <w:w w:val="100"/>
          <w:position w:val="0"/>
        </w:rPr>
        <w:t>项专利和</w:t>
      </w:r>
      <w:r>
        <w:rPr>
          <w:rFonts w:ascii="Times New Roman" w:eastAsia="Times New Roman" w:hAnsi="Times New Roman" w:cs="Times New Roman"/>
          <w:color w:val="000000"/>
          <w:spacing w:val="0"/>
          <w:w w:val="100"/>
          <w:position w:val="0"/>
        </w:rPr>
        <w:t>102</w:t>
      </w:r>
      <w:r>
        <w:rPr>
          <w:color w:val="000000"/>
          <w:spacing w:val="0"/>
          <w:w w:val="100"/>
          <w:position w:val="0"/>
        </w:rPr>
        <w:t>项软件著作权。公司自成立以来，承担了多项 国家级项目，包括：国家重点工业性试验项目</w:t>
      </w:r>
      <w:r>
        <w:rPr>
          <w:rFonts w:ascii="Times New Roman" w:eastAsia="Times New Roman" w:hAnsi="Times New Roman" w:cs="Times New Roman"/>
          <w:color w:val="000000"/>
          <w:spacing w:val="0"/>
          <w:w w:val="100"/>
          <w:position w:val="0"/>
        </w:rPr>
        <w:t>1</w:t>
      </w:r>
      <w:r>
        <w:rPr>
          <w:color w:val="000000"/>
          <w:spacing w:val="0"/>
          <w:w w:val="100"/>
          <w:position w:val="0"/>
        </w:rPr>
        <w:t>项、国家高技术产业化专项</w:t>
      </w:r>
      <w:r>
        <w:rPr>
          <w:rFonts w:ascii="Times New Roman" w:eastAsia="Times New Roman" w:hAnsi="Times New Roman" w:cs="Times New Roman"/>
          <w:color w:val="000000"/>
          <w:spacing w:val="0"/>
          <w:w w:val="100"/>
          <w:position w:val="0"/>
        </w:rPr>
        <w:t>2</w:t>
      </w:r>
      <w:r>
        <w:rPr>
          <w:color w:val="000000"/>
          <w:spacing w:val="0"/>
          <w:w w:val="100"/>
          <w:position w:val="0"/>
        </w:rPr>
        <w:t>项、国家高技术产业化推广项 目</w:t>
      </w:r>
      <w:r>
        <w:rPr>
          <w:rFonts w:ascii="Times New Roman" w:eastAsia="Times New Roman" w:hAnsi="Times New Roman" w:cs="Times New Roman"/>
          <w:color w:val="000000"/>
          <w:spacing w:val="0"/>
          <w:w w:val="100"/>
          <w:position w:val="0"/>
        </w:rPr>
        <w:t>1</w:t>
      </w:r>
      <w:r>
        <w:rPr>
          <w:color w:val="000000"/>
          <w:spacing w:val="0"/>
          <w:w w:val="100"/>
          <w:position w:val="0"/>
        </w:rPr>
        <w:t>项、国家火炬计划</w:t>
      </w:r>
      <w:r>
        <w:rPr>
          <w:rFonts w:ascii="Times New Roman" w:eastAsia="Times New Roman" w:hAnsi="Times New Roman" w:cs="Times New Roman"/>
          <w:color w:val="000000"/>
          <w:spacing w:val="0"/>
          <w:w w:val="100"/>
          <w:position w:val="0"/>
        </w:rPr>
        <w:t>4</w:t>
      </w:r>
      <w:r>
        <w:rPr>
          <w:color w:val="000000"/>
          <w:spacing w:val="0"/>
          <w:w w:val="100"/>
          <w:position w:val="0"/>
        </w:rPr>
        <w:t>项、国家重大技术装备国产化项目</w:t>
      </w:r>
      <w:r>
        <w:rPr>
          <w:rFonts w:ascii="Times New Roman" w:eastAsia="Times New Roman" w:hAnsi="Times New Roman" w:cs="Times New Roman"/>
          <w:color w:val="000000"/>
          <w:spacing w:val="0"/>
          <w:w w:val="100"/>
          <w:position w:val="0"/>
        </w:rPr>
        <w:t>1</w:t>
      </w:r>
      <w:r>
        <w:rPr>
          <w:color w:val="000000"/>
          <w:spacing w:val="0"/>
          <w:w w:val="100"/>
          <w:position w:val="0"/>
        </w:rPr>
        <w:t>项、国家重点新产品</w:t>
      </w:r>
      <w:r>
        <w:rPr>
          <w:rFonts w:ascii="Times New Roman" w:eastAsia="Times New Roman" w:hAnsi="Times New Roman" w:cs="Times New Roman"/>
          <w:color w:val="000000"/>
          <w:spacing w:val="0"/>
          <w:w w:val="100"/>
          <w:position w:val="0"/>
        </w:rPr>
        <w:t>6</w:t>
      </w:r>
      <w:r>
        <w:rPr>
          <w:color w:val="000000"/>
          <w:spacing w:val="0"/>
          <w:w w:val="100"/>
          <w:position w:val="0"/>
        </w:rPr>
        <w:t>项、国家中小企业创新基 金项目</w:t>
      </w:r>
      <w:r>
        <w:rPr>
          <w:rFonts w:ascii="Times New Roman" w:eastAsia="Times New Roman" w:hAnsi="Times New Roman" w:cs="Times New Roman"/>
          <w:color w:val="000000"/>
          <w:spacing w:val="0"/>
          <w:w w:val="100"/>
          <w:position w:val="0"/>
        </w:rPr>
        <w:t>3</w:t>
      </w:r>
      <w:r>
        <w:rPr>
          <w:color w:val="000000"/>
          <w:spacing w:val="0"/>
          <w:w w:val="100"/>
          <w:position w:val="0"/>
        </w:rPr>
        <w:t>项。</w:t>
      </w:r>
    </w:p>
    <w:p>
      <w:pPr>
        <w:pStyle w:val="Style16"/>
        <w:keepNext w:val="0"/>
        <w:keepLines w:val="0"/>
        <w:widowControl w:val="0"/>
        <w:shd w:val="clear" w:color="auto" w:fill="auto"/>
        <w:tabs>
          <w:tab w:pos="988" w:val="left"/>
        </w:tabs>
        <w:bidi w:val="0"/>
        <w:spacing w:before="0" w:after="100" w:line="469" w:lineRule="exact"/>
        <w:ind w:left="0" w:right="0" w:firstLine="500"/>
        <w:jc w:val="both"/>
      </w:pPr>
      <w:bookmarkStart w:id="130" w:name="bookmark130"/>
      <w:r>
        <w:rPr>
          <w:color w:val="000000"/>
          <w:spacing w:val="0"/>
          <w:w w:val="100"/>
          <w:position w:val="0"/>
        </w:rPr>
        <w:t>（</w:t>
      </w:r>
      <w:bookmarkEnd w:id="130"/>
      <w:r>
        <w:rPr>
          <w:rFonts w:ascii="Times New Roman" w:eastAsia="Times New Roman" w:hAnsi="Times New Roman" w:cs="Times New Roman"/>
          <w:color w:val="000000"/>
          <w:spacing w:val="0"/>
          <w:w w:val="100"/>
          <w:position w:val="0"/>
        </w:rPr>
        <w:t>3</w:t>
      </w:r>
      <w:r>
        <w:rPr>
          <w:color w:val="000000"/>
          <w:spacing w:val="0"/>
          <w:w w:val="100"/>
          <w:position w:val="0"/>
        </w:rPr>
        <w:t>）</w:t>
        <w:tab/>
        <w:t>专用试验检测设备与质量控制优势</w:t>
      </w:r>
    </w:p>
    <w:p>
      <w:pPr>
        <w:pStyle w:val="Style16"/>
        <w:keepNext w:val="0"/>
        <w:keepLines w:val="0"/>
        <w:widowControl w:val="0"/>
        <w:shd w:val="clear" w:color="auto" w:fill="auto"/>
        <w:bidi w:val="0"/>
        <w:spacing w:before="0" w:after="100" w:line="466" w:lineRule="exact"/>
        <w:ind w:left="0" w:right="0" w:firstLine="500"/>
        <w:jc w:val="both"/>
      </w:pPr>
      <w:r>
        <w:rPr>
          <w:color w:val="000000"/>
          <w:spacing w:val="0"/>
          <w:w w:val="100"/>
          <w:position w:val="0"/>
        </w:rPr>
        <w:t>公司拥有齐全的系列专业试验检测设备，包括：</w:t>
      </w:r>
      <w:r>
        <w:rPr>
          <w:rFonts w:ascii="Times New Roman" w:eastAsia="Times New Roman" w:hAnsi="Times New Roman" w:cs="Times New Roman"/>
          <w:color w:val="000000"/>
          <w:spacing w:val="0"/>
          <w:w w:val="100"/>
          <w:position w:val="0"/>
        </w:rPr>
        <w:t>SVC</w:t>
      </w:r>
      <w:r>
        <w:rPr>
          <w:color w:val="000000"/>
          <w:spacing w:val="0"/>
          <w:w w:val="100"/>
          <w:position w:val="0"/>
        </w:rPr>
        <w:t>高压全载试验检测中心</w:t>
      </w:r>
      <w:r>
        <w:rPr>
          <w:color w:val="000000"/>
          <w:spacing w:val="0"/>
          <w:w w:val="100"/>
          <w:position w:val="0"/>
        </w:rPr>
        <w:t>（</w:t>
      </w:r>
      <w:r>
        <w:rPr>
          <w:rFonts w:ascii="Times New Roman" w:eastAsia="Times New Roman" w:hAnsi="Times New Roman" w:cs="Times New Roman"/>
          <w:color w:val="000000"/>
          <w:spacing w:val="0"/>
          <w:w w:val="100"/>
          <w:position w:val="0"/>
        </w:rPr>
        <w:t>66/10000A</w:t>
      </w:r>
      <w:r>
        <w:rPr>
          <w:color w:val="000000"/>
          <w:spacing w:val="0"/>
          <w:w w:val="100"/>
          <w:position w:val="0"/>
        </w:rPr>
        <w:t>）、</w:t>
      </w:r>
      <w:r>
        <w:rPr>
          <w:rFonts w:ascii="Times New Roman" w:eastAsia="Times New Roman" w:hAnsi="Times New Roman" w:cs="Times New Roman"/>
          <w:color w:val="000000"/>
          <w:spacing w:val="0"/>
          <w:w w:val="100"/>
          <w:position w:val="0"/>
        </w:rPr>
        <w:t>HVC</w:t>
      </w:r>
      <w:r>
        <w:rPr>
          <w:color w:val="000000"/>
          <w:spacing w:val="0"/>
          <w:w w:val="100"/>
          <w:position w:val="0"/>
        </w:rPr>
        <w:t>高 压全载试验检测中心</w:t>
      </w:r>
      <w:r>
        <w:rPr>
          <w:color w:val="000000"/>
          <w:spacing w:val="0"/>
          <w:w w:val="100"/>
          <w:position w:val="0"/>
        </w:rPr>
        <w:t>（</w:t>
      </w:r>
      <w:r>
        <w:rPr>
          <w:rFonts w:ascii="Times New Roman" w:eastAsia="Times New Roman" w:hAnsi="Times New Roman" w:cs="Times New Roman"/>
          <w:color w:val="000000"/>
          <w:spacing w:val="0"/>
          <w:w w:val="100"/>
          <w:position w:val="0"/>
        </w:rPr>
        <w:t>10/2500KW</w:t>
      </w:r>
      <w:r>
        <w:rPr>
          <w:color w:val="000000"/>
          <w:spacing w:val="0"/>
          <w:w w:val="100"/>
          <w:position w:val="0"/>
        </w:rPr>
        <w:t>）、试验电源系统</w:t>
      </w:r>
      <w:r>
        <w:rPr>
          <w:color w:val="000000"/>
          <w:spacing w:val="0"/>
          <w:w w:val="100"/>
          <w:position w:val="0"/>
        </w:rPr>
        <w:t>（</w:t>
      </w:r>
      <w:r>
        <w:rPr>
          <w:rFonts w:ascii="Times New Roman" w:eastAsia="Times New Roman" w:hAnsi="Times New Roman" w:cs="Times New Roman"/>
          <w:color w:val="000000"/>
          <w:spacing w:val="0"/>
          <w:w w:val="100"/>
          <w:position w:val="0"/>
        </w:rPr>
        <w:t>66/16000A</w:t>
      </w:r>
      <w:r>
        <w:rPr>
          <w:color w:val="000000"/>
          <w:spacing w:val="0"/>
          <w:w w:val="100"/>
          <w:position w:val="0"/>
        </w:rPr>
        <w:t>）</w:t>
      </w:r>
      <w:r>
        <w:rPr>
          <w:color w:val="000000"/>
          <w:spacing w:val="0"/>
          <w:w w:val="100"/>
          <w:position w:val="0"/>
        </w:rPr>
        <w:t>、光伏逆变器全载试验检测中心等。 公司为行业内最早通过</w:t>
      </w:r>
      <w:r>
        <w:rPr>
          <w:rFonts w:ascii="Times New Roman" w:eastAsia="Times New Roman" w:hAnsi="Times New Roman" w:cs="Times New Roman"/>
          <w:color w:val="000000"/>
          <w:spacing w:val="0"/>
          <w:w w:val="100"/>
          <w:position w:val="0"/>
        </w:rPr>
        <w:t>IS09001</w:t>
      </w:r>
      <w:r>
        <w:rPr>
          <w:color w:val="000000"/>
          <w:spacing w:val="0"/>
          <w:w w:val="100"/>
          <w:position w:val="0"/>
        </w:rPr>
        <w:t>专业认证（</w:t>
      </w:r>
      <w:r>
        <w:rPr>
          <w:rFonts w:ascii="Times New Roman" w:eastAsia="Times New Roman" w:hAnsi="Times New Roman" w:cs="Times New Roman"/>
          <w:color w:val="000000"/>
          <w:spacing w:val="0"/>
          <w:w w:val="100"/>
          <w:position w:val="0"/>
        </w:rPr>
        <w:t>2000</w:t>
      </w:r>
      <w:r>
        <w:rPr>
          <w:color w:val="000000"/>
          <w:spacing w:val="0"/>
          <w:w w:val="100"/>
          <w:position w:val="0"/>
        </w:rPr>
        <w:t>年，瑞士</w:t>
      </w:r>
      <w:r>
        <w:rPr>
          <w:rFonts w:ascii="Times New Roman" w:eastAsia="Times New Roman" w:hAnsi="Times New Roman" w:cs="Times New Roman"/>
          <w:color w:val="000000"/>
          <w:spacing w:val="0"/>
          <w:w w:val="100"/>
          <w:position w:val="0"/>
        </w:rPr>
        <w:t>SGS</w:t>
      </w:r>
      <w:r>
        <w:rPr>
          <w:color w:val="000000"/>
          <w:spacing w:val="0"/>
          <w:w w:val="100"/>
          <w:position w:val="0"/>
        </w:rPr>
        <w:t>认证）的公司，采用国际标准</w:t>
      </w:r>
      <w:r>
        <w:rPr>
          <w:rFonts w:ascii="Times New Roman" w:eastAsia="Times New Roman" w:hAnsi="Times New Roman" w:cs="Times New Roman"/>
          <w:color w:val="000000"/>
          <w:spacing w:val="0"/>
          <w:w w:val="100"/>
          <w:position w:val="0"/>
        </w:rPr>
        <w:t>IEC</w:t>
      </w:r>
      <w:r>
        <w:rPr>
          <w:color w:val="000000"/>
          <w:spacing w:val="0"/>
          <w:w w:val="100"/>
          <w:position w:val="0"/>
        </w:rPr>
        <w:t>、</w:t>
      </w:r>
      <w:r>
        <w:rPr>
          <w:rFonts w:ascii="Times New Roman" w:eastAsia="Times New Roman" w:hAnsi="Times New Roman" w:cs="Times New Roman"/>
          <w:color w:val="000000"/>
          <w:spacing w:val="0"/>
          <w:w w:val="100"/>
          <w:position w:val="0"/>
        </w:rPr>
        <w:t>IEEE</w:t>
      </w:r>
      <w:r>
        <w:rPr>
          <w:color w:val="000000"/>
          <w:spacing w:val="0"/>
          <w:w w:val="100"/>
          <w:position w:val="0"/>
        </w:rPr>
        <w:t xml:space="preserve">制造 </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2005</w:t>
      </w:r>
      <w:r>
        <w:rPr>
          <w:color w:val="000000"/>
          <w:spacing w:val="0"/>
          <w:w w:val="100"/>
          <w:position w:val="0"/>
        </w:rPr>
        <w:t>年，国际标准认证证书），并于</w:t>
      </w:r>
      <w:r>
        <w:rPr>
          <w:rFonts w:ascii="Times New Roman" w:eastAsia="Times New Roman" w:hAnsi="Times New Roman" w:cs="Times New Roman"/>
          <w:color w:val="000000"/>
          <w:spacing w:val="0"/>
          <w:w w:val="100"/>
          <w:position w:val="0"/>
        </w:rPr>
        <w:t>2010</w:t>
      </w:r>
      <w:r>
        <w:rPr>
          <w:color w:val="000000"/>
          <w:spacing w:val="0"/>
          <w:w w:val="100"/>
          <w:position w:val="0"/>
        </w:rPr>
        <w:t>年取得金太阳认证及</w:t>
      </w:r>
      <w:r>
        <w:rPr>
          <w:rFonts w:ascii="Times New Roman" w:eastAsia="Times New Roman" w:hAnsi="Times New Roman" w:cs="Times New Roman"/>
          <w:color w:val="000000"/>
          <w:spacing w:val="0"/>
          <w:w w:val="100"/>
          <w:position w:val="0"/>
        </w:rPr>
        <w:t>TUV</w:t>
      </w:r>
      <w:r>
        <w:rPr>
          <w:color w:val="000000"/>
          <w:spacing w:val="0"/>
          <w:w w:val="100"/>
          <w:position w:val="0"/>
        </w:rPr>
        <w:t>认证。</w:t>
      </w:r>
    </w:p>
    <w:p>
      <w:pPr>
        <w:pStyle w:val="Style16"/>
        <w:keepNext w:val="0"/>
        <w:keepLines w:val="0"/>
        <w:widowControl w:val="0"/>
        <w:shd w:val="clear" w:color="auto" w:fill="auto"/>
        <w:tabs>
          <w:tab w:pos="988" w:val="left"/>
        </w:tabs>
        <w:bidi w:val="0"/>
        <w:spacing w:before="0" w:after="100" w:line="469" w:lineRule="exact"/>
        <w:ind w:left="0" w:right="0" w:firstLine="500"/>
        <w:jc w:val="both"/>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技术支持与服务能力优势</w:t>
      </w:r>
    </w:p>
    <w:p>
      <w:pPr>
        <w:pStyle w:val="Style16"/>
        <w:keepNext w:val="0"/>
        <w:keepLines w:val="0"/>
        <w:widowControl w:val="0"/>
        <w:shd w:val="clear" w:color="auto" w:fill="auto"/>
        <w:bidi w:val="0"/>
        <w:spacing w:before="0" w:after="320" w:line="472" w:lineRule="exact"/>
        <w:ind w:left="0" w:right="0" w:firstLine="500"/>
        <w:jc w:val="both"/>
      </w:pPr>
      <w:r>
        <w:rPr>
          <w:color w:val="000000"/>
          <w:spacing w:val="0"/>
          <w:w w:val="100"/>
          <w:position w:val="0"/>
        </w:rPr>
        <w:t>公司在业内率先建立专业技术支持流程，可为用户提供最优的一体化解决方案。公司建立了</w:t>
      </w:r>
      <w:r>
        <w:rPr>
          <w:rFonts w:ascii="Times New Roman" w:eastAsia="Times New Roman" w:hAnsi="Times New Roman" w:cs="Times New Roman"/>
          <w:color w:val="000000"/>
          <w:spacing w:val="0"/>
          <w:w w:val="100"/>
          <w:position w:val="0"/>
        </w:rPr>
        <w:t>2</w:t>
      </w:r>
      <w:r>
        <w:rPr>
          <w:color w:val="000000"/>
          <w:spacing w:val="0"/>
          <w:w w:val="100"/>
          <w:position w:val="0"/>
        </w:rPr>
        <w:t>小时反 应、</w:t>
      </w:r>
      <w:r>
        <w:rPr>
          <w:rFonts w:ascii="Times New Roman" w:eastAsia="Times New Roman" w:hAnsi="Times New Roman" w:cs="Times New Roman"/>
          <w:color w:val="000000"/>
          <w:spacing w:val="0"/>
          <w:w w:val="100"/>
          <w:position w:val="0"/>
        </w:rPr>
        <w:t>24</w:t>
      </w:r>
      <w:r>
        <w:rPr>
          <w:color w:val="000000"/>
          <w:spacing w:val="0"/>
          <w:w w:val="100"/>
          <w:position w:val="0"/>
        </w:rPr>
        <w:t>小时到现场、</w:t>
      </w:r>
      <w:r>
        <w:rPr>
          <w:rFonts w:ascii="Times New Roman" w:eastAsia="Times New Roman" w:hAnsi="Times New Roman" w:cs="Times New Roman"/>
          <w:color w:val="000000"/>
          <w:spacing w:val="0"/>
          <w:w w:val="100"/>
          <w:position w:val="0"/>
        </w:rPr>
        <w:t>48</w:t>
      </w:r>
      <w:r>
        <w:rPr>
          <w:color w:val="000000"/>
          <w:spacing w:val="0"/>
          <w:w w:val="100"/>
          <w:position w:val="0"/>
        </w:rPr>
        <w:t>小时解决问题的保证机制，独家建立了远程数字监控与支持系统，为用户产品的运 行提供远端（公司总部）实时诊断、趋势判断、参数调整、现场指导等一系列技术支持，极大地缩短了设 备维修时间，降低了维修支出成本。</w:t>
      </w:r>
    </w:p>
    <w:p>
      <w:pPr>
        <w:pStyle w:val="Style34"/>
        <w:keepNext/>
        <w:keepLines/>
        <w:widowControl w:val="0"/>
        <w:shd w:val="clear" w:color="auto" w:fill="auto"/>
        <w:bidi w:val="0"/>
        <w:spacing w:before="0" w:after="0" w:line="480" w:lineRule="auto"/>
        <w:ind w:left="0" w:right="0" w:firstLine="580"/>
        <w:jc w:val="both"/>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2</w:t>
      </w:r>
      <w:bookmarkEnd w:id="134"/>
      <w:r>
        <w:rPr>
          <w:color w:val="000000"/>
          <w:spacing w:val="0"/>
          <w:w w:val="100"/>
          <w:position w:val="0"/>
        </w:rPr>
        <w:t>、竞争劣势</w:t>
      </w:r>
      <w:bookmarkEnd w:id="132"/>
      <w:bookmarkEnd w:id="133"/>
      <w:bookmarkEnd w:id="135"/>
    </w:p>
    <w:p>
      <w:pPr>
        <w:pStyle w:val="Style16"/>
        <w:keepNext w:val="0"/>
        <w:keepLines w:val="0"/>
        <w:widowControl w:val="0"/>
        <w:shd w:val="clear" w:color="auto" w:fill="auto"/>
        <w:tabs>
          <w:tab w:pos="988" w:val="left"/>
        </w:tabs>
        <w:bidi w:val="0"/>
        <w:spacing w:before="0" w:after="100" w:line="469" w:lineRule="exact"/>
        <w:ind w:left="0" w:right="0" w:firstLine="500"/>
        <w:jc w:val="both"/>
      </w:pPr>
      <w:bookmarkStart w:id="136" w:name="bookmark136"/>
      <w:r>
        <w:rPr>
          <w:color w:val="000000"/>
          <w:spacing w:val="0"/>
          <w:w w:val="100"/>
          <w:position w:val="0"/>
        </w:rPr>
        <w:t>（</w:t>
      </w:r>
      <w:bookmarkEnd w:id="136"/>
      <w:r>
        <w:rPr>
          <w:rFonts w:ascii="Times New Roman" w:eastAsia="Times New Roman" w:hAnsi="Times New Roman" w:cs="Times New Roman"/>
          <w:color w:val="000000"/>
          <w:spacing w:val="0"/>
          <w:w w:val="100"/>
          <w:position w:val="0"/>
        </w:rPr>
        <w:t>1</w:t>
      </w:r>
      <w:r>
        <w:rPr>
          <w:color w:val="000000"/>
          <w:spacing w:val="0"/>
          <w:w w:val="100"/>
          <w:position w:val="0"/>
        </w:rPr>
        <w:t>）</w:t>
        <w:tab/>
        <w:t>国际品牌尚未建立，影响国际市场的开拓</w:t>
      </w:r>
    </w:p>
    <w:p>
      <w:pPr>
        <w:pStyle w:val="Style16"/>
        <w:keepNext w:val="0"/>
        <w:keepLines w:val="0"/>
        <w:widowControl w:val="0"/>
        <w:shd w:val="clear" w:color="auto" w:fill="auto"/>
        <w:bidi w:val="0"/>
        <w:spacing w:before="0" w:after="100" w:line="469"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等产品自</w:t>
      </w:r>
      <w:r>
        <w:rPr>
          <w:rFonts w:ascii="Times New Roman" w:eastAsia="Times New Roman" w:hAnsi="Times New Roman" w:cs="Times New Roman"/>
          <w:color w:val="000000"/>
          <w:spacing w:val="0"/>
          <w:w w:val="100"/>
          <w:position w:val="0"/>
        </w:rPr>
        <w:t>2006</w:t>
      </w:r>
      <w:r>
        <w:rPr>
          <w:color w:val="000000"/>
          <w:spacing w:val="0"/>
          <w:w w:val="100"/>
          <w:position w:val="0"/>
        </w:rPr>
        <w:t>年开始进入国际市场，时间较短，公司产品在国际市场的知名度还较低。</w:t>
      </w:r>
    </w:p>
    <w:p>
      <w:pPr>
        <w:pStyle w:val="Style16"/>
        <w:keepNext w:val="0"/>
        <w:keepLines w:val="0"/>
        <w:widowControl w:val="0"/>
        <w:shd w:val="clear" w:color="auto" w:fill="auto"/>
        <w:tabs>
          <w:tab w:pos="988" w:val="left"/>
        </w:tabs>
        <w:bidi w:val="0"/>
        <w:spacing w:before="0" w:after="100" w:line="469" w:lineRule="exact"/>
        <w:ind w:left="0" w:right="0" w:firstLine="500"/>
        <w:jc w:val="both"/>
      </w:pPr>
      <w:bookmarkStart w:id="137" w:name="bookmark137"/>
      <w:r>
        <w:rPr>
          <w:color w:val="000000"/>
          <w:spacing w:val="0"/>
          <w:w w:val="100"/>
          <w:position w:val="0"/>
        </w:rPr>
        <w:t>（</w:t>
      </w:r>
      <w:bookmarkEnd w:id="137"/>
      <w:r>
        <w:rPr>
          <w:rFonts w:ascii="Times New Roman" w:eastAsia="Times New Roman" w:hAnsi="Times New Roman" w:cs="Times New Roman"/>
          <w:color w:val="000000"/>
          <w:spacing w:val="0"/>
          <w:w w:val="100"/>
          <w:position w:val="0"/>
        </w:rPr>
        <w:t>2</w:t>
      </w:r>
      <w:r>
        <w:rPr>
          <w:color w:val="000000"/>
          <w:spacing w:val="0"/>
          <w:w w:val="100"/>
          <w:position w:val="0"/>
        </w:rPr>
        <w:t>）</w:t>
        <w:tab/>
        <w:t>电网领域影响力较弱，影响电力市场开拓</w:t>
      </w:r>
    </w:p>
    <w:p>
      <w:pPr>
        <w:pStyle w:val="Style16"/>
        <w:keepNext w:val="0"/>
        <w:keepLines w:val="0"/>
        <w:widowControl w:val="0"/>
        <w:shd w:val="clear" w:color="auto" w:fill="auto"/>
        <w:bidi w:val="0"/>
        <w:spacing w:before="0" w:after="100" w:line="475" w:lineRule="exact"/>
        <w:ind w:left="0" w:right="0" w:firstLine="500"/>
        <w:jc w:val="both"/>
      </w:pPr>
      <w:r>
        <w:rPr>
          <w:color w:val="000000"/>
          <w:spacing w:val="0"/>
          <w:w w:val="100"/>
          <w:position w:val="0"/>
        </w:rPr>
        <w:t>虽然公司凭借较强的技术实力，</w:t>
      </w:r>
      <w:r>
        <w:rPr>
          <w:rFonts w:ascii="Times New Roman" w:eastAsia="Times New Roman" w:hAnsi="Times New Roman" w:cs="Times New Roman"/>
          <w:color w:val="000000"/>
          <w:spacing w:val="0"/>
          <w:w w:val="100"/>
          <w:position w:val="0"/>
        </w:rPr>
        <w:t>2008</w:t>
      </w:r>
      <w:r>
        <w:rPr>
          <w:color w:val="000000"/>
          <w:spacing w:val="0"/>
          <w:w w:val="100"/>
          <w:position w:val="0"/>
        </w:rPr>
        <w:t>年已实现电网领域的突破，但与电科院等大型科研公司相比，进 入电网领域较晚，在电网领域的品牌影响力较弱。</w:t>
      </w:r>
    </w:p>
    <w:p>
      <w:pPr>
        <w:pStyle w:val="Style16"/>
        <w:keepNext w:val="0"/>
        <w:keepLines w:val="0"/>
        <w:widowControl w:val="0"/>
        <w:shd w:val="clear" w:color="auto" w:fill="auto"/>
        <w:tabs>
          <w:tab w:pos="988" w:val="left"/>
        </w:tabs>
        <w:bidi w:val="0"/>
        <w:spacing w:before="0" w:after="100" w:line="469" w:lineRule="exact"/>
        <w:ind w:left="0" w:right="0" w:firstLine="500"/>
        <w:jc w:val="both"/>
      </w:pPr>
      <w:bookmarkStart w:id="138" w:name="bookmark138"/>
      <w:r>
        <w:rPr>
          <w:color w:val="000000"/>
          <w:spacing w:val="0"/>
          <w:w w:val="100"/>
          <w:position w:val="0"/>
        </w:rPr>
        <w:t>（</w:t>
      </w:r>
      <w:bookmarkEnd w:id="138"/>
      <w:r>
        <w:rPr>
          <w:rFonts w:ascii="Times New Roman" w:eastAsia="Times New Roman" w:hAnsi="Times New Roman" w:cs="Times New Roman"/>
          <w:color w:val="000000"/>
          <w:spacing w:val="0"/>
          <w:w w:val="100"/>
          <w:position w:val="0"/>
        </w:rPr>
        <w:t>3</w:t>
      </w:r>
      <w:r>
        <w:rPr>
          <w:color w:val="000000"/>
          <w:spacing w:val="0"/>
          <w:w w:val="100"/>
          <w:position w:val="0"/>
        </w:rPr>
        <w:t>）</w:t>
        <w:tab/>
        <w:t>资金实力不足，制约公司进一步发展</w:t>
      </w:r>
    </w:p>
    <w:p>
      <w:pPr>
        <w:pStyle w:val="Style16"/>
        <w:keepNext w:val="0"/>
        <w:keepLines w:val="0"/>
        <w:widowControl w:val="0"/>
        <w:shd w:val="clear" w:color="auto" w:fill="auto"/>
        <w:bidi w:val="0"/>
        <w:spacing w:before="0" w:after="100" w:line="475" w:lineRule="exact"/>
        <w:ind w:left="0" w:right="0" w:firstLine="500"/>
        <w:jc w:val="both"/>
      </w:pPr>
      <w:r>
        <w:rPr>
          <w:color w:val="000000"/>
          <w:spacing w:val="0"/>
          <w:w w:val="100"/>
          <w:position w:val="0"/>
        </w:rPr>
        <w:t>目前公司仍处于快速成长阶段，技术改造和研发规模的扩大需要大量资金，资金来源局限性制约了公 司的发展步伐，影响了经营规模的扩大。</w:t>
      </w:r>
    </w:p>
    <w:p>
      <w:pPr>
        <w:pStyle w:val="Style25"/>
        <w:keepNext/>
        <w:keepLines/>
        <w:widowControl w:val="0"/>
        <w:shd w:val="clear" w:color="auto" w:fill="auto"/>
        <w:bidi w:val="0"/>
        <w:spacing w:before="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sz w:val="24"/>
          <w:szCs w:val="24"/>
        </w:rPr>
        <w:t>六</w:t>
      </w:r>
      <w:bookmarkEnd w:id="141"/>
      <w:r>
        <w:rPr>
          <w:color w:val="000000"/>
          <w:spacing w:val="0"/>
          <w:w w:val="100"/>
          <w:position w:val="0"/>
          <w:sz w:val="24"/>
          <w:szCs w:val="24"/>
        </w:rPr>
        <w:t>、投资状况分析</w:t>
      </w:r>
      <w:bookmarkEnd w:id="139"/>
      <w:bookmarkEnd w:id="140"/>
      <w:bookmarkEnd w:id="142"/>
    </w:p>
    <w:p>
      <w:pPr>
        <w:pStyle w:val="Style34"/>
        <w:keepNext/>
        <w:keepLines/>
        <w:widowControl w:val="0"/>
        <w:shd w:val="clear" w:color="auto" w:fill="auto"/>
        <w:bidi w:val="0"/>
        <w:spacing w:before="0" w:after="300" w:line="240" w:lineRule="auto"/>
        <w:ind w:left="0" w:right="0" w:firstLine="0"/>
        <w:jc w:val="both"/>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1</w:t>
      </w:r>
      <w:bookmarkEnd w:id="145"/>
      <w:r>
        <w:rPr>
          <w:color w:val="000000"/>
          <w:spacing w:val="0"/>
          <w:w w:val="100"/>
          <w:position w:val="0"/>
        </w:rPr>
        <w:t>、对外股权投资情况</w:t>
      </w:r>
      <w:bookmarkEnd w:id="143"/>
      <w:bookmarkEnd w:id="144"/>
      <w:bookmarkEnd w:id="146"/>
    </w:p>
    <w:p>
      <w:pPr>
        <w:pStyle w:val="Style34"/>
        <w:keepNext/>
        <w:keepLines/>
        <w:widowControl w:val="0"/>
        <w:shd w:val="clear" w:color="auto" w:fill="auto"/>
        <w:bidi w:val="0"/>
        <w:spacing w:before="0" w:after="300" w:line="240" w:lineRule="auto"/>
        <w:ind w:left="0" w:right="0" w:firstLine="0"/>
        <w:jc w:val="both"/>
      </w:pPr>
      <w:bookmarkStart w:id="143" w:name="bookmark143"/>
      <w:bookmarkStart w:id="144" w:name="bookmark144"/>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43"/>
      <w:bookmarkEnd w:id="144"/>
      <w:bookmarkEnd w:id="148"/>
    </w:p>
    <w:tbl>
      <w:tblPr>
        <w:tblOverlap w:val="never"/>
        <w:jc w:val="center"/>
        <w:tblLayout w:type="fixed"/>
      </w:tblPr>
      <w:tblGrid>
        <w:gridCol w:w="3192"/>
        <w:gridCol w:w="3187"/>
        <w:gridCol w:w="3202"/>
      </w:tblGrid>
      <w:tr>
        <w:trPr>
          <w:trHeight w:val="40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18,002,373.60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170,338,917.00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北京荣信中科电气设备有限公司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新公司主要面对国家电网公司，有针对 性的开展研发、生产与销售等工作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西安荣信电气有限责任公司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开拓电抗器产品市场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荣信电力工程</w:t>
            </w:r>
            <w:r>
              <w:rPr>
                <w:rFonts w:ascii="Times New Roman" w:eastAsia="Times New Roman" w:hAnsi="Times New Roman" w:cs="Times New Roman"/>
                <w:color w:val="000000"/>
                <w:spacing w:val="0"/>
                <w:w w:val="100"/>
                <w:position w:val="0"/>
              </w:rPr>
              <w:t>JLT</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电气设备销售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34"/>
        <w:keepNext/>
        <w:keepLines/>
        <w:widowControl w:val="0"/>
        <w:shd w:val="clear" w:color="auto" w:fill="auto"/>
        <w:bidi w:val="0"/>
        <w:spacing w:before="0" w:after="460" w:line="484" w:lineRule="exact"/>
        <w:ind w:left="0" w:right="0" w:firstLine="0"/>
        <w:jc w:val="both"/>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2</w:t>
      </w:r>
      <w:r>
        <w:rPr>
          <w:color w:val="000000"/>
          <w:spacing w:val="0"/>
          <w:w w:val="100"/>
          <w:position w:val="0"/>
        </w:rPr>
        <w:t>）持有其他上市公司股权情况</w:t>
      </w:r>
      <w:bookmarkEnd w:id="149"/>
      <w:bookmarkEnd w:id="150"/>
      <w:bookmarkEnd w:id="152"/>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持有其他上市公司股权情况的说明</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478" w:lineRule="exact"/>
        <w:ind w:left="0" w:right="0" w:firstLine="440"/>
        <w:jc w:val="both"/>
      </w:pPr>
      <w:r>
        <w:rPr>
          <w:color w:val="000000"/>
          <w:spacing w:val="0"/>
          <w:w w:val="100"/>
          <w:position w:val="0"/>
        </w:rPr>
        <w:t>报告期初，公司持有青岛市恒顺电气股份有限公司股票</w:t>
      </w:r>
      <w:r>
        <w:rPr>
          <w:rFonts w:ascii="Times New Roman" w:eastAsia="Times New Roman" w:hAnsi="Times New Roman" w:cs="Times New Roman"/>
          <w:color w:val="000000"/>
          <w:spacing w:val="0"/>
          <w:w w:val="100"/>
          <w:position w:val="0"/>
        </w:rPr>
        <w:t>1,500</w:t>
      </w:r>
      <w:r>
        <w:rPr>
          <w:color w:val="000000"/>
          <w:spacing w:val="0"/>
          <w:w w:val="100"/>
          <w:position w:val="0"/>
        </w:rPr>
        <w:t>万股，占其总股本的</w:t>
      </w:r>
      <w:r>
        <w:rPr>
          <w:rFonts w:ascii="Times New Roman" w:eastAsia="Times New Roman" w:hAnsi="Times New Roman" w:cs="Times New Roman"/>
          <w:color w:val="000000"/>
          <w:spacing w:val="0"/>
          <w:w w:val="100"/>
          <w:position w:val="0"/>
        </w:rPr>
        <w:t>10.71%</w:t>
      </w:r>
      <w:r>
        <w:rPr>
          <w:color w:val="000000"/>
          <w:spacing w:val="0"/>
          <w:w w:val="100"/>
          <w:position w:val="0"/>
        </w:rPr>
        <w:t xml:space="preserve">,报告期，恒 顺电气实施了 </w:t>
      </w:r>
      <w:r>
        <w:rPr>
          <w:rFonts w:ascii="Times New Roman" w:eastAsia="Times New Roman" w:hAnsi="Times New Roman" w:cs="Times New Roman"/>
          <w:color w:val="000000"/>
          <w:spacing w:val="0"/>
          <w:w w:val="100"/>
          <w:position w:val="0"/>
        </w:rPr>
        <w:t>2013</w:t>
      </w:r>
      <w:r>
        <w:rPr>
          <w:color w:val="000000"/>
          <w:spacing w:val="0"/>
          <w:w w:val="100"/>
          <w:position w:val="0"/>
        </w:rPr>
        <w:t>年资本公积金转增股本的分配方案后公司持有其股份增加至</w:t>
      </w:r>
      <w:r>
        <w:rPr>
          <w:rFonts w:ascii="Times New Roman" w:eastAsia="Times New Roman" w:hAnsi="Times New Roman" w:cs="Times New Roman"/>
          <w:color w:val="000000"/>
          <w:spacing w:val="0"/>
          <w:w w:val="100"/>
          <w:position w:val="0"/>
        </w:rPr>
        <w:t>3,000</w:t>
      </w:r>
      <w:r>
        <w:rPr>
          <w:color w:val="000000"/>
          <w:spacing w:val="0"/>
          <w:w w:val="100"/>
          <w:position w:val="0"/>
        </w:rPr>
        <w:t>万股，会计核算科目为 可供出售金融资产。</w:t>
      </w:r>
    </w:p>
    <w:p>
      <w:pPr>
        <w:pStyle w:val="Style16"/>
        <w:keepNext w:val="0"/>
        <w:keepLines w:val="0"/>
        <w:widowControl w:val="0"/>
        <w:shd w:val="clear" w:color="auto" w:fill="auto"/>
        <w:bidi w:val="0"/>
        <w:spacing w:before="0" w:after="200" w:line="490" w:lineRule="exact"/>
        <w:ind w:left="0" w:right="0" w:firstLine="340"/>
        <w:jc w:val="left"/>
      </w:pPr>
      <w:r>
        <w:rPr>
          <w:color w:val="000000"/>
          <w:spacing w:val="0"/>
          <w:w w:val="100"/>
          <w:position w:val="0"/>
        </w:rPr>
        <w:t>报告期，公司累计减持恒顺电气股份</w:t>
      </w:r>
      <w:r>
        <w:rPr>
          <w:rFonts w:ascii="Times New Roman" w:eastAsia="Times New Roman" w:hAnsi="Times New Roman" w:cs="Times New Roman"/>
          <w:color w:val="000000"/>
          <w:spacing w:val="0"/>
          <w:w w:val="100"/>
          <w:position w:val="0"/>
        </w:rPr>
        <w:t>3,000</w:t>
      </w:r>
      <w:r>
        <w:rPr>
          <w:color w:val="000000"/>
          <w:spacing w:val="0"/>
          <w:w w:val="100"/>
          <w:position w:val="0"/>
        </w:rPr>
        <w:t>万股，减持金额</w:t>
      </w:r>
      <w:r>
        <w:rPr>
          <w:rFonts w:ascii="Times New Roman" w:eastAsia="Times New Roman" w:hAnsi="Times New Roman" w:cs="Times New Roman"/>
          <w:color w:val="000000"/>
          <w:spacing w:val="0"/>
          <w:w w:val="100"/>
          <w:position w:val="0"/>
        </w:rPr>
        <w:t>18,980.80</w:t>
      </w:r>
      <w:r>
        <w:rPr>
          <w:color w:val="000000"/>
          <w:spacing w:val="0"/>
          <w:w w:val="100"/>
          <w:position w:val="0"/>
        </w:rPr>
        <w:t>万元，获得投资收益为</w:t>
      </w:r>
      <w:r>
        <w:rPr>
          <w:rFonts w:ascii="Times New Roman" w:eastAsia="Times New Roman" w:hAnsi="Times New Roman" w:cs="Times New Roman"/>
          <w:color w:val="000000"/>
          <w:spacing w:val="0"/>
          <w:w w:val="100"/>
          <w:position w:val="0"/>
        </w:rPr>
        <w:t>15,605.80</w:t>
      </w:r>
      <w:r>
        <w:rPr>
          <w:color w:val="000000"/>
          <w:spacing w:val="0"/>
          <w:w w:val="100"/>
          <w:position w:val="0"/>
        </w:rPr>
        <w:t>万 元，报告期末</w:t>
      </w:r>
      <w:r>
        <w:rPr>
          <w:color w:val="000000"/>
          <w:spacing w:val="0"/>
          <w:w w:val="100"/>
          <w:position w:val="0"/>
        </w:rPr>
        <w:t>，</w:t>
      </w:r>
      <w:r>
        <w:rPr>
          <w:color w:val="000000"/>
          <w:spacing w:val="0"/>
          <w:w w:val="100"/>
          <w:position w:val="0"/>
        </w:rPr>
        <w:t>公司不再持有恒顺电气股份。</w:t>
      </w:r>
    </w:p>
    <w:p>
      <w:pPr>
        <w:pStyle w:val="Style34"/>
        <w:keepNext/>
        <w:keepLines/>
        <w:widowControl w:val="0"/>
        <w:shd w:val="clear" w:color="auto" w:fill="auto"/>
        <w:bidi w:val="0"/>
        <w:spacing w:before="0" w:after="380" w:line="484" w:lineRule="exact"/>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2</w:t>
      </w:r>
      <w:bookmarkEnd w:id="155"/>
      <w:r>
        <w:rPr>
          <w:color w:val="000000"/>
          <w:spacing w:val="0"/>
          <w:w w:val="100"/>
          <w:position w:val="0"/>
        </w:rPr>
        <w:t>、主要子公司、参股公司分析</w:t>
      </w:r>
      <w:bookmarkEnd w:id="153"/>
      <w:bookmarkEnd w:id="154"/>
      <w:bookmarkEnd w:id="15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1075"/>
        <w:gridCol w:w="941"/>
        <w:gridCol w:w="941"/>
        <w:gridCol w:w="946"/>
        <w:gridCol w:w="946"/>
        <w:gridCol w:w="941"/>
        <w:gridCol w:w="941"/>
        <w:gridCol w:w="811"/>
        <w:gridCol w:w="108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主要产品</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或服务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北京信力 筑正新能 源技术股 份有限公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新能源、节 能设备、环 保设备、余 热余压发 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443,096,27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295,637,90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177,209,17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9,445,847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7,422,962.32</w:t>
            </w:r>
          </w:p>
        </w:tc>
      </w:tr>
    </w:tbl>
    <w:p>
      <w:pPr>
        <w:spacing w:lineRule="exact" w:line="1"/>
        <w:rPr>
          <w:sz w:val="2"/>
          <w:szCs w:val="2"/>
        </w:rPr>
      </w:pPr>
      <w:r>
        <w:br w:type="page"/>
      </w:r>
    </w:p>
    <w:tbl>
      <w:tblPr>
        <w:tblOverlap w:val="never"/>
        <w:jc w:val="center"/>
        <w:tblLayout w:type="fixed"/>
      </w:tblPr>
      <w:tblGrid>
        <w:gridCol w:w="950"/>
        <w:gridCol w:w="1075"/>
        <w:gridCol w:w="941"/>
        <w:gridCol w:w="941"/>
        <w:gridCol w:w="946"/>
        <w:gridCol w:w="946"/>
        <w:gridCol w:w="941"/>
        <w:gridCol w:w="941"/>
        <w:gridCol w:w="811"/>
        <w:gridCol w:w="1085"/>
      </w:tblGrid>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北京荣科 恒阳整流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整流设备、 变流设备、 设计、开 发、销售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25,646,128.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14,962,866.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27,861,965.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93,200.51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107,967.93</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北京荣华</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开关技术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恒信开关 技术有限</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研发与推</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12,902,687.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11,624,853.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5,263,199.5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-1,877,37</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9,466.75</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2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w:t>
            </w: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辽宁荣信</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防爆电气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防爆电气 技术有限</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设备的研</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万元</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94,409,171.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70,935,644.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51,635,451.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4,106,998</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7,239,678.99</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发与制造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w:t>
            </w: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电机控制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辽宁荣信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装置、启动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电机控制 技术有限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装置及其 他电力电</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w:t>
            </w:r>
            <w:r>
              <w:rPr>
                <w:color w:val="000000"/>
                <w:spacing w:val="0"/>
                <w:w w:val="100"/>
                <w:position w:val="0"/>
              </w:rPr>
              <w:t>万元</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35,615,912.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13,081,482.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44,393,114.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4,264,035</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3,483,556.02</w:t>
            </w: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w:t>
            </w:r>
          </w:p>
        </w:tc>
        <w:tc>
          <w:tcPr>
            <w:vMerge/>
            <w:tcBorders>
              <w:left w:val="single" w:sz="4"/>
              <w:right w:val="single" w:sz="4"/>
            </w:tcBorders>
            <w:shd w:val="clear" w:color="auto" w:fill="FFFFFF"/>
            <w:vAlign w:val="center"/>
          </w:tcPr>
          <w:p>
            <w:pPr/>
          </w:p>
        </w:tc>
      </w:tr>
      <w:tr>
        <w:trPr>
          <w:trHeight w:val="66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子装置的 设计、制造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太阳能光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辽宁荣信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光伏技术</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伏技术应 用、风能技</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48,124,917.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16,444,087.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23,007,324.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2,098,060</w:t>
            </w: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1,319,341.61</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w:t>
            </w:r>
          </w:p>
        </w:tc>
        <w:tc>
          <w:tcPr>
            <w:vMerge/>
            <w:tcBorders>
              <w:left w:val="single" w:sz="4"/>
              <w:right w:val="single" w:sz="4"/>
            </w:tcBorders>
            <w:shd w:val="clear" w:color="auto" w:fill="FFFFFF"/>
            <w:vAlign w:val="bottom"/>
          </w:tcPr>
          <w:p>
            <w:pPr/>
          </w:p>
        </w:tc>
      </w:tr>
      <w:tr>
        <w:trPr>
          <w:trHeight w:val="245"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术的研发、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生产、销售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电气传动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辽宁荣信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与控制系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电气传动 技术有限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列变频器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相关产品</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r>
              <w:rPr>
                <w:color w:val="000000"/>
                <w:spacing w:val="0"/>
                <w:w w:val="100"/>
                <w:position w:val="0"/>
              </w:rPr>
              <w:t>万元</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256,250,13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83,430,350.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122,428,92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-136,476.</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748,874.04</w:t>
            </w:r>
          </w:p>
        </w:tc>
      </w:tr>
      <w:tr>
        <w:trPr>
          <w:trHeight w:val="22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vMerge/>
            <w:tcBorders>
              <w:left w:val="single" w:sz="4"/>
              <w:right w:val="single" w:sz="4"/>
            </w:tcBorders>
            <w:shd w:val="clear" w:color="auto" w:fill="FFFFFF"/>
            <w:vAlign w:val="center"/>
          </w:tcPr>
          <w:p>
            <w:pPr/>
          </w:p>
        </w:tc>
      </w:tr>
      <w:tr>
        <w:trPr>
          <w:trHeight w:val="67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的研发、生 产、销售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高压连续</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电容器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荣西电力 传输技术</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(HVSC)</w:t>
            </w:r>
            <w:r>
              <w:rPr>
                <w:color w:val="000000"/>
                <w:spacing w:val="0"/>
                <w:w w:val="100"/>
                <w:position w:val="0"/>
              </w:rPr>
              <w:t>、</w:t>
            </w:r>
            <w:r>
              <w:rPr>
                <w:color w:val="000000"/>
                <w:spacing w:val="0"/>
                <w:w w:val="100"/>
                <w:position w:val="0"/>
              </w:rPr>
              <w:t>静</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态无功补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w:t>
            </w:r>
            <w:r>
              <w:rPr>
                <w:color w:val="000000"/>
                <w:spacing w:val="0"/>
                <w:w w:val="100"/>
                <w:position w:val="0"/>
              </w:rPr>
              <w:t>万欧元</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49,880,415.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30,193,232.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37,736,153.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-4,327,99</w:t>
            </w: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-4,342,859.21</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w:t>
            </w:r>
          </w:p>
        </w:tc>
        <w:tc>
          <w:tcPr>
            <w:vMerge/>
            <w:tcBorders>
              <w:left w:val="single" w:sz="4"/>
              <w:right w:val="single" w:sz="4"/>
            </w:tcBorders>
            <w:shd w:val="clear" w:color="auto" w:fill="FFFFFF"/>
            <w:vAlign w:val="bottom"/>
          </w:tcPr>
          <w:p>
            <w:pPr/>
          </w:p>
        </w:tc>
      </w:tr>
      <w:tr>
        <w:trPr>
          <w:trHeight w:val="245"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偿器</w:t>
            </w:r>
            <w:r>
              <w:rPr>
                <w:rFonts w:ascii="Times New Roman" w:eastAsia="Times New Roman" w:hAnsi="Times New Roman" w:cs="Times New Roman"/>
                <w:color w:val="000000"/>
                <w:spacing w:val="0"/>
                <w:w w:val="100"/>
                <w:position w:val="0"/>
              </w:rPr>
              <w:t xml:space="preserve">(FSC) </w:t>
            </w:r>
            <w:r>
              <w:rPr>
                <w:color w:val="000000"/>
                <w:spacing w:val="0"/>
                <w:w w:val="100"/>
                <w:position w:val="0"/>
              </w:rPr>
              <w:t>的开发、销 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上海地澳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自动化科 技有限公</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井下防爆 变频设备</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2300</w:t>
            </w:r>
            <w:r>
              <w:rPr>
                <w:color w:val="000000"/>
                <w:spacing w:val="0"/>
                <w:w w:val="100"/>
                <w:position w:val="0"/>
              </w:rPr>
              <w:t>万元</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59,114,347.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26,246,685.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30,437,921.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-162,668.</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397,009.53</w:t>
            </w: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vMerge/>
            <w:tcBorders>
              <w:left w:val="single" w:sz="4"/>
              <w:right w:val="single" w:sz="4"/>
            </w:tcBorders>
            <w:shd w:val="clear" w:color="auto" w:fill="FFFFFF"/>
            <w:vAlign w:val="center"/>
          </w:tcPr>
          <w:p>
            <w:pPr/>
          </w:p>
        </w:tc>
      </w:tr>
      <w:tr>
        <w:trPr>
          <w:trHeight w:val="35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北京荣科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电气设备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2,898,241.7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-14,174,625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18,979,657.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-11,837,305.9</w:t>
            </w:r>
          </w:p>
        </w:tc>
      </w:tr>
      <w:tr>
        <w:trPr>
          <w:trHeight w:val="278"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博信科技</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的设计、销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950"/>
        <w:gridCol w:w="1075"/>
        <w:gridCol w:w="941"/>
        <w:gridCol w:w="941"/>
        <w:gridCol w:w="946"/>
        <w:gridCol w:w="946"/>
        <w:gridCol w:w="941"/>
        <w:gridCol w:w="941"/>
        <w:gridCol w:w="811"/>
        <w:gridCol w:w="1085"/>
      </w:tblGrid>
      <w:tr>
        <w:trPr>
          <w:trHeight w:val="68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北京荣信 瑞科科技 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软件、设备 的设计与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17,678,118.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-16,103,594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18,171,562.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-15,914,9</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-15,914,991.3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荣信嘉时 </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 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电气设备 的设计、销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2,472,757.0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-39,438,315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547,744.91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-23,232,0</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-23,232,411.2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荣信电力 工程</w:t>
            </w:r>
            <w:r>
              <w:rPr>
                <w:rFonts w:ascii="Times New Roman" w:eastAsia="Times New Roman" w:hAnsi="Times New Roman" w:cs="Times New Roman"/>
                <w:color w:val="000000"/>
                <w:spacing w:val="0"/>
                <w:w w:val="100"/>
                <w:position w:val="0"/>
              </w:rPr>
              <w:t>JLT</w:t>
            </w:r>
            <w:r>
              <w:rPr>
                <w:color w:val="000000"/>
                <w:spacing w:val="0"/>
                <w:w w:val="100"/>
                <w:position w:val="0"/>
              </w:rPr>
              <w:t>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电气设备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万迪拉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3,038,250.2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3,038,250.2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-12,255,6</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-12,255,682.5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新疆荣信</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节能电气</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电力电子 装置的设 计、销售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63,508,863.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48,217,206.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35,373,451.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-430,839.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-431,157.90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pStyle w:val="Style16"/>
        <w:keepNext w:val="0"/>
        <w:keepLines w:val="0"/>
        <w:widowControl w:val="0"/>
        <w:shd w:val="clear" w:color="auto" w:fill="auto"/>
        <w:bidi w:val="0"/>
        <w:spacing w:before="0" w:after="540" w:line="472" w:lineRule="exact"/>
        <w:ind w:left="0" w:right="0" w:firstLine="520"/>
        <w:jc w:val="left"/>
      </w:pPr>
      <w:r>
        <w:rPr>
          <w:color w:val="000000"/>
          <w:spacing w:val="0"/>
          <w:w w:val="100"/>
          <w:position w:val="0"/>
        </w:rPr>
        <w:t>上表中本公司主要控股子公司中包括销售类子公司和产品类子公司。其中：销售类子公司负责本公 司产品的销售，因此销售类子公司的营业收入及净利润受母公司定价影响，不完全反映市场的公允价格， 从而产生亏损。报告期，产生亏损的销售类子公司有荣信嘉实、荣科博信、荣信瑞科、荣信</w:t>
      </w:r>
      <w:r>
        <w:rPr>
          <w:rFonts w:ascii="Times New Roman" w:eastAsia="Times New Roman" w:hAnsi="Times New Roman" w:cs="Times New Roman"/>
          <w:color w:val="000000"/>
          <w:spacing w:val="0"/>
          <w:w w:val="100"/>
          <w:position w:val="0"/>
        </w:rPr>
        <w:t>JLT</w:t>
      </w:r>
      <w:r>
        <w:rPr>
          <w:color w:val="000000"/>
          <w:spacing w:val="0"/>
          <w:w w:val="100"/>
          <w:position w:val="0"/>
        </w:rPr>
        <w:t>。</w:t>
      </w:r>
      <w:r>
        <w:rPr>
          <w:color w:val="000000"/>
          <w:spacing w:val="0"/>
          <w:w w:val="100"/>
          <w:position w:val="0"/>
        </w:rPr>
        <w:t>产品类 子公司中荣西电力由于，销售规模较小，毛利低且期间费用较大，出现经营性亏损；新疆荣信目前处于市 场开拓初期，销售规模较小，出现经营性亏损。</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北京荣信中科电气设备有限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新公司主要面对国家电网公 司，有针对性的开展研发、生 产与销售等工作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新设立，详见公司</w:t>
            </w:r>
            <w:r>
              <w:rPr>
                <w:rFonts w:ascii="Times New Roman" w:eastAsia="Times New Roman" w:hAnsi="Times New Roman" w:cs="Times New Roman"/>
                <w:color w:val="000000"/>
                <w:spacing w:val="0"/>
                <w:w w:val="100"/>
                <w:position w:val="0"/>
              </w:rPr>
              <w:t>2013</w:t>
            </w:r>
            <w:r>
              <w:rPr>
                <w:color w:val="000000"/>
                <w:spacing w:val="0"/>
                <w:w w:val="100"/>
                <w:position w:val="0"/>
              </w:rPr>
              <w:t>年一 季度报告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报告期，该公司实现销售收入 </w:t>
            </w:r>
            <w:r>
              <w:rPr>
                <w:rFonts w:ascii="Times New Roman" w:eastAsia="Times New Roman" w:hAnsi="Times New Roman" w:cs="Times New Roman"/>
                <w:color w:val="000000"/>
                <w:spacing w:val="0"/>
                <w:w w:val="100"/>
                <w:position w:val="0"/>
              </w:rPr>
              <w:t>4,355,567.66</w:t>
            </w:r>
            <w:r>
              <w:rPr>
                <w:color w:val="000000"/>
                <w:spacing w:val="0"/>
                <w:w w:val="100"/>
                <w:position w:val="0"/>
              </w:rPr>
              <w:t>元，实现净利润 为</w:t>
            </w:r>
            <w:r>
              <w:rPr>
                <w:rFonts w:ascii="Times New Roman" w:eastAsia="Times New Roman" w:hAnsi="Times New Roman" w:cs="Times New Roman"/>
                <w:color w:val="000000"/>
                <w:spacing w:val="0"/>
                <w:w w:val="100"/>
                <w:position w:val="0"/>
              </w:rPr>
              <w:t xml:space="preserve">-6,342,520.54 </w:t>
            </w:r>
            <w:r>
              <w:rPr>
                <w:color w:val="000000"/>
                <w:spacing w:val="0"/>
                <w:w w:val="100"/>
                <w:position w:val="0"/>
              </w:rPr>
              <w:t>元。</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西安荣信电气有限责任公司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开拓电抗器产品市场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新设立，详见公司</w:t>
            </w:r>
            <w:r>
              <w:rPr>
                <w:rFonts w:ascii="Times New Roman" w:eastAsia="Times New Roman" w:hAnsi="Times New Roman" w:cs="Times New Roman"/>
                <w:color w:val="000000"/>
                <w:spacing w:val="0"/>
                <w:w w:val="100"/>
                <w:position w:val="0"/>
              </w:rPr>
              <w:t>2013</w:t>
            </w:r>
            <w:r>
              <w:rPr>
                <w:color w:val="000000"/>
                <w:spacing w:val="0"/>
                <w:w w:val="100"/>
                <w:position w:val="0"/>
              </w:rPr>
              <w:t>年一 季度报告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报告期，该公司未产生销售收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入，净利润为</w:t>
            </w:r>
            <w:r>
              <w:rPr>
                <w:rFonts w:ascii="Times New Roman" w:eastAsia="Times New Roman" w:hAnsi="Times New Roman" w:cs="Times New Roman"/>
                <w:color w:val="000000"/>
                <w:spacing w:val="0"/>
                <w:w w:val="100"/>
                <w:position w:val="0"/>
              </w:rPr>
              <w:t>-1,165,313.16</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rPr>
              <w:t>o</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哈密荣信新能源有限公司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满足哈密公司光伏电站项目 建设需要，收回投资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转让部分股权，详见公司</w:t>
            </w:r>
            <w:r>
              <w:rPr>
                <w:rFonts w:ascii="Times New Roman" w:eastAsia="Times New Roman" w:hAnsi="Times New Roman" w:cs="Times New Roman"/>
                <w:color w:val="000000"/>
                <w:spacing w:val="0"/>
                <w:w w:val="100"/>
                <w:position w:val="0"/>
              </w:rPr>
              <w:t>2013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年三季度报告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本次股权转让对报告期业绩 无影响。</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图木舒克市荣信新能源有限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转让持有的全部股权，详见公 司</w:t>
            </w:r>
            <w:r>
              <w:rPr>
                <w:rFonts w:ascii="Times New Roman" w:eastAsia="Times New Roman" w:hAnsi="Times New Roman" w:cs="Times New Roman"/>
                <w:color w:val="000000"/>
                <w:spacing w:val="0"/>
                <w:w w:val="100"/>
                <w:position w:val="0"/>
              </w:rPr>
              <w:t>2013</w:t>
            </w:r>
            <w:r>
              <w:rPr>
                <w:color w:val="000000"/>
                <w:spacing w:val="0"/>
                <w:w w:val="100"/>
                <w:position w:val="0"/>
              </w:rPr>
              <w:t>年三季度报告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本次股权转让对报告期业绩 无影响。</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泰信新能源科技有限公司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报告期内，公司将所持有的泰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本次股权转让对报告期业绩</w:t>
            </w:r>
          </w:p>
        </w:tc>
      </w:tr>
    </w:tbl>
    <w:tbl>
      <w:tblPr>
        <w:tblOverlap w:val="never"/>
        <w:jc w:val="center"/>
        <w:tblLayout w:type="fixed"/>
      </w:tblPr>
      <w:tblGrid>
        <w:gridCol w:w="2395"/>
        <w:gridCol w:w="2390"/>
        <w:gridCol w:w="2395"/>
        <w:gridCol w:w="2400"/>
      </w:tblGrid>
      <w:tr>
        <w:trPr>
          <w:trHeight w:val="162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信新能源科技有限公司</w:t>
            </w:r>
            <w:r>
              <w:rPr>
                <w:rFonts w:ascii="Times New Roman" w:eastAsia="Times New Roman" w:hAnsi="Times New Roman" w:cs="Times New Roman"/>
                <w:color w:val="000000"/>
                <w:spacing w:val="0"/>
                <w:w w:val="100"/>
                <w:position w:val="0"/>
              </w:rPr>
              <w:t>49%</w:t>
            </w:r>
            <w:r>
              <w:rPr>
                <w:color w:val="000000"/>
                <w:spacing w:val="0"/>
                <w:w w:val="100"/>
                <w:position w:val="0"/>
              </w:rPr>
              <w:t>的 股权转让给</w:t>
            </w:r>
            <w:r>
              <w:rPr>
                <w:rFonts w:ascii="Times New Roman" w:eastAsia="Times New Roman" w:hAnsi="Times New Roman" w:cs="Times New Roman"/>
                <w:color w:val="000000"/>
                <w:spacing w:val="0"/>
                <w:w w:val="100"/>
                <w:position w:val="0"/>
              </w:rPr>
              <w:t>ORAWAN TANGWORAKUL</w:t>
            </w:r>
            <w:r>
              <w:rPr>
                <w:color w:val="000000"/>
                <w:spacing w:val="0"/>
                <w:w w:val="100"/>
                <w:position w:val="0"/>
              </w:rPr>
              <w:t>，转让价格 为</w:t>
            </w:r>
            <w:r>
              <w:rPr>
                <w:rFonts w:ascii="Times New Roman" w:eastAsia="Times New Roman" w:hAnsi="Times New Roman" w:cs="Times New Roman"/>
                <w:color w:val="000000"/>
                <w:spacing w:val="0"/>
                <w:w w:val="100"/>
                <w:position w:val="0"/>
              </w:rPr>
              <w:t>121.71</w:t>
            </w:r>
            <w:r>
              <w:rPr>
                <w:color w:val="000000"/>
                <w:spacing w:val="0"/>
                <w:w w:val="100"/>
                <w:position w:val="0"/>
              </w:rPr>
              <w:t>万元，股权变更手续 已经完成。</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r>
    </w:tbl>
    <w:p>
      <w:pPr>
        <w:widowControl w:val="0"/>
        <w:spacing w:after="299" w:line="1" w:lineRule="exact"/>
      </w:pPr>
    </w:p>
    <w:p>
      <w:pPr>
        <w:pStyle w:val="Style25"/>
        <w:keepNext/>
        <w:keepLines/>
        <w:widowControl w:val="0"/>
        <w:shd w:val="clear" w:color="auto" w:fill="auto"/>
        <w:bidi w:val="0"/>
        <w:spacing w:before="0" w:after="22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七</w:t>
      </w:r>
      <w:bookmarkEnd w:id="159"/>
      <w:r>
        <w:rPr>
          <w:color w:val="000000"/>
          <w:spacing w:val="0"/>
          <w:w w:val="100"/>
          <w:position w:val="0"/>
          <w:sz w:val="24"/>
          <w:szCs w:val="24"/>
        </w:rPr>
        <w:t>、公司未来发展的展望</w:t>
      </w:r>
      <w:bookmarkEnd w:id="157"/>
      <w:bookmarkEnd w:id="158"/>
      <w:bookmarkEnd w:id="160"/>
    </w:p>
    <w:p>
      <w:pPr>
        <w:pStyle w:val="Style34"/>
        <w:keepNext/>
        <w:keepLines/>
        <w:widowControl w:val="0"/>
        <w:shd w:val="clear" w:color="auto" w:fill="auto"/>
        <w:tabs>
          <w:tab w:pos="849" w:val="left"/>
        </w:tabs>
        <w:bidi w:val="0"/>
        <w:spacing w:before="0" w:after="0" w:line="468" w:lineRule="exact"/>
        <w:ind w:left="0" w:right="0" w:firstLine="50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w:t>
        <w:tab/>
        <w:t>公司所处行业的发展趋势及面临的市场竞争格局</w:t>
      </w:r>
      <w:bookmarkEnd w:id="161"/>
      <w:bookmarkEnd w:id="162"/>
      <w:bookmarkEnd w:id="164"/>
    </w:p>
    <w:p>
      <w:pPr>
        <w:pStyle w:val="Style16"/>
        <w:keepNext w:val="0"/>
        <w:keepLines w:val="0"/>
        <w:widowControl w:val="0"/>
        <w:numPr>
          <w:ilvl w:val="0"/>
          <w:numId w:val="5"/>
        </w:numPr>
        <w:shd w:val="clear" w:color="auto" w:fill="auto"/>
        <w:tabs>
          <w:tab w:pos="873" w:val="left"/>
        </w:tabs>
        <w:bidi w:val="0"/>
        <w:spacing w:before="0" w:after="0" w:line="468" w:lineRule="exact"/>
        <w:ind w:left="0" w:right="0" w:firstLine="500"/>
        <w:jc w:val="both"/>
      </w:pPr>
      <w:bookmarkStart w:id="165" w:name="bookmark165"/>
      <w:bookmarkEnd w:id="165"/>
      <w:r>
        <w:rPr>
          <w:color w:val="000000"/>
          <w:spacing w:val="0"/>
          <w:w w:val="100"/>
          <w:position w:val="0"/>
        </w:rPr>
        <w:t>行业发展的趋势</w:t>
      </w:r>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节能大功率电力电子设备制造业是一个新兴行业，涉及重大节能技术，为先进制造业、国家重大装备 制造业及高技术产业，受国家多项政策支持。</w:t>
      </w:r>
    </w:p>
    <w:p>
      <w:pPr>
        <w:pStyle w:val="Style16"/>
        <w:keepNext w:val="0"/>
        <w:keepLines w:val="0"/>
        <w:widowControl w:val="0"/>
        <w:shd w:val="clear" w:color="auto" w:fill="auto"/>
        <w:bidi w:val="0"/>
        <w:spacing w:before="0" w:after="0" w:line="472" w:lineRule="exact"/>
        <w:ind w:left="0" w:right="0" w:firstLine="500"/>
        <w:jc w:val="both"/>
      </w:pPr>
      <w:r>
        <w:rPr>
          <w:color w:val="000000"/>
          <w:spacing w:val="0"/>
          <w:w w:val="100"/>
          <w:position w:val="0"/>
        </w:rPr>
        <w:t>节能大功率电力电子设备制造业运用的技术主要为电力电子技术。近年来，电力电子技术和相关产业 在国内外飞速发展，已经渗透到电能的产生、输送、分配和应用的各个环节，广泛应用到工业系统、电力 系统、交通系统、通信系统、计算机系统、新能源系统和日常生活中，是使用电能的其他所有产业的基础 技术，主要包括以</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为代表的柔性交流输电系列技术</w:t>
      </w:r>
      <w:r>
        <w:rPr>
          <w:color w:val="000000"/>
          <w:spacing w:val="0"/>
          <w:w w:val="100"/>
          <w:position w:val="0"/>
        </w:rPr>
        <w:t>（</w:t>
      </w:r>
      <w:r>
        <w:rPr>
          <w:rFonts w:ascii="Times New Roman" w:eastAsia="Times New Roman" w:hAnsi="Times New Roman" w:cs="Times New Roman"/>
          <w:color w:val="000000"/>
          <w:spacing w:val="0"/>
          <w:w w:val="100"/>
          <w:position w:val="0"/>
        </w:rPr>
        <w:t>FACTS</w:t>
      </w:r>
      <w:r>
        <w:rPr>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HVC</w:t>
      </w:r>
      <w:r>
        <w:rPr>
          <w:color w:val="000000"/>
          <w:spacing w:val="0"/>
          <w:w w:val="100"/>
          <w:position w:val="0"/>
        </w:rPr>
        <w:t>为代表的电气传动系列 技术，以大功率</w:t>
      </w:r>
      <w:r>
        <w:rPr>
          <w:rFonts w:ascii="Times New Roman" w:eastAsia="Times New Roman" w:hAnsi="Times New Roman" w:cs="Times New Roman"/>
          <w:color w:val="000000"/>
          <w:spacing w:val="0"/>
          <w:w w:val="100"/>
          <w:position w:val="0"/>
        </w:rPr>
        <w:t>UPS</w:t>
      </w:r>
      <w:r>
        <w:rPr>
          <w:color w:val="000000"/>
          <w:spacing w:val="0"/>
          <w:w w:val="100"/>
          <w:position w:val="0"/>
        </w:rPr>
        <w:t>为代表的大功率电源系列技术和以高压直流输电</w:t>
      </w:r>
      <w:r>
        <w:rPr>
          <w:color w:val="000000"/>
          <w:spacing w:val="0"/>
          <w:w w:val="100"/>
          <w:position w:val="0"/>
        </w:rPr>
        <w:t>（</w:t>
      </w:r>
      <w:r>
        <w:rPr>
          <w:rFonts w:ascii="Times New Roman" w:eastAsia="Times New Roman" w:hAnsi="Times New Roman" w:cs="Times New Roman"/>
          <w:color w:val="000000"/>
          <w:spacing w:val="0"/>
          <w:w w:val="100"/>
          <w:position w:val="0"/>
        </w:rPr>
        <w:t>HVDC</w:t>
      </w:r>
      <w:r>
        <w:rPr>
          <w:color w:val="000000"/>
          <w:spacing w:val="0"/>
          <w:w w:val="100"/>
          <w:position w:val="0"/>
        </w:rPr>
        <w:t>）</w:t>
      </w:r>
      <w:r>
        <w:rPr>
          <w:color w:val="000000"/>
          <w:spacing w:val="0"/>
          <w:w w:val="100"/>
          <w:position w:val="0"/>
        </w:rPr>
        <w:t>为代表的新型超高压输电 系列技术等，面临着巨大的市场需求。</w:t>
      </w:r>
    </w:p>
    <w:p>
      <w:pPr>
        <w:pStyle w:val="Style16"/>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国际上本行业的技术领先者主要以瑞士</w:t>
      </w:r>
      <w:r>
        <w:rPr>
          <w:rFonts w:ascii="Times New Roman" w:eastAsia="Times New Roman" w:hAnsi="Times New Roman" w:cs="Times New Roman"/>
          <w:color w:val="000000"/>
          <w:spacing w:val="0"/>
          <w:w w:val="100"/>
          <w:position w:val="0"/>
        </w:rPr>
        <w:t>ABB</w:t>
      </w:r>
      <w:r>
        <w:rPr>
          <w:color w:val="000000"/>
          <w:spacing w:val="0"/>
          <w:w w:val="100"/>
          <w:position w:val="0"/>
        </w:rPr>
        <w:t>、德国</w:t>
      </w:r>
      <w:r>
        <w:rPr>
          <w:rFonts w:ascii="Times New Roman" w:eastAsia="Times New Roman" w:hAnsi="Times New Roman" w:cs="Times New Roman"/>
          <w:color w:val="000000"/>
          <w:spacing w:val="0"/>
          <w:w w:val="100"/>
          <w:position w:val="0"/>
        </w:rPr>
        <w:t>SIEMENS</w:t>
      </w:r>
      <w:r>
        <w:rPr>
          <w:color w:val="000000"/>
          <w:spacing w:val="0"/>
          <w:w w:val="100"/>
          <w:position w:val="0"/>
        </w:rPr>
        <w:t>、</w:t>
      </w:r>
      <w:r>
        <w:rPr>
          <w:color w:val="000000"/>
          <w:spacing w:val="0"/>
          <w:w w:val="100"/>
          <w:position w:val="0"/>
        </w:rPr>
        <w:t>法国</w:t>
      </w:r>
      <w:r>
        <w:rPr>
          <w:rFonts w:ascii="Times New Roman" w:eastAsia="Times New Roman" w:hAnsi="Times New Roman" w:cs="Times New Roman"/>
          <w:color w:val="000000"/>
          <w:spacing w:val="0"/>
          <w:w w:val="100"/>
          <w:position w:val="0"/>
        </w:rPr>
        <w:t>AREVA</w:t>
      </w:r>
      <w:r>
        <w:rPr>
          <w:color w:val="000000"/>
          <w:spacing w:val="0"/>
          <w:w w:val="100"/>
          <w:position w:val="0"/>
        </w:rPr>
        <w:t>、</w:t>
      </w:r>
      <w:r>
        <w:rPr>
          <w:color w:val="000000"/>
          <w:spacing w:val="0"/>
          <w:w w:val="100"/>
          <w:position w:val="0"/>
        </w:rPr>
        <w:t>日本</w:t>
      </w:r>
      <w:r>
        <w:rPr>
          <w:rFonts w:ascii="Times New Roman" w:eastAsia="Times New Roman" w:hAnsi="Times New Roman" w:cs="Times New Roman"/>
          <w:color w:val="000000"/>
          <w:spacing w:val="0"/>
          <w:w w:val="100"/>
          <w:position w:val="0"/>
        </w:rPr>
        <w:t>TOSHIBA</w:t>
      </w:r>
      <w:r>
        <w:rPr>
          <w:color w:val="000000"/>
          <w:spacing w:val="0"/>
          <w:w w:val="100"/>
          <w:position w:val="0"/>
        </w:rPr>
        <w:t>等大企 业为主。</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国内企业均是</w:t>
      </w: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90</w:t>
      </w:r>
      <w:r>
        <w:rPr>
          <w:color w:val="000000"/>
          <w:spacing w:val="0"/>
          <w:w w:val="100"/>
          <w:position w:val="0"/>
        </w:rPr>
        <w:t>年代开始，在学习消化吸收国外先进技术的基础上成长起来的，基本上都属于 中小企业。但依靠自主创新能力、本土化制造的优势以及国家政策的引导与支持，这些企业正在迅速成长, 并已在</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w:t>
      </w:r>
      <w:r>
        <w:rPr>
          <w:rFonts w:ascii="Times New Roman" w:eastAsia="Times New Roman" w:hAnsi="Times New Roman" w:cs="Times New Roman"/>
          <w:color w:val="000000"/>
          <w:spacing w:val="0"/>
          <w:w w:val="100"/>
          <w:position w:val="0"/>
        </w:rPr>
        <w:t>HVC</w:t>
      </w:r>
      <w:r>
        <w:rPr>
          <w:color w:val="000000"/>
          <w:spacing w:val="0"/>
          <w:w w:val="100"/>
          <w:position w:val="0"/>
        </w:rPr>
        <w:t>、</w:t>
      </w:r>
      <w:r>
        <w:rPr>
          <w:rFonts w:ascii="Times New Roman" w:eastAsia="Times New Roman" w:hAnsi="Times New Roman" w:cs="Times New Roman"/>
          <w:color w:val="000000"/>
          <w:spacing w:val="0"/>
          <w:w w:val="100"/>
          <w:position w:val="0"/>
        </w:rPr>
        <w:t>HVDC</w:t>
      </w:r>
      <w:r>
        <w:rPr>
          <w:color w:val="000000"/>
          <w:spacing w:val="0"/>
          <w:w w:val="100"/>
          <w:position w:val="0"/>
        </w:rPr>
        <w:t>等诸多领域完成了替代进口的任务。</w:t>
      </w:r>
    </w:p>
    <w:p>
      <w:pPr>
        <w:pStyle w:val="Style16"/>
        <w:keepNext w:val="0"/>
        <w:keepLines w:val="0"/>
        <w:widowControl w:val="0"/>
        <w:numPr>
          <w:ilvl w:val="0"/>
          <w:numId w:val="5"/>
        </w:numPr>
        <w:shd w:val="clear" w:color="auto" w:fill="auto"/>
        <w:tabs>
          <w:tab w:pos="878" w:val="left"/>
        </w:tabs>
        <w:bidi w:val="0"/>
        <w:spacing w:before="0" w:after="0" w:line="468" w:lineRule="exact"/>
        <w:ind w:left="0" w:right="0" w:firstLine="500"/>
        <w:jc w:val="both"/>
      </w:pPr>
      <w:bookmarkStart w:id="166" w:name="bookmark166"/>
      <w:bookmarkEnd w:id="166"/>
      <w:r>
        <w:rPr>
          <w:color w:val="000000"/>
          <w:spacing w:val="0"/>
          <w:w w:val="100"/>
          <w:position w:val="0"/>
        </w:rPr>
        <w:t>面临的市场竞争格局</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节能大功率电力电子设备制造业目前处于新兴产业的初级阶段，成为国内外公司重点研发和投资的领 域，该行业受国家政策支持和高层的重视，在节能减排的宏观背景下，市场空间急剧放大，导致包括许多 上市公司在内的企业加入到电力电子高端设备生产制造中来，市场竞争逐渐加剧。</w:t>
      </w:r>
    </w:p>
    <w:p>
      <w:pPr>
        <w:pStyle w:val="Style34"/>
        <w:keepNext/>
        <w:keepLines/>
        <w:widowControl w:val="0"/>
        <w:shd w:val="clear" w:color="auto" w:fill="auto"/>
        <w:tabs>
          <w:tab w:pos="859" w:val="left"/>
        </w:tabs>
        <w:bidi w:val="0"/>
        <w:spacing w:before="0" w:after="0" w:line="468" w:lineRule="exact"/>
        <w:ind w:left="0" w:right="0" w:firstLine="50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w:t>
        <w:tab/>
        <w:t>机遇与挑战及公司的发展战略</w:t>
      </w:r>
      <w:bookmarkEnd w:id="167"/>
      <w:bookmarkEnd w:id="168"/>
      <w:bookmarkEnd w:id="170"/>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在国家颁布的《中共中央关于制定国民经济和社会发展第十二个五年规划的建议》以及国务院《关于 加快培育和发展战略性新兴产业的决定》中明确的七大战略新兴产业中，荣信股份就融入了其中三个，分 别是：高端装备制造业、节能环保产业、新能源产业。同时，国家发改委发布的《当前优先发展的高技术 产业化重点领域指南（</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年度）》，几乎所有荣信公司当前技术领域的产品均位列其中，包括：电机节 </w:t>
      </w:r>
      <w:r>
        <w:rPr>
          <w:color w:val="000000"/>
          <w:spacing w:val="0"/>
          <w:w w:val="100"/>
          <w:position w:val="0"/>
        </w:rPr>
        <w:t>能高压变频装置，大功率高端电机调速系统；新能源风电、光伏、储能等并网逆变器和高压直流输变电交 流器，新型动态无功补偿及谐波治理装置，高精度、高性能开关电源、工业余压余热利用技术等，公司未 来发展面临重大机遇。</w:t>
      </w:r>
    </w:p>
    <w:p>
      <w:pPr>
        <w:pStyle w:val="Style16"/>
        <w:keepNext w:val="0"/>
        <w:keepLines w:val="0"/>
        <w:widowControl w:val="0"/>
        <w:shd w:val="clear" w:color="auto" w:fill="auto"/>
        <w:bidi w:val="0"/>
        <w:spacing w:before="0" w:after="200" w:line="467" w:lineRule="exact"/>
        <w:ind w:left="0" w:right="0" w:firstLine="580"/>
        <w:jc w:val="left"/>
      </w:pPr>
      <w:r>
        <w:rPr>
          <w:color w:val="000000"/>
          <w:spacing w:val="0"/>
          <w:w w:val="100"/>
          <w:position w:val="0"/>
        </w:rPr>
        <w:t>公司秉承</w:t>
      </w:r>
      <w:r>
        <w:rPr>
          <w:rFonts w:ascii="Times New Roman" w:eastAsia="Times New Roman" w:hAnsi="Times New Roman" w:cs="Times New Roman"/>
          <w:color w:val="000000"/>
          <w:spacing w:val="0"/>
          <w:w w:val="100"/>
          <w:position w:val="0"/>
        </w:rPr>
        <w:t>“</w:t>
      </w:r>
      <w:r>
        <w:rPr>
          <w:color w:val="000000"/>
          <w:spacing w:val="0"/>
          <w:w w:val="100"/>
          <w:position w:val="0"/>
        </w:rPr>
        <w:t>振兴民族装备制造业，成为受社会尊重的有国际竞争力的公司</w:t>
      </w:r>
      <w:r>
        <w:rPr>
          <w:color w:val="000000"/>
          <w:spacing w:val="0"/>
          <w:w w:val="100"/>
          <w:position w:val="0"/>
        </w:rPr>
        <w:t>''</w:t>
      </w:r>
      <w:r>
        <w:rPr>
          <w:color w:val="000000"/>
          <w:spacing w:val="0"/>
          <w:w w:val="100"/>
          <w:position w:val="0"/>
        </w:rPr>
        <w:t>经营愿景，和</w:t>
      </w:r>
      <w:r>
        <w:rPr>
          <w:rFonts w:ascii="Times New Roman" w:eastAsia="Times New Roman" w:hAnsi="Times New Roman" w:cs="Times New Roman"/>
          <w:color w:val="000000"/>
          <w:spacing w:val="0"/>
          <w:w w:val="100"/>
          <w:position w:val="0"/>
        </w:rPr>
        <w:t>“</w:t>
      </w:r>
      <w:r>
        <w:rPr>
          <w:color w:val="000000"/>
          <w:spacing w:val="0"/>
          <w:w w:val="100"/>
          <w:position w:val="0"/>
        </w:rPr>
        <w:t>以客户为 中心，以奋斗者为本，以创造价值为使命''的核心价值观，以节能大功率电力电子设备制造为主营业务方 向，在不断提高现有业务经营管理水平的同时，通过新产品研制开发、引进培养人才、自主创新、积极 开拓国内国际市场等手段，保持公司</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w:t>
      </w:r>
      <w:r>
        <w:rPr>
          <w:rFonts w:ascii="Times New Roman" w:eastAsia="Times New Roman" w:hAnsi="Times New Roman" w:cs="Times New Roman"/>
          <w:color w:val="000000"/>
          <w:spacing w:val="0"/>
          <w:w w:val="100"/>
          <w:position w:val="0"/>
        </w:rPr>
        <w:t>HVC</w:t>
      </w:r>
      <w:r>
        <w:rPr>
          <w:color w:val="000000"/>
          <w:spacing w:val="0"/>
          <w:w w:val="100"/>
          <w:position w:val="0"/>
        </w:rPr>
        <w:t>、</w:t>
      </w:r>
      <w:r>
        <w:rPr>
          <w:rFonts w:ascii="Times New Roman" w:eastAsia="Times New Roman" w:hAnsi="Times New Roman" w:cs="Times New Roman"/>
          <w:color w:val="000000"/>
          <w:spacing w:val="0"/>
          <w:w w:val="100"/>
          <w:position w:val="0"/>
        </w:rPr>
        <w:t>HVDC</w:t>
      </w:r>
      <w:r>
        <w:rPr>
          <w:color w:val="000000"/>
          <w:spacing w:val="0"/>
          <w:w w:val="100"/>
          <w:position w:val="0"/>
        </w:rPr>
        <w:t>等主导产品优势并不断拓宽产品线与产 品业务，巩固公司在节能大功率电力电子设备制造业的领先地位，确保公司持续、快速、健康发展。</w:t>
      </w:r>
    </w:p>
    <w:p>
      <w:pPr>
        <w:pStyle w:val="Style34"/>
        <w:keepNext/>
        <w:keepLines/>
        <w:widowControl w:val="0"/>
        <w:shd w:val="clear" w:color="auto" w:fill="auto"/>
        <w:tabs>
          <w:tab w:pos="818" w:val="left"/>
        </w:tabs>
        <w:bidi w:val="0"/>
        <w:spacing w:before="0" w:after="0" w:line="480" w:lineRule="auto"/>
        <w:ind w:left="0" w:right="0" w:firstLine="44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w:t>
        <w:tab/>
        <w:t>公司</w:t>
      </w:r>
      <w:r>
        <w:rPr>
          <w:rFonts w:ascii="Times New Roman" w:eastAsia="Times New Roman" w:hAnsi="Times New Roman" w:cs="Times New Roman"/>
          <w:color w:val="000000"/>
          <w:spacing w:val="0"/>
          <w:w w:val="100"/>
          <w:position w:val="0"/>
        </w:rPr>
        <w:t>2014</w:t>
      </w:r>
      <w:r>
        <w:rPr>
          <w:color w:val="000000"/>
          <w:spacing w:val="0"/>
          <w:w w:val="100"/>
          <w:position w:val="0"/>
        </w:rPr>
        <w:t>年的经营计划和主要目标</w:t>
      </w:r>
      <w:bookmarkEnd w:id="171"/>
      <w:bookmarkEnd w:id="172"/>
      <w:bookmarkEnd w:id="174"/>
    </w:p>
    <w:p>
      <w:pPr>
        <w:pStyle w:val="Style16"/>
        <w:keepNext w:val="0"/>
        <w:keepLines w:val="0"/>
        <w:widowControl w:val="0"/>
        <w:numPr>
          <w:ilvl w:val="0"/>
          <w:numId w:val="7"/>
        </w:numPr>
        <w:shd w:val="clear" w:color="auto" w:fill="auto"/>
        <w:tabs>
          <w:tab w:pos="1074" w:val="left"/>
        </w:tabs>
        <w:bidi w:val="0"/>
        <w:spacing w:before="0" w:after="0" w:line="456" w:lineRule="exact"/>
        <w:ind w:left="0" w:right="0" w:firstLine="480"/>
        <w:jc w:val="left"/>
      </w:pPr>
      <w:bookmarkStart w:id="175" w:name="bookmark175"/>
      <w:bookmarkEnd w:id="175"/>
      <w:r>
        <w:rPr>
          <w:color w:val="000000"/>
          <w:spacing w:val="0"/>
          <w:w w:val="100"/>
          <w:position w:val="0"/>
        </w:rPr>
        <w:t>做好重点项目的研发和主要产品的优化，加大市场开拓力度，提高出口产品比重，实现公司订 单和经营业绩稳定、持续增长。</w:t>
      </w:r>
    </w:p>
    <w:p>
      <w:pPr>
        <w:pStyle w:val="Style16"/>
        <w:keepNext w:val="0"/>
        <w:keepLines w:val="0"/>
        <w:widowControl w:val="0"/>
        <w:numPr>
          <w:ilvl w:val="0"/>
          <w:numId w:val="7"/>
        </w:numPr>
        <w:shd w:val="clear" w:color="auto" w:fill="auto"/>
        <w:tabs>
          <w:tab w:pos="1078" w:val="left"/>
        </w:tabs>
        <w:bidi w:val="0"/>
        <w:spacing w:before="0" w:after="0" w:line="478" w:lineRule="exact"/>
        <w:ind w:left="0" w:right="0" w:firstLine="480"/>
        <w:jc w:val="left"/>
      </w:pPr>
      <w:bookmarkStart w:id="176" w:name="bookmark176"/>
      <w:bookmarkEnd w:id="176"/>
      <w:r>
        <w:rPr>
          <w:color w:val="000000"/>
          <w:spacing w:val="0"/>
          <w:w w:val="100"/>
          <w:position w:val="0"/>
        </w:rPr>
        <w:t>把</w:t>
      </w:r>
      <w:r>
        <w:rPr>
          <w:rFonts w:ascii="Times New Roman" w:eastAsia="Times New Roman" w:hAnsi="Times New Roman" w:cs="Times New Roman"/>
          <w:color w:val="000000"/>
          <w:spacing w:val="0"/>
          <w:w w:val="100"/>
          <w:position w:val="0"/>
        </w:rPr>
        <w:t>“</w:t>
      </w:r>
      <w:r>
        <w:rPr>
          <w:color w:val="000000"/>
          <w:spacing w:val="0"/>
          <w:w w:val="100"/>
          <w:position w:val="0"/>
        </w:rPr>
        <w:t>以客户为中心</w:t>
      </w:r>
      <w:r>
        <w:rPr>
          <w:rFonts w:ascii="Times New Roman" w:eastAsia="Times New Roman" w:hAnsi="Times New Roman" w:cs="Times New Roman"/>
          <w:color w:val="000000"/>
          <w:spacing w:val="0"/>
          <w:w w:val="100"/>
          <w:position w:val="0"/>
        </w:rPr>
        <w:t>”</w:t>
      </w:r>
      <w:r>
        <w:rPr>
          <w:color w:val="000000"/>
          <w:spacing w:val="0"/>
          <w:w w:val="100"/>
          <w:position w:val="0"/>
        </w:rPr>
        <w:t>的经营理念落实到实处，进一步提高产品质量和服务水平，满足国际化发展 需求。</w:t>
      </w:r>
    </w:p>
    <w:p>
      <w:pPr>
        <w:pStyle w:val="Style16"/>
        <w:keepNext w:val="0"/>
        <w:keepLines w:val="0"/>
        <w:widowControl w:val="0"/>
        <w:numPr>
          <w:ilvl w:val="0"/>
          <w:numId w:val="7"/>
        </w:numPr>
        <w:shd w:val="clear" w:color="auto" w:fill="auto"/>
        <w:tabs>
          <w:tab w:pos="973" w:val="left"/>
        </w:tabs>
        <w:bidi w:val="0"/>
        <w:spacing w:before="0" w:after="0" w:line="478" w:lineRule="exact"/>
        <w:ind w:left="0" w:right="0" w:firstLine="480"/>
        <w:jc w:val="left"/>
      </w:pPr>
      <w:bookmarkStart w:id="177" w:name="bookmark177"/>
      <w:bookmarkEnd w:id="177"/>
      <w:r>
        <w:rPr>
          <w:color w:val="000000"/>
          <w:spacing w:val="0"/>
          <w:w w:val="100"/>
          <w:position w:val="0"/>
        </w:rPr>
        <w:t>加强人力资源管理，提高人均效率，降低人力资源成本。</w:t>
      </w:r>
    </w:p>
    <w:p>
      <w:pPr>
        <w:pStyle w:val="Style16"/>
        <w:keepNext w:val="0"/>
        <w:keepLines w:val="0"/>
        <w:widowControl w:val="0"/>
        <w:numPr>
          <w:ilvl w:val="0"/>
          <w:numId w:val="7"/>
        </w:numPr>
        <w:shd w:val="clear" w:color="auto" w:fill="auto"/>
        <w:tabs>
          <w:tab w:pos="973" w:val="left"/>
        </w:tabs>
        <w:bidi w:val="0"/>
        <w:spacing w:before="0" w:after="0" w:line="478" w:lineRule="exact"/>
        <w:ind w:left="0" w:right="0" w:firstLine="480"/>
        <w:jc w:val="left"/>
      </w:pPr>
      <w:bookmarkStart w:id="178" w:name="bookmark178"/>
      <w:bookmarkEnd w:id="178"/>
      <w:r>
        <w:rPr>
          <w:color w:val="000000"/>
          <w:spacing w:val="0"/>
          <w:w w:val="100"/>
          <w:position w:val="0"/>
        </w:rPr>
        <w:t>继续深化管理改革，阿米巴制度进一步完善、优化，降低采购成本及公司运营成本。</w:t>
      </w:r>
    </w:p>
    <w:p>
      <w:pPr>
        <w:pStyle w:val="Style16"/>
        <w:keepNext w:val="0"/>
        <w:keepLines w:val="0"/>
        <w:widowControl w:val="0"/>
        <w:numPr>
          <w:ilvl w:val="0"/>
          <w:numId w:val="7"/>
        </w:numPr>
        <w:shd w:val="clear" w:color="auto" w:fill="auto"/>
        <w:tabs>
          <w:tab w:pos="1083" w:val="left"/>
        </w:tabs>
        <w:bidi w:val="0"/>
        <w:spacing w:before="0" w:after="200" w:line="478" w:lineRule="exact"/>
        <w:ind w:left="0" w:right="0" w:firstLine="480"/>
        <w:jc w:val="left"/>
      </w:pPr>
      <w:bookmarkStart w:id="179" w:name="bookmark179"/>
      <w:bookmarkEnd w:id="179"/>
      <w:r>
        <w:rPr>
          <w:color w:val="000000"/>
          <w:spacing w:val="0"/>
          <w:w w:val="100"/>
          <w:position w:val="0"/>
        </w:rPr>
        <w:t>公司继续加强集团管控，建立清晰有效的集团管控制度，加强集团的引导、监督功能，保证各 独立子公司能健康、良性地发展，并发挥集团的整体优势。</w:t>
      </w:r>
    </w:p>
    <w:p>
      <w:pPr>
        <w:pStyle w:val="Style34"/>
        <w:keepNext/>
        <w:keepLines/>
        <w:widowControl w:val="0"/>
        <w:shd w:val="clear" w:color="auto" w:fill="auto"/>
        <w:tabs>
          <w:tab w:pos="818" w:val="left"/>
        </w:tabs>
        <w:bidi w:val="0"/>
        <w:spacing w:before="0" w:after="0" w:line="499" w:lineRule="auto"/>
        <w:ind w:left="0" w:right="0" w:firstLine="44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4</w:t>
      </w:r>
      <w:bookmarkEnd w:id="182"/>
      <w:r>
        <w:rPr>
          <w:color w:val="000000"/>
          <w:spacing w:val="0"/>
          <w:w w:val="100"/>
          <w:position w:val="0"/>
        </w:rPr>
        <w:t>、</w:t>
        <w:tab/>
        <w:t>为实现公司发展战略的资金使用安排</w:t>
      </w:r>
      <w:bookmarkEnd w:id="180"/>
      <w:bookmarkEnd w:id="181"/>
      <w:bookmarkEnd w:id="183"/>
    </w:p>
    <w:p>
      <w:pPr>
        <w:pStyle w:val="Style16"/>
        <w:keepNext w:val="0"/>
        <w:keepLines w:val="0"/>
        <w:widowControl w:val="0"/>
        <w:shd w:val="clear" w:color="auto" w:fill="auto"/>
        <w:bidi w:val="0"/>
        <w:spacing w:before="0" w:after="420" w:line="478" w:lineRule="exact"/>
        <w:ind w:left="0" w:right="0" w:firstLine="480"/>
        <w:jc w:val="left"/>
      </w:pPr>
      <w:r>
        <w:rPr>
          <w:color w:val="000000"/>
          <w:spacing w:val="0"/>
          <w:w w:val="100"/>
          <w:position w:val="0"/>
        </w:rPr>
        <w:t>实现公司的发展战略需要更多的资金支持。公司一方面加强应收账款催收力度，加快资产使用效率， 努力降低资金成本。另一方面根据资金需求情况将利用自有资金、银行贷款、发行公司债等保证营运资金 的需求。</w:t>
      </w:r>
    </w:p>
    <w:p>
      <w:pPr>
        <w:pStyle w:val="Style25"/>
        <w:keepNext/>
        <w:keepLines/>
        <w:widowControl w:val="0"/>
        <w:shd w:val="clear" w:color="auto" w:fill="auto"/>
        <w:bidi w:val="0"/>
        <w:spacing w:before="0" w:after="20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八</w:t>
      </w:r>
      <w:bookmarkEnd w:id="186"/>
      <w:r>
        <w:rPr>
          <w:color w:val="000000"/>
          <w:spacing w:val="0"/>
          <w:w w:val="100"/>
          <w:position w:val="0"/>
          <w:sz w:val="24"/>
          <w:szCs w:val="24"/>
        </w:rPr>
        <w:t>、与上年度财务报告相比，合并报表范围发生变化的情况说明</w:t>
      </w:r>
      <w:bookmarkEnd w:id="184"/>
      <w:bookmarkEnd w:id="185"/>
      <w:bookmarkEnd w:id="187"/>
    </w:p>
    <w:p>
      <w:pPr>
        <w:pStyle w:val="Style16"/>
        <w:keepNext w:val="0"/>
        <w:keepLines w:val="0"/>
        <w:widowControl w:val="0"/>
        <w:shd w:val="clear" w:color="auto" w:fill="auto"/>
        <w:bidi w:val="0"/>
        <w:spacing w:before="0" w:after="0" w:line="475" w:lineRule="exact"/>
        <w:ind w:left="0" w:right="0" w:firstLine="480"/>
        <w:jc w:val="left"/>
      </w:pPr>
      <w:r>
        <w:rPr>
          <w:color w:val="000000"/>
          <w:spacing w:val="0"/>
          <w:w w:val="100"/>
          <w:position w:val="0"/>
        </w:rPr>
        <w:t>报告期，公司新投资设立了北京荣信中科电气设备有限公司、西安荣信电气有限责任公司等</w:t>
      </w:r>
      <w:r>
        <w:rPr>
          <w:rFonts w:ascii="Times New Roman" w:eastAsia="Times New Roman" w:hAnsi="Times New Roman" w:cs="Times New Roman"/>
          <w:color w:val="000000"/>
          <w:spacing w:val="0"/>
          <w:w w:val="100"/>
          <w:position w:val="0"/>
        </w:rPr>
        <w:t>2</w:t>
      </w:r>
      <w:r>
        <w:rPr>
          <w:color w:val="000000"/>
          <w:spacing w:val="0"/>
          <w:w w:val="100"/>
          <w:position w:val="0"/>
        </w:rPr>
        <w:t>家控股 子公司，纳入合并报表。</w:t>
      </w:r>
    </w:p>
    <w:p>
      <w:pPr>
        <w:pStyle w:val="Style16"/>
        <w:keepNext w:val="0"/>
        <w:keepLines w:val="0"/>
        <w:widowControl w:val="0"/>
        <w:shd w:val="clear" w:color="auto" w:fill="auto"/>
        <w:bidi w:val="0"/>
        <w:spacing w:before="0" w:after="200" w:line="475" w:lineRule="exact"/>
        <w:ind w:left="440" w:right="0" w:firstLine="40"/>
        <w:jc w:val="left"/>
      </w:pPr>
      <w:r>
        <w:rPr>
          <w:color w:val="000000"/>
          <w:spacing w:val="0"/>
          <w:w w:val="100"/>
          <w:position w:val="0"/>
        </w:rPr>
        <w:t>报告期，公司将持有的图木舒克市荣信新能源有限公司</w:t>
      </w:r>
      <w:r>
        <w:rPr>
          <w:rFonts w:ascii="Times New Roman" w:eastAsia="Times New Roman" w:hAnsi="Times New Roman" w:cs="Times New Roman"/>
          <w:color w:val="000000"/>
          <w:spacing w:val="0"/>
          <w:w w:val="100"/>
          <w:position w:val="0"/>
        </w:rPr>
        <w:t>95%</w:t>
      </w:r>
      <w:r>
        <w:rPr>
          <w:color w:val="000000"/>
          <w:spacing w:val="0"/>
          <w:w w:val="100"/>
          <w:position w:val="0"/>
        </w:rPr>
        <w:t>股权全部转让，不再纳入合并报表。 报告期，公司将持有的哈密荣信新能源有限公司</w:t>
      </w:r>
      <w:r>
        <w:rPr>
          <w:rFonts w:ascii="Times New Roman" w:eastAsia="Times New Roman" w:hAnsi="Times New Roman" w:cs="Times New Roman"/>
          <w:color w:val="000000"/>
          <w:spacing w:val="0"/>
          <w:w w:val="100"/>
          <w:position w:val="0"/>
        </w:rPr>
        <w:t>90%</w:t>
      </w:r>
      <w:r>
        <w:rPr>
          <w:color w:val="000000"/>
          <w:spacing w:val="0"/>
          <w:w w:val="100"/>
          <w:position w:val="0"/>
        </w:rPr>
        <w:t>股权中的</w:t>
      </w:r>
      <w:r>
        <w:rPr>
          <w:rFonts w:ascii="Times New Roman" w:eastAsia="Times New Roman" w:hAnsi="Times New Roman" w:cs="Times New Roman"/>
          <w:color w:val="000000"/>
          <w:spacing w:val="0"/>
          <w:w w:val="100"/>
          <w:position w:val="0"/>
        </w:rPr>
        <w:t>70%</w:t>
      </w:r>
      <w:r>
        <w:rPr>
          <w:color w:val="000000"/>
          <w:spacing w:val="0"/>
          <w:w w:val="100"/>
          <w:position w:val="0"/>
        </w:rPr>
        <w:t>进行转让，不再纳入合并报表。</w:t>
      </w:r>
      <w:r>
        <w:br w:type="page"/>
      </w:r>
    </w:p>
    <w:p>
      <w:pPr>
        <w:pStyle w:val="Style25"/>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九</w:t>
      </w:r>
      <w:bookmarkEnd w:id="190"/>
      <w:r>
        <w:rPr>
          <w:color w:val="000000"/>
          <w:spacing w:val="0"/>
          <w:w w:val="100"/>
          <w:position w:val="0"/>
          <w:sz w:val="24"/>
          <w:szCs w:val="24"/>
        </w:rPr>
        <w:t>、公司利润分配及分红派息情况</w:t>
      </w:r>
      <w:bookmarkEnd w:id="188"/>
      <w:bookmarkEnd w:id="189"/>
      <w:bookmarkEnd w:id="191"/>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报告期内，公司认真执行了已制定的现金分红政策（《荣信电力电子股份有限公司股东分红回报规划</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（2012-2014</w:t>
      </w:r>
      <w:r>
        <w:rPr>
          <w:color w:val="000000"/>
          <w:spacing w:val="0"/>
          <w:w w:val="100"/>
          <w:position w:val="0"/>
        </w:rPr>
        <w:t>年）》），通过实施现金分红权益分配方案来回报投资者，保护中小投资者的合法权益。</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报告期内现金分红政策未进行调整或变更，公司执行了既定现金分 红政策。</w:t>
            </w:r>
          </w:p>
        </w:tc>
      </w:tr>
    </w:tbl>
    <w:p>
      <w:pPr>
        <w:widowControl w:val="0"/>
        <w:spacing w:after="41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tbl>
      <w:tblPr>
        <w:tblOverlap w:val="never"/>
        <w:jc w:val="center"/>
        <w:tblLayout w:type="fixed"/>
      </w:tblPr>
      <w:tblGrid>
        <w:gridCol w:w="1776"/>
        <w:gridCol w:w="8074"/>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分配年度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股利分配情况或资本公积转增股本情况</w:t>
            </w:r>
          </w:p>
        </w:tc>
      </w:tr>
      <w:tr>
        <w:trPr>
          <w:trHeight w:val="739"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 禾</w:t>
            </w:r>
            <w:r>
              <w:rPr>
                <w:rFonts w:ascii="Times New Roman" w:eastAsia="Times New Roman" w:hAnsi="Times New Roman" w:cs="Times New Roman"/>
                <w:color w:val="000000"/>
                <w:spacing w:val="0"/>
                <w:w w:val="100"/>
                <w:position w:val="0"/>
              </w:rPr>
              <w:t>U0.20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年度利润分配方案为：本年利润不分配，不转增。</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年度利润分配方案为：本年利润不分配，不转增。</w:t>
            </w:r>
          </w:p>
        </w:tc>
      </w:tr>
    </w:tbl>
    <w:p>
      <w:pPr>
        <w:widowControl w:val="0"/>
        <w:spacing w:after="41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公司近三年现金分红情况表</w:t>
      </w:r>
    </w:p>
    <w:p>
      <w:pPr>
        <w:pStyle w:val="Style29"/>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75,843,521.47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115,326,193.41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283,780,765.05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r>
        <w:rPr>
          <w:color w:val="000000"/>
          <w:spacing w:val="0"/>
          <w:w w:val="100"/>
          <w:position w:val="0"/>
          <w:sz w:val="24"/>
          <w:szCs w:val="24"/>
        </w:rPr>
        <w:t>十、本报告期利润分配及资本公积金转增股本预案</w:t>
      </w:r>
      <w:bookmarkEnd w:id="192"/>
      <w:bookmarkEnd w:id="193"/>
      <w:bookmarkEnd w:id="194"/>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504,000,000</w:t>
            </w:r>
          </w:p>
        </w:tc>
      </w:tr>
    </w:tbl>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1,043,327,833.47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99"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经天健会计师事务所审计，公司（母公司）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rPr>
              <w:t>130,834,850.44</w:t>
            </w:r>
            <w:r>
              <w:rPr>
                <w:color w:val="000000"/>
                <w:spacing w:val="0"/>
                <w:w w:val="100"/>
                <w:position w:val="0"/>
              </w:rPr>
              <w:t>元，减去按</w:t>
            </w:r>
            <w:r>
              <w:rPr>
                <w:rFonts w:ascii="Times New Roman" w:eastAsia="Times New Roman" w:hAnsi="Times New Roman" w:cs="Times New Roman"/>
                <w:color w:val="000000"/>
                <w:spacing w:val="0"/>
                <w:w w:val="100"/>
                <w:position w:val="0"/>
              </w:rPr>
              <w:t>10%</w:t>
            </w:r>
            <w:r>
              <w:rPr>
                <w:color w:val="000000"/>
                <w:spacing w:val="0"/>
                <w:w w:val="100"/>
                <w:position w:val="0"/>
              </w:rPr>
              <w:t xml:space="preserve">提取法定盈余公积金共计 </w:t>
            </w:r>
            <w:r>
              <w:rPr>
                <w:rFonts w:ascii="Times New Roman" w:eastAsia="Times New Roman" w:hAnsi="Times New Roman" w:cs="Times New Roman"/>
                <w:color w:val="000000"/>
                <w:spacing w:val="0"/>
                <w:w w:val="100"/>
                <w:position w:val="0"/>
              </w:rPr>
              <w:t>13,083,485.04</w:t>
            </w:r>
            <w:r>
              <w:rPr>
                <w:color w:val="000000"/>
                <w:spacing w:val="0"/>
                <w:w w:val="100"/>
                <w:position w:val="0"/>
              </w:rPr>
              <w:t>元及其他</w:t>
            </w:r>
            <w:r>
              <w:rPr>
                <w:rFonts w:ascii="Times New Roman" w:eastAsia="Times New Roman" w:hAnsi="Times New Roman" w:cs="Times New Roman"/>
                <w:color w:val="000000"/>
                <w:spacing w:val="0"/>
                <w:w w:val="100"/>
                <w:position w:val="0"/>
              </w:rPr>
              <w:t>160,893.15</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rPr>
              <w:t>925,737,361.22</w:t>
            </w:r>
            <w:r>
              <w:rPr>
                <w:color w:val="000000"/>
                <w:spacing w:val="0"/>
                <w:w w:val="100"/>
                <w:position w:val="0"/>
              </w:rPr>
              <w:t xml:space="preserve">元，本年度实际可供股东分配利润为 </w:t>
            </w:r>
            <w:r>
              <w:rPr>
                <w:rFonts w:ascii="Times New Roman" w:eastAsia="Times New Roman" w:hAnsi="Times New Roman" w:cs="Times New Roman"/>
                <w:color w:val="000000"/>
                <w:spacing w:val="0"/>
                <w:w w:val="100"/>
                <w:position w:val="0"/>
              </w:rPr>
              <w:t>1,043,327,833.47</w:t>
            </w:r>
            <w:r>
              <w:rPr>
                <w:color w:val="000000"/>
                <w:spacing w:val="0"/>
                <w:w w:val="100"/>
                <w:position w:val="0"/>
              </w:rPr>
              <w:t>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日，公司（母公司）资本公积金余额为</w:t>
            </w:r>
            <w:r>
              <w:rPr>
                <w:rFonts w:ascii="Times New Roman" w:eastAsia="Times New Roman" w:hAnsi="Times New Roman" w:cs="Times New Roman"/>
                <w:color w:val="000000"/>
                <w:spacing w:val="0"/>
                <w:w w:val="100"/>
                <w:position w:val="0"/>
              </w:rPr>
              <w:t>356,356,390.14</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504,000,000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rPr>
              <w:t>0.20</w:t>
            </w:r>
            <w:r>
              <w:rPr>
                <w:color w:val="000000"/>
                <w:spacing w:val="0"/>
                <w:w w:val="100"/>
                <w:position w:val="0"/>
              </w:rPr>
              <w:t>元（含税），共计派发现金</w:t>
            </w:r>
            <w:r>
              <w:rPr>
                <w:rFonts w:ascii="Times New Roman" w:eastAsia="Times New Roman" w:hAnsi="Times New Roman" w:cs="Times New Roman"/>
                <w:color w:val="000000"/>
                <w:spacing w:val="0"/>
                <w:w w:val="100"/>
                <w:position w:val="0"/>
              </w:rPr>
              <w:t>10,080,000.00</w:t>
            </w:r>
            <w:r>
              <w:rPr>
                <w:color w:val="000000"/>
                <w:spacing w:val="0"/>
                <w:w w:val="100"/>
                <w:position w:val="0"/>
              </w:rPr>
              <w:t>元，不以公积金转增股本。</w:t>
            </w:r>
          </w:p>
        </w:tc>
      </w:tr>
    </w:tbl>
    <w:p>
      <w:pPr>
        <w:widowControl w:val="0"/>
        <w:spacing w:after="319" w:line="1" w:lineRule="exact"/>
      </w:pPr>
    </w:p>
    <w:p>
      <w:pPr>
        <w:pStyle w:val="Style25"/>
        <w:keepNext/>
        <w:keepLines/>
        <w:widowControl w:val="0"/>
        <w:shd w:val="clear" w:color="auto" w:fill="auto"/>
        <w:bidi w:val="0"/>
        <w:spacing w:before="0" w:after="180" w:line="240" w:lineRule="auto"/>
        <w:ind w:left="0" w:right="0" w:firstLine="0"/>
        <w:jc w:val="left"/>
      </w:pPr>
      <w:bookmarkStart w:id="195" w:name="bookmark195"/>
      <w:bookmarkStart w:id="196" w:name="bookmark196"/>
      <w:bookmarkStart w:id="197" w:name="bookmark197"/>
      <w:r>
        <w:rPr>
          <w:color w:val="000000"/>
          <w:spacing w:val="0"/>
          <w:w w:val="100"/>
          <w:position w:val="0"/>
          <w:sz w:val="24"/>
          <w:szCs w:val="24"/>
        </w:rPr>
        <w:t>十^一、社会责任情况</w:t>
      </w:r>
      <w:bookmarkEnd w:id="195"/>
      <w:bookmarkEnd w:id="196"/>
      <w:bookmarkEnd w:id="197"/>
    </w:p>
    <w:p>
      <w:pPr>
        <w:pStyle w:val="Style16"/>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报告期，公司合法合规运营，把为社会创造繁荣作为应当承担社会责任的一项承诺，长期致力于经济 发展，积极回报投资者，以自身发展影响和带动地方经济的振兴。与客户建立良好关系，为客户提供优质 产品，完善售后服务，实现共赢。在追求经济效益的同时注重环境保护和节能降耗，把建设资源节约型和 环境友好型企业作为可持续发展战略的重要内容，通过自身节能大功率电力电子产品技术创新和推广应 用，推动全社会节能降耗目标的实现。同时，公司坚持以人为本，把对员工负责视为自身的责任，把为员 工创造未来当成长期坚持的重要使命。公司注重对员工职业发展进行规划，为员工提供平等的发展机会， 尊重和维护员工的个人利益。未来，公司将积极履行社会责任，在兼顾环境保护的同时，致力于打造广受 客户青睐、赢得社会信赖的知名品牌，实现商业利益与社会责任的高度统一。</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上市公司及其子公司是否属于国家环境保护部门规定的重污染行业</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上市公司及其子公司是否存在其他重大社会安全问题</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报告期内是否被行政处罚</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198" w:name="bookmark198"/>
      <w:bookmarkStart w:id="199" w:name="bookmark199"/>
      <w:bookmarkStart w:id="200" w:name="bookmark200"/>
      <w:r>
        <w:rPr>
          <w:color w:val="000000"/>
          <w:spacing w:val="0"/>
          <w:w w:val="100"/>
          <w:position w:val="0"/>
          <w:sz w:val="24"/>
          <w:szCs w:val="24"/>
        </w:rPr>
        <w:t>十二、报告期内接待调研、沟通、采访等活动登记表</w:t>
      </w:r>
      <w:bookmarkEnd w:id="198"/>
      <w:bookmarkEnd w:id="199"/>
      <w:bookmarkEnd w:id="200"/>
    </w:p>
    <w:tbl>
      <w:tblPr>
        <w:tblOverlap w:val="never"/>
        <w:jc w:val="center"/>
        <w:tblLayout w:type="fixed"/>
      </w:tblPr>
      <w:tblGrid>
        <w:gridCol w:w="1498"/>
        <w:gridCol w:w="1498"/>
        <w:gridCol w:w="1498"/>
        <w:gridCol w:w="1498"/>
        <w:gridCol w:w="1493"/>
        <w:gridCol w:w="209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长城证券熊杰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公司运营情况</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凯石投资李亚辉; 民生证券陈龙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公司运营情况</w:t>
            </w:r>
          </w:p>
        </w:tc>
      </w:tr>
    </w:tbl>
    <w:p>
      <w:pPr>
        <w:spacing w:lineRule="exact" w:line="1"/>
        <w:rPr>
          <w:sz w:val="2"/>
          <w:szCs w:val="2"/>
        </w:rPr>
      </w:pPr>
      <w:r>
        <w:br w:type="page"/>
      </w:r>
    </w:p>
    <w:tbl>
      <w:tblPr>
        <w:tblOverlap w:val="never"/>
        <w:jc w:val="center"/>
        <w:tblLayout w:type="fixed"/>
      </w:tblPr>
      <w:tblGrid>
        <w:gridCol w:w="1498"/>
        <w:gridCol w:w="1498"/>
        <w:gridCol w:w="1498"/>
        <w:gridCol w:w="1498"/>
        <w:gridCol w:w="1493"/>
        <w:gridCol w:w="209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东兴证券李根； 广发基金曹藏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公司运营情况</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华富基金高靖瑜; 农银汇理基金刘 伟伟；国泰君安刘 骁;招商证券王海 东;华夏基金邓彬 彬;华创证券张文 博;大成基金金龙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公司运营情况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新华基金金宏伟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公司运营情况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海通证券牛品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公司运营情况</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成都怡丰投资高</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公司运营情况</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201" w:name="bookmark201"/>
      <w:bookmarkStart w:id="202" w:name="bookmark202"/>
      <w:bookmarkStart w:id="203" w:name="bookmark203"/>
      <w:r>
        <w:rPr>
          <w:color w:val="000000"/>
          <w:spacing w:val="0"/>
          <w:w w:val="100"/>
          <w:position w:val="0"/>
        </w:rPr>
        <w:t>第五节重要事项</w:t>
      </w:r>
      <w:bookmarkEnd w:id="201"/>
      <w:bookmarkEnd w:id="202"/>
      <w:bookmarkEnd w:id="203"/>
    </w:p>
    <w:p>
      <w:pPr>
        <w:pStyle w:val="Style25"/>
        <w:keepNext/>
        <w:keepLines/>
        <w:widowControl w:val="0"/>
        <w:shd w:val="clear" w:color="auto" w:fill="auto"/>
        <w:bidi w:val="0"/>
        <w:spacing w:before="0" w:after="32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一</w:t>
      </w:r>
      <w:bookmarkEnd w:id="206"/>
      <w:r>
        <w:rPr>
          <w:color w:val="000000"/>
          <w:spacing w:val="0"/>
          <w:w w:val="100"/>
          <w:position w:val="0"/>
          <w:sz w:val="24"/>
          <w:szCs w:val="24"/>
        </w:rPr>
        <w:t>、资产交易事项</w:t>
      </w:r>
      <w:bookmarkEnd w:id="204"/>
      <w:bookmarkEnd w:id="205"/>
      <w:bookmarkEnd w:id="207"/>
    </w:p>
    <w:p>
      <w:pPr>
        <w:pStyle w:val="Style34"/>
        <w:keepNext/>
        <w:keepLines/>
        <w:widowControl w:val="0"/>
        <w:shd w:val="clear" w:color="auto" w:fill="auto"/>
        <w:bidi w:val="0"/>
        <w:spacing w:before="0" w:after="32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、出售资产情况</w:t>
      </w:r>
      <w:bookmarkEnd w:id="208"/>
      <w:bookmarkEnd w:id="209"/>
      <w:bookmarkEnd w:id="211"/>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289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被出售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资产为 上市公 司贡献 的净利 润（万</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311" w:lineRule="exact"/>
              <w:ind w:left="0" w:right="0" w:firstLine="0"/>
              <w:jc w:val="both"/>
            </w:pPr>
            <w:r>
              <w:rPr>
                <w:color w:val="000000"/>
                <w:spacing w:val="0"/>
                <w:w w:val="100"/>
                <w:position w:val="0"/>
              </w:rPr>
              <w:t>资产出 售为上 市公司 贡献的 净利润 占净利 润总额 的比例</w:t>
            </w:r>
          </w:p>
          <w:p>
            <w:pPr>
              <w:pStyle w:val="Style22"/>
              <w:keepNext w:val="0"/>
              <w:keepLines w:val="0"/>
              <w:widowControl w:val="0"/>
              <w:shd w:val="clear" w:color="auto" w:fill="auto"/>
              <w:bidi w:val="0"/>
              <w:spacing w:before="0" w:after="0" w:line="360" w:lineRule="auto"/>
              <w:ind w:left="0" w:right="0" w:firstLine="1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106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恒顺电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本项交 易获得 的投资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讯网关 于出售</w:t>
            </w:r>
          </w:p>
        </w:tc>
      </w:tr>
      <w:tr>
        <w:trPr>
          <w:trHeight w:val="317"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级市场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气股票</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1,244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收益为</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 售金融</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46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1017.38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资产的</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1061"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级市场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恒顺电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本项交 易获得 的投资</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讯网关 于出售</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气股票</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1,296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 售金融</w:t>
            </w:r>
          </w:p>
        </w:tc>
      </w:tr>
      <w:tr>
        <w:trPr>
          <w:trHeight w:val="149"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1069.31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061"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级市场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恒顺电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本项交 易获得 的投资</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讯网关 于出售</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气股票</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3,565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33.6%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w:t>
            </w:r>
          </w:p>
        </w:tc>
      </w:tr>
      <w:tr>
        <w:trPr>
          <w:trHeight w:val="154"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售金融 资产的 公告</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2,997.8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万元</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本项交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r>
        <w:trPr>
          <w:trHeight w:val="30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股票二</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恒顺电</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易获得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讯网关</w:t>
            </w:r>
          </w:p>
        </w:tc>
      </w:tr>
      <w:tr>
        <w:trPr>
          <w:trHeight w:val="245"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级市场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的投资</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36.12%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市价</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于出售</w:t>
            </w:r>
          </w:p>
        </w:tc>
      </w:tr>
      <w:tr>
        <w:trPr>
          <w:trHeight w:val="13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气股票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w:t>
            </w: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3,223.1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售金融</w:t>
            </w: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1061"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股票二</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级市场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恒顺电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本项交 易获得 的投资</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讯网关 于出售</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气股票</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w:t>
            </w:r>
          </w:p>
        </w:tc>
      </w:tr>
      <w:tr>
        <w:trPr>
          <w:trHeight w:val="154"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售金融 资产的 公告</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1,034.4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万元</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5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恒顺电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本项交 易获得 的投资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 讯网关 于出售</w:t>
            </w:r>
          </w:p>
        </w:tc>
      </w:tr>
      <w:tr>
        <w:trPr>
          <w:trHeight w:val="317"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级市场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气股票</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1,656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收益为</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 售金融</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1,318 </w:t>
            </w:r>
            <w:r>
              <w:rPr>
                <w:color w:val="000000"/>
                <w:spacing w:val="0"/>
                <w:w w:val="100"/>
                <w:position w:val="0"/>
              </w:rPr>
              <w:t>万</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资产的</w:t>
            </w:r>
          </w:p>
        </w:tc>
      </w:tr>
      <w:tr>
        <w:trPr>
          <w:trHeight w:val="17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1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1056"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股票二</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级市场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恒顺电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本项交 易获得 的投资</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讯网关 于出售</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气股票</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w:t>
            </w:r>
          </w:p>
        </w:tc>
      </w:tr>
      <w:tr>
        <w:trPr>
          <w:trHeight w:val="154"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售金融 资产的 公告</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1,371.9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3"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万元</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61"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股票二</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级市场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恒顺电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本项交 易获得 的投资</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讯网关 于出售</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气股票</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4,471.4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 售金融</w:t>
            </w:r>
          </w:p>
        </w:tc>
      </w:tr>
      <w:tr>
        <w:trPr>
          <w:trHeight w:val="149"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3,573.6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资产的</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万元</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4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图木舒 克市荣</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本项交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风光电</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信新能</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易对报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源有限</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1,026.6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告期业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绩无影</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w:t>
            </w: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哈密荣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本项交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电建设</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信新能</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易对报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集团甘</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源有限</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495.32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告期业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2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肃能源</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绩无影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w:t>
            </w:r>
            <w:r>
              <w:rPr>
                <w:color w:val="000000"/>
                <w:spacing w:val="0"/>
                <w:w w:val="100"/>
                <w:position w:val="0"/>
              </w:rPr>
              <w:t>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255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限公 司、中 国水电 建设集 团新能 源开发 有限责 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ORAW</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AN</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TANG</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WORA</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KUL</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泰信新 能源科 技有限 公司 </w:t>
            </w:r>
            <w:r>
              <w:rPr>
                <w:rFonts w:ascii="Times New Roman" w:eastAsia="Times New Roman" w:hAnsi="Times New Roman" w:cs="Times New Roman"/>
                <w:color w:val="000000"/>
                <w:spacing w:val="0"/>
                <w:w w:val="100"/>
                <w:position w:val="0"/>
              </w:rPr>
              <w:t>49%</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本项交 易对报 告期业 绩无影 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sz w:val="24"/>
          <w:szCs w:val="24"/>
        </w:rPr>
        <w:t>二</w:t>
      </w:r>
      <w:bookmarkEnd w:id="214"/>
      <w:r>
        <w:rPr>
          <w:color w:val="000000"/>
          <w:spacing w:val="0"/>
          <w:w w:val="100"/>
          <w:position w:val="0"/>
          <w:sz w:val="24"/>
          <w:szCs w:val="24"/>
        </w:rPr>
        <w:t>、重大合同及其履行情况</w:t>
      </w:r>
      <w:bookmarkEnd w:id="212"/>
      <w:bookmarkEnd w:id="213"/>
      <w:bookmarkEnd w:id="215"/>
    </w:p>
    <w:p>
      <w:pPr>
        <w:pStyle w:val="Style34"/>
        <w:keepNext/>
        <w:keepLines/>
        <w:widowControl w:val="0"/>
        <w:shd w:val="clear" w:color="auto" w:fill="auto"/>
        <w:bidi w:val="0"/>
        <w:spacing w:before="0" w:after="32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、担保情况</w:t>
      </w:r>
      <w:bookmarkEnd w:id="216"/>
      <w:bookmarkEnd w:id="217"/>
      <w:bookmarkEnd w:id="2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8"/>
        <w:gridCol w:w="946"/>
        <w:gridCol w:w="931"/>
        <w:gridCol w:w="1210"/>
        <w:gridCol w:w="1181"/>
        <w:gridCol w:w="1094"/>
        <w:gridCol w:w="1018"/>
        <w:gridCol w:w="802"/>
        <w:gridCol w:w="797"/>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贵州登峰能源集团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自保证合同 生效之日起 至主合同履 行期限届满 之日后两年 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威宁县洁净煤有限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自保证合同 生效之日起 至主合同履 行期限届满 之日后两年 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贵州登峰能源集团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自保证合同 生效之日起 至主合同履 行期限届满 之日后两年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8"/>
        <w:gridCol w:w="936"/>
        <w:gridCol w:w="941"/>
        <w:gridCol w:w="1210"/>
        <w:gridCol w:w="1181"/>
        <w:gridCol w:w="1094"/>
        <w:gridCol w:w="1013"/>
        <w:gridCol w:w="806"/>
        <w:gridCol w:w="797"/>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哈密荣信新能源有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自保证合同 生效之日起 至主债权清 偿期限届满 之日起两年 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21,600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报告期内对外担保实际发生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27,000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报告期末实际对外担保余额 合计（</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辽宁荣信电气传动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自具体授信 业务合同或 协议约定的 授信人履行 债务期限届 满之日起两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辽宁荣信防爆电气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自具体授信 业务合同或 协议约定的 授信人履行 债务期限届 满之日起两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辽宁荣信光伏技术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自具体授信 业务合同或 协议约定的 授信人履行 债务期限届 满之日起两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北京荣科恒阳整流 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自具体授信 业务合同或 协议约定的 授信人履行 债务期限届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8"/>
        <w:gridCol w:w="936"/>
        <w:gridCol w:w="941"/>
        <w:gridCol w:w="1210"/>
        <w:gridCol w:w="1181"/>
        <w:gridCol w:w="1094"/>
        <w:gridCol w:w="1013"/>
        <w:gridCol w:w="806"/>
        <w:gridCol w:w="797"/>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满之日起两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辽宁荣信电气传动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自具体授信 业务合同或 协议约定的 授信人履行 债务期限届 满之日起两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辽宁荣信防爆电气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自具体授信 业务合同或 协议约定的 授信人履行 债务期限届 满之日起两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辽宁荣信电机控制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自具体授信 业务合同或 协议约定的 授信人履行 债务期限届 满之日起两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荣西电力传输技术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自具体授信 业务合同或 协议约定的 授信人履行 债务期限届 满之日起两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北京信力筑正新能 源技术股份有限公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自具体授信 业务合同或 协议约定的 授信人履行 债务期限届 满之日起两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17,840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12,247.9</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30,040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8,534.05</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bl>
    <w:p>
      <w:pPr>
        <w:spacing w:lineRule="exact" w:line="1"/>
        <w:rPr>
          <w:sz w:val="2"/>
          <w:szCs w:val="2"/>
        </w:rPr>
      </w:pPr>
      <w:r>
        <w:br w:type="page"/>
      </w:r>
    </w:p>
    <w:tbl>
      <w:tblPr>
        <w:tblOverlap w:val="never"/>
        <w:jc w:val="center"/>
        <w:tblLayout w:type="fixed"/>
      </w:tblPr>
      <w:tblGrid>
        <w:gridCol w:w="2544"/>
        <w:gridCol w:w="2150"/>
        <w:gridCol w:w="2275"/>
        <w:gridCol w:w="261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39,440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A2+B2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57,040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25,434.05</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982.89</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982.89</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三</w:t>
      </w:r>
      <w:bookmarkEnd w:id="222"/>
      <w:r>
        <w:rPr>
          <w:color w:val="000000"/>
          <w:spacing w:val="0"/>
          <w:w w:val="100"/>
          <w:position w:val="0"/>
          <w:sz w:val="24"/>
          <w:szCs w:val="24"/>
        </w:rPr>
        <w:t>、承诺事项履行情况</w:t>
      </w:r>
      <w:bookmarkEnd w:id="220"/>
      <w:bookmarkEnd w:id="221"/>
      <w:bookmarkEnd w:id="223"/>
    </w:p>
    <w:p>
      <w:pPr>
        <w:pStyle w:val="Style34"/>
        <w:keepNext/>
        <w:keepLines/>
        <w:widowControl w:val="0"/>
        <w:shd w:val="clear" w:color="auto" w:fill="auto"/>
        <w:bidi w:val="0"/>
        <w:spacing w:before="0" w:after="32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24"/>
      <w:bookmarkEnd w:id="225"/>
      <w:bookmarkEnd w:id="227"/>
    </w:p>
    <w:tbl>
      <w:tblPr>
        <w:tblOverlap w:val="never"/>
        <w:jc w:val="center"/>
        <w:tblLayout w:type="fixed"/>
      </w:tblPr>
      <w:tblGrid>
        <w:gridCol w:w="3197"/>
        <w:gridCol w:w="1272"/>
        <w:gridCol w:w="1282"/>
        <w:gridCol w:w="1277"/>
        <w:gridCol w:w="1277"/>
        <w:gridCol w:w="127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本公司控股股 东左强、深圳市 深港产学研创 业投资有限公 司，实际控制 人左强先生、崔 京涛女士和厉 伟先生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为避免将来可 能出现与本公 司的同业竞争， 本公司控股股 东、实际控制人 出具了《避免同 业竞争的承诺 函》，承诺将不 会直接或间接 从事与本公司 相同、相似的业 务，也不在与本 公司有相同、相 似业务的其他 企业任职。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截止到本报告 期末，避免同业 竞争的承诺仍 在严格履行中。</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638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四</w:t>
      </w:r>
      <w:bookmarkEnd w:id="230"/>
      <w:r>
        <w:rPr>
          <w:color w:val="000000"/>
          <w:spacing w:val="0"/>
          <w:w w:val="100"/>
          <w:position w:val="0"/>
          <w:sz w:val="24"/>
          <w:szCs w:val="24"/>
        </w:rPr>
        <w:t>、聘任、解聘会计师事务所情况</w:t>
      </w:r>
      <w:bookmarkEnd w:id="228"/>
      <w:bookmarkEnd w:id="229"/>
      <w:bookmarkEnd w:id="23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朱伟峰赵国梁</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0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五</w:t>
      </w:r>
      <w:bookmarkEnd w:id="234"/>
      <w:r>
        <w:rPr>
          <w:color w:val="000000"/>
          <w:spacing w:val="0"/>
          <w:w w:val="100"/>
          <w:position w:val="0"/>
          <w:sz w:val="24"/>
          <w:szCs w:val="24"/>
        </w:rPr>
        <w:t>、公司发行公司债券的情况</w:t>
      </w:r>
      <w:bookmarkEnd w:id="232"/>
      <w:bookmarkEnd w:id="233"/>
      <w:bookmarkEnd w:id="235"/>
    </w:p>
    <w:p>
      <w:pPr>
        <w:pStyle w:val="Style16"/>
        <w:keepNext w:val="0"/>
        <w:keepLines w:val="0"/>
        <w:widowControl w:val="0"/>
        <w:shd w:val="clear" w:color="auto" w:fill="auto"/>
        <w:bidi w:val="0"/>
        <w:spacing w:before="0" w:after="260" w:line="471" w:lineRule="exact"/>
        <w:ind w:left="0" w:right="0" w:firstLine="460"/>
        <w:jc w:val="left"/>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rPr>
        <w:t>[2012]1736</w:t>
      </w:r>
      <w:r>
        <w:rPr>
          <w:color w:val="000000"/>
          <w:spacing w:val="0"/>
          <w:w w:val="100"/>
          <w:position w:val="0"/>
        </w:rPr>
        <w:t>号《关于核准荣信电力电子股份有限公司公开发行公司债券的批 复》，核准公司向社会公开发行面值不超过</w:t>
      </w:r>
      <w:r>
        <w:rPr>
          <w:rFonts w:ascii="Times New Roman" w:eastAsia="Times New Roman" w:hAnsi="Times New Roman" w:cs="Times New Roman"/>
          <w:color w:val="000000"/>
          <w:spacing w:val="0"/>
          <w:w w:val="100"/>
          <w:position w:val="0"/>
        </w:rPr>
        <w:t>80,000</w:t>
      </w:r>
      <w:r>
        <w:rPr>
          <w:color w:val="000000"/>
          <w:spacing w:val="0"/>
          <w:w w:val="100"/>
          <w:position w:val="0"/>
        </w:rPr>
        <w:t>万元的公司债券。</w:t>
      </w:r>
      <w:r>
        <w:rPr>
          <w:rFonts w:ascii="Times New Roman" w:eastAsia="Times New Roman" w:hAnsi="Times New Roman" w:cs="Times New Roman"/>
          <w:color w:val="000000"/>
          <w:spacing w:val="0"/>
          <w:w w:val="100"/>
          <w:position w:val="0"/>
        </w:rPr>
        <w:t>2013</w:t>
      </w:r>
      <w:r>
        <w:rPr>
          <w:color w:val="000000"/>
          <w:spacing w:val="0"/>
          <w:w w:val="100"/>
          <w:position w:val="0"/>
        </w:rPr>
        <w:t>年荣信电力电子股份有限公司公 司债券（第一期）的发行工作已全部完成，证券代码：</w:t>
      </w:r>
      <w:r>
        <w:rPr>
          <w:rFonts w:ascii="Times New Roman" w:eastAsia="Times New Roman" w:hAnsi="Times New Roman" w:cs="Times New Roman"/>
          <w:color w:val="000000"/>
          <w:spacing w:val="0"/>
          <w:w w:val="100"/>
          <w:position w:val="0"/>
        </w:rPr>
        <w:t>112145</w:t>
      </w:r>
      <w:r>
        <w:rPr>
          <w:color w:val="000000"/>
          <w:spacing w:val="0"/>
          <w:w w:val="100"/>
          <w:position w:val="0"/>
        </w:rPr>
        <w:t>，证券简称：</w:t>
      </w:r>
      <w:r>
        <w:rPr>
          <w:rFonts w:ascii="Times New Roman" w:eastAsia="Times New Roman" w:hAnsi="Times New Roman" w:cs="Times New Roman"/>
          <w:color w:val="000000"/>
          <w:spacing w:val="0"/>
          <w:w w:val="100"/>
          <w:position w:val="0"/>
        </w:rPr>
        <w:t>13</w:t>
      </w:r>
      <w:r>
        <w:rPr>
          <w:color w:val="000000"/>
          <w:spacing w:val="0"/>
          <w:w w:val="100"/>
          <w:position w:val="0"/>
        </w:rPr>
        <w:t>荣信</w:t>
      </w:r>
      <w:r>
        <w:rPr>
          <w:rFonts w:ascii="Times New Roman" w:eastAsia="Times New Roman" w:hAnsi="Times New Roman" w:cs="Times New Roman"/>
          <w:color w:val="000000"/>
          <w:spacing w:val="0"/>
          <w:w w:val="100"/>
          <w:position w:val="0"/>
        </w:rPr>
        <w:t>01</w:t>
      </w:r>
      <w:r>
        <w:rPr>
          <w:color w:val="000000"/>
          <w:spacing w:val="0"/>
          <w:w w:val="100"/>
          <w:position w:val="0"/>
        </w:rPr>
        <w:t>,发行总额</w:t>
      </w:r>
      <w:r>
        <w:rPr>
          <w:rFonts w:ascii="Times New Roman" w:eastAsia="Times New Roman" w:hAnsi="Times New Roman" w:cs="Times New Roman"/>
          <w:color w:val="000000"/>
          <w:spacing w:val="0"/>
          <w:w w:val="100"/>
          <w:position w:val="0"/>
        </w:rPr>
        <w:t>6</w:t>
      </w:r>
      <w:r>
        <w:rPr>
          <w:color w:val="000000"/>
          <w:spacing w:val="0"/>
          <w:w w:val="100"/>
          <w:position w:val="0"/>
        </w:rPr>
        <w:t>亿元， 票面利率</w:t>
      </w:r>
      <w:r>
        <w:rPr>
          <w:rFonts w:ascii="Times New Roman" w:eastAsia="Times New Roman" w:hAnsi="Times New Roman" w:cs="Times New Roman"/>
          <w:color w:val="000000"/>
          <w:spacing w:val="0"/>
          <w:w w:val="100"/>
          <w:position w:val="0"/>
        </w:rPr>
        <w:t>5.90%</w:t>
      </w:r>
      <w:r>
        <w:rPr>
          <w:color w:val="000000"/>
          <w:spacing w:val="0"/>
          <w:w w:val="100"/>
          <w:position w:val="0"/>
        </w:rPr>
        <w:t>，债券期限</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年发行人上调票面利率选择权和投资者回售选择权，本期债券的起 息日为发行首日，即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日。经深交所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[2013]58</w:t>
      </w:r>
      <w:r>
        <w:rPr>
          <w:color w:val="000000"/>
          <w:spacing w:val="0"/>
          <w:w w:val="100"/>
          <w:position w:val="0"/>
        </w:rPr>
        <w:t>号文同意</w:t>
      </w:r>
      <w:r>
        <w:rPr>
          <w:color w:val="000000"/>
          <w:spacing w:val="0"/>
          <w:w w:val="100"/>
          <w:position w:val="0"/>
        </w:rPr>
        <w:t>''，</w:t>
      </w:r>
      <w:r>
        <w:rPr>
          <w:color w:val="000000"/>
          <w:spacing w:val="0"/>
          <w:w w:val="100"/>
          <w:position w:val="0"/>
        </w:rPr>
        <w:t>本期债券于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日起在 深交所集中竞价系统和综合协议平台双边挂牌交易。</w:t>
      </w:r>
      <w:r>
        <w:br w:type="page"/>
      </w:r>
    </w:p>
    <w:p>
      <w:pPr>
        <w:pStyle w:val="Style14"/>
        <w:keepNext/>
        <w:keepLines/>
        <w:widowControl w:val="0"/>
        <w:shd w:val="clear" w:color="auto" w:fill="auto"/>
        <w:bidi w:val="0"/>
        <w:spacing w:before="0" w:line="240" w:lineRule="auto"/>
        <w:ind w:left="0" w:right="0" w:firstLine="0"/>
        <w:jc w:val="center"/>
      </w:pPr>
      <w:bookmarkStart w:id="236" w:name="bookmark236"/>
      <w:bookmarkStart w:id="237" w:name="bookmark237"/>
      <w:bookmarkStart w:id="238" w:name="bookmark238"/>
      <w:r>
        <w:rPr>
          <w:color w:val="000000"/>
          <w:spacing w:val="0"/>
          <w:w w:val="100"/>
          <w:position w:val="0"/>
        </w:rPr>
        <w:t>第六节股份变动及股东情况</w:t>
      </w:r>
      <w:bookmarkEnd w:id="236"/>
      <w:bookmarkEnd w:id="237"/>
      <w:bookmarkEnd w:id="238"/>
    </w:p>
    <w:p>
      <w:pPr>
        <w:pStyle w:val="Style25"/>
        <w:keepNext/>
        <w:keepLines/>
        <w:widowControl w:val="0"/>
        <w:shd w:val="clear" w:color="auto" w:fill="auto"/>
        <w:bidi w:val="0"/>
        <w:spacing w:before="0" w:after="360" w:line="240" w:lineRule="auto"/>
        <w:ind w:left="0" w:right="0" w:firstLine="240"/>
        <w:jc w:val="left"/>
      </w:pPr>
      <w:bookmarkStart w:id="239" w:name="bookmark239"/>
      <w:bookmarkStart w:id="240" w:name="bookmark240"/>
      <w:bookmarkStart w:id="241" w:name="bookmark241"/>
      <w:r>
        <w:rPr>
          <w:color w:val="000000"/>
          <w:spacing w:val="0"/>
          <w:w w:val="100"/>
          <w:position w:val="0"/>
          <w:sz w:val="24"/>
          <w:szCs w:val="24"/>
        </w:rPr>
        <w:t>、股份变动情况</w:t>
      </w:r>
      <w:bookmarkEnd w:id="239"/>
      <w:bookmarkEnd w:id="240"/>
      <w:bookmarkEnd w:id="24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51,724,89</w:t>
            </w:r>
          </w:p>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51,084,95</w:t>
            </w:r>
          </w:p>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51,724,89</w:t>
            </w:r>
          </w:p>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51,724,89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51,084,95</w:t>
            </w:r>
          </w:p>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51,724,89</w:t>
            </w:r>
          </w:p>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51,084,95</w:t>
            </w:r>
          </w:p>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452,275,1</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452,915,0</w:t>
            </w:r>
          </w:p>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452,275,1</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452,915,0</w:t>
            </w:r>
          </w:p>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504,000,0</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504,000,0</w:t>
            </w:r>
          </w:p>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440" w:line="468" w:lineRule="exact"/>
        <w:ind w:left="0" w:right="0" w:firstLine="340"/>
        <w:jc w:val="left"/>
      </w:pPr>
      <w:r>
        <w:rPr>
          <w:color w:val="000000"/>
          <w:spacing w:val="0"/>
          <w:w w:val="100"/>
          <w:position w:val="0"/>
        </w:rPr>
        <w:t>报告期，公司高管换届，龙浩不再担任公司董事、财务总监。根据相关规定，其所持股份的</w:t>
      </w:r>
      <w:r>
        <w:rPr>
          <w:rFonts w:ascii="Times New Roman" w:eastAsia="Times New Roman" w:hAnsi="Times New Roman" w:cs="Times New Roman"/>
          <w:color w:val="000000"/>
          <w:spacing w:val="0"/>
          <w:w w:val="100"/>
          <w:position w:val="0"/>
        </w:rPr>
        <w:t>50%</w:t>
      </w:r>
      <w:r>
        <w:rPr>
          <w:color w:val="000000"/>
          <w:spacing w:val="0"/>
          <w:w w:val="100"/>
          <w:position w:val="0"/>
        </w:rPr>
        <w:t>在其 离职六个月后解除限售，其余</w:t>
      </w:r>
      <w:r>
        <w:rPr>
          <w:rFonts w:ascii="Times New Roman" w:eastAsia="Times New Roman" w:hAnsi="Times New Roman" w:cs="Times New Roman"/>
          <w:color w:val="000000"/>
          <w:spacing w:val="0"/>
          <w:w w:val="100"/>
          <w:position w:val="0"/>
        </w:rPr>
        <w:t>50%</w:t>
      </w:r>
      <w:r>
        <w:rPr>
          <w:color w:val="000000"/>
          <w:spacing w:val="0"/>
          <w:w w:val="100"/>
          <w:position w:val="0"/>
        </w:rPr>
        <w:t>股份在其离职六个月后的十二个月内予以锁定，相应减少有限售条件股 份</w:t>
      </w:r>
      <w:r>
        <w:rPr>
          <w:rFonts w:ascii="Times New Roman" w:eastAsia="Times New Roman" w:hAnsi="Times New Roman" w:cs="Times New Roman"/>
          <w:color w:val="000000"/>
          <w:spacing w:val="0"/>
          <w:w w:val="100"/>
          <w:position w:val="0"/>
        </w:rPr>
        <w:t>639,943</w:t>
      </w:r>
      <w:r>
        <w:rPr>
          <w:color w:val="000000"/>
          <w:spacing w:val="0"/>
          <w:w w:val="100"/>
          <w:position w:val="0"/>
        </w:rPr>
        <w:t>股，增加无限售条件股份</w:t>
      </w:r>
      <w:r>
        <w:rPr>
          <w:rFonts w:ascii="Times New Roman" w:eastAsia="Times New Roman" w:hAnsi="Times New Roman" w:cs="Times New Roman"/>
          <w:color w:val="000000"/>
          <w:spacing w:val="0"/>
          <w:w w:val="100"/>
          <w:position w:val="0"/>
        </w:rPr>
        <w:t>639,943</w:t>
      </w:r>
      <w:r>
        <w:rPr>
          <w:color w:val="000000"/>
          <w:spacing w:val="0"/>
          <w:w w:val="100"/>
          <w:position w:val="0"/>
        </w:rPr>
        <w:t>股。</w:t>
      </w:r>
    </w:p>
    <w:p>
      <w:pPr>
        <w:pStyle w:val="Style25"/>
        <w:keepNext/>
        <w:keepLines/>
        <w:widowControl w:val="0"/>
        <w:shd w:val="clear" w:color="auto" w:fill="auto"/>
        <w:bidi w:val="0"/>
        <w:spacing w:before="0" w:after="32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二</w:t>
      </w:r>
      <w:bookmarkEnd w:id="244"/>
      <w:r>
        <w:rPr>
          <w:color w:val="000000"/>
          <w:spacing w:val="0"/>
          <w:w w:val="100"/>
          <w:position w:val="0"/>
          <w:sz w:val="24"/>
          <w:szCs w:val="24"/>
        </w:rPr>
        <w:t>、股东和实际控制人情况</w:t>
      </w:r>
      <w:bookmarkEnd w:id="242"/>
      <w:bookmarkEnd w:id="243"/>
      <w:bookmarkEnd w:id="245"/>
    </w:p>
    <w:p>
      <w:pPr>
        <w:pStyle w:val="Style34"/>
        <w:keepNext/>
        <w:keepLines/>
        <w:widowControl w:val="0"/>
        <w:shd w:val="clear" w:color="auto" w:fill="auto"/>
        <w:bidi w:val="0"/>
        <w:spacing w:before="0" w:after="140" w:line="48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、公司股东数量及持股情况</w:t>
      </w:r>
      <w:bookmarkEnd w:id="246"/>
      <w:bookmarkEnd w:id="247"/>
      <w:bookmarkEnd w:id="24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859"/>
        <w:gridCol w:w="802"/>
        <w:gridCol w:w="797"/>
        <w:gridCol w:w="797"/>
        <w:gridCol w:w="854"/>
        <w:gridCol w:w="1368"/>
        <w:gridCol w:w="1373"/>
      </w:tblGrid>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47,358</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4584" w:val="left"/>
              </w:tabs>
              <w:bidi w:val="0"/>
              <w:spacing w:before="0" w:after="0" w:line="240" w:lineRule="auto"/>
              <w:ind w:left="0" w:right="0" w:firstLine="0"/>
              <w:jc w:val="righ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49,339</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1363"/>
        <w:gridCol w:w="1368"/>
        <w:gridCol w:w="859"/>
        <w:gridCol w:w="802"/>
        <w:gridCol w:w="797"/>
        <w:gridCol w:w="797"/>
        <w:gridCol w:w="854"/>
        <w:gridCol w:w="1368"/>
        <w:gridCol w:w="1373"/>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深圳市深港产学 研创业投资有限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74,073,31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74,073,31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73,402,050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58,589,73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43,942,29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14,647,43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42,194,090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深圳市天图创业 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12,000,000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新乡市卫滨区营 道社会经济咨询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-1,256,78</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赵殿波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3,719,025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2,789,266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929,759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2,559,777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1,279,889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2,104,305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2,104,305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2,104,305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王岱岩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1,554,750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焦东亮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中国太平洋人寿 保险股份有限公 司一传统一普通 保险产品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-4,504,97</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公司控股股东为左强和深圳市深港产学研创业投资有限公司，与其他前</w:t>
            </w:r>
            <w:r>
              <w:rPr>
                <w:rFonts w:ascii="Times New Roman" w:eastAsia="Times New Roman" w:hAnsi="Times New Roman" w:cs="Times New Roman"/>
                <w:color w:val="000000"/>
                <w:spacing w:val="0"/>
                <w:w w:val="100"/>
                <w:position w:val="0"/>
              </w:rPr>
              <w:t>10</w:t>
            </w:r>
            <w:r>
              <w:rPr>
                <w:color w:val="000000"/>
                <w:spacing w:val="0"/>
                <w:w w:val="100"/>
                <w:position w:val="0"/>
              </w:rPr>
              <w:t>名股东之间 不存在关联关系，也不属于《上市公司股东持股变动信息披露管理办法》中规定的一致 行动人。</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深圳市深港产学研创业投资有限 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74,073,316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74,073,316</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深圳市天图创业投资有限公司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23,900,000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14,647,433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14,647,433</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新乡市卫滨区营道社会经济咨询 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4,380,000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2,104,305</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中国太平洋人寿保险股份有限公 司一传统一普通保险产品</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2,000,000</w:t>
            </w:r>
          </w:p>
        </w:tc>
      </w:tr>
      <w:tr>
        <w:trPr>
          <w:trHeight w:val="41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北京泽泰投资顾问有限公司</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1,900,000</w:t>
            </w:r>
          </w:p>
        </w:tc>
      </w:tr>
    </w:tbl>
    <w:p>
      <w:pPr>
        <w:spacing w:lineRule="exact" w:line="1"/>
        <w:rPr>
          <w:sz w:val="2"/>
          <w:szCs w:val="2"/>
        </w:rPr>
      </w:pPr>
      <w:r>
        <w:br w:type="page"/>
      </w:r>
    </w:p>
    <w:tbl>
      <w:tblPr>
        <w:tblOverlap w:val="never"/>
        <w:jc w:val="center"/>
        <w:tblLayout w:type="fixed"/>
      </w:tblPr>
      <w:tblGrid>
        <w:gridCol w:w="2731"/>
        <w:gridCol w:w="4109"/>
        <w:gridCol w:w="1368"/>
        <w:gridCol w:w="1373"/>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中国建设银行一华夏盛世精选股 票型证券投资基金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蒋志华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1,692,861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张步军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1,516,006</w:t>
            </w: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公司控股股东为左强和深圳市深港产学研创业投资有限公司，与其他前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名股东及前 </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名无限售条件股东之间不存在关联关系，也不属于《上市公司股东持股变动信息披 露管理办法》中规定的一致行动人；未知以上无限售条件股东之间是否存在关联关系， 未知以上无限售条件股东与上述前</w:t>
            </w:r>
            <w:r>
              <w:rPr>
                <w:rFonts w:ascii="Times New Roman" w:eastAsia="Times New Roman" w:hAnsi="Times New Roman" w:cs="Times New Roman"/>
                <w:color w:val="000000"/>
                <w:spacing w:val="0"/>
                <w:w w:val="100"/>
                <w:position w:val="0"/>
              </w:rPr>
              <w:t>10</w:t>
            </w:r>
            <w:r>
              <w:rPr>
                <w:color w:val="000000"/>
                <w:spacing w:val="0"/>
                <w:w w:val="100"/>
                <w:position w:val="0"/>
              </w:rPr>
              <w:t>名股东之间是否存在关联关系，也未知以上无限 售条件股东是否属于《上市公司股东持股变动信息披露管理办法》中规定的一致行动人。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both"/>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2</w:t>
      </w:r>
      <w:bookmarkEnd w:id="252"/>
      <w:r>
        <w:rPr>
          <w:color w:val="000000"/>
          <w:spacing w:val="0"/>
          <w:w w:val="100"/>
          <w:position w:val="0"/>
        </w:rPr>
        <w:t>、公司控股股东情况</w:t>
      </w:r>
      <w:bookmarkEnd w:id="250"/>
      <w:bookmarkEnd w:id="251"/>
      <w:bookmarkEnd w:id="25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4"/>
        <w:gridCol w:w="1094"/>
        <w:gridCol w:w="888"/>
        <w:gridCol w:w="1800"/>
        <w:gridCol w:w="1800"/>
        <w:gridCol w:w="181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主要经营业务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深圳市深港产学研创业投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厉伟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1996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27926773-X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直接投资高新技术产 业和其他技术创新产 业</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日，深圳市深港产学研创业投资有限公司的总资产</w:t>
            </w:r>
            <w:r>
              <w:rPr>
                <w:rFonts w:ascii="Times New Roman" w:eastAsia="Times New Roman" w:hAnsi="Times New Roman" w:cs="Times New Roman"/>
                <w:color w:val="000000"/>
                <w:spacing w:val="0"/>
                <w:w w:val="100"/>
                <w:position w:val="0"/>
              </w:rPr>
              <w:t>1,311,601,772.62</w:t>
            </w:r>
            <w:r>
              <w:rPr>
                <w:color w:val="000000"/>
                <w:spacing w:val="0"/>
                <w:w w:val="100"/>
                <w:position w:val="0"/>
              </w:rPr>
              <w:t>元， 净资产</w:t>
            </w:r>
            <w:r>
              <w:rPr>
                <w:rFonts w:ascii="Times New Roman" w:eastAsia="Times New Roman" w:hAnsi="Times New Roman" w:cs="Times New Roman"/>
                <w:color w:val="000000"/>
                <w:spacing w:val="0"/>
                <w:w w:val="100"/>
                <w:position w:val="0"/>
              </w:rPr>
              <w:t>517,601,435.47</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年度深港产学研实现营业收入</w:t>
            </w:r>
            <w:r>
              <w:rPr>
                <w:rFonts w:ascii="Times New Roman" w:eastAsia="Times New Roman" w:hAnsi="Times New Roman" w:cs="Times New Roman"/>
                <w:color w:val="000000"/>
                <w:spacing w:val="0"/>
                <w:w w:val="100"/>
                <w:position w:val="0"/>
              </w:rPr>
              <w:t>7,394,896.13</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rPr>
              <w:t xml:space="preserve">49,333,644.45 </w:t>
            </w:r>
            <w:r>
              <w:rPr>
                <w:color w:val="000000"/>
                <w:spacing w:val="0"/>
                <w:w w:val="100"/>
                <w:position w:val="0"/>
              </w:rPr>
              <w:t>元（未经审计）。</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日，深圳市深港产学研创业投资有限公司持有国民技术</w:t>
            </w:r>
            <w:r>
              <w:rPr>
                <w:color w:val="000000"/>
                <w:spacing w:val="0"/>
                <w:w w:val="100"/>
                <w:position w:val="0"/>
              </w:rPr>
              <w:t>（</w:t>
            </w:r>
            <w:r>
              <w:rPr>
                <w:rFonts w:ascii="Times New Roman" w:eastAsia="Times New Roman" w:hAnsi="Times New Roman" w:cs="Times New Roman"/>
                <w:color w:val="000000"/>
                <w:spacing w:val="0"/>
                <w:w w:val="100"/>
                <w:position w:val="0"/>
              </w:rPr>
              <w:t>300077</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1590.99 </w:t>
            </w:r>
            <w:r>
              <w:rPr>
                <w:color w:val="000000"/>
                <w:spacing w:val="0"/>
                <w:w w:val="100"/>
                <w:position w:val="0"/>
              </w:rPr>
              <w:t>万股；持有齐心文具（</w:t>
            </w:r>
            <w:r>
              <w:rPr>
                <w:rFonts w:ascii="Times New Roman" w:eastAsia="Times New Roman" w:hAnsi="Times New Roman" w:cs="Times New Roman"/>
                <w:color w:val="000000"/>
                <w:spacing w:val="0"/>
                <w:w w:val="100"/>
                <w:position w:val="0"/>
              </w:rPr>
              <w:t>002301</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万股。</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336"/>
        <w:gridCol w:w="2059"/>
        <w:gridCol w:w="41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月起任公司董事，现任公司董事长、总裁，兼任荣信嘉时（北京） 科技发展有限公司董事长，辽宁荣信光伏技术有限公司董事长，辽宁荣信电气 传动技术有限责任公司董事长，北京荣信中科电气设备有限公司董事长</w:t>
            </w:r>
            <w:r>
              <w:rPr>
                <w:color w:val="000000"/>
                <w:spacing w:val="0"/>
                <w:w w:val="100"/>
                <w:position w:val="0"/>
                <w:sz w:val="24"/>
                <w:szCs w:val="24"/>
              </w:rPr>
              <w:t>、</w:t>
            </w:r>
            <w:r>
              <w:rPr>
                <w:color w:val="000000"/>
                <w:spacing w:val="0"/>
                <w:w w:val="100"/>
                <w:position w:val="0"/>
              </w:rPr>
              <w:t>荣西 电力传输技术有限公司董事。</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控股股东报告期内变更</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4"/>
        <w:keepNext/>
        <w:keepLines/>
        <w:widowControl w:val="0"/>
        <w:shd w:val="clear" w:color="auto" w:fill="auto"/>
        <w:bidi w:val="0"/>
        <w:spacing w:before="0" w:after="38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3</w:t>
      </w:r>
      <w:bookmarkEnd w:id="256"/>
      <w:r>
        <w:rPr>
          <w:color w:val="000000"/>
          <w:spacing w:val="0"/>
          <w:w w:val="100"/>
          <w:position w:val="0"/>
        </w:rPr>
        <w:t>、公司实际控制人情况</w:t>
      </w:r>
      <w:bookmarkEnd w:id="254"/>
      <w:bookmarkEnd w:id="255"/>
      <w:bookmarkEnd w:id="257"/>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422"/>
        <w:gridCol w:w="2026"/>
        <w:gridCol w:w="41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崔京涛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厉伟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左强，男，中国国籍，</w:t>
            </w:r>
            <w:r>
              <w:rPr>
                <w:rFonts w:ascii="Times New Roman" w:eastAsia="Times New Roman" w:hAnsi="Times New Roman" w:cs="Times New Roman"/>
                <w:color w:val="000000"/>
                <w:spacing w:val="0"/>
                <w:w w:val="100"/>
                <w:position w:val="0"/>
              </w:rPr>
              <w:t>1970</w:t>
            </w:r>
            <w:r>
              <w:rPr>
                <w:color w:val="000000"/>
                <w:spacing w:val="0"/>
                <w:w w:val="100"/>
                <w:position w:val="0"/>
              </w:rPr>
              <w:t>年出生，清华大学机械工程系本科毕业，清华大 学高级工商管理学硕士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高级工程师，公司主要创始人，</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月至今，担任公司董事，现任公司董事长、总裁；</w:t>
            </w:r>
          </w:p>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厉伟，男，中国国籍，</w:t>
            </w:r>
            <w:r>
              <w:rPr>
                <w:rFonts w:ascii="Times New Roman" w:eastAsia="Times New Roman" w:hAnsi="Times New Roman" w:cs="Times New Roman"/>
                <w:color w:val="000000"/>
                <w:spacing w:val="0"/>
                <w:w w:val="100"/>
                <w:position w:val="0"/>
              </w:rPr>
              <w:t>1963</w:t>
            </w:r>
            <w:r>
              <w:rPr>
                <w:color w:val="000000"/>
                <w:spacing w:val="0"/>
                <w:w w:val="100"/>
                <w:position w:val="0"/>
              </w:rPr>
              <w:t>年出生，北京大学理学士，经济学硕士。现任深港 产学研董事长、深圳市德方纳米科技有限公司董事、国民技术股份有限公司董 事、深圳市天翔达鸽业有限公司董事、深圳大鹏光启科技有限公司董事； 崔京涛，女，中国国籍，</w:t>
            </w:r>
            <w:r>
              <w:rPr>
                <w:rFonts w:ascii="Times New Roman" w:eastAsia="Times New Roman" w:hAnsi="Times New Roman" w:cs="Times New Roman"/>
                <w:color w:val="000000"/>
                <w:spacing w:val="0"/>
                <w:w w:val="100"/>
                <w:position w:val="0"/>
              </w:rPr>
              <w:t>1967</w:t>
            </w:r>
            <w:r>
              <w:rPr>
                <w:color w:val="000000"/>
                <w:spacing w:val="0"/>
                <w:w w:val="100"/>
                <w:position w:val="0"/>
              </w:rPr>
              <w:t>年出生，北京大学毕业，硕士，曾任职于北京海 淀职工大学、中国工商银行深圳信托投资公司，现任深圳延宁董事长、深港产 学研监事、深圳和林海富信息咨询有限公司执行董事、总经理。</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780" w:line="240" w:lineRule="auto"/>
        <w:ind w:left="0" w:right="0" w:firstLine="0"/>
        <w:jc w:val="left"/>
      </w:pPr>
      <w:r>
        <w:rPr>
          <w:color w:val="000000"/>
          <w:spacing w:val="0"/>
          <w:w w:val="100"/>
          <w:position w:val="0"/>
        </w:rPr>
        <w:t>公司与实际控制人之间的产权及控制关系的方框图</w:t>
      </w:r>
    </w:p>
    <w:tbl>
      <w:tblPr>
        <w:tblOverlap w:val="never"/>
        <w:jc w:val="center"/>
        <w:tblLayout w:type="fixed"/>
      </w:tblPr>
      <w:tblGrid>
        <w:gridCol w:w="960"/>
        <w:gridCol w:w="3806"/>
        <w:gridCol w:w="1282"/>
        <w:gridCol w:w="1214"/>
      </w:tblGrid>
      <w:tr>
        <w:trPr>
          <w:trHeight w:val="413" w:hRule="exact"/>
        </w:trPr>
        <w:tc>
          <w:tcPr>
            <w:gridSpan w:val="2"/>
            <w:vMerge w:val="restart"/>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413F40"/>
                <w:spacing w:val="0"/>
                <w:w w:val="100"/>
                <w:position w:val="0"/>
                <w:sz w:val="50"/>
                <w:szCs w:val="50"/>
                <w:u w:val="single"/>
              </w:rPr>
              <w:t>1</w:t>
            </w:r>
            <w:r>
              <w:rPr>
                <w:color w:val="413F40"/>
                <w:spacing w:val="0"/>
                <w:w w:val="100"/>
                <w:position w:val="0"/>
                <w:sz w:val="36"/>
                <w:szCs w:val="36"/>
                <w:u w:val="single"/>
              </w:rPr>
              <w:t>程卒祷</w:t>
            </w:r>
            <w:r>
              <w:rPr>
                <w:rFonts w:ascii="Arial" w:eastAsia="Arial" w:hAnsi="Arial" w:cs="Arial"/>
                <w:color w:val="413F40"/>
                <w:spacing w:val="0"/>
                <w:w w:val="100"/>
                <w:position w:val="0"/>
                <w:sz w:val="50"/>
                <w:szCs w:val="50"/>
                <w:u w:val="single"/>
              </w:rPr>
              <w:t>1</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36"/>
                <w:szCs w:val="36"/>
              </w:rPr>
            </w:pPr>
            <w:r>
              <w:rPr>
                <w:rFonts w:ascii="Arial" w:eastAsia="Arial" w:hAnsi="Arial" w:cs="Arial"/>
                <w:color w:val="413F40"/>
                <w:spacing w:val="0"/>
                <w:w w:val="100"/>
                <w:position w:val="0"/>
                <w:sz w:val="50"/>
                <w:szCs w:val="50"/>
              </w:rPr>
              <w:t>1</w:t>
            </w:r>
            <w:r>
              <w:rPr>
                <w:color w:val="413F40"/>
                <w:spacing w:val="0"/>
                <w:w w:val="100"/>
                <w:position w:val="0"/>
                <w:sz w:val="36"/>
                <w:szCs w:val="36"/>
              </w:rPr>
              <w:t>左</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50"/>
                <w:szCs w:val="50"/>
              </w:rPr>
            </w:pPr>
            <w:r>
              <w:rPr>
                <w:color w:val="222021"/>
                <w:spacing w:val="0"/>
                <w:w w:val="100"/>
                <w:position w:val="0"/>
                <w:sz w:val="36"/>
                <w:szCs w:val="36"/>
              </w:rPr>
              <w:t>强</w:t>
            </w:r>
            <w:r>
              <w:rPr>
                <w:rFonts w:ascii="Arial" w:eastAsia="Arial" w:hAnsi="Arial" w:cs="Arial"/>
                <w:color w:val="979797"/>
                <w:spacing w:val="0"/>
                <w:w w:val="100"/>
                <w:position w:val="0"/>
                <w:sz w:val="50"/>
                <w:szCs w:val="50"/>
              </w:rPr>
              <w:t>1</w:t>
            </w:r>
          </w:p>
        </w:tc>
      </w:tr>
      <w:tr>
        <w:trPr>
          <w:trHeight w:val="696" w:hRule="exact"/>
        </w:trPr>
        <w:tc>
          <w:tcPr>
            <w:gridSpan w:val="2"/>
            <w:vMerge/>
            <w:tcBorders/>
            <w:shd w:val="clear" w:color="auto" w:fill="FFFFFF"/>
            <w:vAlign w:val="top"/>
          </w:tcPr>
          <w:p>
            <w:pPr/>
          </w:p>
        </w:tc>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413F40"/>
                <w:spacing w:val="0"/>
                <w:w w:val="100"/>
                <w:position w:val="0"/>
              </w:rPr>
              <w:t>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222021"/>
                <w:spacing w:val="0"/>
                <w:w w:val="100"/>
                <w:position w:val="0"/>
                <w:sz w:val="26"/>
                <w:szCs w:val="26"/>
              </w:rPr>
              <w:t>11</w:t>
            </w:r>
            <w:r>
              <w:rPr>
                <w:rFonts w:ascii="Arial" w:eastAsia="Arial" w:hAnsi="Arial" w:cs="Arial"/>
                <w:b/>
                <w:bCs/>
                <w:color w:val="222021"/>
                <w:spacing w:val="0"/>
                <w:w w:val="100"/>
                <w:position w:val="0"/>
                <w:sz w:val="26"/>
                <w:szCs w:val="26"/>
              </w:rPr>
              <w:t>.</w:t>
            </w:r>
            <w:r>
              <w:rPr>
                <w:rFonts w:ascii="Arial" w:eastAsia="Arial" w:hAnsi="Arial" w:cs="Arial"/>
                <w:b/>
                <w:bCs/>
                <w:color w:val="413F40"/>
                <w:spacing w:val="0"/>
                <w:w w:val="100"/>
                <w:position w:val="0"/>
                <w:sz w:val="26"/>
                <w:szCs w:val="26"/>
              </w:rPr>
              <w:t>62%</w:t>
            </w:r>
          </w:p>
        </w:tc>
      </w:tr>
      <w:tr>
        <w:trPr>
          <w:trHeight w:val="418" w:hRule="exact"/>
        </w:trPr>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8"/>
                <w:szCs w:val="28"/>
              </w:rPr>
            </w:pPr>
            <w:r>
              <w:rPr>
                <w:color w:val="413F40"/>
                <w:spacing w:val="0"/>
                <w:w w:val="100"/>
                <w:position w:val="0"/>
                <w:sz w:val="28"/>
                <w:szCs w:val="28"/>
              </w:rPr>
              <w:t>深圳市深谁产学研创业投资有限公司</w:t>
            </w:r>
          </w:p>
        </w:tc>
        <w:tc>
          <w:tcPr>
            <w:vMerge/>
            <w:tcBorders/>
            <w:shd w:val="clear" w:color="auto" w:fill="FFFFFF"/>
            <w:vAlign w:val="bottom"/>
          </w:tcPr>
          <w:p>
            <w:pPr/>
          </w:p>
        </w:tc>
        <w:tc>
          <w:tcPr>
            <w:vMerge/>
            <w:tcBorders>
              <w:left w:val="single" w:sz="4"/>
            </w:tcBorders>
            <w:shd w:val="clear" w:color="auto" w:fill="FFFFFF"/>
            <w:vAlign w:val="center"/>
          </w:tcPr>
          <w:p>
            <w:pPr/>
          </w:p>
        </w:tc>
      </w:tr>
      <w:tr>
        <w:trPr>
          <w:trHeight w:val="74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6"/>
                <w:szCs w:val="26"/>
              </w:rPr>
            </w:pPr>
            <w:r>
              <w:rPr>
                <w:rFonts w:ascii="Arial" w:eastAsia="Arial" w:hAnsi="Arial" w:cs="Arial"/>
                <w:b/>
                <w:bCs/>
                <w:color w:val="646459"/>
                <w:spacing w:val="0"/>
                <w:w w:val="100"/>
                <w:position w:val="0"/>
                <w:sz w:val="26"/>
                <w:szCs w:val="26"/>
              </w:rPr>
              <w:t>14.70%</w:t>
            </w:r>
          </w:p>
          <w:p>
            <w:pPr>
              <w:pStyle w:val="Style22"/>
              <w:keepNext w:val="0"/>
              <w:keepLines w:val="0"/>
              <w:widowControl w:val="0"/>
              <w:shd w:val="clear" w:color="auto" w:fill="auto"/>
              <w:bidi w:val="0"/>
              <w:spacing w:before="0" w:after="0" w:line="180" w:lineRule="auto"/>
              <w:ind w:left="0" w:right="0" w:firstLine="0"/>
              <w:jc w:val="left"/>
              <w:rPr>
                <w:sz w:val="26"/>
                <w:szCs w:val="26"/>
              </w:rPr>
            </w:pPr>
            <w:r>
              <w:rPr>
                <w:rFonts w:ascii="Arial" w:eastAsia="Arial" w:hAnsi="Arial" w:cs="Arial"/>
                <w:b/>
                <w:bCs/>
                <w:color w:val="222021"/>
                <w:spacing w:val="0"/>
                <w:w w:val="100"/>
                <w:position w:val="0"/>
                <w:sz w:val="26"/>
                <w:szCs w:val="26"/>
              </w:rPr>
              <w:t>r</w:t>
            </w:r>
          </w:p>
        </w:tc>
        <w:tc>
          <w:tcPr>
            <w:vMerge/>
            <w:tcBorders/>
            <w:shd w:val="clear" w:color="auto" w:fill="FFFFFF"/>
            <w:vAlign w:val="bottom"/>
          </w:tcPr>
          <w:p>
            <w:pPr/>
          </w:p>
        </w:tc>
        <w:tc>
          <w:tcPr>
            <w:vMerge/>
            <w:tcBorders>
              <w:left w:val="single" w:sz="4"/>
            </w:tcBorders>
            <w:shd w:val="clear" w:color="auto" w:fill="FFFFFF"/>
            <w:vAlign w:val="center"/>
          </w:tcPr>
          <w:p>
            <w:pPr/>
          </w:p>
        </w:tc>
      </w:tr>
      <w:tr>
        <w:trPr>
          <w:trHeight w:val="442" w:hRule="exact"/>
        </w:trPr>
        <w:tc>
          <w:tcPr>
            <w:gridSpan w:val="4"/>
            <w:tcBorders>
              <w:top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36"/>
                <w:szCs w:val="36"/>
              </w:rPr>
            </w:pPr>
            <w:r>
              <w:rPr>
                <w:color w:val="413F40"/>
                <w:spacing w:val="0"/>
                <w:w w:val="100"/>
                <w:position w:val="0"/>
                <w:sz w:val="36"/>
                <w:szCs w:val="36"/>
              </w:rPr>
              <w:t>荣信电力电子股份有限公司</w:t>
            </w:r>
          </w:p>
        </w:tc>
      </w:tr>
    </w:tbl>
    <w:p>
      <w:pPr>
        <w:widowControl w:val="0"/>
        <w:spacing w:after="719" w:line="1" w:lineRule="exact"/>
      </w:pP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258" w:name="bookmark258"/>
      <w:bookmarkStart w:id="259" w:name="bookmark259"/>
      <w:bookmarkStart w:id="260" w:name="bookmark260"/>
      <w:r>
        <w:rPr>
          <w:color w:val="000000"/>
          <w:spacing w:val="0"/>
          <w:w w:val="100"/>
          <w:position w:val="0"/>
        </w:rPr>
        <w:t>第七节董事、监事、高级管理人员和员工情况</w:t>
      </w:r>
      <w:bookmarkEnd w:id="258"/>
      <w:bookmarkEnd w:id="259"/>
      <w:bookmarkEnd w:id="260"/>
    </w:p>
    <w:p>
      <w:pPr>
        <w:pStyle w:val="Style25"/>
        <w:keepNext/>
        <w:keepLines/>
        <w:widowControl w:val="0"/>
        <w:shd w:val="clear" w:color="auto" w:fill="auto"/>
        <w:bidi w:val="0"/>
        <w:spacing w:before="0" w:line="240" w:lineRule="auto"/>
        <w:ind w:left="0" w:right="0" w:firstLine="240"/>
        <w:jc w:val="left"/>
      </w:pPr>
      <w:bookmarkStart w:id="261" w:name="bookmark261"/>
      <w:bookmarkStart w:id="262" w:name="bookmark262"/>
      <w:bookmarkStart w:id="263" w:name="bookmark263"/>
      <w:r>
        <w:rPr>
          <w:color w:val="000000"/>
          <w:spacing w:val="0"/>
          <w:w w:val="100"/>
          <w:position w:val="0"/>
          <w:sz w:val="24"/>
          <w:szCs w:val="24"/>
        </w:rPr>
        <w:t>、董事、监事和高级管理人员持股变动</w:t>
      </w:r>
      <w:bookmarkEnd w:id="261"/>
      <w:bookmarkEnd w:id="262"/>
      <w:bookmarkEnd w:id="263"/>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 股份数量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 股份数量 （股）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 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58,589,732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58,589,732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马成家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2,559,777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2,559,777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陈诗君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周爱勤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梅志明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王泽全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赵柏品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杨贵发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赵殿波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 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3,719,025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焦东亮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王岱岩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68,966,534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68,966,534</w:t>
            </w:r>
          </w:p>
        </w:tc>
      </w:tr>
    </w:tbl>
    <w:p>
      <w:pPr>
        <w:widowControl w:val="0"/>
        <w:spacing w:after="319" w:line="1" w:lineRule="exact"/>
      </w:pPr>
    </w:p>
    <w:p>
      <w:pPr>
        <w:pStyle w:val="Style25"/>
        <w:keepNext/>
        <w:keepLines/>
        <w:widowControl w:val="0"/>
        <w:shd w:val="clear" w:color="auto" w:fill="auto"/>
        <w:bidi w:val="0"/>
        <w:spacing w:before="0" w:after="18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sz w:val="24"/>
          <w:szCs w:val="24"/>
        </w:rPr>
        <w:t>二</w:t>
      </w:r>
      <w:bookmarkEnd w:id="266"/>
      <w:r>
        <w:rPr>
          <w:color w:val="000000"/>
          <w:spacing w:val="0"/>
          <w:w w:val="100"/>
          <w:position w:val="0"/>
          <w:sz w:val="24"/>
          <w:szCs w:val="24"/>
        </w:rPr>
        <w:t>、任职情况</w:t>
      </w:r>
      <w:bookmarkEnd w:id="264"/>
      <w:bookmarkEnd w:id="265"/>
      <w:bookmarkEnd w:id="267"/>
    </w:p>
    <w:p>
      <w:pPr>
        <w:pStyle w:val="Style16"/>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16"/>
        <w:keepNext w:val="0"/>
        <w:keepLines w:val="0"/>
        <w:widowControl w:val="0"/>
        <w:shd w:val="clear" w:color="auto" w:fill="auto"/>
        <w:bidi w:val="0"/>
        <w:spacing w:before="0" w:after="440" w:line="469" w:lineRule="exact"/>
        <w:ind w:left="0" w:right="0" w:firstLine="600"/>
        <w:jc w:val="both"/>
      </w:pPr>
      <w:r>
        <w:rPr>
          <w:color w:val="000000"/>
          <w:spacing w:val="0"/>
          <w:w w:val="100"/>
          <w:position w:val="0"/>
        </w:rPr>
        <w:t>左强，男，中国国籍，</w:t>
      </w:r>
      <w:r>
        <w:rPr>
          <w:rFonts w:ascii="Times New Roman" w:eastAsia="Times New Roman" w:hAnsi="Times New Roman" w:cs="Times New Roman"/>
          <w:color w:val="000000"/>
          <w:spacing w:val="0"/>
          <w:w w:val="100"/>
          <w:position w:val="0"/>
        </w:rPr>
        <w:t>1970</w:t>
      </w:r>
      <w:r>
        <w:rPr>
          <w:color w:val="000000"/>
          <w:spacing w:val="0"/>
          <w:w w:val="100"/>
          <w:position w:val="0"/>
        </w:rPr>
        <w:t xml:space="preserve">年出生，清华大学机械工程系本科毕业，清华大学高级工商管理学硕士 </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，高级工程师，自</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月起任公司董事，现任公司董事长、总裁，兼任荣信嘉时(北京) 科技发展有限公司董事长、辽宁荣信光伏技术有限公司董事长、辽宁荣信电气传动技术有限责任公司董事 长、北京荣信中科电气设备有限公司董事长、荣西电力传输技术有限公司董事。</w:t>
      </w:r>
    </w:p>
    <w:p>
      <w:pPr>
        <w:pStyle w:val="Style16"/>
        <w:keepNext w:val="0"/>
        <w:keepLines w:val="0"/>
        <w:widowControl w:val="0"/>
        <w:shd w:val="clear" w:color="auto" w:fill="auto"/>
        <w:bidi w:val="0"/>
        <w:spacing w:before="0" w:after="440" w:line="470" w:lineRule="exact"/>
        <w:ind w:left="0" w:right="0" w:firstLine="600"/>
        <w:jc w:val="both"/>
      </w:pPr>
      <w:r>
        <w:rPr>
          <w:color w:val="000000"/>
          <w:spacing w:val="0"/>
          <w:w w:val="100"/>
          <w:position w:val="0"/>
        </w:rPr>
        <w:t>马成家，男，中国国籍，</w:t>
      </w:r>
      <w:r>
        <w:rPr>
          <w:rFonts w:ascii="Times New Roman" w:eastAsia="Times New Roman" w:hAnsi="Times New Roman" w:cs="Times New Roman"/>
          <w:color w:val="000000"/>
          <w:spacing w:val="0"/>
          <w:w w:val="100"/>
          <w:position w:val="0"/>
        </w:rPr>
        <w:t>1954</w:t>
      </w:r>
      <w:r>
        <w:rPr>
          <w:color w:val="000000"/>
          <w:spacing w:val="0"/>
          <w:w w:val="100"/>
          <w:position w:val="0"/>
        </w:rPr>
        <w:t>年出生，吉林大学本科毕业。</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月任鞍山市半导体 器件总厂技改办副主任，</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月任鞍山市半导体器件总厂厂长，</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月任鞍 山市电子电力公司副总经理、总经理、党委副书记，自</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月起担任本公司董事。</w:t>
      </w:r>
    </w:p>
    <w:p>
      <w:pPr>
        <w:pStyle w:val="Style16"/>
        <w:keepNext w:val="0"/>
        <w:keepLines w:val="0"/>
        <w:widowControl w:val="0"/>
        <w:shd w:val="clear" w:color="auto" w:fill="auto"/>
        <w:bidi w:val="0"/>
        <w:spacing w:before="0" w:after="440" w:line="475" w:lineRule="exact"/>
        <w:ind w:left="0" w:right="0" w:firstLine="600"/>
        <w:jc w:val="both"/>
      </w:pPr>
      <w:r>
        <w:rPr>
          <w:color w:val="000000"/>
          <w:spacing w:val="0"/>
          <w:w w:val="100"/>
          <w:position w:val="0"/>
        </w:rPr>
        <w:t>戴东，男，中国国籍，</w:t>
      </w:r>
      <w:r>
        <w:rPr>
          <w:rFonts w:ascii="Times New Roman" w:eastAsia="Times New Roman" w:hAnsi="Times New Roman" w:cs="Times New Roman"/>
          <w:color w:val="000000"/>
          <w:spacing w:val="0"/>
          <w:w w:val="100"/>
          <w:position w:val="0"/>
        </w:rPr>
        <w:t>1968</w:t>
      </w:r>
      <w:r>
        <w:rPr>
          <w:color w:val="000000"/>
          <w:spacing w:val="0"/>
          <w:w w:val="100"/>
          <w:position w:val="0"/>
        </w:rPr>
        <w:t>年出生，东北财经大学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月至今任北京信力筑正新能源技 术股份有限公司财务总监，自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月开始任本公司董事、财务总监。</w:t>
      </w:r>
    </w:p>
    <w:p>
      <w:pPr>
        <w:pStyle w:val="Style16"/>
        <w:keepNext w:val="0"/>
        <w:keepLines w:val="0"/>
        <w:widowControl w:val="0"/>
        <w:shd w:val="clear" w:color="auto" w:fill="auto"/>
        <w:bidi w:val="0"/>
        <w:spacing w:before="0" w:after="440" w:line="468" w:lineRule="exact"/>
        <w:ind w:left="0" w:right="0" w:firstLine="600"/>
        <w:jc w:val="both"/>
      </w:pPr>
      <w:r>
        <w:rPr>
          <w:color w:val="000000"/>
          <w:spacing w:val="0"/>
          <w:w w:val="100"/>
          <w:position w:val="0"/>
        </w:rPr>
        <w:t>张云鹏，男，中国国籍，</w:t>
      </w:r>
      <w:r>
        <w:rPr>
          <w:rFonts w:ascii="Times New Roman" w:eastAsia="Times New Roman" w:hAnsi="Times New Roman" w:cs="Times New Roman"/>
          <w:color w:val="000000"/>
          <w:spacing w:val="0"/>
          <w:w w:val="100"/>
          <w:position w:val="0"/>
        </w:rPr>
        <w:t>1979</w:t>
      </w:r>
      <w:r>
        <w:rPr>
          <w:color w:val="000000"/>
          <w:spacing w:val="0"/>
          <w:w w:val="100"/>
          <w:position w:val="0"/>
        </w:rPr>
        <w:t>年出生，西安交通大学本科毕业，中科院广州能源所硕士。</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月至今任深圳市松禾资本管理有限公司业务合伙人，兼任辽宁科隆精细化工股份有限公司董事、深圳市今 日标准精密机器有限公司董事、深圳市德方纳米科技有限公司监事、深圳市常兴技术股份有限公司董事、 东莞市华轩幕墙材料有限公司董事、南通海星电子有限公司董事、广州迪森热能技术股份有限公司监事， 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月开始任本公司董事。</w:t>
      </w:r>
    </w:p>
    <w:p>
      <w:pPr>
        <w:pStyle w:val="Style16"/>
        <w:keepNext w:val="0"/>
        <w:keepLines w:val="0"/>
        <w:widowControl w:val="0"/>
        <w:shd w:val="clear" w:color="auto" w:fill="auto"/>
        <w:bidi w:val="0"/>
        <w:spacing w:before="0" w:after="440" w:line="470" w:lineRule="exact"/>
        <w:ind w:left="0" w:right="0" w:firstLine="600"/>
        <w:jc w:val="both"/>
      </w:pPr>
      <w:r>
        <w:rPr>
          <w:color w:val="000000"/>
          <w:spacing w:val="0"/>
          <w:w w:val="100"/>
          <w:position w:val="0"/>
        </w:rPr>
        <w:t>刘泉军，男，中国国籍，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年出生，博士，中国注册会计师，中国会计学会会员。现任中国青年 政治学院副教授，长期从事于财务、会计的理论教学、研究与实务工作，具有扎实的理论功底与丰富的工 作经验，兼任北京恒华伟业科技股份有限公司独立董事，自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月起任本公司独立董事。</w:t>
      </w:r>
    </w:p>
    <w:p>
      <w:pPr>
        <w:pStyle w:val="Style16"/>
        <w:keepNext w:val="0"/>
        <w:keepLines w:val="0"/>
        <w:widowControl w:val="0"/>
        <w:shd w:val="clear" w:color="auto" w:fill="auto"/>
        <w:bidi w:val="0"/>
        <w:spacing w:before="0" w:after="440" w:line="470" w:lineRule="exact"/>
        <w:ind w:left="0" w:right="0" w:firstLine="600"/>
        <w:jc w:val="both"/>
      </w:pPr>
      <w:r>
        <w:rPr>
          <w:color w:val="000000"/>
          <w:spacing w:val="0"/>
          <w:w w:val="100"/>
          <w:position w:val="0"/>
        </w:rPr>
        <w:t>肖星，女，中国国籍，</w:t>
      </w:r>
      <w:r>
        <w:rPr>
          <w:rFonts w:ascii="Times New Roman" w:eastAsia="Times New Roman" w:hAnsi="Times New Roman" w:cs="Times New Roman"/>
          <w:color w:val="000000"/>
          <w:spacing w:val="0"/>
          <w:w w:val="100"/>
          <w:position w:val="0"/>
        </w:rPr>
        <w:t>1971</w:t>
      </w:r>
      <w:r>
        <w:rPr>
          <w:color w:val="000000"/>
          <w:spacing w:val="0"/>
          <w:w w:val="100"/>
          <w:position w:val="0"/>
        </w:rPr>
        <w:t xml:space="preserve">年出生，博士，中国注册会计师。现任清华大学经济管理学院副教授、 </w:t>
      </w:r>
      <w:r>
        <w:rPr>
          <w:color w:val="000000"/>
          <w:spacing w:val="0"/>
          <w:w w:val="100"/>
          <w:position w:val="0"/>
        </w:rPr>
        <w:t>会计系副主任、中国会计学会财务成本分会理事，兼任紫光华宇股份有限公司独立董事、湖南多喜爱股份 有限公司独立董事、安徽六国化工股份有限公司独立董事，自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月起任本公司独立董事。</w:t>
      </w:r>
    </w:p>
    <w:p>
      <w:pPr>
        <w:pStyle w:val="Style16"/>
        <w:keepNext w:val="0"/>
        <w:keepLines w:val="0"/>
        <w:widowControl w:val="0"/>
        <w:shd w:val="clear" w:color="auto" w:fill="auto"/>
        <w:bidi w:val="0"/>
        <w:spacing w:before="0" w:after="440" w:line="470" w:lineRule="exact"/>
        <w:ind w:left="0" w:right="0" w:firstLine="460"/>
        <w:jc w:val="both"/>
      </w:pPr>
      <w:r>
        <w:rPr>
          <w:color w:val="000000"/>
          <w:spacing w:val="0"/>
          <w:w w:val="100"/>
          <w:position w:val="0"/>
        </w:rPr>
        <w:t>朱武祥，男，中国国籍，清华大学博士，</w:t>
      </w:r>
      <w:r>
        <w:rPr>
          <w:rFonts w:ascii="Times New Roman" w:eastAsia="Times New Roman" w:hAnsi="Times New Roman" w:cs="Times New Roman"/>
          <w:color w:val="000000"/>
          <w:spacing w:val="0"/>
          <w:w w:val="100"/>
          <w:position w:val="0"/>
        </w:rPr>
        <w:t>1965</w:t>
      </w:r>
      <w:r>
        <w:rPr>
          <w:color w:val="000000"/>
          <w:spacing w:val="0"/>
          <w:w w:val="100"/>
          <w:position w:val="0"/>
        </w:rPr>
        <w:t>年出生，现任清华大学经济管理学院金融系公司金融学 教授，博士生导师。兼任歌尔声学股份有限公司、北京建设（控股）有限公司、华夏基金管理有限公司独 立董事，紫光股份有限公司监事会主席，自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月开始任本公司独立董事。</w:t>
      </w:r>
    </w:p>
    <w:p>
      <w:pPr>
        <w:pStyle w:val="Style16"/>
        <w:keepNext w:val="0"/>
        <w:keepLines w:val="0"/>
        <w:widowControl w:val="0"/>
        <w:shd w:val="clear" w:color="auto" w:fill="auto"/>
        <w:bidi w:val="0"/>
        <w:spacing w:before="0" w:after="440" w:line="468" w:lineRule="exact"/>
        <w:ind w:left="0" w:right="0" w:firstLine="520"/>
        <w:jc w:val="both"/>
      </w:pPr>
      <w:r>
        <w:rPr>
          <w:color w:val="000000"/>
          <w:spacing w:val="0"/>
          <w:w w:val="100"/>
          <w:position w:val="0"/>
        </w:rPr>
        <w:t>王泽全，男，中国国籍，</w:t>
      </w:r>
      <w:r>
        <w:rPr>
          <w:rFonts w:ascii="Times New Roman" w:eastAsia="Times New Roman" w:hAnsi="Times New Roman" w:cs="Times New Roman"/>
          <w:color w:val="000000"/>
          <w:spacing w:val="0"/>
          <w:w w:val="100"/>
          <w:position w:val="0"/>
        </w:rPr>
        <w:t>1946</w:t>
      </w:r>
      <w:r>
        <w:rPr>
          <w:color w:val="000000"/>
          <w:spacing w:val="0"/>
          <w:w w:val="100"/>
          <w:position w:val="0"/>
        </w:rPr>
        <w:t>年出生，大专学历，</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月先后任职于营口市通风机械 厂、鞍山市半导体器件总厂和鞍山市电子电力公司，曾任鞍山市电子电力公司副总经济师、总经济师，自 </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月起任本公司监事。</w:t>
      </w:r>
    </w:p>
    <w:p>
      <w:pPr>
        <w:pStyle w:val="Style16"/>
        <w:keepNext w:val="0"/>
        <w:keepLines w:val="0"/>
        <w:widowControl w:val="0"/>
        <w:shd w:val="clear" w:color="auto" w:fill="auto"/>
        <w:bidi w:val="0"/>
        <w:spacing w:before="0" w:after="600" w:line="470" w:lineRule="exact"/>
        <w:ind w:left="0" w:right="0" w:firstLine="620"/>
        <w:jc w:val="both"/>
      </w:pPr>
      <w:r>
        <w:rPr>
          <w:color w:val="000000"/>
          <w:spacing w:val="0"/>
          <w:w w:val="100"/>
          <w:position w:val="0"/>
        </w:rPr>
        <w:t>赵柏品，男，中国国籍，</w:t>
      </w:r>
      <w:r>
        <w:rPr>
          <w:rFonts w:ascii="Times New Roman" w:eastAsia="Times New Roman" w:hAnsi="Times New Roman" w:cs="Times New Roman"/>
          <w:color w:val="000000"/>
          <w:spacing w:val="0"/>
          <w:w w:val="100"/>
          <w:position w:val="0"/>
        </w:rPr>
        <w:t>1956</w:t>
      </w:r>
      <w:r>
        <w:rPr>
          <w:color w:val="000000"/>
          <w:spacing w:val="0"/>
          <w:w w:val="100"/>
          <w:position w:val="0"/>
        </w:rPr>
        <w:t>年出生，本科学历，工程师。自</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月起在本公司从事</w:t>
      </w:r>
      <w:r>
        <w:rPr>
          <w:rFonts w:ascii="Times New Roman" w:eastAsia="Times New Roman" w:hAnsi="Times New Roman" w:cs="Times New Roman"/>
          <w:color w:val="000000"/>
          <w:spacing w:val="0"/>
          <w:w w:val="100"/>
          <w:position w:val="0"/>
        </w:rPr>
        <w:t>SVC</w:t>
      </w:r>
      <w:r>
        <w:rPr>
          <w:color w:val="000000"/>
          <w:spacing w:val="0"/>
          <w:w w:val="100"/>
          <w:position w:val="0"/>
        </w:rPr>
        <w:t>控制 系统设计、调试工作，现任本公司</w:t>
      </w:r>
      <w:r>
        <w:rPr>
          <w:rFonts w:ascii="Times New Roman" w:eastAsia="Times New Roman" w:hAnsi="Times New Roman" w:cs="Times New Roman"/>
          <w:color w:val="000000"/>
          <w:spacing w:val="0"/>
          <w:w w:val="100"/>
          <w:position w:val="0"/>
        </w:rPr>
        <w:t>SVC</w:t>
      </w:r>
      <w:r>
        <w:rPr>
          <w:color w:val="000000"/>
          <w:spacing w:val="0"/>
          <w:w w:val="100"/>
          <w:position w:val="0"/>
        </w:rPr>
        <w:t>事业部部长，兼任北京荣科恒阳整流技术有限公司董事，自</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月起任本公司职工监事。</w:t>
      </w:r>
    </w:p>
    <w:p>
      <w:pPr>
        <w:pStyle w:val="Style16"/>
        <w:keepNext w:val="0"/>
        <w:keepLines w:val="0"/>
        <w:widowControl w:val="0"/>
        <w:shd w:val="clear" w:color="auto" w:fill="auto"/>
        <w:bidi w:val="0"/>
        <w:spacing w:before="0" w:after="600" w:line="468" w:lineRule="exact"/>
        <w:ind w:left="0" w:right="0" w:firstLine="620"/>
        <w:jc w:val="both"/>
      </w:pPr>
      <w:r>
        <w:rPr>
          <w:color w:val="000000"/>
          <w:spacing w:val="0"/>
          <w:w w:val="100"/>
          <w:position w:val="0"/>
        </w:rPr>
        <w:t>杨贵发，男，中国国籍，</w:t>
      </w:r>
      <w:r>
        <w:rPr>
          <w:rFonts w:ascii="Times New Roman" w:eastAsia="Times New Roman" w:hAnsi="Times New Roman" w:cs="Times New Roman"/>
          <w:color w:val="000000"/>
          <w:spacing w:val="0"/>
          <w:w w:val="100"/>
          <w:position w:val="0"/>
        </w:rPr>
        <w:t>1971</w:t>
      </w:r>
      <w:r>
        <w:rPr>
          <w:color w:val="000000"/>
          <w:spacing w:val="0"/>
          <w:w w:val="100"/>
          <w:position w:val="0"/>
        </w:rPr>
        <w:t>年出生，本科学历，工程师。自</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月起在本公司从事变频技术 开发及管理工作，现任辽宁荣信防爆电气技术有限公司董事、副总经理，兼任上海地澳自动化科技有限公 司监事，自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月起任本公司职工监事。</w:t>
      </w:r>
    </w:p>
    <w:p>
      <w:pPr>
        <w:pStyle w:val="Style16"/>
        <w:keepNext w:val="0"/>
        <w:keepLines w:val="0"/>
        <w:widowControl w:val="0"/>
        <w:shd w:val="clear" w:color="auto" w:fill="auto"/>
        <w:bidi w:val="0"/>
        <w:spacing w:before="0" w:after="600" w:line="470" w:lineRule="exact"/>
        <w:ind w:left="0" w:right="0" w:firstLine="620"/>
        <w:jc w:val="both"/>
      </w:pPr>
      <w:r>
        <w:rPr>
          <w:color w:val="000000"/>
          <w:spacing w:val="0"/>
          <w:w w:val="100"/>
          <w:position w:val="0"/>
        </w:rPr>
        <w:t>焦东亮，男，中国国籍，</w:t>
      </w:r>
      <w:r>
        <w:rPr>
          <w:rFonts w:ascii="Times New Roman" w:eastAsia="Times New Roman" w:hAnsi="Times New Roman" w:cs="Times New Roman"/>
          <w:color w:val="000000"/>
          <w:spacing w:val="0"/>
          <w:w w:val="100"/>
          <w:position w:val="0"/>
        </w:rPr>
        <w:t>1965</w:t>
      </w:r>
      <w:r>
        <w:rPr>
          <w:color w:val="000000"/>
          <w:spacing w:val="0"/>
          <w:w w:val="100"/>
          <w:position w:val="0"/>
        </w:rPr>
        <w:t>年出生，毕业于包头钢铁学院自动化专业，中国人民大学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 xml:space="preserve">SVC </w:t>
      </w:r>
      <w:r>
        <w:rPr>
          <w:color w:val="000000"/>
          <w:spacing w:val="0"/>
          <w:w w:val="100"/>
          <w:position w:val="0"/>
        </w:rPr>
        <w:t>系统设计专家，</w:t>
      </w:r>
      <w:r>
        <w:rPr>
          <w:rFonts w:ascii="Times New Roman" w:eastAsia="Times New Roman" w:hAnsi="Times New Roman" w:cs="Times New Roman"/>
          <w:color w:val="000000"/>
          <w:spacing w:val="0"/>
          <w:w w:val="100"/>
          <w:position w:val="0"/>
        </w:rPr>
        <w:t>1999</w:t>
      </w:r>
      <w:r>
        <w:rPr>
          <w:color w:val="000000"/>
          <w:spacing w:val="0"/>
          <w:w w:val="100"/>
          <w:position w:val="0"/>
        </w:rPr>
        <w:t>年至今任本公司副总裁。</w:t>
      </w:r>
    </w:p>
    <w:p>
      <w:pPr>
        <w:pStyle w:val="Style16"/>
        <w:keepNext w:val="0"/>
        <w:keepLines w:val="0"/>
        <w:widowControl w:val="0"/>
        <w:shd w:val="clear" w:color="auto" w:fill="auto"/>
        <w:bidi w:val="0"/>
        <w:spacing w:before="0" w:after="600" w:line="477" w:lineRule="exact"/>
        <w:ind w:left="0" w:right="0" w:firstLine="620"/>
        <w:jc w:val="both"/>
      </w:pPr>
      <w:r>
        <w:rPr>
          <w:color w:val="000000"/>
          <w:spacing w:val="0"/>
          <w:w w:val="100"/>
          <w:position w:val="0"/>
        </w:rPr>
        <w:t>赵殿波，男，中国国籍，</w:t>
      </w:r>
      <w:r>
        <w:rPr>
          <w:rFonts w:ascii="Times New Roman" w:eastAsia="Times New Roman" w:hAnsi="Times New Roman" w:cs="Times New Roman"/>
          <w:color w:val="000000"/>
          <w:spacing w:val="0"/>
          <w:w w:val="100"/>
          <w:position w:val="0"/>
        </w:rPr>
        <w:t>1969</w:t>
      </w:r>
      <w:r>
        <w:rPr>
          <w:color w:val="000000"/>
          <w:spacing w:val="0"/>
          <w:w w:val="100"/>
          <w:position w:val="0"/>
        </w:rPr>
        <w:t>年出生，毕业于清华大学机械工程系，复旦大学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至今，历任本公司研发工程师、部长、总经理助理，现任本公司董事会秘书、副总裁，兼任辽宁荣信防爆 电气技术有限公司董事长，上海地澳自动化科技有限公司董事，北京信力筑正新能源技术股份有限公司监 事。</w:t>
      </w:r>
    </w:p>
    <w:p>
      <w:pPr>
        <w:pStyle w:val="Style16"/>
        <w:keepNext w:val="0"/>
        <w:keepLines w:val="0"/>
        <w:widowControl w:val="0"/>
        <w:shd w:val="clear" w:color="auto" w:fill="auto"/>
        <w:bidi w:val="0"/>
        <w:spacing w:before="0" w:after="0" w:line="470" w:lineRule="exact"/>
        <w:ind w:left="0" w:right="0" w:firstLine="520"/>
        <w:jc w:val="both"/>
      </w:pPr>
      <w:r>
        <w:rPr>
          <w:color w:val="000000"/>
          <w:spacing w:val="0"/>
          <w:w w:val="100"/>
          <w:position w:val="0"/>
        </w:rPr>
        <w:t>王岱岩，男，中国国籍，</w:t>
      </w:r>
      <w:r>
        <w:rPr>
          <w:rFonts w:ascii="Times New Roman" w:eastAsia="Times New Roman" w:hAnsi="Times New Roman" w:cs="Times New Roman"/>
          <w:color w:val="000000"/>
          <w:spacing w:val="0"/>
          <w:w w:val="100"/>
          <w:position w:val="0"/>
        </w:rPr>
        <w:t>1963</w:t>
      </w:r>
      <w:r>
        <w:rPr>
          <w:color w:val="000000"/>
          <w:spacing w:val="0"/>
          <w:w w:val="100"/>
          <w:position w:val="0"/>
        </w:rPr>
        <w:t>年出生，毕业于东北大学自动化控制系，本科学历。</w:t>
      </w:r>
      <w:r>
        <w:rPr>
          <w:rFonts w:ascii="Times New Roman" w:eastAsia="Times New Roman" w:hAnsi="Times New Roman" w:cs="Times New Roman"/>
          <w:color w:val="000000"/>
          <w:spacing w:val="0"/>
          <w:w w:val="100"/>
          <w:position w:val="0"/>
        </w:rPr>
        <w:t>2001</w:t>
      </w:r>
      <w:r>
        <w:rPr>
          <w:color w:val="000000"/>
          <w:spacing w:val="0"/>
          <w:w w:val="100"/>
          <w:position w:val="0"/>
        </w:rPr>
        <w:t>年至今任本公</w:t>
        <w:br w:type="page"/>
      </w:r>
      <w:r>
        <w:rPr>
          <w:color w:val="000000"/>
          <w:spacing w:val="0"/>
          <w:w w:val="100"/>
          <w:position w:val="0"/>
          <w:shd w:val="clear" w:color="auto" w:fill="FFFFFF"/>
        </w:rPr>
        <w:t>司市场部销售总监，兼任辽宁荣信电机控制技术有限公司董事长。</w:t>
      </w:r>
    </w:p>
    <w:p>
      <w:pPr>
        <w:pStyle w:val="Style29"/>
        <w:keepNext w:val="0"/>
        <w:keepLines w:val="0"/>
        <w:widowControl w:val="0"/>
        <w:shd w:val="clear" w:color="auto" w:fill="auto"/>
        <w:bidi w:val="0"/>
        <w:spacing w:before="0" w:line="418"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87"/>
        <w:gridCol w:w="1066"/>
        <w:gridCol w:w="1195"/>
        <w:gridCol w:w="1325"/>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荣信嘉时（北京）科技发展有限公司董 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辽宁荣信光伏技术有限公司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辽宁荣信电气传动技术有限责任公司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北京荣信中科电气设备有限公司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荣西电力传输技术有限公司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北京信力筑正新能源技术股份有限公司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深圳市松禾资本管理有限公司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辽宁科隆精细化工股份有限公司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深圳市今日标准精密机器有限公司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深圳市德方纳米科技有限公司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深圳市常兴技术股份有限公司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东莞市华轩幕墙材料有限公司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南通海星电子有限公司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广州迪森热能技术股份有限公司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中国青年政治学院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北京恒华伟业科技股份有限公司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87"/>
        <w:gridCol w:w="1066"/>
        <w:gridCol w:w="1195"/>
        <w:gridCol w:w="1325"/>
        <w:gridCol w:w="160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清华大学经济管理学院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北京紫光华宇软件股份有限公司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湖南多喜爱股份有限公司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安徽六国化工股份有限公司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清华大学经济管理学院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歌尔声学股份有限公司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北京建设（控股）有限公司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赵柏品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北京荣科恒阳整流技术有限公司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杨贵发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辽宁荣信防爆电气技术有限公司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杨贵发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上海地澳自动化科技有限公司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赵殿波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辽宁荣信防爆电气技术有限公司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赵殿波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上海地澳自动化科技有限公司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赵殿波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北京信力筑正新能源技术股份有限公司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王岱岩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辽宁荣信电机控制技术有限公司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5"/>
        <w:keepNext/>
        <w:keepLines/>
        <w:widowControl w:val="0"/>
        <w:shd w:val="clear" w:color="auto" w:fill="auto"/>
        <w:bidi w:val="0"/>
        <w:spacing w:before="0" w:after="42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三</w:t>
      </w:r>
      <w:bookmarkEnd w:id="270"/>
      <w:r>
        <w:rPr>
          <w:color w:val="000000"/>
          <w:spacing w:val="0"/>
          <w:w w:val="100"/>
          <w:position w:val="0"/>
          <w:sz w:val="24"/>
          <w:szCs w:val="24"/>
        </w:rPr>
        <w:t>、董事、监事、高级管理人员报酬情况</w:t>
      </w:r>
      <w:bookmarkEnd w:id="268"/>
      <w:bookmarkEnd w:id="269"/>
      <w:bookmarkEnd w:id="271"/>
    </w:p>
    <w:p>
      <w:pPr>
        <w:pStyle w:val="Style16"/>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tabs>
          <w:tab w:pos="834" w:val="left"/>
        </w:tabs>
        <w:bidi w:val="0"/>
        <w:spacing w:before="0" w:after="40" w:line="461" w:lineRule="exact"/>
        <w:ind w:left="0" w:right="0" w:firstLine="480"/>
        <w:jc w:val="left"/>
      </w:pPr>
      <w:bookmarkStart w:id="272" w:name="bookmark272"/>
      <w:r>
        <w:rPr>
          <w:rFonts w:ascii="Times New Roman" w:eastAsia="Times New Roman" w:hAnsi="Times New Roman" w:cs="Times New Roman"/>
          <w:color w:val="000000"/>
          <w:spacing w:val="0"/>
          <w:w w:val="100"/>
          <w:position w:val="0"/>
        </w:rPr>
        <w:t>1</w:t>
      </w:r>
      <w:bookmarkEnd w:id="272"/>
      <w:r>
        <w:rPr>
          <w:color w:val="000000"/>
          <w:spacing w:val="0"/>
          <w:w w:val="100"/>
          <w:position w:val="0"/>
        </w:rPr>
        <w:t>、</w:t>
        <w:tab/>
        <w:t>董事、监事、高级管理人员报酬决策程序</w:t>
      </w:r>
    </w:p>
    <w:p>
      <w:pPr>
        <w:pStyle w:val="Style16"/>
        <w:keepNext w:val="0"/>
        <w:keepLines w:val="0"/>
        <w:widowControl w:val="0"/>
        <w:shd w:val="clear" w:color="auto" w:fill="auto"/>
        <w:bidi w:val="0"/>
        <w:spacing w:before="0" w:after="40" w:line="461" w:lineRule="exact"/>
        <w:ind w:left="0" w:right="0" w:firstLine="480"/>
        <w:jc w:val="left"/>
      </w:pPr>
      <w:r>
        <w:rPr>
          <w:color w:val="000000"/>
          <w:spacing w:val="0"/>
          <w:w w:val="100"/>
          <w:position w:val="0"/>
        </w:rPr>
        <w:t>公司独立董事津贴由董事会薪酬与考核委员会制定并经</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年第二次临时股东大会审议批准。</w:t>
      </w:r>
    </w:p>
    <w:p>
      <w:pPr>
        <w:pStyle w:val="Style16"/>
        <w:keepNext w:val="0"/>
        <w:keepLines w:val="0"/>
        <w:widowControl w:val="0"/>
        <w:shd w:val="clear" w:color="auto" w:fill="auto"/>
        <w:bidi w:val="0"/>
        <w:spacing w:before="0" w:after="40" w:line="461" w:lineRule="exact"/>
        <w:ind w:left="0" w:right="0" w:firstLine="480"/>
        <w:jc w:val="left"/>
      </w:pPr>
      <w:r>
        <w:rPr>
          <w:color w:val="000000"/>
          <w:spacing w:val="0"/>
          <w:w w:val="100"/>
          <w:position w:val="0"/>
        </w:rPr>
        <w:t>公司高级管理人员薪酬由董事会薪酬与考核委员会制定与考核并经董事会批准。</w:t>
      </w:r>
    </w:p>
    <w:p>
      <w:pPr>
        <w:pStyle w:val="Style16"/>
        <w:keepNext w:val="0"/>
        <w:keepLines w:val="0"/>
        <w:widowControl w:val="0"/>
        <w:shd w:val="clear" w:color="auto" w:fill="auto"/>
        <w:tabs>
          <w:tab w:pos="853" w:val="left"/>
        </w:tabs>
        <w:bidi w:val="0"/>
        <w:spacing w:before="0" w:after="40" w:line="461" w:lineRule="exact"/>
        <w:ind w:left="0" w:right="0" w:firstLine="480"/>
        <w:jc w:val="left"/>
      </w:pPr>
      <w:bookmarkStart w:id="273" w:name="bookmark273"/>
      <w:r>
        <w:rPr>
          <w:rFonts w:ascii="Times New Roman" w:eastAsia="Times New Roman" w:hAnsi="Times New Roman" w:cs="Times New Roman"/>
          <w:color w:val="000000"/>
          <w:spacing w:val="0"/>
          <w:w w:val="100"/>
          <w:position w:val="0"/>
        </w:rPr>
        <w:t>2</w:t>
      </w:r>
      <w:bookmarkEnd w:id="273"/>
      <w:r>
        <w:rPr>
          <w:color w:val="000000"/>
          <w:spacing w:val="0"/>
          <w:w w:val="100"/>
          <w:position w:val="0"/>
        </w:rPr>
        <w:t>、</w:t>
        <w:tab/>
        <w:t>董事、监事、高级管理人员报酬确定依据</w:t>
      </w:r>
    </w:p>
    <w:p>
      <w:pPr>
        <w:pStyle w:val="Style16"/>
        <w:keepNext w:val="0"/>
        <w:keepLines w:val="0"/>
        <w:widowControl w:val="0"/>
        <w:shd w:val="clear" w:color="auto" w:fill="auto"/>
        <w:bidi w:val="0"/>
        <w:spacing w:before="0" w:after="40" w:line="461" w:lineRule="exact"/>
        <w:ind w:left="0" w:right="0" w:firstLine="480"/>
        <w:jc w:val="left"/>
      </w:pPr>
      <w:r>
        <w:rPr>
          <w:color w:val="000000"/>
          <w:spacing w:val="0"/>
          <w:w w:val="100"/>
          <w:position w:val="0"/>
        </w:rPr>
        <w:t>公司董事会薪酬与考核委员会依据公司主要经济指标和管理指标的完成情况对董事、监事和高级管理 人员的业绩、工作能力、履职情况进行考评，制定薪酬方案。</w:t>
      </w:r>
    </w:p>
    <w:p>
      <w:pPr>
        <w:pStyle w:val="Style16"/>
        <w:keepNext w:val="0"/>
        <w:keepLines w:val="0"/>
        <w:widowControl w:val="0"/>
        <w:shd w:val="clear" w:color="auto" w:fill="auto"/>
        <w:tabs>
          <w:tab w:pos="853" w:val="left"/>
        </w:tabs>
        <w:bidi w:val="0"/>
        <w:spacing w:before="0" w:after="40" w:line="461" w:lineRule="exact"/>
        <w:ind w:left="0" w:right="0" w:firstLine="480"/>
        <w:jc w:val="left"/>
      </w:pPr>
      <w:bookmarkStart w:id="274" w:name="bookmark274"/>
      <w:r>
        <w:rPr>
          <w:rFonts w:ascii="Times New Roman" w:eastAsia="Times New Roman" w:hAnsi="Times New Roman" w:cs="Times New Roman"/>
          <w:color w:val="000000"/>
          <w:spacing w:val="0"/>
          <w:w w:val="100"/>
          <w:position w:val="0"/>
        </w:rPr>
        <w:t>3</w:t>
      </w:r>
      <w:bookmarkEnd w:id="274"/>
      <w:r>
        <w:rPr>
          <w:color w:val="000000"/>
          <w:spacing w:val="0"/>
          <w:w w:val="100"/>
          <w:position w:val="0"/>
        </w:rPr>
        <w:t>、</w:t>
        <w:tab/>
        <w:t>董事、监事、高级管理人员从公司报酬的实际支付情况</w:t>
      </w:r>
    </w:p>
    <w:p>
      <w:pPr>
        <w:pStyle w:val="Style16"/>
        <w:keepNext w:val="0"/>
        <w:keepLines w:val="0"/>
        <w:widowControl w:val="0"/>
        <w:shd w:val="clear" w:color="auto" w:fill="auto"/>
        <w:bidi w:val="0"/>
        <w:spacing w:before="0" w:after="40" w:line="461" w:lineRule="exact"/>
        <w:ind w:left="0" w:right="0" w:firstLine="480"/>
        <w:jc w:val="left"/>
      </w:pPr>
      <w:r>
        <w:rPr>
          <w:color w:val="000000"/>
          <w:spacing w:val="0"/>
          <w:w w:val="100"/>
          <w:position w:val="0"/>
        </w:rPr>
        <w:t>报告期，公司按股东大会和董事会批准的薪酬支付给董事、高级管理人员。</w:t>
      </w:r>
    </w:p>
    <w:p>
      <w:pPr>
        <w:pStyle w:val="Style16"/>
        <w:keepNext w:val="0"/>
        <w:keepLines w:val="0"/>
        <w:widowControl w:val="0"/>
        <w:shd w:val="clear" w:color="auto" w:fill="auto"/>
        <w:bidi w:val="0"/>
        <w:spacing w:before="0" w:after="180" w:line="461"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马成家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陈诗君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周爱勤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梅志明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王泽全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赵柏品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杨贵发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赵殿波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焦东亮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王岱岩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2,222,000</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四</w:t>
      </w:r>
      <w:bookmarkEnd w:id="277"/>
      <w:r>
        <w:rPr>
          <w:color w:val="000000"/>
          <w:spacing w:val="0"/>
          <w:w w:val="100"/>
          <w:position w:val="0"/>
          <w:sz w:val="24"/>
          <w:szCs w:val="24"/>
        </w:rPr>
        <w:t>、公司董事、监事、高级管理人员变动情况</w:t>
      </w:r>
      <w:bookmarkEnd w:id="275"/>
      <w:bookmarkEnd w:id="276"/>
      <w:bookmarkEnd w:id="278"/>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换届选举新任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换届选举新任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换届选举新任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陈诗君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梅志明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周爱勤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马成家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赵殿波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焦东亮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王岱岩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王泽全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杨贵发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续任</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赵柏品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续任</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200" w:line="240" w:lineRule="auto"/>
        <w:ind w:left="0" w:right="0" w:firstLine="0"/>
        <w:jc w:val="both"/>
      </w:pPr>
      <w:bookmarkStart w:id="279" w:name="bookmark279"/>
      <w:bookmarkStart w:id="280" w:name="bookmark280"/>
      <w:bookmarkStart w:id="281" w:name="bookmark281"/>
      <w:bookmarkStart w:id="282" w:name="bookmark282"/>
      <w:r>
        <w:rPr>
          <w:color w:val="000000"/>
          <w:spacing w:val="0"/>
          <w:w w:val="100"/>
          <w:position w:val="0"/>
          <w:sz w:val="24"/>
          <w:szCs w:val="24"/>
        </w:rPr>
        <w:t>五</w:t>
      </w:r>
      <w:bookmarkEnd w:id="281"/>
      <w:r>
        <w:rPr>
          <w:color w:val="000000"/>
          <w:spacing w:val="0"/>
          <w:w w:val="100"/>
          <w:position w:val="0"/>
          <w:sz w:val="24"/>
          <w:szCs w:val="24"/>
        </w:rPr>
        <w:t>、公司员工情况</w:t>
      </w:r>
      <w:bookmarkEnd w:id="279"/>
      <w:bookmarkEnd w:id="280"/>
      <w:bookmarkEnd w:id="282"/>
    </w:p>
    <w:p>
      <w:pPr>
        <w:pStyle w:val="Style16"/>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，公司共有在职员工</w:t>
      </w:r>
      <w:r>
        <w:rPr>
          <w:rFonts w:ascii="Times New Roman" w:eastAsia="Times New Roman" w:hAnsi="Times New Roman" w:cs="Times New Roman"/>
          <w:color w:val="000000"/>
          <w:spacing w:val="0"/>
          <w:w w:val="100"/>
          <w:position w:val="0"/>
        </w:rPr>
        <w:t>1649</w:t>
      </w:r>
      <w:r>
        <w:rPr>
          <w:color w:val="000000"/>
          <w:spacing w:val="0"/>
          <w:w w:val="100"/>
          <w:position w:val="0"/>
        </w:rPr>
        <w:t>人。其中：生产人员</w:t>
      </w:r>
      <w:r>
        <w:rPr>
          <w:rFonts w:ascii="Times New Roman" w:eastAsia="Times New Roman" w:hAnsi="Times New Roman" w:cs="Times New Roman"/>
          <w:color w:val="000000"/>
          <w:spacing w:val="0"/>
          <w:w w:val="100"/>
          <w:position w:val="0"/>
        </w:rPr>
        <w:t>325</w:t>
      </w:r>
      <w:r>
        <w:rPr>
          <w:color w:val="000000"/>
          <w:spacing w:val="0"/>
          <w:w w:val="100"/>
          <w:position w:val="0"/>
        </w:rPr>
        <w:t>人，占员工总数的</w:t>
      </w:r>
      <w:r>
        <w:rPr>
          <w:rFonts w:ascii="Times New Roman" w:eastAsia="Times New Roman" w:hAnsi="Times New Roman" w:cs="Times New Roman"/>
          <w:color w:val="000000"/>
          <w:spacing w:val="0"/>
          <w:w w:val="100"/>
          <w:position w:val="0"/>
        </w:rPr>
        <w:t>19.70%</w:t>
      </w:r>
      <w:r>
        <w:rPr>
          <w:color w:val="000000"/>
          <w:spacing w:val="0"/>
          <w:w w:val="100"/>
          <w:position w:val="0"/>
        </w:rPr>
        <w:t>；销 售人员</w:t>
      </w:r>
      <w:r>
        <w:rPr>
          <w:rFonts w:ascii="Times New Roman" w:eastAsia="Times New Roman" w:hAnsi="Times New Roman" w:cs="Times New Roman"/>
          <w:color w:val="000000"/>
          <w:spacing w:val="0"/>
          <w:w w:val="100"/>
          <w:position w:val="0"/>
        </w:rPr>
        <w:t>342</w:t>
      </w:r>
      <w:r>
        <w:rPr>
          <w:color w:val="000000"/>
          <w:spacing w:val="0"/>
          <w:w w:val="100"/>
          <w:position w:val="0"/>
        </w:rPr>
        <w:t>人，占员工总数的</w:t>
      </w:r>
      <w:r>
        <w:rPr>
          <w:rFonts w:ascii="Times New Roman" w:eastAsia="Times New Roman" w:hAnsi="Times New Roman" w:cs="Times New Roman"/>
          <w:color w:val="000000"/>
          <w:spacing w:val="0"/>
          <w:w w:val="100"/>
          <w:position w:val="0"/>
        </w:rPr>
        <w:t xml:space="preserve">20.74% </w:t>
      </w:r>
      <w:r>
        <w:rPr>
          <w:color w:val="000000"/>
          <w:spacing w:val="0"/>
          <w:w w:val="100"/>
          <w:position w:val="0"/>
        </w:rPr>
        <w:t>；技术人员</w:t>
      </w:r>
      <w:r>
        <w:rPr>
          <w:rFonts w:ascii="Times New Roman" w:eastAsia="Times New Roman" w:hAnsi="Times New Roman" w:cs="Times New Roman"/>
          <w:color w:val="000000"/>
          <w:spacing w:val="0"/>
          <w:w w:val="100"/>
          <w:position w:val="0"/>
        </w:rPr>
        <w:t>709</w:t>
      </w:r>
      <w:r>
        <w:rPr>
          <w:color w:val="000000"/>
          <w:spacing w:val="0"/>
          <w:w w:val="100"/>
          <w:position w:val="0"/>
        </w:rPr>
        <w:t>人，占员工总数的</w:t>
      </w:r>
      <w:r>
        <w:rPr>
          <w:rFonts w:ascii="Times New Roman" w:eastAsia="Times New Roman" w:hAnsi="Times New Roman" w:cs="Times New Roman"/>
          <w:color w:val="000000"/>
          <w:spacing w:val="0"/>
          <w:w w:val="100"/>
          <w:position w:val="0"/>
        </w:rPr>
        <w:t xml:space="preserve">43% </w:t>
      </w:r>
      <w:r>
        <w:rPr>
          <w:color w:val="000000"/>
          <w:spacing w:val="0"/>
          <w:w w:val="100"/>
          <w:position w:val="0"/>
        </w:rPr>
        <w:t>；管理人员</w:t>
      </w:r>
      <w:r>
        <w:rPr>
          <w:rFonts w:ascii="Times New Roman" w:eastAsia="Times New Roman" w:hAnsi="Times New Roman" w:cs="Times New Roman"/>
          <w:color w:val="000000"/>
          <w:spacing w:val="0"/>
          <w:w w:val="100"/>
          <w:position w:val="0"/>
        </w:rPr>
        <w:t>273</w:t>
      </w:r>
      <w:r>
        <w:rPr>
          <w:color w:val="000000"/>
          <w:spacing w:val="0"/>
          <w:w w:val="100"/>
          <w:position w:val="0"/>
        </w:rPr>
        <w:t xml:space="preserve">人，占员工总数 的 </w:t>
      </w:r>
      <w:r>
        <w:rPr>
          <w:rFonts w:ascii="Times New Roman" w:eastAsia="Times New Roman" w:hAnsi="Times New Roman" w:cs="Times New Roman"/>
          <w:color w:val="000000"/>
          <w:spacing w:val="0"/>
          <w:w w:val="100"/>
          <w:position w:val="0"/>
        </w:rPr>
        <w:t>16.56%</w:t>
      </w:r>
      <w:r>
        <w:rPr>
          <w:color w:val="000000"/>
          <w:spacing w:val="0"/>
          <w:w w:val="100"/>
          <w:position w:val="0"/>
        </w:rPr>
        <w:t>。</w:t>
      </w:r>
    </w:p>
    <w:p>
      <w:pPr>
        <w:pStyle w:val="Style16"/>
        <w:keepNext w:val="0"/>
        <w:keepLines w:val="0"/>
        <w:widowControl w:val="0"/>
        <w:shd w:val="clear" w:color="auto" w:fill="auto"/>
        <w:bidi w:val="0"/>
        <w:spacing w:before="0" w:after="60" w:line="466" w:lineRule="exact"/>
        <w:ind w:left="0" w:right="0" w:firstLine="340"/>
        <w:jc w:val="both"/>
      </w:pPr>
      <w:r>
        <w:rPr>
          <w:color w:val="000000"/>
          <w:spacing w:val="0"/>
          <w:w w:val="100"/>
          <w:position w:val="0"/>
        </w:rPr>
        <w:t>员工受教育程度如下：本科以上</w:t>
      </w:r>
      <w:r>
        <w:rPr>
          <w:rFonts w:ascii="Times New Roman" w:eastAsia="Times New Roman" w:hAnsi="Times New Roman" w:cs="Times New Roman"/>
          <w:color w:val="000000"/>
          <w:spacing w:val="0"/>
          <w:w w:val="100"/>
          <w:position w:val="0"/>
        </w:rPr>
        <w:t>913</w:t>
      </w:r>
      <w:r>
        <w:rPr>
          <w:color w:val="000000"/>
          <w:spacing w:val="0"/>
          <w:w w:val="100"/>
          <w:position w:val="0"/>
        </w:rPr>
        <w:t>人，占员工总数的</w:t>
      </w:r>
      <w:r>
        <w:rPr>
          <w:rFonts w:ascii="Times New Roman" w:eastAsia="Times New Roman" w:hAnsi="Times New Roman" w:cs="Times New Roman"/>
          <w:color w:val="000000"/>
          <w:spacing w:val="0"/>
          <w:w w:val="100"/>
          <w:position w:val="0"/>
        </w:rPr>
        <w:t>55.37%</w:t>
      </w:r>
      <w:r>
        <w:rPr>
          <w:color w:val="000000"/>
          <w:spacing w:val="0"/>
          <w:w w:val="100"/>
          <w:position w:val="0"/>
        </w:rPr>
        <w:t>；大专</w:t>
      </w:r>
      <w:r>
        <w:rPr>
          <w:rFonts w:ascii="Times New Roman" w:eastAsia="Times New Roman" w:hAnsi="Times New Roman" w:cs="Times New Roman"/>
          <w:color w:val="000000"/>
          <w:spacing w:val="0"/>
          <w:w w:val="100"/>
          <w:position w:val="0"/>
        </w:rPr>
        <w:t>361</w:t>
      </w:r>
      <w:r>
        <w:rPr>
          <w:color w:val="000000"/>
          <w:spacing w:val="0"/>
          <w:w w:val="100"/>
          <w:position w:val="0"/>
        </w:rPr>
        <w:t>人，占员工总数的</w:t>
      </w:r>
      <w:r>
        <w:rPr>
          <w:rFonts w:ascii="Times New Roman" w:eastAsia="Times New Roman" w:hAnsi="Times New Roman" w:cs="Times New Roman"/>
          <w:color w:val="000000"/>
          <w:spacing w:val="0"/>
          <w:w w:val="100"/>
          <w:position w:val="0"/>
        </w:rPr>
        <w:t>21.89%</w:t>
      </w:r>
      <w:r>
        <w:rPr>
          <w:color w:val="000000"/>
          <w:spacing w:val="0"/>
          <w:w w:val="100"/>
          <w:position w:val="0"/>
        </w:rPr>
        <w:t>；大 专以下</w:t>
      </w:r>
      <w:r>
        <w:rPr>
          <w:rFonts w:ascii="Times New Roman" w:eastAsia="Times New Roman" w:hAnsi="Times New Roman" w:cs="Times New Roman"/>
          <w:color w:val="000000"/>
          <w:spacing w:val="0"/>
          <w:w w:val="100"/>
          <w:position w:val="0"/>
        </w:rPr>
        <w:t>375</w:t>
      </w:r>
      <w:r>
        <w:rPr>
          <w:color w:val="000000"/>
          <w:spacing w:val="0"/>
          <w:w w:val="100"/>
          <w:position w:val="0"/>
        </w:rPr>
        <w:t>人，占员工总数的</w:t>
      </w:r>
      <w:r>
        <w:rPr>
          <w:rFonts w:ascii="Times New Roman" w:eastAsia="Times New Roman" w:hAnsi="Times New Roman" w:cs="Times New Roman"/>
          <w:color w:val="000000"/>
          <w:spacing w:val="0"/>
          <w:w w:val="100"/>
          <w:position w:val="0"/>
        </w:rPr>
        <w:t>22.74%</w:t>
      </w:r>
      <w:r>
        <w:rPr>
          <w:color w:val="000000"/>
          <w:spacing w:val="0"/>
          <w:w w:val="100"/>
          <w:position w:val="0"/>
        </w:rPr>
        <w:t>。</w:t>
      </w:r>
    </w:p>
    <w:p>
      <w:pPr>
        <w:framePr w:w="10560" w:h="4094" w:wrap="notBeside" w:vAnchor="text" w:hAnchor="text" w:x="-335" w:y="1"/>
        <w:widowControl w:val="0"/>
        <w:rPr>
          <w:sz w:val="2"/>
          <w:szCs w:val="2"/>
        </w:rPr>
      </w:pPr>
      <w:r>
        <w:drawing>
          <wp:inline>
            <wp:extent cx="6705600" cy="260286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6705600" cy="2602865"/>
                    </a:xfrm>
                    <a:prstGeom prst="rect"/>
                  </pic:spPr>
                </pic:pic>
              </a:graphicData>
            </a:graphic>
          </wp:inline>
        </w:drawing>
      </w:r>
    </w:p>
    <w:p>
      <w:pPr>
        <w:widowControl w:val="0"/>
        <w:spacing w:line="1" w:lineRule="exact"/>
        <w:sectPr>
          <w:footnotePr>
            <w:pos w:val="pageBottom"/>
            <w:numFmt w:val="decimal"/>
            <w:numRestart w:val="continuous"/>
          </w:footnotePr>
          <w:pgSz w:w="11900" w:h="16840"/>
          <w:pgMar w:top="1316" w:right="1002" w:bottom="1450" w:left="1010" w:header="0" w:footer="3" w:gutter="0"/>
          <w:cols w:space="720"/>
          <w:noEndnote/>
          <w:rtlGutter w:val="0"/>
          <w:docGrid w:linePitch="360"/>
        </w:sectPr>
      </w:pPr>
      <w:r>
        <mc:AlternateContent>
          <mc:Choice Requires="wps">
            <w:drawing>
              <wp:anchor distT="0" distB="0" distL="0" distR="5882640" simplePos="0" relativeHeight="125829378" behindDoc="0" locked="0" layoutInCell="1" allowOverlap="1">
                <wp:simplePos x="0" y="0"/>
                <wp:positionH relativeFrom="column">
                  <wp:posOffset>5367655</wp:posOffset>
                </wp:positionH>
                <wp:positionV relativeFrom="paragraph">
                  <wp:posOffset>1926590</wp:posOffset>
                </wp:positionV>
                <wp:extent cx="609600" cy="362585"/>
                <wp:wrapTopAndBottom/>
                <wp:docPr id="12" name="Shape 12"/>
                <a:graphic xmlns:a="http://schemas.openxmlformats.org/drawingml/2006/main">
                  <a:graphicData uri="http://schemas.microsoft.com/office/word/2010/wordprocessingShape">
                    <wps:wsp>
                      <wps:cNvSpPr txBox="1"/>
                      <wps:spPr>
                        <a:xfrm>
                          <a:ext cx="609600" cy="36258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.大专以下</w:t>
                            </w:r>
                          </w:p>
                          <w:p>
                            <w:pPr>
                              <w:pStyle w:val="Style6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22.74%</w:t>
                            </w:r>
                          </w:p>
                        </w:txbxContent>
                      </wps:txbx>
                      <wps:bodyPr lIns="0" tIns="0" rIns="0" bIns="0">
                        <a:noAutoFit/>
                      </wps:bodyPr>
                    </wps:wsp>
                  </a:graphicData>
                </a:graphic>
              </wp:anchor>
            </w:drawing>
          </mc:Choice>
          <mc:Fallback>
            <w:pict>
              <v:shape id="_x0000_s1038" type="#_x0000_t202" style="position:absolute;margin-left:422.65000000000003pt;margin-top:151.70000000000002pt;width:48.pt;height:28.550000000000001pt;z-index:-125829375;mso-wrap-distance-left:0;mso-wrap-distance-right:463.19999999999999pt" filled="f" stroked="f">
                <v:textbox inset="0,0,0,0">
                  <w:txbxContent>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.大专以下</w:t>
                      </w:r>
                    </w:p>
                    <w:p>
                      <w:pPr>
                        <w:pStyle w:val="Style6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22.74%</w:t>
                      </w:r>
                    </w:p>
                  </w:txbxContent>
                </v:textbox>
                <w10:wrap type="topAndBottom"/>
              </v:shape>
            </w:pict>
          </mc:Fallback>
        </mc:AlternateContent>
      </w:r>
      <w:r>
        <mc:AlternateContent>
          <mc:Choice Requires="wps">
            <w:drawing>
              <wp:anchor distT="0" distB="0" distL="0" distR="5982970" simplePos="0" relativeHeight="125829380" behindDoc="0" locked="0" layoutInCell="1" allowOverlap="1">
                <wp:simplePos x="0" y="0"/>
                <wp:positionH relativeFrom="column">
                  <wp:posOffset>5480050</wp:posOffset>
                </wp:positionH>
                <wp:positionV relativeFrom="paragraph">
                  <wp:posOffset>1124585</wp:posOffset>
                </wp:positionV>
                <wp:extent cx="509270" cy="359410"/>
                <wp:wrapTopAndBottom/>
                <wp:docPr id="14" name="Shape 14"/>
                <a:graphic xmlns:a="http://schemas.openxmlformats.org/drawingml/2006/main">
                  <a:graphicData uri="http://schemas.microsoft.com/office/word/2010/wordprocessingShape">
                    <wps:wsp>
                      <wps:cNvSpPr txBox="1"/>
                      <wps:spPr>
                        <a:xfrm>
                          <a:ext cx="509270" cy="3594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both"/>
                            </w:pPr>
                            <w:r>
                              <w:rPr>
                                <w:color w:val="413F40"/>
                                <w:spacing w:val="0"/>
                                <w:w w:val="100"/>
                                <w:position w:val="0"/>
                              </w:rPr>
                              <w:t>L</w:t>
                            </w:r>
                            <w:r>
                              <w:rPr>
                                <w:color w:val="000000"/>
                                <w:spacing w:val="0"/>
                                <w:w w:val="100"/>
                                <w:position w:val="0"/>
                              </w:rPr>
                              <w:t>大专</w:t>
                            </w:r>
                          </w:p>
                          <w:p>
                            <w:pPr>
                              <w:pStyle w:val="Style62"/>
                              <w:keepNext w:val="0"/>
                              <w:keepLines w:val="0"/>
                              <w:widowControl w:val="0"/>
                              <w:shd w:val="clear" w:color="auto" w:fill="auto"/>
                              <w:bidi w:val="0"/>
                              <w:spacing w:before="0" w:after="0" w:line="228"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21.89°o</w:t>
                            </w:r>
                          </w:p>
                        </w:txbxContent>
                      </wps:txbx>
                      <wps:bodyPr lIns="0" tIns="0" rIns="0" bIns="0">
                        <a:noAutoFit/>
                      </wps:bodyPr>
                    </wps:wsp>
                  </a:graphicData>
                </a:graphic>
              </wp:anchor>
            </w:drawing>
          </mc:Choice>
          <mc:Fallback>
            <w:pict>
              <v:shape id="_x0000_s1040" type="#_x0000_t202" style="position:absolute;margin-left:431.5pt;margin-top:88.549999999999997pt;width:40.100000000000001pt;height:28.300000000000001pt;z-index:-125829373;mso-wrap-distance-left:0;mso-wrap-distance-right:471.10000000000002pt" filled="f" stroked="f">
                <v:textbox inset="0,0,0,0">
                  <w:txbxContent>
                    <w:p>
                      <w:pPr>
                        <w:pStyle w:val="Style62"/>
                        <w:keepNext w:val="0"/>
                        <w:keepLines w:val="0"/>
                        <w:widowControl w:val="0"/>
                        <w:shd w:val="clear" w:color="auto" w:fill="auto"/>
                        <w:bidi w:val="0"/>
                        <w:spacing w:before="0" w:after="0" w:line="240" w:lineRule="auto"/>
                        <w:ind w:left="0" w:right="0" w:firstLine="0"/>
                        <w:jc w:val="both"/>
                      </w:pPr>
                      <w:r>
                        <w:rPr>
                          <w:color w:val="413F40"/>
                          <w:spacing w:val="0"/>
                          <w:w w:val="100"/>
                          <w:position w:val="0"/>
                        </w:rPr>
                        <w:t>L</w:t>
                      </w:r>
                      <w:r>
                        <w:rPr>
                          <w:color w:val="000000"/>
                          <w:spacing w:val="0"/>
                          <w:w w:val="100"/>
                          <w:position w:val="0"/>
                        </w:rPr>
                        <w:t>大专</w:t>
                      </w:r>
                    </w:p>
                    <w:p>
                      <w:pPr>
                        <w:pStyle w:val="Style62"/>
                        <w:keepNext w:val="0"/>
                        <w:keepLines w:val="0"/>
                        <w:widowControl w:val="0"/>
                        <w:shd w:val="clear" w:color="auto" w:fill="auto"/>
                        <w:bidi w:val="0"/>
                        <w:spacing w:before="0" w:after="0" w:line="228"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21.89°o</w:t>
                      </w:r>
                    </w:p>
                  </w:txbxContent>
                </v:textbox>
                <w10:wrap type="topAndBottom"/>
              </v:shape>
            </w:pict>
          </mc:Fallback>
        </mc:AlternateContent>
      </w:r>
      <w:r>
        <mc:AlternateContent>
          <mc:Choice Requires="wps">
            <w:drawing>
              <wp:anchor distT="0" distB="0" distL="0" distR="4117975" simplePos="0" relativeHeight="125829382" behindDoc="0" locked="0" layoutInCell="1" allowOverlap="1">
                <wp:simplePos x="0" y="0"/>
                <wp:positionH relativeFrom="column">
                  <wp:posOffset>295910</wp:posOffset>
                </wp:positionH>
                <wp:positionV relativeFrom="paragraph">
                  <wp:posOffset>201295</wp:posOffset>
                </wp:positionV>
                <wp:extent cx="2374265" cy="194945"/>
                <wp:wrapTopAndBottom/>
                <wp:docPr id="16" name="Shape 16"/>
                <a:graphic xmlns:a="http://schemas.openxmlformats.org/drawingml/2006/main">
                  <a:graphicData uri="http://schemas.microsoft.com/office/word/2010/wordprocessingShape">
                    <wps:wsp>
                      <wps:cNvSpPr txBox="1"/>
                      <wps:spPr>
                        <a:xfrm>
                          <a:ext cx="2374265" cy="19494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2"/>
                                <w:szCs w:val="22"/>
                              </w:rPr>
                              <w:t>2</w:t>
                            </w:r>
                            <w:r>
                              <w:rPr>
                                <w:rFonts w:ascii="SimSun" w:eastAsia="SimSun" w:hAnsi="SimSun" w:cs="SimSun"/>
                                <w:b/>
                                <w:bCs/>
                                <w:color w:val="000000"/>
                                <w:spacing w:val="0"/>
                                <w:w w:val="100"/>
                                <w:position w:val="0"/>
                                <w:sz w:val="24"/>
                                <w:szCs w:val="24"/>
                              </w:rPr>
                              <w:t>。</w:t>
                            </w:r>
                            <w:r>
                              <w:rPr>
                                <w:rFonts w:ascii="Arial" w:eastAsia="Arial" w:hAnsi="Arial" w:cs="Arial"/>
                                <w:color w:val="000000"/>
                                <w:spacing w:val="0"/>
                                <w:w w:val="100"/>
                                <w:position w:val="0"/>
                                <w:sz w:val="22"/>
                                <w:szCs w:val="22"/>
                              </w:rPr>
                              <w:t>13</w:t>
                            </w:r>
                            <w:r>
                              <w:rPr>
                                <w:rFonts w:ascii="SimSun" w:eastAsia="SimSun" w:hAnsi="SimSun" w:cs="SimSun"/>
                                <w:b/>
                                <w:bCs/>
                                <w:color w:val="000000"/>
                                <w:spacing w:val="0"/>
                                <w:w w:val="100"/>
                                <w:position w:val="0"/>
                                <w:sz w:val="24"/>
                                <w:szCs w:val="24"/>
                              </w:rPr>
                              <w:t>年公司员工专业结构分布图</w:t>
                            </w:r>
                          </w:p>
                        </w:txbxContent>
                      </wps:txbx>
                      <wps:bodyPr lIns="0" tIns="0" rIns="0" bIns="0">
                        <a:noAutoFit/>
                      </wps:bodyPr>
                    </wps:wsp>
                  </a:graphicData>
                </a:graphic>
              </wp:anchor>
            </w:drawing>
          </mc:Choice>
          <mc:Fallback>
            <w:pict>
              <v:shape id="_x0000_s1042" type="#_x0000_t202" style="position:absolute;margin-left:23.300000000000001pt;margin-top:15.85pt;width:186.95000000000002pt;height:15.35pt;z-index:-125829371;mso-wrap-distance-left:0;mso-wrap-distance-right:324.25pt" filled="f" stroked="f">
                <v:textbox inset="0,0,0,0">
                  <w:txbxContent>
                    <w:p>
                      <w:pPr>
                        <w:pStyle w:val="Style6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2"/>
                          <w:szCs w:val="22"/>
                        </w:rPr>
                        <w:t>2</w:t>
                      </w:r>
                      <w:r>
                        <w:rPr>
                          <w:rFonts w:ascii="SimSun" w:eastAsia="SimSun" w:hAnsi="SimSun" w:cs="SimSun"/>
                          <w:b/>
                          <w:bCs/>
                          <w:color w:val="000000"/>
                          <w:spacing w:val="0"/>
                          <w:w w:val="100"/>
                          <w:position w:val="0"/>
                          <w:sz w:val="24"/>
                          <w:szCs w:val="24"/>
                        </w:rPr>
                        <w:t>。</w:t>
                      </w:r>
                      <w:r>
                        <w:rPr>
                          <w:rFonts w:ascii="Arial" w:eastAsia="Arial" w:hAnsi="Arial" w:cs="Arial"/>
                          <w:color w:val="000000"/>
                          <w:spacing w:val="0"/>
                          <w:w w:val="100"/>
                          <w:position w:val="0"/>
                          <w:sz w:val="22"/>
                          <w:szCs w:val="22"/>
                        </w:rPr>
                        <w:t>13</w:t>
                      </w:r>
                      <w:r>
                        <w:rPr>
                          <w:rFonts w:ascii="SimSun" w:eastAsia="SimSun" w:hAnsi="SimSun" w:cs="SimSun"/>
                          <w:b/>
                          <w:bCs/>
                          <w:color w:val="000000"/>
                          <w:spacing w:val="0"/>
                          <w:w w:val="100"/>
                          <w:position w:val="0"/>
                          <w:sz w:val="24"/>
                          <w:szCs w:val="24"/>
                        </w:rPr>
                        <w:t>年公司员工专业结构分布图</w:t>
                      </w:r>
                    </w:p>
                  </w:txbxContent>
                </v:textbox>
                <w10:wrap type="topAndBottom"/>
              </v:shape>
            </w:pict>
          </mc:Fallback>
        </mc:AlternateContent>
      </w:r>
      <w:r>
        <mc:AlternateContent>
          <mc:Choice Requires="wps">
            <w:drawing>
              <wp:anchor distT="0" distB="0" distL="0" distR="4041775" simplePos="0" relativeHeight="125829384" behindDoc="0" locked="0" layoutInCell="1" allowOverlap="1">
                <wp:simplePos x="0" y="0"/>
                <wp:positionH relativeFrom="column">
                  <wp:posOffset>3557270</wp:posOffset>
                </wp:positionH>
                <wp:positionV relativeFrom="paragraph">
                  <wp:posOffset>189230</wp:posOffset>
                </wp:positionV>
                <wp:extent cx="2450465" cy="194945"/>
                <wp:wrapTopAndBottom/>
                <wp:docPr id="18" name="Shape 18"/>
                <a:graphic xmlns:a="http://schemas.openxmlformats.org/drawingml/2006/main">
                  <a:graphicData uri="http://schemas.microsoft.com/office/word/2010/wordprocessingShape">
                    <wps:wsp>
                      <wps:cNvSpPr txBox="1"/>
                      <wps:spPr>
                        <a:xfrm>
                          <a:ext cx="2450465" cy="19494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2"/>
                                <w:szCs w:val="22"/>
                              </w:rPr>
                              <w:t>2013</w:t>
                            </w:r>
                            <w:r>
                              <w:rPr>
                                <w:rFonts w:ascii="SimSun" w:eastAsia="SimSun" w:hAnsi="SimSun" w:cs="SimSun"/>
                                <w:b/>
                                <w:bCs/>
                                <w:color w:val="000000"/>
                                <w:spacing w:val="0"/>
                                <w:w w:val="100"/>
                                <w:position w:val="0"/>
                                <w:sz w:val="24"/>
                                <w:szCs w:val="24"/>
                              </w:rPr>
                              <w:t>年公司员工受教育程度情况图</w:t>
                            </w:r>
                          </w:p>
                        </w:txbxContent>
                      </wps:txbx>
                      <wps:bodyPr lIns="0" tIns="0" rIns="0" bIns="0">
                        <a:noAutoFit/>
                      </wps:bodyPr>
                    </wps:wsp>
                  </a:graphicData>
                </a:graphic>
              </wp:anchor>
            </w:drawing>
          </mc:Choice>
          <mc:Fallback>
            <w:pict>
              <v:shape id="_x0000_s1044" type="#_x0000_t202" style="position:absolute;margin-left:280.10000000000002pt;margin-top:14.9pt;width:192.95000000000002pt;height:15.35pt;z-index:-125829369;mso-wrap-distance-left:0;mso-wrap-distance-right:318.25pt" filled="f" stroked="f">
                <v:textbox inset="0,0,0,0">
                  <w:txbxContent>
                    <w:p>
                      <w:pPr>
                        <w:pStyle w:val="Style6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2"/>
                          <w:szCs w:val="22"/>
                        </w:rPr>
                        <w:t>2013</w:t>
                      </w:r>
                      <w:r>
                        <w:rPr>
                          <w:rFonts w:ascii="SimSun" w:eastAsia="SimSun" w:hAnsi="SimSun" w:cs="SimSun"/>
                          <w:b/>
                          <w:bCs/>
                          <w:color w:val="000000"/>
                          <w:spacing w:val="0"/>
                          <w:w w:val="100"/>
                          <w:position w:val="0"/>
                          <w:sz w:val="24"/>
                          <w:szCs w:val="24"/>
                        </w:rPr>
                        <w:t>年公司员工受教育程度情况图</w:t>
                      </w:r>
                    </w:p>
                  </w:txbxContent>
                </v:textbox>
                <w10:wrap type="topAndBottom"/>
              </v:shape>
            </w:pict>
          </mc:Fallback>
        </mc:AlternateContent>
      </w:r>
      <w:r>
        <mc:AlternateContent>
          <mc:Choice Requires="wps">
            <w:drawing>
              <wp:anchor distT="0" distB="0" distL="0" distR="5901055" simplePos="0" relativeHeight="125829386" behindDoc="0" locked="0" layoutInCell="1" allowOverlap="1">
                <wp:simplePos x="0" y="0"/>
                <wp:positionH relativeFrom="column">
                  <wp:posOffset>3429000</wp:posOffset>
                </wp:positionH>
                <wp:positionV relativeFrom="paragraph">
                  <wp:posOffset>951230</wp:posOffset>
                </wp:positionV>
                <wp:extent cx="591185" cy="356870"/>
                <wp:wrapTopAndBottom/>
                <wp:docPr id="20" name="Shape 20"/>
                <a:graphic xmlns:a="http://schemas.openxmlformats.org/drawingml/2006/main">
                  <a:graphicData uri="http://schemas.microsoft.com/office/word/2010/wordprocessingShape">
                    <wps:wsp>
                      <wps:cNvSpPr txBox="1"/>
                      <wps:spPr>
                        <a:xfrm>
                          <a:ext cx="591185" cy="356870"/>
                        </a:xfrm>
                        <a:prstGeom prst="rect"/>
                        <a:noFill/>
                      </wps:spPr>
                      <wps:txbx>
                        <w:txbxContent>
                          <w:p>
                            <w:pPr>
                              <w:pStyle w:val="Style6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本科以上</w:t>
                            </w:r>
                          </w:p>
                          <w:p>
                            <w:pPr>
                              <w:pStyle w:val="Style6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55.37%</w:t>
                            </w:r>
                          </w:p>
                        </w:txbxContent>
                      </wps:txbx>
                      <wps:bodyPr lIns="0" tIns="0" rIns="0" bIns="0">
                        <a:noAutoFit/>
                      </wps:bodyPr>
                    </wps:wsp>
                  </a:graphicData>
                </a:graphic>
              </wp:anchor>
            </w:drawing>
          </mc:Choice>
          <mc:Fallback>
            <w:pict>
              <v:shape id="_x0000_s1046" type="#_x0000_t202" style="position:absolute;margin-left:270.pt;margin-top:74.900000000000006pt;width:46.550000000000004pt;height:28.100000000000001pt;z-index:-125829367;mso-wrap-distance-left:0;mso-wrap-distance-right:464.65000000000003pt" filled="f" stroked="f">
                <v:textbox inset="0,0,0,0">
                  <w:txbxContent>
                    <w:p>
                      <w:pPr>
                        <w:pStyle w:val="Style6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本科以上</w:t>
                      </w:r>
                    </w:p>
                    <w:p>
                      <w:pPr>
                        <w:pStyle w:val="Style6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55.37%</w:t>
                      </w:r>
                    </w:p>
                  </w:txbxContent>
                </v:textbox>
                <w10:wrap type="topAndBottom"/>
              </v:shape>
            </w:pict>
          </mc:Fallback>
        </mc:AlternateContent>
      </w:r>
      <w:r>
        <mc:AlternateContent>
          <mc:Choice Requires="wps">
            <w:drawing>
              <wp:anchor distT="0" distB="0" distL="0" distR="5873750" simplePos="0" relativeHeight="125829388" behindDoc="0" locked="0" layoutInCell="1" allowOverlap="1">
                <wp:simplePos x="0" y="0"/>
                <wp:positionH relativeFrom="column">
                  <wp:posOffset>179705</wp:posOffset>
                </wp:positionH>
                <wp:positionV relativeFrom="paragraph">
                  <wp:posOffset>1060450</wp:posOffset>
                </wp:positionV>
                <wp:extent cx="618490" cy="356870"/>
                <wp:wrapTopAndBottom/>
                <wp:docPr id="22" name="Shape 22"/>
                <a:graphic xmlns:a="http://schemas.openxmlformats.org/drawingml/2006/main">
                  <a:graphicData uri="http://schemas.microsoft.com/office/word/2010/wordprocessingShape">
                    <wps:wsp>
                      <wps:cNvSpPr txBox="1"/>
                      <wps:spPr>
                        <a:xfrm>
                          <a:ext cx="618490" cy="3568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p>
                            <w:pPr>
                              <w:pStyle w:val="Style6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20.74%_</w:t>
                            </w:r>
                          </w:p>
                        </w:txbxContent>
                      </wps:txbx>
                      <wps:bodyPr lIns="0" tIns="0" rIns="0" bIns="0">
                        <a:noAutoFit/>
                      </wps:bodyPr>
                    </wps:wsp>
                  </a:graphicData>
                </a:graphic>
              </wp:anchor>
            </w:drawing>
          </mc:Choice>
          <mc:Fallback>
            <w:pict>
              <v:shape id="_x0000_s1048" type="#_x0000_t202" style="position:absolute;margin-left:14.15pt;margin-top:83.5pt;width:48.700000000000003pt;height:28.100000000000001pt;z-index:-125829365;mso-wrap-distance-left:0;mso-wrap-distance-right:462.5pt"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p>
                      <w:pPr>
                        <w:pStyle w:val="Style6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20.74%_</w:t>
                      </w:r>
                    </w:p>
                  </w:txbxContent>
                </v:textbox>
                <w10:wrap type="topAndBottom"/>
              </v:shape>
            </w:pict>
          </mc:Fallback>
        </mc:AlternateContent>
      </w:r>
      <w:r>
        <mc:AlternateContent>
          <mc:Choice Requires="wps">
            <w:drawing>
              <wp:anchor distT="0" distB="0" distL="0" distR="5614670" simplePos="0" relativeHeight="125829390" behindDoc="0" locked="0" layoutInCell="1" allowOverlap="1">
                <wp:simplePos x="0" y="0"/>
                <wp:positionH relativeFrom="column">
                  <wp:posOffset>1405255</wp:posOffset>
                </wp:positionH>
                <wp:positionV relativeFrom="paragraph">
                  <wp:posOffset>631190</wp:posOffset>
                </wp:positionV>
                <wp:extent cx="877570" cy="353695"/>
                <wp:wrapTopAndBottom/>
                <wp:docPr id="24" name="Shape 24"/>
                <a:graphic xmlns:a="http://schemas.openxmlformats.org/drawingml/2006/main">
                  <a:graphicData uri="http://schemas.microsoft.com/office/word/2010/wordprocessingShape">
                    <wps:wsp>
                      <wps:cNvSpPr txBox="1"/>
                      <wps:spPr>
                        <a:xfrm>
                          <a:ext cx="877570" cy="353695"/>
                        </a:xfrm>
                        <a:prstGeom prst="rect"/>
                        <a:noFill/>
                      </wps:spPr>
                      <wps:txbx>
                        <w:txbxContent>
                          <w:p>
                            <w:pPr>
                              <w:pStyle w:val="Style62"/>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技术人员</w:t>
                            </w:r>
                          </w:p>
                          <w:p>
                            <w:pPr>
                              <w:pStyle w:val="Style6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646459"/>
                                <w:spacing w:val="0"/>
                                <w:w w:val="100"/>
                                <w:position w:val="0"/>
                              </w:rPr>
                              <w:t>—</w:t>
                            </w:r>
                            <w:r>
                              <w:rPr>
                                <w:rFonts w:ascii="Times New Roman" w:eastAsia="Times New Roman" w:hAnsi="Times New Roman" w:cs="Times New Roman"/>
                                <w:color w:val="000000"/>
                                <w:spacing w:val="0"/>
                                <w:w w:val="100"/>
                                <w:position w:val="0"/>
                              </w:rPr>
                              <w:t>-.^43%</w:t>
                            </w:r>
                          </w:p>
                        </w:txbxContent>
                      </wps:txbx>
                      <wps:bodyPr lIns="0" tIns="0" rIns="0" bIns="0">
                        <a:noAutoFit/>
                      </wps:bodyPr>
                    </wps:wsp>
                  </a:graphicData>
                </a:graphic>
              </wp:anchor>
            </w:drawing>
          </mc:Choice>
          <mc:Fallback>
            <w:pict>
              <v:shape id="_x0000_s1050" type="#_x0000_t202" style="position:absolute;margin-left:110.65000000000001pt;margin-top:49.700000000000003pt;width:69.100000000000009pt;height:27.850000000000001pt;z-index:-125829363;mso-wrap-distance-left:0;mso-wrap-distance-right:442.10000000000002pt" filled="f" stroked="f">
                <v:textbox inset="0,0,0,0">
                  <w:txbxContent>
                    <w:p>
                      <w:pPr>
                        <w:pStyle w:val="Style62"/>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技术人员</w:t>
                      </w:r>
                    </w:p>
                    <w:p>
                      <w:pPr>
                        <w:pStyle w:val="Style6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646459"/>
                          <w:spacing w:val="0"/>
                          <w:w w:val="100"/>
                          <w:position w:val="0"/>
                        </w:rPr>
                        <w:t>—</w:t>
                      </w:r>
                      <w:r>
                        <w:rPr>
                          <w:rFonts w:ascii="Times New Roman" w:eastAsia="Times New Roman" w:hAnsi="Times New Roman" w:cs="Times New Roman"/>
                          <w:color w:val="000000"/>
                          <w:spacing w:val="0"/>
                          <w:w w:val="100"/>
                          <w:position w:val="0"/>
                        </w:rPr>
                        <w:t>-.^43%</w:t>
                      </w:r>
                    </w:p>
                  </w:txbxContent>
                </v:textbox>
                <w10:wrap type="topAndBottom"/>
              </v:shape>
            </w:pict>
          </mc:Fallback>
        </mc:AlternateContent>
      </w:r>
      <w:r>
        <mc:AlternateContent>
          <mc:Choice Requires="wps">
            <w:drawing>
              <wp:anchor distT="0" distB="0" distL="0" distR="5888990" simplePos="0" relativeHeight="125829392" behindDoc="0" locked="0" layoutInCell="1" allowOverlap="1">
                <wp:simplePos x="0" y="0"/>
                <wp:positionH relativeFrom="column">
                  <wp:posOffset>466090</wp:posOffset>
                </wp:positionH>
                <wp:positionV relativeFrom="paragraph">
                  <wp:posOffset>2167255</wp:posOffset>
                </wp:positionV>
                <wp:extent cx="603250" cy="356870"/>
                <wp:wrapTopAndBottom/>
                <wp:docPr id="26" name="Shape 26"/>
                <a:graphic xmlns:a="http://schemas.openxmlformats.org/drawingml/2006/main">
                  <a:graphicData uri="http://schemas.microsoft.com/office/word/2010/wordprocessingShape">
                    <wps:wsp>
                      <wps:cNvSpPr txBox="1"/>
                      <wps:spPr>
                        <a:xfrm>
                          <a:ext cx="603250" cy="356870"/>
                        </a:xfrm>
                        <a:prstGeom prst="rect"/>
                        <a:noFill/>
                      </wps:spPr>
                      <wps:txbx>
                        <w:txbxContent>
                          <w:p>
                            <w:pPr>
                              <w:pStyle w:val="Style62"/>
                              <w:keepNext w:val="0"/>
                              <w:keepLines w:val="0"/>
                              <w:widowControl w:val="0"/>
                              <w:shd w:val="clear" w:color="auto" w:fill="auto"/>
                              <w:bidi w:val="0"/>
                              <w:spacing w:before="0" w:after="40" w:line="240" w:lineRule="auto"/>
                              <w:ind w:left="0" w:right="0" w:firstLine="0"/>
                              <w:jc w:val="left"/>
                            </w:pPr>
                            <w:r>
                              <w:rPr>
                                <w:color w:val="000000"/>
                                <w:spacing w:val="0"/>
                                <w:w w:val="100"/>
                                <w:position w:val="0"/>
                              </w:rPr>
                              <w:t>生产人员</w:t>
                            </w:r>
                          </w:p>
                          <w:p>
                            <w:pPr>
                              <w:pStyle w:val="Style6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19.70°o</w:t>
                            </w:r>
                          </w:p>
                        </w:txbxContent>
                      </wps:txbx>
                      <wps:bodyPr lIns="0" tIns="0" rIns="0" bIns="0">
                        <a:noAutoFit/>
                      </wps:bodyPr>
                    </wps:wsp>
                  </a:graphicData>
                </a:graphic>
              </wp:anchor>
            </w:drawing>
          </mc:Choice>
          <mc:Fallback>
            <w:pict>
              <v:shape id="_x0000_s1052" type="#_x0000_t202" style="position:absolute;margin-left:36.700000000000003pt;margin-top:170.65000000000001pt;width:47.5pt;height:28.100000000000001pt;z-index:-125829361;mso-wrap-distance-left:0;mso-wrap-distance-right:463.69999999999999pt" filled="f" stroked="f">
                <v:textbox inset="0,0,0,0">
                  <w:txbxContent>
                    <w:p>
                      <w:pPr>
                        <w:pStyle w:val="Style62"/>
                        <w:keepNext w:val="0"/>
                        <w:keepLines w:val="0"/>
                        <w:widowControl w:val="0"/>
                        <w:shd w:val="clear" w:color="auto" w:fill="auto"/>
                        <w:bidi w:val="0"/>
                        <w:spacing w:before="0" w:after="40" w:line="240" w:lineRule="auto"/>
                        <w:ind w:left="0" w:right="0" w:firstLine="0"/>
                        <w:jc w:val="left"/>
                      </w:pPr>
                      <w:r>
                        <w:rPr>
                          <w:color w:val="000000"/>
                          <w:spacing w:val="0"/>
                          <w:w w:val="100"/>
                          <w:position w:val="0"/>
                        </w:rPr>
                        <w:t>生产人员</w:t>
                      </w:r>
                    </w:p>
                    <w:p>
                      <w:pPr>
                        <w:pStyle w:val="Style6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19.70°o</w:t>
                      </w:r>
                    </w:p>
                  </w:txbxContent>
                </v:textbox>
                <w10:wrap type="topAndBottom"/>
              </v:shape>
            </w:pict>
          </mc:Fallback>
        </mc:AlternateContent>
      </w:r>
      <w:r>
        <mc:AlternateContent>
          <mc:Choice Requires="wps">
            <w:drawing>
              <wp:anchor distT="0" distB="0" distL="0" distR="5879465" simplePos="0" relativeHeight="125829394" behindDoc="0" locked="0" layoutInCell="1" allowOverlap="1">
                <wp:simplePos x="0" y="0"/>
                <wp:positionH relativeFrom="column">
                  <wp:posOffset>2212975</wp:posOffset>
                </wp:positionH>
                <wp:positionV relativeFrom="paragraph">
                  <wp:posOffset>1791970</wp:posOffset>
                </wp:positionV>
                <wp:extent cx="612775" cy="362585"/>
                <wp:wrapTopAndBottom/>
                <wp:docPr id="28" name="Shape 28"/>
                <a:graphic xmlns:a="http://schemas.openxmlformats.org/drawingml/2006/main">
                  <a:graphicData uri="http://schemas.microsoft.com/office/word/2010/wordprocessingShape">
                    <wps:wsp>
                      <wps:cNvSpPr txBox="1"/>
                      <wps:spPr>
                        <a:xfrm>
                          <a:ext cx="612775" cy="362585"/>
                        </a:xfrm>
                        <a:prstGeom prst="rect"/>
                        <a:noFill/>
                      </wps:spPr>
                      <wps:txbx>
                        <w:txbxContent>
                          <w:p>
                            <w:pPr>
                              <w:pStyle w:val="Style6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.管理人员</w:t>
                            </w:r>
                          </w:p>
                          <w:p>
                            <w:pPr>
                              <w:pStyle w:val="Style6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16.56%</w:t>
                            </w:r>
                          </w:p>
                        </w:txbxContent>
                      </wps:txbx>
                      <wps:bodyPr lIns="0" tIns="0" rIns="0" bIns="0">
                        <a:noAutoFit/>
                      </wps:bodyPr>
                    </wps:wsp>
                  </a:graphicData>
                </a:graphic>
              </wp:anchor>
            </w:drawing>
          </mc:Choice>
          <mc:Fallback>
            <w:pict>
              <v:shape id="_x0000_s1054" type="#_x0000_t202" style="position:absolute;margin-left:174.25pt;margin-top:141.09999999999999pt;width:48.25pt;height:28.550000000000001pt;z-index:-125829359;mso-wrap-distance-left:0;mso-wrap-distance-right:462.94999999999999pt" filled="f" stroked="f">
                <v:textbox inset="0,0,0,0">
                  <w:txbxContent>
                    <w:p>
                      <w:pPr>
                        <w:pStyle w:val="Style6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.管理人员</w:t>
                      </w:r>
                    </w:p>
                    <w:p>
                      <w:pPr>
                        <w:pStyle w:val="Style6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16.56%</w:t>
                      </w:r>
                    </w:p>
                  </w:txbxContent>
                </v:textbox>
                <w10:wrap type="topAndBottom"/>
              </v:shape>
            </w:pict>
          </mc:Fallback>
        </mc:AlternateContent>
      </w:r>
    </w:p>
    <w:p>
      <w:pPr>
        <w:pStyle w:val="Style14"/>
        <w:keepNext/>
        <w:keepLines/>
        <w:widowControl w:val="0"/>
        <w:shd w:val="clear" w:color="auto" w:fill="auto"/>
        <w:bidi w:val="0"/>
        <w:spacing w:before="700" w:line="240" w:lineRule="auto"/>
        <w:ind w:left="0" w:right="0" w:firstLine="0"/>
        <w:jc w:val="center"/>
      </w:pPr>
      <w:bookmarkStart w:id="283" w:name="bookmark283"/>
      <w:bookmarkStart w:id="284" w:name="bookmark284"/>
      <w:bookmarkStart w:id="285" w:name="bookmark285"/>
      <w:r>
        <w:rPr>
          <w:color w:val="000000"/>
          <w:spacing w:val="0"/>
          <w:w w:val="100"/>
          <w:position w:val="0"/>
        </w:rPr>
        <w:t>第八节公司治理</w:t>
      </w:r>
      <w:bookmarkEnd w:id="283"/>
      <w:bookmarkEnd w:id="284"/>
      <w:bookmarkEnd w:id="285"/>
    </w:p>
    <w:p>
      <w:pPr>
        <w:pStyle w:val="Style25"/>
        <w:keepNext/>
        <w:keepLines/>
        <w:widowControl w:val="0"/>
        <w:shd w:val="clear" w:color="auto" w:fill="auto"/>
        <w:bidi w:val="0"/>
        <w:spacing w:before="0" w:after="20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一</w:t>
      </w:r>
      <w:bookmarkEnd w:id="288"/>
      <w:r>
        <w:rPr>
          <w:color w:val="000000"/>
          <w:spacing w:val="0"/>
          <w:w w:val="100"/>
          <w:position w:val="0"/>
          <w:sz w:val="24"/>
          <w:szCs w:val="24"/>
        </w:rPr>
        <w:t>、公司治理的基本状况</w:t>
      </w:r>
      <w:bookmarkEnd w:id="286"/>
      <w:bookmarkEnd w:id="287"/>
      <w:bookmarkEnd w:id="289"/>
    </w:p>
    <w:p>
      <w:pPr>
        <w:pStyle w:val="Style16"/>
        <w:keepNext w:val="0"/>
        <w:keepLines w:val="0"/>
        <w:widowControl w:val="0"/>
        <w:shd w:val="clear" w:color="auto" w:fill="auto"/>
        <w:bidi w:val="0"/>
        <w:spacing w:before="0" w:after="200" w:line="469" w:lineRule="exact"/>
        <w:ind w:left="0" w:right="0" w:firstLine="500"/>
        <w:jc w:val="left"/>
      </w:pPr>
      <w:r>
        <w:rPr>
          <w:color w:val="000000"/>
          <w:spacing w:val="0"/>
          <w:w w:val="100"/>
          <w:position w:val="0"/>
        </w:rPr>
        <w:t>公司严格按照《公司法》、《证券法》、《上市公司治理准则》及中国证监会、深圳证券交易所发 布的有关上市公司治理的规范性文件要求，不断完善公司法人治理结构，规范公司运作。比照中国证监会 发布的有关上市公司治理的规范性文件，公司法人治理结构的实际情况基本符合《上市公司治理准则》的 要求。</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报告期内，公司制定和修订的公司制度如下:</w:t>
      </w:r>
    </w:p>
    <w:tbl>
      <w:tblPr>
        <w:tblOverlap w:val="never"/>
        <w:jc w:val="center"/>
        <w:tblLayout w:type="fixed"/>
      </w:tblPr>
      <w:tblGrid>
        <w:gridCol w:w="658"/>
        <w:gridCol w:w="3941"/>
        <w:gridCol w:w="2002"/>
        <w:gridCol w:w="3274"/>
      </w:tblGrid>
      <w:tr>
        <w:trPr>
          <w:trHeight w:val="5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制度名称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最近一次修订时间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会议名称</w:t>
            </w:r>
          </w:p>
        </w:tc>
      </w:tr>
      <w:tr>
        <w:trPr>
          <w:trHeight w:val="5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年第三次临时股东大会</w:t>
            </w:r>
          </w:p>
        </w:tc>
      </w:tr>
    </w:tbl>
    <w:p>
      <w:pPr>
        <w:widowControl w:val="0"/>
        <w:spacing w:after="359" w:line="1" w:lineRule="exact"/>
      </w:pPr>
    </w:p>
    <w:p>
      <w:pPr>
        <w:pStyle w:val="Style16"/>
        <w:keepNext w:val="0"/>
        <w:keepLines w:val="0"/>
        <w:widowControl w:val="0"/>
        <w:shd w:val="clear" w:color="auto" w:fill="auto"/>
        <w:tabs>
          <w:tab w:pos="801" w:val="left"/>
        </w:tabs>
        <w:bidi w:val="0"/>
        <w:spacing w:before="0" w:after="0" w:line="470" w:lineRule="exact"/>
        <w:ind w:left="0" w:right="0" w:firstLine="500"/>
        <w:jc w:val="left"/>
      </w:pPr>
      <w:bookmarkStart w:id="290" w:name="bookmark290"/>
      <w:r>
        <w:rPr>
          <w:rFonts w:ascii="Times New Roman" w:eastAsia="Times New Roman" w:hAnsi="Times New Roman" w:cs="Times New Roman"/>
          <w:color w:val="000000"/>
          <w:spacing w:val="0"/>
          <w:w w:val="100"/>
          <w:position w:val="0"/>
        </w:rPr>
        <w:t>1</w:t>
      </w:r>
      <w:bookmarkEnd w:id="290"/>
      <w:r>
        <w:rPr>
          <w:color w:val="000000"/>
          <w:spacing w:val="0"/>
          <w:w w:val="100"/>
          <w:position w:val="0"/>
        </w:rPr>
        <w:t>、</w:t>
        <w:tab/>
        <w:t>关于股东与股东大会：公司能够按照《上市公司股东大会规范意见》、《公司章程》、《公司股 东大会议事规则》等规定，规范地召集、召开股东大会；公司能够确保所有股东享有平等地位，确保所有 股东能够充分行使自己的权利，不存在损害中小股东利益的情形。</w:t>
      </w:r>
    </w:p>
    <w:p>
      <w:pPr>
        <w:pStyle w:val="Style16"/>
        <w:keepNext w:val="0"/>
        <w:keepLines w:val="0"/>
        <w:widowControl w:val="0"/>
        <w:shd w:val="clear" w:color="auto" w:fill="auto"/>
        <w:tabs>
          <w:tab w:pos="801" w:val="left"/>
        </w:tabs>
        <w:bidi w:val="0"/>
        <w:spacing w:before="0" w:after="0" w:line="473" w:lineRule="exact"/>
        <w:ind w:left="0" w:right="0" w:firstLine="500"/>
        <w:jc w:val="left"/>
      </w:pPr>
      <w:bookmarkStart w:id="291" w:name="bookmark291"/>
      <w:r>
        <w:rPr>
          <w:rFonts w:ascii="Times New Roman" w:eastAsia="Times New Roman" w:hAnsi="Times New Roman" w:cs="Times New Roman"/>
          <w:color w:val="000000"/>
          <w:spacing w:val="0"/>
          <w:w w:val="100"/>
          <w:position w:val="0"/>
        </w:rPr>
        <w:t>2</w:t>
      </w:r>
      <w:bookmarkEnd w:id="291"/>
      <w:r>
        <w:rPr>
          <w:color w:val="000000"/>
          <w:spacing w:val="0"/>
          <w:w w:val="100"/>
          <w:position w:val="0"/>
        </w:rPr>
        <w:t>、</w:t>
        <w:tab/>
        <w:t>关于公司与控股股东：公司与控股股东在人员、资产、财务、机构和业务方面实行</w:t>
      </w:r>
      <w:r>
        <w:rPr>
          <w:rFonts w:ascii="Times New Roman" w:eastAsia="Times New Roman" w:hAnsi="Times New Roman" w:cs="Times New Roman"/>
          <w:color w:val="000000"/>
          <w:spacing w:val="0"/>
          <w:w w:val="100"/>
          <w:position w:val="0"/>
        </w:rPr>
        <w:t>“</w:t>
      </w:r>
      <w:r>
        <w:rPr>
          <w:color w:val="000000"/>
          <w:spacing w:val="0"/>
          <w:w w:val="100"/>
          <w:position w:val="0"/>
        </w:rPr>
        <w:t>三分开''、</w:t>
      </w:r>
      <w:r>
        <w:rPr>
          <w:rFonts w:ascii="Times New Roman" w:eastAsia="Times New Roman" w:hAnsi="Times New Roman" w:cs="Times New Roman"/>
          <w:color w:val="000000"/>
          <w:spacing w:val="0"/>
          <w:w w:val="100"/>
          <w:position w:val="0"/>
        </w:rPr>
        <w:t>“</w:t>
      </w:r>
      <w:r>
        <w:rPr>
          <w:color w:val="000000"/>
          <w:spacing w:val="0"/>
          <w:w w:val="100"/>
          <w:position w:val="0"/>
        </w:rPr>
        <w:t>两 独立''，公司拥有独立完整的业务和自主经营能力；公司董事会、监事会及其他内部机构独立运作。公司 控股股东没有超越股东大会直接或间接干预公司的决策及依法开展的生产经营活动，不存在控股股东占用 公司资金的现象，公司也无为控股股东及其子公司提供担保的情形。</w:t>
      </w:r>
    </w:p>
    <w:p>
      <w:pPr>
        <w:pStyle w:val="Style16"/>
        <w:keepNext w:val="0"/>
        <w:keepLines w:val="0"/>
        <w:widowControl w:val="0"/>
        <w:shd w:val="clear" w:color="auto" w:fill="auto"/>
        <w:tabs>
          <w:tab w:pos="801" w:val="left"/>
        </w:tabs>
        <w:bidi w:val="0"/>
        <w:spacing w:before="0" w:after="0" w:line="473" w:lineRule="exact"/>
        <w:ind w:left="0" w:right="0" w:firstLine="500"/>
        <w:jc w:val="left"/>
      </w:pPr>
      <w:bookmarkStart w:id="292" w:name="bookmark292"/>
      <w:r>
        <w:rPr>
          <w:rFonts w:ascii="Times New Roman" w:eastAsia="Times New Roman" w:hAnsi="Times New Roman" w:cs="Times New Roman"/>
          <w:color w:val="000000"/>
          <w:spacing w:val="0"/>
          <w:w w:val="100"/>
          <w:position w:val="0"/>
        </w:rPr>
        <w:t>3</w:t>
      </w:r>
      <w:bookmarkEnd w:id="292"/>
      <w:r>
        <w:rPr>
          <w:color w:val="000000"/>
          <w:spacing w:val="0"/>
          <w:w w:val="100"/>
          <w:position w:val="0"/>
        </w:rPr>
        <w:t>、</w:t>
        <w:tab/>
        <w:t>关于董事和董事会：公司严格按照《公司章程》规定的董事选聘程序选举董事；公司董事会的人 数及人员构成符合有关法律、法规的要求。各位董事能够遵照《深圳证券交易所中小企业板块上市公司规 范运作指引》、《公司董事会议事规则》、《公司独立董事工作制度》的要求忠实、诚信、勤勉地履行职 责。</w:t>
      </w:r>
    </w:p>
    <w:p>
      <w:pPr>
        <w:pStyle w:val="Style16"/>
        <w:keepNext w:val="0"/>
        <w:keepLines w:val="0"/>
        <w:widowControl w:val="0"/>
        <w:shd w:val="clear" w:color="auto" w:fill="auto"/>
        <w:tabs>
          <w:tab w:pos="801" w:val="left"/>
        </w:tabs>
        <w:bidi w:val="0"/>
        <w:spacing w:before="0" w:after="0" w:line="474" w:lineRule="exact"/>
        <w:ind w:left="0" w:right="0" w:firstLine="500"/>
        <w:jc w:val="left"/>
      </w:pPr>
      <w:bookmarkStart w:id="293" w:name="bookmark293"/>
      <w:r>
        <w:rPr>
          <w:rFonts w:ascii="Times New Roman" w:eastAsia="Times New Roman" w:hAnsi="Times New Roman" w:cs="Times New Roman"/>
          <w:color w:val="000000"/>
          <w:spacing w:val="0"/>
          <w:w w:val="100"/>
          <w:position w:val="0"/>
        </w:rPr>
        <w:t>4</w:t>
      </w:r>
      <w:bookmarkEnd w:id="293"/>
      <w:r>
        <w:rPr>
          <w:color w:val="000000"/>
          <w:spacing w:val="0"/>
          <w:w w:val="100"/>
          <w:position w:val="0"/>
        </w:rPr>
        <w:t>、</w:t>
        <w:tab/>
        <w:t>关于监事和监事会：公司监事会设监事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2</w:t>
      </w:r>
      <w:r>
        <w:rPr>
          <w:color w:val="000000"/>
          <w:spacing w:val="0"/>
          <w:w w:val="100"/>
          <w:position w:val="0"/>
        </w:rPr>
        <w:t>名，监事会的人数和构成符合有关法 律、法规的要求；公司监事能够本着对股东负责的态度，严格按照《公司章程》、《公司监事会议事规则》 等制度要求，认真履行自己的职责。</w:t>
      </w:r>
    </w:p>
    <w:p>
      <w:pPr>
        <w:pStyle w:val="Style16"/>
        <w:keepNext w:val="0"/>
        <w:keepLines w:val="0"/>
        <w:widowControl w:val="0"/>
        <w:shd w:val="clear" w:color="auto" w:fill="auto"/>
        <w:tabs>
          <w:tab w:pos="803" w:val="left"/>
        </w:tabs>
        <w:bidi w:val="0"/>
        <w:spacing w:before="0" w:after="280" w:line="474" w:lineRule="exact"/>
        <w:ind w:left="0" w:right="0" w:firstLine="500"/>
        <w:jc w:val="left"/>
      </w:pPr>
      <w:bookmarkStart w:id="294" w:name="bookmark294"/>
      <w:r>
        <w:rPr>
          <w:rFonts w:ascii="Times New Roman" w:eastAsia="Times New Roman" w:hAnsi="Times New Roman" w:cs="Times New Roman"/>
          <w:color w:val="000000"/>
          <w:spacing w:val="0"/>
          <w:w w:val="100"/>
          <w:position w:val="0"/>
        </w:rPr>
        <w:t>5</w:t>
      </w:r>
      <w:bookmarkEnd w:id="294"/>
      <w:r>
        <w:rPr>
          <w:color w:val="000000"/>
          <w:spacing w:val="0"/>
          <w:w w:val="100"/>
          <w:position w:val="0"/>
        </w:rPr>
        <w:t>、</w:t>
        <w:tab/>
        <w:t>关于绩效评价与激励约束机制：公司已建立有效的绩效评价激励体系，董事、监事以及高级管理 人员的薪酬与公司绩效和个人业绩挂钩；高级管理人员的聘任公开、透明，严格遵循《公司章程》及有关 法律、法规的规定。</w:t>
      </w:r>
    </w:p>
    <w:p>
      <w:pPr>
        <w:pStyle w:val="Style16"/>
        <w:keepNext w:val="0"/>
        <w:keepLines w:val="0"/>
        <w:widowControl w:val="0"/>
        <w:shd w:val="clear" w:color="auto" w:fill="auto"/>
        <w:tabs>
          <w:tab w:pos="790" w:val="left"/>
        </w:tabs>
        <w:bidi w:val="0"/>
        <w:spacing w:before="0" w:after="0" w:line="472" w:lineRule="exact"/>
        <w:ind w:left="0" w:right="0" w:firstLine="520"/>
        <w:jc w:val="both"/>
      </w:pPr>
      <w:bookmarkStart w:id="295" w:name="bookmark295"/>
      <w:r>
        <w:rPr>
          <w:rFonts w:ascii="Times New Roman" w:eastAsia="Times New Roman" w:hAnsi="Times New Roman" w:cs="Times New Roman"/>
          <w:color w:val="000000"/>
          <w:spacing w:val="0"/>
          <w:w w:val="100"/>
          <w:position w:val="0"/>
        </w:rPr>
        <w:t>6</w:t>
      </w:r>
      <w:bookmarkEnd w:id="295"/>
      <w:r>
        <w:rPr>
          <w:color w:val="000000"/>
          <w:spacing w:val="0"/>
          <w:w w:val="100"/>
          <w:position w:val="0"/>
        </w:rPr>
        <w:t>、</w:t>
        <w:tab/>
        <w:t>关于信息披露与透明度：公司指定董事会秘书负责公司信息披露工作，协调公司与投资者的关系</w:t>
      </w:r>
      <w:r>
        <w:rPr>
          <w:rFonts w:ascii="Times New Roman" w:eastAsia="Times New Roman" w:hAnsi="Times New Roman" w:cs="Times New Roman"/>
          <w:color w:val="000000"/>
          <w:spacing w:val="0"/>
          <w:w w:val="100"/>
          <w:position w:val="0"/>
        </w:rPr>
        <w:t xml:space="preserve">, </w:t>
      </w:r>
      <w:r>
        <w:rPr>
          <w:color w:val="000000"/>
          <w:spacing w:val="0"/>
          <w:w w:val="100"/>
          <w:position w:val="0"/>
        </w:rPr>
        <w:t>接待股东来访</w:t>
      </w:r>
      <w:r>
        <w:rPr>
          <w:color w:val="000000"/>
          <w:spacing w:val="0"/>
          <w:w w:val="100"/>
          <w:position w:val="0"/>
        </w:rPr>
        <w:t>，</w:t>
      </w:r>
      <w:r>
        <w:rPr>
          <w:color w:val="000000"/>
          <w:spacing w:val="0"/>
          <w:w w:val="100"/>
          <w:position w:val="0"/>
        </w:rPr>
        <w:t>回答投资者咨询；公司能够严格按照有关法律、法规和《公司章程》、《公司信息披露管理 制度》、《公司投资者关系管理办法》的要求，真实、准确、及时、完整地披露有关信息，确保公司所有 股东能够以平等的机会获得信息。</w:t>
      </w:r>
    </w:p>
    <w:p>
      <w:pPr>
        <w:pStyle w:val="Style16"/>
        <w:keepNext w:val="0"/>
        <w:keepLines w:val="0"/>
        <w:widowControl w:val="0"/>
        <w:shd w:val="clear" w:color="auto" w:fill="auto"/>
        <w:tabs>
          <w:tab w:pos="848" w:val="left"/>
        </w:tabs>
        <w:bidi w:val="0"/>
        <w:spacing w:before="0" w:after="520" w:line="478" w:lineRule="exact"/>
        <w:ind w:left="0" w:right="0" w:firstLine="520"/>
        <w:jc w:val="both"/>
      </w:pPr>
      <w:bookmarkStart w:id="296" w:name="bookmark296"/>
      <w:r>
        <w:rPr>
          <w:rFonts w:ascii="Times New Roman" w:eastAsia="Times New Roman" w:hAnsi="Times New Roman" w:cs="Times New Roman"/>
          <w:color w:val="000000"/>
          <w:spacing w:val="0"/>
          <w:w w:val="100"/>
          <w:position w:val="0"/>
        </w:rPr>
        <w:t>7</w:t>
      </w:r>
      <w:bookmarkEnd w:id="296"/>
      <w:r>
        <w:rPr>
          <w:color w:val="000000"/>
          <w:spacing w:val="0"/>
          <w:w w:val="100"/>
          <w:position w:val="0"/>
        </w:rPr>
        <w:t>、</w:t>
        <w:tab/>
        <w:t>关于相关利益者：公司具有较强的社会责任感，能够充分尊重和维护相关利益者的合法权益，实 现公司、股东、员工、社会等各方利益的协调平衡，能够与利益相关者积极合作，共同推动公司持续、健 康的发展。</w:t>
      </w:r>
    </w:p>
    <w:p>
      <w:pPr>
        <w:pStyle w:val="Style16"/>
        <w:keepNext w:val="0"/>
        <w:keepLines w:val="0"/>
        <w:widowControl w:val="0"/>
        <w:shd w:val="clear" w:color="auto" w:fill="auto"/>
        <w:bidi w:val="0"/>
        <w:spacing w:before="0" w:after="0" w:line="509" w:lineRule="exact"/>
        <w:ind w:left="0" w:right="0" w:firstLine="0"/>
        <w:jc w:val="both"/>
      </w:pPr>
      <w:r>
        <w:rPr>
          <w:color w:val="000000"/>
          <w:spacing w:val="0"/>
          <w:w w:val="100"/>
          <w:position w:val="0"/>
        </w:rPr>
        <w:t>公司治理与《公司法》和中国证监会相关规定的要求是否存在差异</w:t>
      </w:r>
    </w:p>
    <w:p>
      <w:pPr>
        <w:pStyle w:val="Style16"/>
        <w:keepNext w:val="0"/>
        <w:keepLines w:val="0"/>
        <w:widowControl w:val="0"/>
        <w:shd w:val="clear" w:color="auto" w:fill="auto"/>
        <w:bidi w:val="0"/>
        <w:spacing w:before="0" w:after="520" w:line="509"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 公司治理与《公司法》和中国证监会相关规定的要求不存在差异。</w:t>
      </w:r>
    </w:p>
    <w:p>
      <w:pPr>
        <w:pStyle w:val="Style16"/>
        <w:keepNext w:val="0"/>
        <w:keepLines w:val="0"/>
        <w:widowControl w:val="0"/>
        <w:shd w:val="clear" w:color="auto" w:fill="auto"/>
        <w:bidi w:val="0"/>
        <w:spacing w:before="0" w:after="0" w:line="475" w:lineRule="exact"/>
        <w:ind w:left="0" w:right="0" w:firstLine="0"/>
        <w:jc w:val="both"/>
      </w:pPr>
      <w:r>
        <w:rPr>
          <w:color w:val="000000"/>
          <w:spacing w:val="0"/>
          <w:w w:val="100"/>
          <w:position w:val="0"/>
        </w:rPr>
        <w:t>公司治理专项活动开展情况以及内幕信息知情人登记管理制度的制定、实施情况</w:t>
      </w:r>
    </w:p>
    <w:p>
      <w:pPr>
        <w:pStyle w:val="Style16"/>
        <w:keepNext w:val="0"/>
        <w:keepLines w:val="0"/>
        <w:widowControl w:val="0"/>
        <w:shd w:val="clear" w:color="auto" w:fill="auto"/>
        <w:bidi w:val="0"/>
        <w:spacing w:before="0" w:after="440" w:line="475"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2007</w:t>
      </w:r>
      <w:r>
        <w:rPr>
          <w:color w:val="000000"/>
          <w:spacing w:val="0"/>
          <w:w w:val="100"/>
          <w:position w:val="0"/>
        </w:rPr>
        <w:t>年开展了公司治理专项活动，《荣信电力电子股份有限公司关于加强上市公司专项治理活 动的整改报告》详见</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日巨潮资讯网。公司第三届董事会第二十八次会议审议通过了《内 幕信息知情人报备制度》，全文详见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日巨潮资讯网。报告期，公司严格执行《内幕信息知情 人报备制度》，未发生利用内幕信息买卖公司股票情况。</w:t>
      </w:r>
    </w:p>
    <w:p>
      <w:pPr>
        <w:pStyle w:val="Style25"/>
        <w:keepNext/>
        <w:keepLines/>
        <w:widowControl w:val="0"/>
        <w:shd w:val="clear" w:color="auto" w:fill="auto"/>
        <w:bidi w:val="0"/>
        <w:spacing w:before="0" w:after="12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二</w:t>
      </w:r>
      <w:bookmarkEnd w:id="299"/>
      <w:r>
        <w:rPr>
          <w:color w:val="000000"/>
          <w:spacing w:val="0"/>
          <w:w w:val="100"/>
          <w:position w:val="0"/>
          <w:sz w:val="24"/>
          <w:szCs w:val="24"/>
        </w:rPr>
        <w:t>、报告期内召开的年度股东大会和临时股东大会的有关情况</w:t>
      </w:r>
      <w:bookmarkEnd w:id="297"/>
      <w:bookmarkEnd w:id="298"/>
      <w:bookmarkEnd w:id="300"/>
    </w:p>
    <w:p>
      <w:pPr>
        <w:pStyle w:val="Style16"/>
        <w:keepNext w:val="0"/>
        <w:keepLines w:val="0"/>
        <w:widowControl w:val="0"/>
        <w:shd w:val="clear" w:color="auto" w:fill="auto"/>
        <w:bidi w:val="0"/>
        <w:spacing w:before="0" w:after="300" w:line="475" w:lineRule="exact"/>
        <w:ind w:left="0" w:right="0" w:firstLine="0"/>
        <w:jc w:val="left"/>
      </w:pPr>
      <w:bookmarkStart w:id="301" w:name="bookmark301"/>
      <w:r>
        <w:rPr>
          <w:rFonts w:ascii="Times New Roman" w:eastAsia="Times New Roman" w:hAnsi="Times New Roman" w:cs="Times New Roman"/>
          <w:b/>
          <w:bCs/>
          <w:color w:val="000000"/>
          <w:spacing w:val="0"/>
          <w:w w:val="100"/>
          <w:position w:val="0"/>
        </w:rPr>
        <w:t>1</w:t>
      </w:r>
      <w:bookmarkEnd w:id="301"/>
      <w:r>
        <w:rPr>
          <w:b/>
          <w:bCs/>
          <w:color w:val="000000"/>
          <w:spacing w:val="0"/>
          <w:w w:val="100"/>
          <w:position w:val="0"/>
        </w:rPr>
        <w:t>、本报告期年度股东大会情况</w:t>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49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荣信股份</w:t>
            </w:r>
            <w:r>
              <w:rPr>
                <w:rFonts w:ascii="Times New Roman" w:eastAsia="Times New Roman" w:hAnsi="Times New Roman" w:cs="Times New Roman"/>
                <w:color w:val="000000"/>
                <w:spacing w:val="0"/>
                <w:w w:val="100"/>
                <w:position w:val="0"/>
              </w:rPr>
              <w:t>2012</w:t>
            </w:r>
            <w:r>
              <w:rPr>
                <w:color w:val="000000"/>
                <w:spacing w:val="0"/>
                <w:w w:val="100"/>
                <w:position w:val="0"/>
              </w:rPr>
              <w:t>年度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年度董 事会工作报告》；（</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年度监事会 工作报告》；（</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2"/>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2012</w:t>
            </w:r>
            <w:r>
              <w:rPr>
                <w:color w:val="000000"/>
                <w:spacing w:val="0"/>
                <w:w w:val="100"/>
                <w:position w:val="0"/>
              </w:rPr>
              <w:t>年度财务决 算报告》；（</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年度利润分配及资 本公积转增股本方 案》；（</w:t>
            </w:r>
            <w:r>
              <w:rPr>
                <w:rFonts w:ascii="Times New Roman" w:eastAsia="Times New Roman" w:hAnsi="Times New Roman" w:cs="Times New Roman"/>
                <w:color w:val="000000"/>
                <w:spacing w:val="0"/>
                <w:w w:val="100"/>
                <w:position w:val="0"/>
              </w:rPr>
              <w:t>5</w:t>
            </w:r>
            <w:r>
              <w:rPr>
                <w:color w:val="000000"/>
                <w:spacing w:val="0"/>
                <w:w w:val="100"/>
                <w:position w:val="0"/>
              </w:rPr>
              <w:t>）</w:t>
            </w: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2012</w:t>
            </w:r>
            <w:r>
              <w:rPr>
                <w:color w:val="000000"/>
                <w:spacing w:val="0"/>
                <w:w w:val="100"/>
                <w:position w:val="0"/>
              </w:rPr>
              <w:t>年 年度报告及摘要》；</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）《关于续聘会计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审议通过全部议案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2012</w:t>
            </w:r>
            <w:r>
              <w:rPr>
                <w:color w:val="000000"/>
                <w:spacing w:val="0"/>
                <w:w w:val="100"/>
                <w:position w:val="0"/>
              </w:rPr>
              <w:t>年度股东大 会决议公告》全文详 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 巨潮资讯网。</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师事务所的议案》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、本报告期临时股东大会情况</w:t>
      </w:r>
      <w:bookmarkEnd w:id="302"/>
      <w:bookmarkEnd w:id="303"/>
      <w:bookmarkEnd w:id="305"/>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荣信股份</w:t>
            </w:r>
            <w:r>
              <w:rPr>
                <w:rFonts w:ascii="Times New Roman" w:eastAsia="Times New Roman" w:hAnsi="Times New Roman" w:cs="Times New Roman"/>
                <w:color w:val="000000"/>
                <w:spacing w:val="0"/>
                <w:w w:val="100"/>
                <w:position w:val="0"/>
              </w:rPr>
              <w:t>2013</w:t>
            </w:r>
            <w:r>
              <w:rPr>
                <w:color w:val="000000"/>
                <w:spacing w:val="0"/>
                <w:w w:val="100"/>
                <w:position w:val="0"/>
              </w:rPr>
              <w:t>年第 一次临时股东大会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)《关于授权处置 可供出售金融资产 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审议通过全部议案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2013</w:t>
            </w:r>
            <w:r>
              <w:rPr>
                <w:color w:val="000000"/>
                <w:spacing w:val="0"/>
                <w:w w:val="100"/>
                <w:position w:val="0"/>
              </w:rPr>
              <w:t>年第一次临 时股东大会决议公 告》全文详见</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日巨潮资 讯网。</w:t>
            </w:r>
          </w:p>
        </w:tc>
      </w:tr>
      <w:tr>
        <w:trPr>
          <w:trHeight w:val="3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荣信股份</w:t>
            </w:r>
            <w:r>
              <w:rPr>
                <w:rFonts w:ascii="Times New Roman" w:eastAsia="Times New Roman" w:hAnsi="Times New Roman" w:cs="Times New Roman"/>
                <w:color w:val="000000"/>
                <w:spacing w:val="0"/>
                <w:w w:val="100"/>
                <w:position w:val="0"/>
              </w:rPr>
              <w:t>2013</w:t>
            </w:r>
            <w:r>
              <w:rPr>
                <w:color w:val="000000"/>
                <w:spacing w:val="0"/>
                <w:w w:val="100"/>
                <w:position w:val="0"/>
              </w:rPr>
              <w:t>第二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numPr>
                <w:ilvl w:val="0"/>
                <w:numId w:val="9"/>
              </w:numPr>
              <w:shd w:val="clear" w:color="auto" w:fill="auto"/>
              <w:tabs>
                <w:tab w:pos="442" w:val="left"/>
              </w:tabs>
              <w:bidi w:val="0"/>
              <w:spacing w:before="0" w:after="0" w:line="312" w:lineRule="exact"/>
              <w:ind w:left="0" w:right="0" w:firstLine="0"/>
              <w:jc w:val="left"/>
            </w:pPr>
            <w:r>
              <w:rPr>
                <w:color w:val="000000"/>
                <w:spacing w:val="0"/>
                <w:w w:val="100"/>
                <w:position w:val="0"/>
              </w:rPr>
              <w:t>《关于修改</w:t>
            </w:r>
            <w:r>
              <w:rPr>
                <w:color w:val="000000"/>
                <w:spacing w:val="0"/>
                <w:w w:val="100"/>
                <w:position w:val="0"/>
              </w:rPr>
              <w:t>〈</w:t>
            </w:r>
            <w:r>
              <w:rPr>
                <w:color w:val="000000"/>
                <w:spacing w:val="0"/>
                <w:w w:val="100"/>
                <w:position w:val="0"/>
              </w:rPr>
              <w:t>公 司章程</w:t>
            </w:r>
            <w:r>
              <w:rPr>
                <w:color w:val="000000"/>
                <w:spacing w:val="0"/>
                <w:w w:val="100"/>
                <w:position w:val="0"/>
              </w:rPr>
              <w:t>〉</w:t>
            </w:r>
            <w:r>
              <w:rPr>
                <w:color w:val="000000"/>
                <w:spacing w:val="0"/>
                <w:w w:val="100"/>
                <w:position w:val="0"/>
              </w:rPr>
              <w:t>的议案》；</w:t>
            </w:r>
          </w:p>
          <w:p>
            <w:pPr>
              <w:pStyle w:val="Style22"/>
              <w:keepNext w:val="0"/>
              <w:keepLines w:val="0"/>
              <w:widowControl w:val="0"/>
              <w:numPr>
                <w:ilvl w:val="0"/>
                <w:numId w:val="9"/>
              </w:numPr>
              <w:shd w:val="clear" w:color="auto" w:fill="auto"/>
              <w:tabs>
                <w:tab w:pos="374" w:val="left"/>
              </w:tabs>
              <w:bidi w:val="0"/>
              <w:spacing w:before="0" w:after="0" w:line="312" w:lineRule="exact"/>
              <w:ind w:left="0" w:right="0" w:firstLine="0"/>
              <w:jc w:val="left"/>
            </w:pPr>
            <w:r>
              <w:rPr>
                <w:color w:val="000000"/>
                <w:spacing w:val="0"/>
                <w:w w:val="100"/>
                <w:position w:val="0"/>
              </w:rPr>
              <w:t>《关于推选公司 第五届董事会董事 及审议独立董事薪 酬的议案》；(</w:t>
            </w:r>
            <w:r>
              <w:rPr>
                <w:rFonts w:ascii="Times New Roman" w:eastAsia="Times New Roman" w:hAnsi="Times New Roman" w:cs="Times New Roman"/>
                <w:color w:val="000000"/>
                <w:spacing w:val="0"/>
                <w:w w:val="100"/>
                <w:position w:val="0"/>
              </w:rPr>
              <w:t>3)</w:t>
            </w:r>
            <w:r>
              <w:rPr>
                <w:color w:val="000000"/>
                <w:spacing w:val="0"/>
                <w:w w:val="100"/>
                <w:position w:val="0"/>
              </w:rPr>
              <w:t>《关 于推选公司第五届 监事会非职工代表 监事的议案》；(</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《关于为荣信电机 控制提供担保的议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审议通过全部议案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2013</w:t>
            </w:r>
            <w:r>
              <w:rPr>
                <w:color w:val="000000"/>
                <w:spacing w:val="0"/>
                <w:w w:val="100"/>
                <w:position w:val="0"/>
              </w:rPr>
              <w:t>年第二次临 时股东大会决议公 告》全文详见</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日巨潮资 讯网。</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荣信股份</w:t>
            </w:r>
            <w:r>
              <w:rPr>
                <w:rFonts w:ascii="Times New Roman" w:eastAsia="Times New Roman" w:hAnsi="Times New Roman" w:cs="Times New Roman"/>
                <w:color w:val="000000"/>
                <w:spacing w:val="0"/>
                <w:w w:val="100"/>
                <w:position w:val="0"/>
              </w:rPr>
              <w:t>2013</w:t>
            </w:r>
            <w:r>
              <w:rPr>
                <w:color w:val="000000"/>
                <w:spacing w:val="0"/>
                <w:w w:val="100"/>
                <w:position w:val="0"/>
              </w:rPr>
              <w:t>年第 三次临时股东大会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《关于变更公司 经营范围并修订</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公司章程</w:t>
            </w:r>
            <w:r>
              <w:rPr>
                <w:color w:val="000000"/>
                <w:spacing w:val="0"/>
                <w:w w:val="100"/>
                <w:position w:val="0"/>
              </w:rPr>
              <w:t>〉</w:t>
            </w: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审议通过全部议案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2013</w:t>
            </w:r>
            <w:r>
              <w:rPr>
                <w:color w:val="000000"/>
                <w:spacing w:val="0"/>
                <w:w w:val="100"/>
                <w:position w:val="0"/>
              </w:rPr>
              <w:t>年第三次临 时股东大会决议公 告》全文详见</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日巨潮资讯 网。</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三</w:t>
      </w:r>
      <w:bookmarkEnd w:id="308"/>
      <w:r>
        <w:rPr>
          <w:color w:val="000000"/>
          <w:spacing w:val="0"/>
          <w:w w:val="100"/>
          <w:position w:val="0"/>
          <w:sz w:val="24"/>
          <w:szCs w:val="24"/>
        </w:rPr>
        <w:t>、报告期内独立董事履行职责的情况</w:t>
      </w:r>
      <w:bookmarkEnd w:id="306"/>
      <w:bookmarkEnd w:id="307"/>
      <w:bookmarkEnd w:id="309"/>
    </w:p>
    <w:p>
      <w:pPr>
        <w:pStyle w:val="Style34"/>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、独立董事出席董事会及股东大会的情况</w:t>
      </w:r>
      <w:bookmarkEnd w:id="310"/>
      <w:bookmarkEnd w:id="311"/>
      <w:bookmarkEnd w:id="313"/>
    </w:p>
    <w:tbl>
      <w:tblPr>
        <w:tblOverlap w:val="never"/>
        <w:jc w:val="center"/>
        <w:tblLayout w:type="fixed"/>
      </w:tblPr>
      <w:tblGrid>
        <w:gridCol w:w="1627"/>
        <w:gridCol w:w="1325"/>
        <w:gridCol w:w="1325"/>
        <w:gridCol w:w="1320"/>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pStyle w:val="Style34"/>
        <w:keepNext/>
        <w:keepLines/>
        <w:widowControl w:val="0"/>
        <w:shd w:val="clear" w:color="auto" w:fill="auto"/>
        <w:tabs>
          <w:tab w:pos="382" w:val="left"/>
        </w:tabs>
        <w:bidi w:val="0"/>
        <w:spacing w:before="0" w:after="380" w:line="472" w:lineRule="exact"/>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w:t>
        <w:tab/>
        <w:t>独立董事对公司有关事项提出异议的情况</w:t>
      </w:r>
      <w:bookmarkEnd w:id="314"/>
      <w:bookmarkEnd w:id="315"/>
      <w:bookmarkEnd w:id="31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82" w:val="left"/>
        </w:tabs>
        <w:bidi w:val="0"/>
        <w:spacing w:before="0" w:after="440" w:line="472" w:lineRule="exact"/>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3</w:t>
      </w:r>
      <w:bookmarkEnd w:id="320"/>
      <w:r>
        <w:rPr>
          <w:color w:val="000000"/>
          <w:spacing w:val="0"/>
          <w:w w:val="100"/>
          <w:position w:val="0"/>
        </w:rPr>
        <w:t>、</w:t>
        <w:tab/>
        <w:t>独立董事履行职责的其他说明</w:t>
      </w:r>
      <w:bookmarkEnd w:id="318"/>
      <w:bookmarkEnd w:id="319"/>
      <w:bookmarkEnd w:id="321"/>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16"/>
        <w:keepNext w:val="0"/>
        <w:keepLines w:val="0"/>
        <w:widowControl w:val="0"/>
        <w:shd w:val="clear" w:color="auto" w:fill="auto"/>
        <w:bidi w:val="0"/>
        <w:spacing w:before="0" w:after="440" w:line="472" w:lineRule="exact"/>
        <w:ind w:left="0" w:right="0" w:firstLine="500"/>
        <w:jc w:val="both"/>
      </w:pPr>
      <w:r>
        <w:rPr>
          <w:color w:val="000000"/>
          <w:spacing w:val="0"/>
          <w:w w:val="100"/>
          <w:position w:val="0"/>
        </w:rPr>
        <w:t>独立董事对公司</w:t>
      </w:r>
      <w:r>
        <w:rPr>
          <w:rFonts w:ascii="Times New Roman" w:eastAsia="Times New Roman" w:hAnsi="Times New Roman" w:cs="Times New Roman"/>
          <w:color w:val="000000"/>
          <w:spacing w:val="0"/>
          <w:w w:val="100"/>
          <w:position w:val="0"/>
        </w:rPr>
        <w:t>2013</w:t>
      </w:r>
      <w:r>
        <w:rPr>
          <w:color w:val="000000"/>
          <w:spacing w:val="0"/>
          <w:w w:val="100"/>
          <w:position w:val="0"/>
        </w:rPr>
        <w:t>年度经营活动情况进行了认真的了解和查验，深入了解公司的生产经营和内部控 制等制度的完善及执行情况、董事会决议执行情况、财务管理、业务发展和投资项目的进展等相关事项， 查阅有关资料，与相关人员沟通，关注公司的经营、治理情况，并对公司对外担保情况，内控执行情况， 利润分配方案提出合理的建议，独立董事的建议得到了公司的采纳。</w:t>
      </w:r>
    </w:p>
    <w:p>
      <w:pPr>
        <w:pStyle w:val="Style25"/>
        <w:keepNext/>
        <w:keepLines/>
        <w:widowControl w:val="0"/>
        <w:shd w:val="clear" w:color="auto" w:fill="auto"/>
        <w:bidi w:val="0"/>
        <w:spacing w:before="0" w:after="20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四</w:t>
      </w:r>
      <w:bookmarkEnd w:id="324"/>
      <w:r>
        <w:rPr>
          <w:color w:val="000000"/>
          <w:spacing w:val="0"/>
          <w:w w:val="100"/>
          <w:position w:val="0"/>
          <w:sz w:val="24"/>
          <w:szCs w:val="24"/>
        </w:rPr>
        <w:t>、董事会下设专门委员会在报告期内履行职责情况</w:t>
      </w:r>
      <w:bookmarkEnd w:id="322"/>
      <w:bookmarkEnd w:id="323"/>
      <w:bookmarkEnd w:id="325"/>
    </w:p>
    <w:p>
      <w:pPr>
        <w:pStyle w:val="Style16"/>
        <w:keepNext w:val="0"/>
        <w:keepLines w:val="0"/>
        <w:widowControl w:val="0"/>
        <w:shd w:val="clear" w:color="auto" w:fill="auto"/>
        <w:bidi w:val="0"/>
        <w:spacing w:before="0" w:after="0" w:line="470" w:lineRule="exact"/>
        <w:ind w:left="0" w:right="0" w:firstLine="380"/>
        <w:jc w:val="both"/>
      </w:pPr>
      <w:bookmarkStart w:id="326" w:name="bookmark326"/>
      <w:r>
        <w:rPr>
          <w:color w:val="000000"/>
          <w:spacing w:val="0"/>
          <w:w w:val="100"/>
          <w:position w:val="0"/>
        </w:rPr>
        <w:t>（</w:t>
      </w:r>
      <w:bookmarkEnd w:id="326"/>
      <w:r>
        <w:rPr>
          <w:color w:val="000000"/>
          <w:spacing w:val="0"/>
          <w:w w:val="100"/>
          <w:position w:val="0"/>
        </w:rPr>
        <w:t>一）董事会战略委员会</w:t>
      </w:r>
    </w:p>
    <w:p>
      <w:pPr>
        <w:pStyle w:val="Style16"/>
        <w:keepNext w:val="0"/>
        <w:keepLines w:val="0"/>
        <w:widowControl w:val="0"/>
        <w:shd w:val="clear" w:color="auto" w:fill="auto"/>
        <w:bidi w:val="0"/>
        <w:spacing w:before="0" w:after="0" w:line="470" w:lineRule="exact"/>
        <w:ind w:left="0" w:right="0" w:firstLine="500"/>
        <w:jc w:val="left"/>
      </w:pPr>
      <w:r>
        <w:rPr>
          <w:color w:val="000000"/>
          <w:spacing w:val="0"/>
          <w:w w:val="100"/>
          <w:position w:val="0"/>
        </w:rPr>
        <w:t>报告期，根据《董事会战略委员会议事规则》董事会战略委员会召开</w:t>
      </w:r>
      <w:r>
        <w:rPr>
          <w:rFonts w:ascii="Times New Roman" w:eastAsia="Times New Roman" w:hAnsi="Times New Roman" w:cs="Times New Roman"/>
          <w:color w:val="000000"/>
          <w:spacing w:val="0"/>
          <w:w w:val="100"/>
          <w:position w:val="0"/>
        </w:rPr>
        <w:t>1</w:t>
      </w:r>
      <w:r>
        <w:rPr>
          <w:color w:val="000000"/>
          <w:spacing w:val="0"/>
          <w:w w:val="100"/>
          <w:position w:val="0"/>
        </w:rPr>
        <w:t>次会议，根据国内外经济形势, 结合公司战略发展要求，向公司董事会提出有关结构调整、资本运作、长远发展等事项的建议，对促进公 司转方式、调结构，规避市场风险，起到积极良好的作用。</w:t>
      </w:r>
    </w:p>
    <w:p>
      <w:pPr>
        <w:pStyle w:val="Style16"/>
        <w:keepNext w:val="0"/>
        <w:keepLines w:val="0"/>
        <w:widowControl w:val="0"/>
        <w:shd w:val="clear" w:color="auto" w:fill="auto"/>
        <w:bidi w:val="0"/>
        <w:spacing w:before="0" w:after="0" w:line="472" w:lineRule="exact"/>
        <w:ind w:left="0" w:right="0" w:firstLine="260"/>
        <w:jc w:val="left"/>
      </w:pPr>
      <w:bookmarkStart w:id="327" w:name="bookmark327"/>
      <w:r>
        <w:rPr>
          <w:color w:val="000000"/>
          <w:spacing w:val="0"/>
          <w:w w:val="100"/>
          <w:position w:val="0"/>
        </w:rPr>
        <w:t>（</w:t>
      </w:r>
      <w:bookmarkEnd w:id="327"/>
      <w:r>
        <w:rPr>
          <w:color w:val="000000"/>
          <w:spacing w:val="0"/>
          <w:w w:val="100"/>
          <w:position w:val="0"/>
        </w:rPr>
        <w:t>二）董事会审计委员会</w:t>
      </w:r>
    </w:p>
    <w:p>
      <w:pPr>
        <w:pStyle w:val="Style16"/>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报告期内，审计委员会根据《审计委员会议事规则》赋予的职责和权限切实履行了审议内部审计部门 提交的审计计划和工作报告、审核公司的财务信息及其披露、监督公司的内部审计制度及其实施、负责内 部审计与外部审计沟通等职责。公司制定了《董事会审计委员会年报工作规程》，在</w:t>
      </w:r>
      <w:r>
        <w:rPr>
          <w:rFonts w:ascii="Times New Roman" w:eastAsia="Times New Roman" w:hAnsi="Times New Roman" w:cs="Times New Roman"/>
          <w:color w:val="000000"/>
          <w:spacing w:val="0"/>
          <w:w w:val="100"/>
          <w:position w:val="0"/>
        </w:rPr>
        <w:t>2013</w:t>
      </w:r>
      <w:r>
        <w:rPr>
          <w:color w:val="000000"/>
          <w:spacing w:val="0"/>
          <w:w w:val="100"/>
          <w:position w:val="0"/>
        </w:rPr>
        <w:t>年公司财务报告 审计工作中做了如下工作：</w:t>
      </w:r>
    </w:p>
    <w:p>
      <w:pPr>
        <w:pStyle w:val="Style16"/>
        <w:keepNext w:val="0"/>
        <w:keepLines w:val="0"/>
        <w:widowControl w:val="0"/>
        <w:shd w:val="clear" w:color="auto" w:fill="auto"/>
        <w:tabs>
          <w:tab w:pos="853" w:val="left"/>
        </w:tabs>
        <w:bidi w:val="0"/>
        <w:spacing w:before="0" w:after="0" w:line="472" w:lineRule="exact"/>
        <w:ind w:left="0" w:right="0" w:firstLine="500"/>
        <w:jc w:val="left"/>
      </w:pPr>
      <w:bookmarkStart w:id="328" w:name="bookmark328"/>
      <w:r>
        <w:rPr>
          <w:rFonts w:ascii="Times New Roman" w:eastAsia="Times New Roman" w:hAnsi="Times New Roman" w:cs="Times New Roman"/>
          <w:color w:val="000000"/>
          <w:spacing w:val="0"/>
          <w:w w:val="100"/>
          <w:position w:val="0"/>
        </w:rPr>
        <w:t>1</w:t>
      </w:r>
      <w:bookmarkEnd w:id="328"/>
      <w:r>
        <w:rPr>
          <w:color w:val="000000"/>
          <w:spacing w:val="0"/>
          <w:w w:val="100"/>
          <w:position w:val="0"/>
        </w:rPr>
        <w:t>、</w:t>
        <w:tab/>
        <w:t>审计委员会与公司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年度审计机构天健会计师事务所有限公司充分沟通的基础上协商确定了 </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年度财务报告审计的进度安排；</w:t>
      </w:r>
    </w:p>
    <w:p>
      <w:pPr>
        <w:pStyle w:val="Style16"/>
        <w:keepNext w:val="0"/>
        <w:keepLines w:val="0"/>
        <w:widowControl w:val="0"/>
        <w:shd w:val="clear" w:color="auto" w:fill="auto"/>
        <w:tabs>
          <w:tab w:pos="838" w:val="left"/>
        </w:tabs>
        <w:bidi w:val="0"/>
        <w:spacing w:before="0" w:after="0" w:line="472" w:lineRule="exact"/>
        <w:ind w:left="0" w:right="0" w:firstLine="500"/>
        <w:jc w:val="left"/>
      </w:pPr>
      <w:bookmarkStart w:id="329" w:name="bookmark329"/>
      <w:r>
        <w:rPr>
          <w:rFonts w:ascii="Times New Roman" w:eastAsia="Times New Roman" w:hAnsi="Times New Roman" w:cs="Times New Roman"/>
          <w:color w:val="000000"/>
          <w:spacing w:val="0"/>
          <w:w w:val="100"/>
          <w:position w:val="0"/>
        </w:rPr>
        <w:t>2</w:t>
      </w:r>
      <w:bookmarkEnd w:id="329"/>
      <w:r>
        <w:rPr>
          <w:color w:val="000000"/>
          <w:spacing w:val="0"/>
          <w:w w:val="100"/>
          <w:position w:val="0"/>
        </w:rPr>
        <w:t>、</w:t>
        <w:tab/>
        <w:t>审计委员会在年审注册会计师进场前审阅了公司编制的财务会计报告后，发表意见如下：同意将 公司按照《企业会计准则》及有关补充规定编制的财务报告提交天健会计师事务所有限公司审计。</w:t>
      </w:r>
    </w:p>
    <w:p>
      <w:pPr>
        <w:pStyle w:val="Style16"/>
        <w:keepNext w:val="0"/>
        <w:keepLines w:val="0"/>
        <w:widowControl w:val="0"/>
        <w:shd w:val="clear" w:color="auto" w:fill="auto"/>
        <w:tabs>
          <w:tab w:pos="848" w:val="left"/>
        </w:tabs>
        <w:bidi w:val="0"/>
        <w:spacing w:before="0" w:after="160" w:line="472" w:lineRule="exact"/>
        <w:ind w:left="0" w:right="0" w:firstLine="500"/>
        <w:jc w:val="left"/>
      </w:pPr>
      <w:bookmarkStart w:id="330" w:name="bookmark330"/>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审计委员会在年审注册会计师审计期间与其针对审计过程中的问题进行了充分的交流与沟通，并 对其发出《关于按时提交审计报告的督促函》，督促其在约定的时限内提交审计报告。</w:t>
      </w:r>
    </w:p>
    <w:p>
      <w:pPr>
        <w:pStyle w:val="Style16"/>
        <w:keepNext w:val="0"/>
        <w:keepLines w:val="0"/>
        <w:widowControl w:val="0"/>
        <w:shd w:val="clear" w:color="auto" w:fill="auto"/>
        <w:tabs>
          <w:tab w:pos="848" w:val="left"/>
        </w:tabs>
        <w:bidi w:val="0"/>
        <w:spacing w:before="0" w:after="0" w:line="469" w:lineRule="exact"/>
        <w:ind w:left="0" w:right="0" w:firstLine="500"/>
        <w:jc w:val="both"/>
      </w:pPr>
      <w:bookmarkStart w:id="331" w:name="bookmark331"/>
      <w:r>
        <w:rPr>
          <w:rFonts w:ascii="Times New Roman" w:eastAsia="Times New Roman" w:hAnsi="Times New Roman" w:cs="Times New Roman"/>
          <w:color w:val="000000"/>
          <w:spacing w:val="0"/>
          <w:w w:val="100"/>
          <w:position w:val="0"/>
        </w:rPr>
        <w:t>4</w:t>
      </w:r>
      <w:bookmarkEnd w:id="331"/>
      <w:r>
        <w:rPr>
          <w:color w:val="000000"/>
          <w:spacing w:val="0"/>
          <w:w w:val="100"/>
          <w:position w:val="0"/>
        </w:rPr>
        <w:t>、</w:t>
        <w:tab/>
        <w:t>审计委员会审阅了注册会计师出具的初步审计意见后形成书面审核意见：经天健会计师事务所初 步审计，对公司在</w:t>
      </w:r>
      <w:r>
        <w:rPr>
          <w:rFonts w:ascii="Times New Roman" w:eastAsia="Times New Roman" w:hAnsi="Times New Roman" w:cs="Times New Roman"/>
          <w:color w:val="000000"/>
          <w:spacing w:val="0"/>
          <w:w w:val="100"/>
          <w:position w:val="0"/>
        </w:rPr>
        <w:t>2013</w:t>
      </w:r>
      <w:r>
        <w:rPr>
          <w:color w:val="000000"/>
          <w:spacing w:val="0"/>
          <w:w w:val="100"/>
          <w:position w:val="0"/>
        </w:rPr>
        <w:t>年财务报告编制过程中存在的会计估计、会计重分类等差错予以认同，并同意根据 初步审计意见进行相应调整。</w:t>
      </w:r>
    </w:p>
    <w:p>
      <w:pPr>
        <w:pStyle w:val="Style16"/>
        <w:keepNext w:val="0"/>
        <w:keepLines w:val="0"/>
        <w:widowControl w:val="0"/>
        <w:shd w:val="clear" w:color="auto" w:fill="auto"/>
        <w:tabs>
          <w:tab w:pos="843" w:val="left"/>
        </w:tabs>
        <w:bidi w:val="0"/>
        <w:spacing w:before="0" w:after="0" w:line="469" w:lineRule="exact"/>
        <w:ind w:left="0" w:right="0" w:firstLine="500"/>
        <w:jc w:val="both"/>
      </w:pPr>
      <w:bookmarkStart w:id="332" w:name="bookmark332"/>
      <w:r>
        <w:rPr>
          <w:rFonts w:ascii="Times New Roman" w:eastAsia="Times New Roman" w:hAnsi="Times New Roman" w:cs="Times New Roman"/>
          <w:color w:val="000000"/>
          <w:spacing w:val="0"/>
          <w:w w:val="100"/>
          <w:position w:val="0"/>
        </w:rPr>
        <w:t>5</w:t>
      </w:r>
      <w:bookmarkEnd w:id="332"/>
      <w:r>
        <w:rPr>
          <w:color w:val="000000"/>
          <w:spacing w:val="0"/>
          <w:w w:val="100"/>
          <w:position w:val="0"/>
        </w:rPr>
        <w:t>、</w:t>
        <w:tab/>
        <w:t>审计委员会召开临时会议，并形成如下决议：①同意天健会计师事务所对本公司</w:t>
      </w:r>
      <w:r>
        <w:rPr>
          <w:rFonts w:ascii="Times New Roman" w:eastAsia="Times New Roman" w:hAnsi="Times New Roman" w:cs="Times New Roman"/>
          <w:color w:val="000000"/>
          <w:spacing w:val="0"/>
          <w:w w:val="100"/>
          <w:position w:val="0"/>
        </w:rPr>
        <w:t>2013</w:t>
      </w:r>
      <w:r>
        <w:rPr>
          <w:color w:val="000000"/>
          <w:spacing w:val="0"/>
          <w:w w:val="100"/>
          <w:position w:val="0"/>
        </w:rPr>
        <w:t>年财务报告 的审计结果的议案，并将财务审计结果提交公司董事会审议；②关于天健会计师事务所</w:t>
      </w:r>
      <w:r>
        <w:rPr>
          <w:rFonts w:ascii="Times New Roman" w:eastAsia="Times New Roman" w:hAnsi="Times New Roman" w:cs="Times New Roman"/>
          <w:color w:val="000000"/>
          <w:spacing w:val="0"/>
          <w:w w:val="100"/>
          <w:position w:val="0"/>
        </w:rPr>
        <w:t>2013</w:t>
      </w:r>
      <w:r>
        <w:rPr>
          <w:color w:val="000000"/>
          <w:spacing w:val="0"/>
          <w:w w:val="100"/>
          <w:position w:val="0"/>
        </w:rPr>
        <w:t>年度审计工作 总结的议案③同意聘请天健会计师事务所有限公司为本公司</w:t>
      </w:r>
      <w:r>
        <w:rPr>
          <w:rFonts w:ascii="Times New Roman" w:eastAsia="Times New Roman" w:hAnsi="Times New Roman" w:cs="Times New Roman"/>
          <w:color w:val="000000"/>
          <w:spacing w:val="0"/>
          <w:w w:val="100"/>
          <w:position w:val="0"/>
        </w:rPr>
        <w:t>2014</w:t>
      </w:r>
      <w:r>
        <w:rPr>
          <w:color w:val="000000"/>
          <w:spacing w:val="0"/>
          <w:w w:val="100"/>
          <w:position w:val="0"/>
        </w:rPr>
        <w:t>年度审计机构的议案，并提交公司董事会 审议。</w:t>
      </w:r>
    </w:p>
    <w:p>
      <w:pPr>
        <w:pStyle w:val="Style16"/>
        <w:keepNext w:val="0"/>
        <w:keepLines w:val="0"/>
        <w:widowControl w:val="0"/>
        <w:shd w:val="clear" w:color="auto" w:fill="auto"/>
        <w:tabs>
          <w:tab w:pos="1094" w:val="left"/>
        </w:tabs>
        <w:bidi w:val="0"/>
        <w:spacing w:before="0" w:after="0" w:line="469" w:lineRule="exact"/>
        <w:ind w:left="0" w:right="0" w:firstLine="500"/>
        <w:jc w:val="both"/>
      </w:pPr>
      <w:bookmarkStart w:id="333" w:name="bookmark333"/>
      <w:r>
        <w:rPr>
          <w:color w:val="000000"/>
          <w:spacing w:val="0"/>
          <w:w w:val="100"/>
          <w:position w:val="0"/>
        </w:rPr>
        <w:t>（</w:t>
      </w:r>
      <w:bookmarkEnd w:id="333"/>
      <w:r>
        <w:rPr>
          <w:color w:val="000000"/>
          <w:spacing w:val="0"/>
          <w:w w:val="100"/>
          <w:position w:val="0"/>
        </w:rPr>
        <w:t>三）</w:t>
        <w:tab/>
        <w:t>董事会薪酬与考核委员会</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报告期末，公司董事会薪酬与考核委员会依据公司年初制定的经营目标及主要经济指标和管理指标的 完成情况对董事、监事和高级管理人员的业绩、工作能力、履职情况进行考评并发表审核意见如下：公司 董事、监事、高级管理人员勤勉尽责，领取的薪酬与公司披露的情况相符。</w:t>
      </w:r>
    </w:p>
    <w:p>
      <w:pPr>
        <w:pStyle w:val="Style16"/>
        <w:keepNext w:val="0"/>
        <w:keepLines w:val="0"/>
        <w:widowControl w:val="0"/>
        <w:shd w:val="clear" w:color="auto" w:fill="auto"/>
        <w:tabs>
          <w:tab w:pos="1094" w:val="left"/>
        </w:tabs>
        <w:bidi w:val="0"/>
        <w:spacing w:before="0" w:after="0" w:line="469" w:lineRule="exact"/>
        <w:ind w:left="0" w:right="0" w:firstLine="500"/>
        <w:jc w:val="both"/>
      </w:pPr>
      <w:bookmarkStart w:id="334" w:name="bookmark334"/>
      <w:r>
        <w:rPr>
          <w:color w:val="000000"/>
          <w:spacing w:val="0"/>
          <w:w w:val="100"/>
          <w:position w:val="0"/>
        </w:rPr>
        <w:t>（</w:t>
      </w:r>
      <w:bookmarkEnd w:id="334"/>
      <w:r>
        <w:rPr>
          <w:color w:val="000000"/>
          <w:spacing w:val="0"/>
          <w:w w:val="100"/>
          <w:position w:val="0"/>
        </w:rPr>
        <w:t>四）</w:t>
        <w:tab/>
        <w:t>董事会提名委员会</w:t>
      </w:r>
    </w:p>
    <w:p>
      <w:pPr>
        <w:pStyle w:val="Style16"/>
        <w:keepNext w:val="0"/>
        <w:keepLines w:val="0"/>
        <w:widowControl w:val="0"/>
        <w:shd w:val="clear" w:color="auto" w:fill="auto"/>
        <w:bidi w:val="0"/>
        <w:spacing w:before="0" w:after="440" w:line="469" w:lineRule="exact"/>
        <w:ind w:left="0" w:right="0" w:firstLine="500"/>
        <w:jc w:val="both"/>
      </w:pPr>
      <w:r>
        <w:rPr>
          <w:color w:val="000000"/>
          <w:spacing w:val="0"/>
          <w:w w:val="100"/>
          <w:position w:val="0"/>
        </w:rPr>
        <w:t>报告期内，董事会提名委员会召开</w:t>
      </w:r>
      <w:r>
        <w:rPr>
          <w:rFonts w:ascii="Times New Roman" w:eastAsia="Times New Roman" w:hAnsi="Times New Roman" w:cs="Times New Roman"/>
          <w:color w:val="000000"/>
          <w:spacing w:val="0"/>
          <w:w w:val="100"/>
          <w:position w:val="0"/>
        </w:rPr>
        <w:t>2</w:t>
      </w:r>
      <w:r>
        <w:rPr>
          <w:color w:val="000000"/>
          <w:spacing w:val="0"/>
          <w:w w:val="100"/>
          <w:position w:val="0"/>
        </w:rPr>
        <w:t>次会议，审议通过了《关于推选公司第五届董事会董事的议案》 及《公司董事会聘任高级管理人员的议案》。</w:t>
      </w:r>
    </w:p>
    <w:p>
      <w:pPr>
        <w:pStyle w:val="Style25"/>
        <w:keepNext/>
        <w:keepLines/>
        <w:widowControl w:val="0"/>
        <w:shd w:val="clear" w:color="auto" w:fill="auto"/>
        <w:tabs>
          <w:tab w:pos="522" w:val="left"/>
        </w:tabs>
        <w:bidi w:val="0"/>
        <w:spacing w:before="0" w:after="34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五</w:t>
      </w:r>
      <w:bookmarkEnd w:id="337"/>
      <w:r>
        <w:rPr>
          <w:color w:val="000000"/>
          <w:spacing w:val="0"/>
          <w:w w:val="100"/>
          <w:position w:val="0"/>
          <w:sz w:val="24"/>
          <w:szCs w:val="24"/>
        </w:rPr>
        <w:t>、</w:t>
        <w:tab/>
        <w:t>监事会工作情况</w:t>
      </w:r>
      <w:bookmarkEnd w:id="335"/>
      <w:bookmarkEnd w:id="336"/>
      <w:bookmarkEnd w:id="338"/>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26" w:val="left"/>
        </w:tabs>
        <w:bidi w:val="0"/>
        <w:spacing w:before="0" w:after="18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六</w:t>
      </w:r>
      <w:bookmarkEnd w:id="341"/>
      <w:r>
        <w:rPr>
          <w:color w:val="000000"/>
          <w:spacing w:val="0"/>
          <w:w w:val="100"/>
          <w:position w:val="0"/>
          <w:sz w:val="24"/>
          <w:szCs w:val="24"/>
        </w:rPr>
        <w:t>、</w:t>
        <w:tab/>
        <w:t>公司相对于控股股东在业务、人员、资产、机构、财务等方面的独立完整情况</w:t>
      </w:r>
      <w:bookmarkEnd w:id="339"/>
      <w:bookmarkEnd w:id="340"/>
      <w:bookmarkEnd w:id="342"/>
    </w:p>
    <w:p>
      <w:pPr>
        <w:pStyle w:val="Style16"/>
        <w:keepNext w:val="0"/>
        <w:keepLines w:val="0"/>
        <w:widowControl w:val="0"/>
        <w:shd w:val="clear" w:color="auto" w:fill="auto"/>
        <w:bidi w:val="0"/>
        <w:spacing w:before="0" w:after="0" w:line="475" w:lineRule="exact"/>
        <w:ind w:left="0" w:right="0" w:firstLine="500"/>
        <w:jc w:val="left"/>
      </w:pPr>
      <w:r>
        <w:rPr>
          <w:color w:val="000000"/>
          <w:spacing w:val="0"/>
          <w:w w:val="100"/>
          <w:position w:val="0"/>
        </w:rPr>
        <w:t>公司在业务、人员、资产、机构、财务等方面与控股股东完全分开，具有独立、完整的资产和业务及 自主经营的能力。</w:t>
      </w:r>
    </w:p>
    <w:p>
      <w:pPr>
        <w:pStyle w:val="Style16"/>
        <w:keepNext w:val="0"/>
        <w:keepLines w:val="0"/>
        <w:widowControl w:val="0"/>
        <w:shd w:val="clear" w:color="auto" w:fill="auto"/>
        <w:tabs>
          <w:tab w:pos="790" w:val="left"/>
        </w:tabs>
        <w:bidi w:val="0"/>
        <w:spacing w:before="0" w:after="0" w:line="474" w:lineRule="exact"/>
        <w:ind w:left="0" w:right="0" w:firstLine="500"/>
        <w:jc w:val="left"/>
      </w:pPr>
      <w:bookmarkStart w:id="343" w:name="bookmark343"/>
      <w:r>
        <w:rPr>
          <w:rFonts w:ascii="Times New Roman" w:eastAsia="Times New Roman" w:hAnsi="Times New Roman" w:cs="Times New Roman"/>
          <w:color w:val="000000"/>
          <w:spacing w:val="0"/>
          <w:w w:val="100"/>
          <w:position w:val="0"/>
        </w:rPr>
        <w:t>1</w:t>
      </w:r>
      <w:bookmarkEnd w:id="343"/>
      <w:r>
        <w:rPr>
          <w:color w:val="000000"/>
          <w:spacing w:val="0"/>
          <w:w w:val="100"/>
          <w:position w:val="0"/>
        </w:rPr>
        <w:t>、</w:t>
        <w:tab/>
        <w:t>业务：公司业务结构完整，所需材料设备的采购及客户群、市场均不依赖于控股股东，具有独立 的产供销系统，具备独立面向市场并自主经营的业务能力，与控股股东之间无同业竞争，控股股东不存在 直接或间接干预公司经营的情形。</w:t>
      </w:r>
    </w:p>
    <w:p>
      <w:pPr>
        <w:pStyle w:val="Style16"/>
        <w:keepNext w:val="0"/>
        <w:keepLines w:val="0"/>
        <w:widowControl w:val="0"/>
        <w:shd w:val="clear" w:color="auto" w:fill="auto"/>
        <w:tabs>
          <w:tab w:pos="786" w:val="left"/>
        </w:tabs>
        <w:bidi w:val="0"/>
        <w:spacing w:before="0" w:after="0" w:line="474" w:lineRule="exact"/>
        <w:ind w:left="0" w:right="0" w:firstLine="500"/>
        <w:jc w:val="left"/>
      </w:pPr>
      <w:bookmarkStart w:id="344" w:name="bookmark344"/>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人员：公司人员、劳动、人事、工资完全独立；公司高管人员未在控股股东及其下属企业担任除 董事、监事以外的任何职务，也未在控股股东及其下属企业领薪。</w:t>
      </w:r>
    </w:p>
    <w:p>
      <w:pPr>
        <w:pStyle w:val="Style16"/>
        <w:keepNext w:val="0"/>
        <w:keepLines w:val="0"/>
        <w:widowControl w:val="0"/>
        <w:shd w:val="clear" w:color="auto" w:fill="auto"/>
        <w:tabs>
          <w:tab w:pos="790" w:val="left"/>
        </w:tabs>
        <w:bidi w:val="0"/>
        <w:spacing w:before="0" w:after="100" w:line="485" w:lineRule="exact"/>
        <w:ind w:left="0" w:right="0" w:firstLine="500"/>
        <w:jc w:val="left"/>
      </w:pPr>
      <w:bookmarkStart w:id="345" w:name="bookmark345"/>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资产：公司拥有独立的生产经营场所和完整的资产结构，拥有生产经营活动所必须的生产系统、 辅助生产系统和配套设施，公司专利权以及商标、土地、房屋等资产拥有完全的控制权和支配权。</w:t>
      </w:r>
    </w:p>
    <w:p>
      <w:pPr>
        <w:pStyle w:val="Style16"/>
        <w:keepNext w:val="0"/>
        <w:keepLines w:val="0"/>
        <w:widowControl w:val="0"/>
        <w:shd w:val="clear" w:color="auto" w:fill="auto"/>
        <w:tabs>
          <w:tab w:pos="760" w:val="left"/>
        </w:tabs>
        <w:bidi w:val="0"/>
        <w:spacing w:before="0" w:after="0" w:line="482" w:lineRule="exact"/>
        <w:ind w:left="0" w:right="0" w:firstLine="480"/>
        <w:jc w:val="both"/>
      </w:pPr>
      <w:bookmarkStart w:id="346" w:name="bookmark346"/>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t>机构：公司设有健全的组织机构体系，股东大会、董事会、监事会、经理层、生产、技术等部门 独立运作，并制定了相应的内部管理和控制制度，使各部门之间分工明确、各司其职、相互配合，从而构 成了一个有机的整体，保证了公司的依法运作，不存在与控股股东职能部门之间的从属关系。</w:t>
      </w:r>
    </w:p>
    <w:p>
      <w:pPr>
        <w:pStyle w:val="Style16"/>
        <w:keepNext w:val="0"/>
        <w:keepLines w:val="0"/>
        <w:widowControl w:val="0"/>
        <w:shd w:val="clear" w:color="auto" w:fill="auto"/>
        <w:tabs>
          <w:tab w:pos="765" w:val="left"/>
        </w:tabs>
        <w:bidi w:val="0"/>
        <w:spacing w:before="0" w:after="420" w:line="482" w:lineRule="exact"/>
        <w:ind w:left="0" w:right="0" w:firstLine="480"/>
        <w:jc w:val="both"/>
      </w:pPr>
      <w:bookmarkStart w:id="347" w:name="bookmark347"/>
      <w:r>
        <w:rPr>
          <w:rFonts w:ascii="Times New Roman" w:eastAsia="Times New Roman" w:hAnsi="Times New Roman" w:cs="Times New Roman"/>
          <w:color w:val="000000"/>
          <w:spacing w:val="0"/>
          <w:w w:val="100"/>
          <w:position w:val="0"/>
        </w:rPr>
        <w:t>5</w:t>
      </w:r>
      <w:bookmarkEnd w:id="347"/>
      <w:r>
        <w:rPr>
          <w:color w:val="000000"/>
          <w:spacing w:val="0"/>
          <w:w w:val="100"/>
          <w:position w:val="0"/>
        </w:rPr>
        <w:t>、</w:t>
        <w:tab/>
        <w:t>财务：公司设有独立的财务管理部门，建立了独立的会计核算体系和财务管理制度以及内部审计 制度，独立进行财务决策，独立开设银行账户，独立纳税。</w:t>
      </w:r>
    </w:p>
    <w:p>
      <w:pPr>
        <w:pStyle w:val="Style25"/>
        <w:keepNext/>
        <w:keepLines/>
        <w:widowControl w:val="0"/>
        <w:shd w:val="clear" w:color="auto" w:fill="auto"/>
        <w:bidi w:val="0"/>
        <w:spacing w:before="0" w:after="20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sz w:val="24"/>
          <w:szCs w:val="24"/>
        </w:rPr>
        <w:t>七</w:t>
      </w:r>
      <w:bookmarkEnd w:id="350"/>
      <w:r>
        <w:rPr>
          <w:color w:val="000000"/>
          <w:spacing w:val="0"/>
          <w:w w:val="100"/>
          <w:position w:val="0"/>
          <w:sz w:val="24"/>
          <w:szCs w:val="24"/>
        </w:rPr>
        <w:t>、高级管理人员的考评及激励情况</w:t>
      </w:r>
      <w:bookmarkEnd w:id="348"/>
      <w:bookmarkEnd w:id="349"/>
      <w:bookmarkEnd w:id="351"/>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公司建立了完善的绩效考评体系，高级管理人员的工作绩效与其收入直接挂钩并引入重大失误问责制 度。公司董事会薪酬与考核委员会负责根据公司主要经济指标和管理指标的完成情况对高级管理人员的业 绩、工作能力、履职情况进行考评，制定薪酬方案报公司董事会审批。</w:t>
      </w:r>
    </w:p>
    <w:p>
      <w:pPr>
        <w:pStyle w:val="Style16"/>
        <w:keepNext w:val="0"/>
        <w:keepLines w:val="0"/>
        <w:widowControl w:val="0"/>
        <w:shd w:val="clear" w:color="auto" w:fill="auto"/>
        <w:bidi w:val="0"/>
        <w:spacing w:before="0" w:after="100" w:line="470" w:lineRule="exact"/>
        <w:ind w:left="0" w:right="0" w:firstLine="480"/>
        <w:jc w:val="both"/>
        <w:sectPr>
          <w:footnotePr>
            <w:pos w:val="pageBottom"/>
            <w:numFmt w:val="decimal"/>
            <w:numRestart w:val="continuous"/>
          </w:footnotePr>
          <w:pgSz w:w="11900" w:h="16840"/>
          <w:pgMar w:top="1249" w:right="976" w:bottom="1662" w:left="1041" w:header="0" w:footer="3" w:gutter="0"/>
          <w:cols w:space="720"/>
          <w:noEndnote/>
          <w:rtlGutter w:val="0"/>
          <w:docGrid w:linePitch="360"/>
        </w:sectPr>
      </w:pPr>
      <w:r>
        <w:rPr>
          <w:color w:val="000000"/>
          <w:spacing w:val="0"/>
          <w:w w:val="100"/>
          <w:position w:val="0"/>
        </w:rPr>
        <w:t>公司已实现了高级管理人员持股计划，初步建立了高管层股权激励机制，公司还将根据中国证监会和 深圳证券交易所有关规定，进一步建立和完善骨干层的激励机制。报告期，公司继续完善绩效考核制度， 制定了详尽的工作量化标准和奖惩制度，确立建设卓越团队的基础管理体系。</w:t>
      </w:r>
    </w:p>
    <w:p>
      <w:pPr>
        <w:pStyle w:val="Style14"/>
        <w:keepNext/>
        <w:keepLines/>
        <w:widowControl w:val="0"/>
        <w:shd w:val="clear" w:color="auto" w:fill="auto"/>
        <w:bidi w:val="0"/>
        <w:spacing w:before="480" w:line="240" w:lineRule="auto"/>
        <w:ind w:left="0" w:right="0" w:firstLine="0"/>
        <w:jc w:val="center"/>
      </w:pPr>
      <w:bookmarkStart w:id="352" w:name="bookmark352"/>
      <w:bookmarkStart w:id="353" w:name="bookmark353"/>
      <w:bookmarkStart w:id="354" w:name="bookmark354"/>
      <w:r>
        <w:rPr>
          <w:color w:val="000000"/>
          <w:spacing w:val="0"/>
          <w:w w:val="100"/>
          <w:position w:val="0"/>
        </w:rPr>
        <w:t>第九节内部控制</w:t>
      </w:r>
      <w:bookmarkEnd w:id="352"/>
      <w:bookmarkEnd w:id="353"/>
      <w:bookmarkEnd w:id="354"/>
    </w:p>
    <w:p>
      <w:pPr>
        <w:pStyle w:val="Style25"/>
        <w:keepNext/>
        <w:keepLines/>
        <w:widowControl w:val="0"/>
        <w:shd w:val="clear" w:color="auto" w:fill="auto"/>
        <w:tabs>
          <w:tab w:pos="491" w:val="left"/>
        </w:tabs>
        <w:bidi w:val="0"/>
        <w:spacing w:before="0" w:after="180" w:line="240" w:lineRule="auto"/>
        <w:ind w:left="0" w:right="0" w:firstLine="0"/>
        <w:jc w:val="both"/>
      </w:pPr>
      <w:bookmarkStart w:id="355" w:name="bookmark355"/>
      <w:bookmarkStart w:id="356" w:name="bookmark356"/>
      <w:bookmarkStart w:id="357" w:name="bookmark357"/>
      <w:bookmarkStart w:id="358" w:name="bookmark358"/>
      <w:r>
        <w:rPr>
          <w:color w:val="000000"/>
          <w:spacing w:val="0"/>
          <w:w w:val="100"/>
          <w:position w:val="0"/>
          <w:sz w:val="24"/>
          <w:szCs w:val="24"/>
        </w:rPr>
        <w:t>一</w:t>
      </w:r>
      <w:bookmarkEnd w:id="357"/>
      <w:r>
        <w:rPr>
          <w:color w:val="000000"/>
          <w:spacing w:val="0"/>
          <w:w w:val="100"/>
          <w:position w:val="0"/>
          <w:sz w:val="24"/>
          <w:szCs w:val="24"/>
        </w:rPr>
        <w:t>、</w:t>
        <w:tab/>
        <w:t>内部控制建设情况</w:t>
      </w:r>
      <w:bookmarkEnd w:id="355"/>
      <w:bookmarkEnd w:id="356"/>
      <w:bookmarkEnd w:id="358"/>
    </w:p>
    <w:p>
      <w:pPr>
        <w:pStyle w:val="Style16"/>
        <w:keepNext w:val="0"/>
        <w:keepLines w:val="0"/>
        <w:widowControl w:val="0"/>
        <w:shd w:val="clear" w:color="auto" w:fill="auto"/>
        <w:bidi w:val="0"/>
        <w:spacing w:before="0" w:after="420" w:line="468" w:lineRule="exact"/>
        <w:ind w:left="0" w:right="0" w:firstLine="580"/>
        <w:jc w:val="left"/>
      </w:pPr>
      <w:r>
        <w:rPr>
          <w:color w:val="000000"/>
          <w:spacing w:val="0"/>
          <w:w w:val="100"/>
          <w:position w:val="0"/>
        </w:rPr>
        <w:t>公司成立以来，一直致力于内部控制制度的制定和完善，建立了一套完整、合法、有效的内部控制 制度，主要包括：</w:t>
      </w:r>
      <w:r>
        <w:rPr>
          <w:rFonts w:ascii="Times New Roman" w:eastAsia="Times New Roman" w:hAnsi="Times New Roman" w:cs="Times New Roman"/>
          <w:color w:val="000000"/>
          <w:spacing w:val="0"/>
          <w:w w:val="100"/>
          <w:position w:val="0"/>
        </w:rPr>
        <w:t>1</w:t>
      </w:r>
      <w:r>
        <w:rPr>
          <w:color w:val="000000"/>
          <w:spacing w:val="0"/>
          <w:w w:val="100"/>
          <w:position w:val="0"/>
        </w:rPr>
        <w:t>、以《公司章程》及三会议事规则为核心的公司治理制度；</w:t>
      </w:r>
      <w:r>
        <w:rPr>
          <w:rFonts w:ascii="Times New Roman" w:eastAsia="Times New Roman" w:hAnsi="Times New Roman" w:cs="Times New Roman"/>
          <w:color w:val="000000"/>
          <w:spacing w:val="0"/>
          <w:w w:val="100"/>
          <w:position w:val="0"/>
        </w:rPr>
        <w:t>2</w:t>
      </w:r>
      <w:r>
        <w:rPr>
          <w:color w:val="000000"/>
          <w:spacing w:val="0"/>
          <w:w w:val="100"/>
          <w:position w:val="0"/>
        </w:rPr>
        <w:t>、以行政管理制度、人力 资源管理制度、信息管理控制度、内部控制监督检查管理办法为组成的公司日常管理制度；</w:t>
      </w:r>
      <w:r>
        <w:rPr>
          <w:rFonts w:ascii="Times New Roman" w:eastAsia="Times New Roman" w:hAnsi="Times New Roman" w:cs="Times New Roman"/>
          <w:color w:val="000000"/>
          <w:spacing w:val="0"/>
          <w:w w:val="100"/>
          <w:position w:val="0"/>
        </w:rPr>
        <w:t>3</w:t>
      </w:r>
      <w:r>
        <w:rPr>
          <w:color w:val="000000"/>
          <w:spacing w:val="0"/>
          <w:w w:val="100"/>
          <w:position w:val="0"/>
        </w:rPr>
        <w:t>、按照财政 部发布的《企业会计准则》及有关补充规定制定的会计核算制度和财务管理制度；</w:t>
      </w:r>
      <w:r>
        <w:rPr>
          <w:rFonts w:ascii="Times New Roman" w:eastAsia="Times New Roman" w:hAnsi="Times New Roman" w:cs="Times New Roman"/>
          <w:color w:val="000000"/>
          <w:spacing w:val="0"/>
          <w:w w:val="100"/>
          <w:position w:val="0"/>
        </w:rPr>
        <w:t>4</w:t>
      </w:r>
      <w:r>
        <w:rPr>
          <w:color w:val="000000"/>
          <w:spacing w:val="0"/>
          <w:w w:val="100"/>
          <w:position w:val="0"/>
        </w:rPr>
        <w:t>、以</w:t>
      </w:r>
      <w:r>
        <w:rPr>
          <w:rFonts w:ascii="Times New Roman" w:eastAsia="Times New Roman" w:hAnsi="Times New Roman" w:cs="Times New Roman"/>
          <w:color w:val="000000"/>
          <w:spacing w:val="0"/>
          <w:w w:val="100"/>
          <w:position w:val="0"/>
        </w:rPr>
        <w:t>ISO9001</w:t>
      </w:r>
      <w:r>
        <w:rPr>
          <w:color w:val="000000"/>
          <w:spacing w:val="0"/>
          <w:w w:val="100"/>
          <w:position w:val="0"/>
        </w:rPr>
        <w:t>质量管 理体系为核心的业务控制制度。公司设立内部审计部为公司董事会对公司进行稽核监督的机构。内部审计 部按照有利于事前、事中和事后监督的原则，对公司及控制子公司的经营活动和内部控制制度的建立和执 行情况进行检查监督，并对每次检查对象和内容进行评价，提出改进建议和处理意见，确保内部控制的贯 彻实施和生产经营活动的正常进行。</w:t>
      </w:r>
    </w:p>
    <w:p>
      <w:pPr>
        <w:pStyle w:val="Style25"/>
        <w:keepNext/>
        <w:keepLines/>
        <w:widowControl w:val="0"/>
        <w:shd w:val="clear" w:color="auto" w:fill="auto"/>
        <w:tabs>
          <w:tab w:pos="491" w:val="left"/>
        </w:tabs>
        <w:bidi w:val="0"/>
        <w:spacing w:before="0" w:after="18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sz w:val="24"/>
          <w:szCs w:val="24"/>
        </w:rPr>
        <w:t>二</w:t>
      </w:r>
      <w:bookmarkEnd w:id="361"/>
      <w:r>
        <w:rPr>
          <w:color w:val="000000"/>
          <w:spacing w:val="0"/>
          <w:w w:val="100"/>
          <w:position w:val="0"/>
          <w:sz w:val="24"/>
          <w:szCs w:val="24"/>
        </w:rPr>
        <w:t>、</w:t>
        <w:tab/>
        <w:t>董事会关于内部控制责任的声明</w:t>
      </w:r>
      <w:bookmarkEnd w:id="359"/>
      <w:bookmarkEnd w:id="360"/>
      <w:bookmarkEnd w:id="362"/>
    </w:p>
    <w:p>
      <w:pPr>
        <w:pStyle w:val="Style16"/>
        <w:keepNext w:val="0"/>
        <w:keepLines w:val="0"/>
        <w:widowControl w:val="0"/>
        <w:shd w:val="clear" w:color="auto" w:fill="auto"/>
        <w:bidi w:val="0"/>
        <w:spacing w:before="0" w:after="420" w:line="468" w:lineRule="exact"/>
        <w:ind w:left="0" w:right="0" w:firstLine="380"/>
        <w:jc w:val="both"/>
      </w:pPr>
      <w:r>
        <w:rPr>
          <w:color w:val="000000"/>
          <w:spacing w:val="0"/>
          <w:w w:val="100"/>
          <w:position w:val="0"/>
        </w:rPr>
        <w:t>按照企业内部控制规范体系的规定，建立健全和有效实施内部控制，评价其有效性，并如实披露内部 控制评价报告是公司董事会的责任。监事会对董事会建立和实施内部控制进行监督。经理层负责组织领导 企业内部控制的日常运行。公司董事会、监事会及董事、监事、高级管理人员保证内部控制评价报告内容 不存在任何虚假记载、误导性陈述或重大遗漏，并对报告内容的真实性、准确性和完整性承担个别及连带 法律责任。公司内部控制的目标是合理保证经营管理合法合规、资产安全、财务报告及相关信息真实完整, 提高经营效率和效果，促进实现发展战略。由于内部控制存在的固有局限性，故仅能为实现上述目标提供 合理保证。此外，由于情况的变化可能导致内部控制变得不恰当，或对控制政策和程序遵循的程度降低， 根据内部控制评价结果推测未来内部控制的有效性具有一定的风险。</w:t>
      </w:r>
    </w:p>
    <w:p>
      <w:pPr>
        <w:pStyle w:val="Style25"/>
        <w:keepNext/>
        <w:keepLines/>
        <w:widowControl w:val="0"/>
        <w:shd w:val="clear" w:color="auto" w:fill="auto"/>
        <w:tabs>
          <w:tab w:pos="491" w:val="left"/>
        </w:tabs>
        <w:bidi w:val="0"/>
        <w:spacing w:before="0" w:after="180" w:line="240" w:lineRule="auto"/>
        <w:ind w:left="0" w:right="0" w:firstLine="0"/>
        <w:jc w:val="both"/>
      </w:pPr>
      <w:bookmarkStart w:id="363" w:name="bookmark363"/>
      <w:bookmarkStart w:id="364" w:name="bookmark364"/>
      <w:bookmarkStart w:id="365" w:name="bookmark365"/>
      <w:bookmarkStart w:id="366" w:name="bookmark366"/>
      <w:r>
        <w:rPr>
          <w:color w:val="000000"/>
          <w:spacing w:val="0"/>
          <w:w w:val="100"/>
          <w:position w:val="0"/>
          <w:sz w:val="24"/>
          <w:szCs w:val="24"/>
        </w:rPr>
        <w:t>三</w:t>
      </w:r>
      <w:bookmarkEnd w:id="365"/>
      <w:r>
        <w:rPr>
          <w:color w:val="000000"/>
          <w:spacing w:val="0"/>
          <w:w w:val="100"/>
          <w:position w:val="0"/>
          <w:sz w:val="24"/>
          <w:szCs w:val="24"/>
        </w:rPr>
        <w:t>、</w:t>
        <w:tab/>
        <w:t>建立财务报告内部控制的依据</w:t>
      </w:r>
      <w:bookmarkEnd w:id="363"/>
      <w:bookmarkEnd w:id="364"/>
      <w:bookmarkEnd w:id="366"/>
    </w:p>
    <w:p>
      <w:pPr>
        <w:pStyle w:val="Style16"/>
        <w:keepNext w:val="0"/>
        <w:keepLines w:val="0"/>
        <w:widowControl w:val="0"/>
        <w:shd w:val="clear" w:color="auto" w:fill="auto"/>
        <w:bidi w:val="0"/>
        <w:spacing w:before="0" w:after="420" w:line="475" w:lineRule="exact"/>
        <w:ind w:left="0" w:right="0" w:firstLine="480"/>
        <w:jc w:val="both"/>
      </w:pPr>
      <w:r>
        <w:rPr>
          <w:color w:val="000000"/>
          <w:spacing w:val="0"/>
          <w:w w:val="100"/>
          <w:position w:val="0"/>
        </w:rPr>
        <w:t>公司依据《公司法》、《会计法》、《企业会计准则》和《企业内部控制基本规范》以及监管部门的相关 规范性文件为依据，建立了财务报告内部控制。</w:t>
      </w:r>
    </w:p>
    <w:p>
      <w:pPr>
        <w:pStyle w:val="Style25"/>
        <w:keepNext/>
        <w:keepLines/>
        <w:widowControl w:val="0"/>
        <w:shd w:val="clear" w:color="auto" w:fill="auto"/>
        <w:tabs>
          <w:tab w:pos="491" w:val="left"/>
        </w:tabs>
        <w:bidi w:val="0"/>
        <w:spacing w:before="0" w:line="240" w:lineRule="auto"/>
        <w:ind w:left="0" w:right="0" w:firstLine="0"/>
        <w:jc w:val="both"/>
      </w:pPr>
      <w:bookmarkStart w:id="367" w:name="bookmark367"/>
      <w:bookmarkStart w:id="368" w:name="bookmark368"/>
      <w:bookmarkStart w:id="369" w:name="bookmark369"/>
      <w:bookmarkStart w:id="370" w:name="bookmark370"/>
      <w:r>
        <w:rPr>
          <w:color w:val="000000"/>
          <w:spacing w:val="0"/>
          <w:w w:val="100"/>
          <w:position w:val="0"/>
          <w:sz w:val="24"/>
          <w:szCs w:val="24"/>
        </w:rPr>
        <w:t>四</w:t>
      </w:r>
      <w:bookmarkEnd w:id="369"/>
      <w:r>
        <w:rPr>
          <w:color w:val="000000"/>
          <w:spacing w:val="0"/>
          <w:w w:val="100"/>
          <w:position w:val="0"/>
          <w:sz w:val="24"/>
          <w:szCs w:val="24"/>
        </w:rPr>
        <w:t>、</w:t>
        <w:tab/>
        <w:t>内部控制自我评价报告</w:t>
      </w:r>
      <w:bookmarkEnd w:id="367"/>
      <w:bookmarkEnd w:id="368"/>
      <w:bookmarkEnd w:id="370"/>
    </w:p>
    <w:p>
      <w:pPr>
        <w:pStyle w:val="Style29"/>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378" w:line="240" w:lineRule="auto"/>
        <w:ind w:left="0" w:right="0" w:firstLine="0"/>
        <w:jc w:val="center"/>
      </w:pPr>
      <w:r>
        <w:rPr>
          <w:color w:val="000000"/>
          <w:spacing w:val="0"/>
          <w:w w:val="100"/>
          <w:position w:val="0"/>
        </w:rPr>
        <w:t>内部控制自我评价报告中报告期内发现的内部控制重大缺陷的具体情况</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《荣信股份</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年度内部控制评价报告》全文详见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日巨潮资讯网。</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sz w:val="24"/>
          <w:szCs w:val="24"/>
        </w:rPr>
        <w:t>五</w:t>
      </w:r>
      <w:bookmarkEnd w:id="373"/>
      <w:r>
        <w:rPr>
          <w:color w:val="000000"/>
          <w:spacing w:val="0"/>
          <w:w w:val="100"/>
          <w:position w:val="0"/>
          <w:sz w:val="24"/>
          <w:szCs w:val="24"/>
        </w:rPr>
        <w:t>、内部控制审计报告</w:t>
      </w:r>
      <w:bookmarkEnd w:id="371"/>
      <w:bookmarkEnd w:id="372"/>
      <w:bookmarkEnd w:id="37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我们认为，荣信股份公司按照深圳证券交易所《中小企业板上市公司规范运作指引》规定于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 大方面保持了有效的财务报告内部控制。本结论是在受到审计报告中指出的固有限制的条件下形成的。</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《荣信股份</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年度内部控制审计报告》全文详见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日巨潮资讯网。</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是</w:t>
      </w:r>
      <w:r>
        <w:rPr>
          <w:i/>
          <w:iCs/>
          <w:color w:val="000000"/>
          <w:spacing w:val="0"/>
          <w:w w:val="100"/>
          <w:position w:val="0"/>
          <w:sz w:val="18"/>
          <w:szCs w:val="18"/>
        </w:rPr>
        <w:t>V</w:t>
      </w:r>
      <w:r>
        <w:rPr>
          <w:i/>
          <w:iCs/>
          <w:color w:val="000000"/>
          <w:spacing w:val="0"/>
          <w:w w:val="100"/>
          <w:position w:val="0"/>
          <w:sz w:val="19"/>
          <w:szCs w:val="19"/>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5"/>
        <w:keepNext/>
        <w:keepLines/>
        <w:widowControl w:val="0"/>
        <w:shd w:val="clear" w:color="auto" w:fill="auto"/>
        <w:bidi w:val="0"/>
        <w:spacing w:before="0" w:after="18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sz w:val="24"/>
          <w:szCs w:val="24"/>
        </w:rPr>
        <w:t>六</w:t>
      </w:r>
      <w:bookmarkEnd w:id="377"/>
      <w:r>
        <w:rPr>
          <w:color w:val="000000"/>
          <w:spacing w:val="0"/>
          <w:w w:val="100"/>
          <w:position w:val="0"/>
          <w:sz w:val="24"/>
          <w:szCs w:val="24"/>
        </w:rPr>
        <w:t>、年度报告重大差错责任追究制度的建立与执行情况</w:t>
      </w:r>
      <w:bookmarkEnd w:id="375"/>
      <w:bookmarkEnd w:id="376"/>
      <w:bookmarkEnd w:id="378"/>
    </w:p>
    <w:p>
      <w:pPr>
        <w:pStyle w:val="Style16"/>
        <w:keepNext w:val="0"/>
        <w:keepLines w:val="0"/>
        <w:widowControl w:val="0"/>
        <w:shd w:val="clear" w:color="auto" w:fill="auto"/>
        <w:bidi w:val="0"/>
        <w:spacing w:before="0" w:after="140" w:line="470" w:lineRule="exact"/>
        <w:ind w:left="0" w:right="0" w:firstLine="440"/>
        <w:jc w:val="left"/>
        <w:sectPr>
          <w:footnotePr>
            <w:pos w:val="pageBottom"/>
            <w:numFmt w:val="decimal"/>
            <w:numRestart w:val="continuous"/>
          </w:footnotePr>
          <w:pgSz w:w="11900" w:h="16840"/>
          <w:pgMar w:top="1436" w:right="1032" w:bottom="1911" w:left="1080" w:header="0" w:footer="3" w:gutter="0"/>
          <w:cols w:space="720"/>
          <w:noEndnote/>
          <w:rtlGutter w:val="0"/>
          <w:docGrid w:linePitch="360"/>
        </w:sectPr>
      </w:pPr>
      <w:r>
        <w:rPr>
          <w:color w:val="000000"/>
          <w:spacing w:val="0"/>
          <w:w w:val="100"/>
          <w:position w:val="0"/>
        </w:rPr>
        <w:t>公司董事会制定了《年报信息披露重大差错责任追究制度》，确保信息披露的真实、准确、完整、及 时和公平，加大对年报信息披露责任人的问责力度，提高年报信息披露的质量和透明度。报告期，公司相 关人员严格按照《年报信息披露重大差错责任追究制度》的规定执行，切实履行应尽职责和义务，未发生 违规情形。</w:t>
      </w:r>
    </w:p>
    <w:p>
      <w:pPr>
        <w:pStyle w:val="Style14"/>
        <w:keepNext/>
        <w:keepLines/>
        <w:widowControl w:val="0"/>
        <w:shd w:val="clear" w:color="auto" w:fill="auto"/>
        <w:bidi w:val="0"/>
        <w:spacing w:before="600" w:after="520" w:line="240" w:lineRule="auto"/>
        <w:ind w:left="0" w:right="0" w:firstLine="0"/>
        <w:jc w:val="center"/>
      </w:pPr>
      <w:bookmarkStart w:id="379" w:name="bookmark379"/>
      <w:bookmarkStart w:id="380" w:name="bookmark380"/>
      <w:bookmarkStart w:id="381" w:name="bookmark381"/>
      <w:r>
        <w:rPr>
          <w:color w:val="000000"/>
          <w:spacing w:val="0"/>
          <w:w w:val="100"/>
          <w:position w:val="0"/>
        </w:rPr>
        <w:t>第十节财务报告</w:t>
      </w:r>
      <w:bookmarkEnd w:id="379"/>
      <w:bookmarkEnd w:id="380"/>
      <w:bookmarkEnd w:id="381"/>
    </w:p>
    <w:p>
      <w:pPr>
        <w:pStyle w:val="Style25"/>
        <w:keepNext/>
        <w:keepLines/>
        <w:widowControl w:val="0"/>
        <w:shd w:val="clear" w:color="auto" w:fill="auto"/>
        <w:bidi w:val="0"/>
        <w:spacing w:before="0" w:after="320" w:line="240" w:lineRule="auto"/>
        <w:ind w:left="0" w:right="0" w:firstLine="0"/>
        <w:jc w:val="both"/>
      </w:pPr>
      <w:bookmarkStart w:id="382" w:name="bookmark382"/>
      <w:bookmarkStart w:id="383" w:name="bookmark383"/>
      <w:bookmarkStart w:id="384" w:name="bookmark384"/>
      <w:r>
        <w:rPr>
          <w:color w:val="000000"/>
          <w:spacing w:val="0"/>
          <w:w w:val="100"/>
          <w:position w:val="0"/>
          <w:sz w:val="24"/>
          <w:szCs w:val="24"/>
        </w:rPr>
        <w:t>一、审计报告</w:t>
      </w:r>
      <w:bookmarkEnd w:id="382"/>
      <w:bookmarkEnd w:id="383"/>
      <w:bookmarkEnd w:id="38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3-174</w:t>
            </w:r>
            <w:r>
              <w:rPr>
                <w:color w:val="000000"/>
                <w:spacing w:val="0"/>
                <w:w w:val="100"/>
                <w:position w:val="0"/>
              </w:rPr>
              <w:t>号审计</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朱伟峰赵国梁</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pStyle w:val="Style16"/>
        <w:keepNext w:val="0"/>
        <w:keepLines w:val="0"/>
        <w:widowControl w:val="0"/>
        <w:shd w:val="clear" w:color="auto" w:fill="auto"/>
        <w:bidi w:val="0"/>
        <w:spacing w:before="0" w:after="0" w:line="466" w:lineRule="exact"/>
        <w:ind w:left="0" w:right="0" w:firstLine="0"/>
        <w:jc w:val="both"/>
      </w:pPr>
      <w:r>
        <w:rPr>
          <w:color w:val="000000"/>
          <w:spacing w:val="0"/>
          <w:w w:val="100"/>
          <w:position w:val="0"/>
        </w:rPr>
        <w:t>荣信电力电子股份有限公司全体股东：</w:t>
      </w:r>
    </w:p>
    <w:p>
      <w:pPr>
        <w:pStyle w:val="Style16"/>
        <w:keepNext w:val="0"/>
        <w:keepLines w:val="0"/>
        <w:widowControl w:val="0"/>
        <w:shd w:val="clear" w:color="auto" w:fill="auto"/>
        <w:bidi w:val="0"/>
        <w:spacing w:before="0" w:after="460" w:line="466" w:lineRule="exact"/>
        <w:ind w:left="0" w:right="0" w:firstLine="500"/>
        <w:jc w:val="both"/>
      </w:pPr>
      <w:r>
        <w:rPr>
          <w:color w:val="000000"/>
          <w:spacing w:val="0"/>
          <w:w w:val="100"/>
          <w:position w:val="0"/>
        </w:rPr>
        <w:t>我们审计了后附的荣信电力电子股份有限公司（以下简称荣信股份公司）财务报表，包括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年度的合并及母公司利润表、合并及母公司现金流量表、合并及 母公司所有者权益变动表，以及财务报表附注。</w:t>
      </w:r>
    </w:p>
    <w:p>
      <w:pPr>
        <w:pStyle w:val="Style34"/>
        <w:keepNext/>
        <w:keepLines/>
        <w:widowControl w:val="0"/>
        <w:shd w:val="clear" w:color="auto" w:fill="auto"/>
        <w:tabs>
          <w:tab w:pos="983" w:val="left"/>
        </w:tabs>
        <w:bidi w:val="0"/>
        <w:spacing w:before="0" w:after="0" w:line="470" w:lineRule="exact"/>
        <w:ind w:left="0" w:right="0" w:firstLine="500"/>
        <w:jc w:val="both"/>
      </w:pPr>
      <w:bookmarkStart w:id="385" w:name="bookmark385"/>
      <w:bookmarkStart w:id="386" w:name="bookmark386"/>
      <w:bookmarkStart w:id="387" w:name="bookmark387"/>
      <w:bookmarkStart w:id="388" w:name="bookmark388"/>
      <w:r>
        <w:rPr>
          <w:color w:val="000000"/>
          <w:spacing w:val="0"/>
          <w:w w:val="100"/>
          <w:position w:val="0"/>
        </w:rPr>
        <w:t>一</w:t>
      </w:r>
      <w:bookmarkEnd w:id="387"/>
      <w:r>
        <w:rPr>
          <w:color w:val="000000"/>
          <w:spacing w:val="0"/>
          <w:w w:val="100"/>
          <w:position w:val="0"/>
        </w:rPr>
        <w:t>、</w:t>
        <w:tab/>
        <w:t>管理层对财务报表的责任</w:t>
      </w:r>
      <w:bookmarkEnd w:id="385"/>
      <w:bookmarkEnd w:id="386"/>
      <w:bookmarkEnd w:id="388"/>
    </w:p>
    <w:p>
      <w:pPr>
        <w:pStyle w:val="Style16"/>
        <w:keepNext w:val="0"/>
        <w:keepLines w:val="0"/>
        <w:widowControl w:val="0"/>
        <w:shd w:val="clear" w:color="auto" w:fill="auto"/>
        <w:bidi w:val="0"/>
        <w:spacing w:before="0" w:after="460" w:line="470" w:lineRule="exact"/>
        <w:ind w:left="0" w:right="0" w:firstLine="500"/>
        <w:jc w:val="both"/>
      </w:pPr>
      <w:r>
        <w:rPr>
          <w:color w:val="000000"/>
          <w:spacing w:val="0"/>
          <w:w w:val="100"/>
          <w:position w:val="0"/>
        </w:rPr>
        <w:t>编制和公允列报财务报表是荣信股份公司管理层的责任，这种责任包括：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 定编制财务报表，并使其实现公允反映；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 于舞弊或错误导致的重大错报。</w:t>
      </w:r>
    </w:p>
    <w:p>
      <w:pPr>
        <w:pStyle w:val="Style34"/>
        <w:keepNext/>
        <w:keepLines/>
        <w:widowControl w:val="0"/>
        <w:shd w:val="clear" w:color="auto" w:fill="auto"/>
        <w:tabs>
          <w:tab w:pos="983" w:val="left"/>
        </w:tabs>
        <w:bidi w:val="0"/>
        <w:spacing w:before="0" w:after="0" w:line="470" w:lineRule="exact"/>
        <w:ind w:left="0" w:right="0" w:firstLine="500"/>
        <w:jc w:val="both"/>
      </w:pPr>
      <w:bookmarkStart w:id="389" w:name="bookmark389"/>
      <w:bookmarkStart w:id="390" w:name="bookmark390"/>
      <w:bookmarkStart w:id="391" w:name="bookmark391"/>
      <w:bookmarkStart w:id="392" w:name="bookmark392"/>
      <w:r>
        <w:rPr>
          <w:color w:val="000000"/>
          <w:spacing w:val="0"/>
          <w:w w:val="100"/>
          <w:position w:val="0"/>
        </w:rPr>
        <w:t>二</w:t>
      </w:r>
      <w:bookmarkEnd w:id="391"/>
      <w:r>
        <w:rPr>
          <w:color w:val="000000"/>
          <w:spacing w:val="0"/>
          <w:w w:val="100"/>
          <w:position w:val="0"/>
        </w:rPr>
        <w:t>、</w:t>
        <w:tab/>
        <w:t>注册会计师的责任</w:t>
      </w:r>
      <w:bookmarkEnd w:id="389"/>
      <w:bookmarkEnd w:id="390"/>
      <w:bookmarkEnd w:id="392"/>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16"/>
        <w:keepNext w:val="0"/>
        <w:keepLines w:val="0"/>
        <w:widowControl w:val="0"/>
        <w:shd w:val="clear" w:color="auto" w:fill="auto"/>
        <w:bidi w:val="0"/>
        <w:spacing w:before="0" w:after="240" w:line="470" w:lineRule="exact"/>
        <w:ind w:left="0" w:right="0" w:firstLine="50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16"/>
        <w:keepNext w:val="0"/>
        <w:keepLines w:val="0"/>
        <w:widowControl w:val="0"/>
        <w:shd w:val="clear" w:color="auto" w:fill="auto"/>
        <w:bidi w:val="0"/>
        <w:spacing w:before="0" w:after="460" w:line="240" w:lineRule="auto"/>
        <w:ind w:left="0" w:right="0" w:firstLine="500"/>
        <w:jc w:val="both"/>
      </w:pPr>
      <w:r>
        <w:rPr>
          <w:color w:val="000000"/>
          <w:spacing w:val="0"/>
          <w:w w:val="100"/>
          <w:position w:val="0"/>
        </w:rPr>
        <w:t>我们相信，我们获取的审计证据是充分、适当的，为发表审计意见提供了基础。</w:t>
      </w:r>
    </w:p>
    <w:p>
      <w:pPr>
        <w:pStyle w:val="Style34"/>
        <w:keepNext/>
        <w:keepLines/>
        <w:widowControl w:val="0"/>
        <w:shd w:val="clear" w:color="auto" w:fill="auto"/>
        <w:bidi w:val="0"/>
        <w:spacing w:before="0" w:after="0" w:line="461" w:lineRule="exact"/>
        <w:ind w:left="0" w:right="0" w:firstLine="500"/>
        <w:jc w:val="left"/>
      </w:pPr>
      <w:bookmarkStart w:id="393" w:name="bookmark393"/>
      <w:bookmarkStart w:id="394" w:name="bookmark394"/>
      <w:bookmarkStart w:id="395" w:name="bookmark395"/>
      <w:bookmarkStart w:id="396" w:name="bookmark396"/>
      <w:r>
        <w:rPr>
          <w:color w:val="000000"/>
          <w:spacing w:val="0"/>
          <w:w w:val="100"/>
          <w:position w:val="0"/>
        </w:rPr>
        <w:t>三</w:t>
      </w:r>
      <w:bookmarkEnd w:id="395"/>
      <w:r>
        <w:rPr>
          <w:color w:val="000000"/>
          <w:spacing w:val="0"/>
          <w:w w:val="100"/>
          <w:position w:val="0"/>
        </w:rPr>
        <w:t>、审计意见</w:t>
      </w:r>
      <w:bookmarkEnd w:id="393"/>
      <w:bookmarkEnd w:id="394"/>
      <w:bookmarkEnd w:id="396"/>
    </w:p>
    <w:p>
      <w:pPr>
        <w:pStyle w:val="Style16"/>
        <w:keepNext w:val="0"/>
        <w:keepLines w:val="0"/>
        <w:widowControl w:val="0"/>
        <w:shd w:val="clear" w:color="auto" w:fill="auto"/>
        <w:bidi w:val="0"/>
        <w:spacing w:before="0" w:after="760" w:line="461" w:lineRule="exact"/>
        <w:ind w:left="0" w:right="0" w:firstLine="500"/>
        <w:jc w:val="left"/>
      </w:pPr>
      <w:r>
        <w:rPr>
          <w:color w:val="000000"/>
          <w:spacing w:val="0"/>
          <w:w w:val="100"/>
          <w:position w:val="0"/>
        </w:rPr>
        <w:t>我们认为，荣信股份公司财务报表在所有重大方面按照企业会计准则的规定编制，公允反映了荣信股 份公司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年度的合并及母公司经营成果和现金流量。</w:t>
      </w:r>
    </w:p>
    <w:p>
      <w:pPr>
        <w:pStyle w:val="Style25"/>
        <w:keepNext/>
        <w:keepLines/>
        <w:widowControl w:val="0"/>
        <w:shd w:val="clear" w:color="auto" w:fill="auto"/>
        <w:bidi w:val="0"/>
        <w:spacing w:before="0" w:after="36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二、财务报表</w:t>
      </w:r>
      <w:bookmarkEnd w:id="397"/>
      <w:bookmarkEnd w:id="398"/>
      <w:bookmarkEnd w:id="399"/>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60" w:line="461" w:lineRule="exact"/>
        <w:ind w:left="0" w:right="0" w:firstLine="0"/>
        <w:jc w:val="left"/>
      </w:pPr>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400"/>
      <w:bookmarkEnd w:id="401"/>
      <w:bookmarkEnd w:id="40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编制单位：荣信电力电子股份有限公司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776,028,832.35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802,703,546.33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145,177,645.20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118,815,182.05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1,565,351,240.51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1,346,980,224.51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108,824,947.59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172,165,401.75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1,225,284.72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68,621,816.66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70,734,427.00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696,356,662.34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566,152,867.26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33,433,208.85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42,874,293.07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58,764,026.92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65,133,092.11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3,452,558,380.42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3,186,784,318.80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207,900,000.00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62,232,607.46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50,276,099.76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663,491,660.91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510,742,018.94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137,237,040.93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106,420,064.25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60,960,851.30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54,380,614.11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80,747,524.70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8,727,670.96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8,727,670.96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568,767.40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731,357.83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28,702,722.46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2,222,675.23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961,921,321.42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1,027,248,025.78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4,414,479,701.84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4,214,032,344.58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220,030,000.00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445,000,000.00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369,145,044.07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257,115,237.93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496,782,313.38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505,495,343.56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194,811,117.47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156,671,418.18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4,866,440.25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4,222,768.23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15,183,545.93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11,052,155.77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34,766,136.99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24,315,573.77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9,394,971.30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9,932,403.27</w:t>
            </w:r>
          </w:p>
        </w:tc>
      </w:tr>
    </w:tbl>
    <w:p>
      <w:pPr>
        <w:widowControl w:val="0"/>
        <w:spacing w:line="1" w:lineRule="exact"/>
      </w:pPr>
      <w:r>
        <w:br w:type="page"/>
      </w:r>
    </w:p>
    <w:p>
      <w:pPr>
        <w:widowControl w:val="0"/>
        <w:spacing w:line="1" w:lineRule="exact"/>
      </w:pPr>
      <w:r>
        <mc:AlternateContent>
          <mc:Choice Requires="wps">
            <w:drawing>
              <wp:anchor distT="152400" distB="0" distL="114300" distR="5256530" simplePos="0" relativeHeight="125829396" behindDoc="0" locked="0" layoutInCell="1" allowOverlap="1">
                <wp:simplePos x="0" y="0"/>
                <wp:positionH relativeFrom="page">
                  <wp:posOffset>727710</wp:posOffset>
                </wp:positionH>
                <wp:positionV relativeFrom="margin">
                  <wp:posOffset>8147050</wp:posOffset>
                </wp:positionV>
                <wp:extent cx="941705" cy="149225"/>
                <wp:wrapTopAndBottom/>
                <wp:docPr id="30" name="Shape 3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wps:txbx>
                      <wps:bodyPr wrap="none" lIns="0" tIns="0" rIns="0" bIns="0">
                        <a:noAutoFit/>
                      </wps:bodyPr>
                    </wps:wsp>
                  </a:graphicData>
                </a:graphic>
              </wp:anchor>
            </w:drawing>
          </mc:Choice>
          <mc:Fallback>
            <w:pict>
              <v:shape id="_x0000_s1056" type="#_x0000_t202" style="position:absolute;margin-left:57.300000000000004pt;margin-top:641.5pt;width:74.150000000000006pt;height:11.75pt;z-index:-125829357;mso-wrap-distance-left:9.pt;mso-wrap-distance-top:12.pt;mso-wrap-distance-right:413.9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v:textbox>
                <w10:wrap type="topAndBottom" anchorx="page" anchory="margin"/>
              </v:shape>
            </w:pict>
          </mc:Fallback>
        </mc:AlternateContent>
      </w:r>
      <w:r>
        <mc:AlternateContent>
          <mc:Choice Requires="wps">
            <w:drawing>
              <wp:anchor distT="152400" distB="0" distL="2345690" distR="2571115" simplePos="0" relativeHeight="125829398" behindDoc="0" locked="0" layoutInCell="1" allowOverlap="1">
                <wp:simplePos x="0" y="0"/>
                <wp:positionH relativeFrom="page">
                  <wp:posOffset>2959100</wp:posOffset>
                </wp:positionH>
                <wp:positionV relativeFrom="margin">
                  <wp:posOffset>8147050</wp:posOffset>
                </wp:positionV>
                <wp:extent cx="1395730" cy="149225"/>
                <wp:wrapTopAndBottom/>
                <wp:docPr id="32" name="Shape 32"/>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wps:txbx>
                      <wps:bodyPr wrap="none" lIns="0" tIns="0" rIns="0" bIns="0">
                        <a:noAutoFit/>
                      </wps:bodyPr>
                    </wps:wsp>
                  </a:graphicData>
                </a:graphic>
              </wp:anchor>
            </w:drawing>
          </mc:Choice>
          <mc:Fallback>
            <w:pict>
              <v:shape id="_x0000_s1058" type="#_x0000_t202" style="position:absolute;margin-left:233.pt;margin-top:641.5pt;width:109.90000000000001pt;height:11.75pt;z-index:-125829355;mso-wrap-distance-left:184.70000000000002pt;mso-wrap-distance-top:12.pt;mso-wrap-distance-right:202.45000000000002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v:textbox>
                <w10:wrap type="topAndBottom" anchorx="page" anchory="margin"/>
              </v:shape>
            </w:pict>
          </mc:Fallback>
        </mc:AlternateContent>
      </w:r>
      <w:r>
        <mc:AlternateContent>
          <mc:Choice Requires="wps">
            <w:drawing>
              <wp:anchor distT="152400" distB="0" distL="5027930" distR="114300" simplePos="0" relativeHeight="125829400" behindDoc="0" locked="0" layoutInCell="1" allowOverlap="1">
                <wp:simplePos x="0" y="0"/>
                <wp:positionH relativeFrom="page">
                  <wp:posOffset>5641340</wp:posOffset>
                </wp:positionH>
                <wp:positionV relativeFrom="margin">
                  <wp:posOffset>8147050</wp:posOffset>
                </wp:positionV>
                <wp:extent cx="1170305" cy="149225"/>
                <wp:wrapTopAndBottom/>
                <wp:docPr id="34" name="Shape 3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wps:txbx>
                      <wps:bodyPr wrap="none" lIns="0" tIns="0" rIns="0" bIns="0">
                        <a:noAutoFit/>
                      </wps:bodyPr>
                    </wps:wsp>
                  </a:graphicData>
                </a:graphic>
              </wp:anchor>
            </w:drawing>
          </mc:Choice>
          <mc:Fallback>
            <w:pict>
              <v:shape id="_x0000_s1060" type="#_x0000_t202" style="position:absolute;margin-left:444.19999999999999pt;margin-top:641.5pt;width:92.150000000000006pt;height:11.75pt;z-index:-125829353;mso-wrap-distance-left:395.90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1,444,979,569.39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1,713,804,900.71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22,585,577.00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6,244,433.50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52,420,100.64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50,567,040.28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675,005,677.64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156,811,473.78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2,119,985,247.03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1,870,616,374.49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367,759,676.34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506,973,731.28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128,092,964.02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115,009,478.98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1,056,757,984.70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994,158,841.42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2,056,610,625.06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2,120,142,051.68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237,883,829.75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223,273,918.41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2,294,494,454.81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2,343,415,970.09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4,414,479,701.84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4,214,032,344.58</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2</w:t>
      </w:r>
      <w:bookmarkEnd w:id="405"/>
      <w:r>
        <w:rPr>
          <w:color w:val="000000"/>
          <w:spacing w:val="0"/>
          <w:w w:val="100"/>
          <w:position w:val="0"/>
        </w:rPr>
        <w:t>、母公司资产负债表</w:t>
      </w:r>
      <w:bookmarkEnd w:id="403"/>
      <w:bookmarkEnd w:id="404"/>
      <w:bookmarkEnd w:id="40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编制单位：荣信电力电子股份有限公司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650,491,364.11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599,608,965.40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141,801,565.20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86,396,022.05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1,413,028,764.58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1,171,776,495.48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155,045,880.15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148,781,180.82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1,225,284.72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22,626,617.05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31,458,680.94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461,244,333.50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408,905,446.85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33,433,208.85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42,874,293.07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40,362,255.13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46,929,844.05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2,918,033,988.57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2,537,956,213.38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207,900,000.00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329,108,523.89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267,921,963.96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642,773,780.00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490,580,731.42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47,736,106.22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47,421,056.70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32,794,479.13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33,744,343.93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77,084,422.74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24,602,532.49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1,077,015,421.73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1,129,752,518.75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3,995,049,410.30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3,667,708,732.13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320,123,828.63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163,886,686.53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574,069,854.86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494,231,343.15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169,787,537.92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123,384,369.41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1,437,917.85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1,412,268.78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7,463,290.56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1,743,094.25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34,766,136.99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24,315,573.77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3,203,555.22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2,793,192.12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1,310,852,122.03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1,461,766,528.01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6,244,433.50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52,420,100.64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50,567,040.28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652,420,100.64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156,811,473.78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1,963,272,222.67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1,618,578,001.79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504,000,000.00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356,356,390.14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504,383,890.14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128,092,964.02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115,009,478.98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1,043,327,833.47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925,737,361.22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2,031,777,187.63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2,049,130,730.34</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3,995,049,410.30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3,667,708,732.13</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6530" simplePos="0" relativeHeight="125829402" behindDoc="0" locked="0" layoutInCell="1" allowOverlap="1">
                <wp:simplePos x="0" y="0"/>
                <wp:positionH relativeFrom="page">
                  <wp:posOffset>706120</wp:posOffset>
                </wp:positionH>
                <wp:positionV relativeFrom="margin">
                  <wp:posOffset>1511935</wp:posOffset>
                </wp:positionV>
                <wp:extent cx="941705" cy="149225"/>
                <wp:wrapTopAndBottom/>
                <wp:docPr id="36" name="Shape 36"/>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wps:txbx>
                      <wps:bodyPr wrap="none" lIns="0" tIns="0" rIns="0" bIns="0">
                        <a:noAutoFit/>
                      </wps:bodyPr>
                    </wps:wsp>
                  </a:graphicData>
                </a:graphic>
              </wp:anchor>
            </w:drawing>
          </mc:Choice>
          <mc:Fallback>
            <w:pict>
              <v:shape id="_x0000_s1062" type="#_x0000_t202" style="position:absolute;margin-left:55.600000000000001pt;margin-top:119.05pt;width:74.150000000000006pt;height:11.75pt;z-index:-125829351;mso-wrap-distance-left:9.pt;mso-wrap-distance-top:12.pt;mso-wrap-distance-right:413.9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v:textbox>
                <w10:wrap type="topAndBottom" anchorx="page" anchory="margin"/>
              </v:shape>
            </w:pict>
          </mc:Fallback>
        </mc:AlternateContent>
      </w:r>
      <w:r>
        <mc:AlternateContent>
          <mc:Choice Requires="wps">
            <w:drawing>
              <wp:anchor distT="152400" distB="0" distL="2345690" distR="2571115" simplePos="0" relativeHeight="125829404" behindDoc="0" locked="0" layoutInCell="1" allowOverlap="1">
                <wp:simplePos x="0" y="0"/>
                <wp:positionH relativeFrom="page">
                  <wp:posOffset>2937510</wp:posOffset>
                </wp:positionH>
                <wp:positionV relativeFrom="margin">
                  <wp:posOffset>1511935</wp:posOffset>
                </wp:positionV>
                <wp:extent cx="1395730" cy="149225"/>
                <wp:wrapTopAndBottom/>
                <wp:docPr id="38" name="Shape 38"/>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wps:txbx>
                      <wps:bodyPr wrap="none" lIns="0" tIns="0" rIns="0" bIns="0">
                        <a:noAutoFit/>
                      </wps:bodyPr>
                    </wps:wsp>
                  </a:graphicData>
                </a:graphic>
              </wp:anchor>
            </w:drawing>
          </mc:Choice>
          <mc:Fallback>
            <w:pict>
              <v:shape id="_x0000_s1064" type="#_x0000_t202" style="position:absolute;margin-left:231.30000000000001pt;margin-top:119.05pt;width:109.90000000000001pt;height:11.75pt;z-index:-125829349;mso-wrap-distance-left:184.70000000000002pt;mso-wrap-distance-top:12.pt;mso-wrap-distance-right:202.45000000000002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v:textbox>
                <w10:wrap type="topAndBottom" anchorx="page" anchory="margin"/>
              </v:shape>
            </w:pict>
          </mc:Fallback>
        </mc:AlternateContent>
      </w:r>
      <w:r>
        <mc:AlternateContent>
          <mc:Choice Requires="wps">
            <w:drawing>
              <wp:anchor distT="152400" distB="0" distL="5027930" distR="114300" simplePos="0" relativeHeight="125829406" behindDoc="0" locked="0" layoutInCell="1" allowOverlap="1">
                <wp:simplePos x="0" y="0"/>
                <wp:positionH relativeFrom="page">
                  <wp:posOffset>5619750</wp:posOffset>
                </wp:positionH>
                <wp:positionV relativeFrom="margin">
                  <wp:posOffset>1511935</wp:posOffset>
                </wp:positionV>
                <wp:extent cx="1170305" cy="149225"/>
                <wp:wrapTopAndBottom/>
                <wp:docPr id="40" name="Shape 4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wps:txbx>
                      <wps:bodyPr wrap="none" lIns="0" tIns="0" rIns="0" bIns="0">
                        <a:noAutoFit/>
                      </wps:bodyPr>
                    </wps:wsp>
                  </a:graphicData>
                </a:graphic>
              </wp:anchor>
            </w:drawing>
          </mc:Choice>
          <mc:Fallback>
            <w:pict>
              <v:shape id="_x0000_s1066" type="#_x0000_t202" style="position:absolute;margin-left:442.5pt;margin-top:119.05pt;width:92.150000000000006pt;height:11.75pt;z-index:-125829347;mso-wrap-distance-left:395.90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v:textbox>
                <w10:wrap type="topAndBottom" anchorx="page" anchory="margin"/>
              </v:shape>
            </w:pict>
          </mc:Fallback>
        </mc:AlternateContent>
      </w: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3</w:t>
      </w:r>
      <w:bookmarkEnd w:id="409"/>
      <w:r>
        <w:rPr>
          <w:color w:val="000000"/>
          <w:spacing w:val="0"/>
          <w:w w:val="100"/>
          <w:position w:val="0"/>
        </w:rPr>
        <w:t>、合并利润表</w:t>
      </w:r>
      <w:bookmarkEnd w:id="407"/>
      <w:bookmarkEnd w:id="408"/>
      <w:bookmarkEnd w:id="41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编制单位：荣信电力电子股份有限公司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1,497,530,910.47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1,287,133,495.51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1,497,530,910.47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1,287,133,495.51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1,619,839,937.32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1,239,905,203.85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894,371,870.05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661,675,739.70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12,660,604.31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17,029,098.50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254,917,095.95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192,706,898.29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326,345,094.94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260,618,406.69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80,619,711.97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67,975,908.48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50,925,560.10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39,899,152.19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153,295,062.18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5,788,027.91</w:t>
            </w:r>
          </w:p>
        </w:tc>
      </w:tr>
    </w:tbl>
    <w:p>
      <w:pPr>
        <w:widowControl w:val="0"/>
        <w:spacing w:line="1" w:lineRule="exact"/>
      </w:pPr>
      <w:r>
        <w:br w:type="page"/>
      </w:r>
    </w:p>
    <w:tbl>
      <w:tblPr>
        <w:tblOverlap w:val="never"/>
        <w:jc w:val="center"/>
        <w:tblLayout w:type="fixed"/>
      </w:tblPr>
      <w:tblGrid>
        <w:gridCol w:w="2971"/>
        <w:gridCol w:w="3298"/>
        <w:gridCol w:w="331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其中：对联营企业和合营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-4,025,895.18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-611,972.09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30,986,035.33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53,016,319.57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68,604,783.64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77,521,336.78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639,173.59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1,449,477.86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244,680.37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513,822.76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98,951,645.38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129,088,178.49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32,679,772.52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20,810,796.17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66,271,872.86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108,277,382.32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75,843,521.47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115,326,193.41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-9,571,648.61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-7,048,811.09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-148,027,500.00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63,750,000.00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-81,755,627.14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172,027,382.32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-72,183,978.53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179,076,193.41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-9,571,648.61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-7,048,811.09</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6530" simplePos="0" relativeHeight="125829408" behindDoc="0" locked="0" layoutInCell="1" allowOverlap="1">
                <wp:simplePos x="0" y="0"/>
                <wp:positionH relativeFrom="page">
                  <wp:posOffset>706120</wp:posOffset>
                </wp:positionH>
                <wp:positionV relativeFrom="margin">
                  <wp:posOffset>6330950</wp:posOffset>
                </wp:positionV>
                <wp:extent cx="941705" cy="149225"/>
                <wp:wrapTopAndBottom/>
                <wp:docPr id="42" name="Shape 4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wps:txbx>
                      <wps:bodyPr wrap="none" lIns="0" tIns="0" rIns="0" bIns="0">
                        <a:noAutoFit/>
                      </wps:bodyPr>
                    </wps:wsp>
                  </a:graphicData>
                </a:graphic>
              </wp:anchor>
            </w:drawing>
          </mc:Choice>
          <mc:Fallback>
            <w:pict>
              <v:shape id="_x0000_s1068" type="#_x0000_t202" style="position:absolute;margin-left:55.600000000000001pt;margin-top:498.5pt;width:74.150000000000006pt;height:11.75pt;z-index:-125829345;mso-wrap-distance-left:9.pt;mso-wrap-distance-top:12.pt;mso-wrap-distance-right:413.9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v:textbox>
                <w10:wrap type="topAndBottom" anchorx="page" anchory="margin"/>
              </v:shape>
            </w:pict>
          </mc:Fallback>
        </mc:AlternateContent>
      </w:r>
      <w:r>
        <mc:AlternateContent>
          <mc:Choice Requires="wps">
            <w:drawing>
              <wp:anchor distT="152400" distB="0" distL="2345690" distR="2571115" simplePos="0" relativeHeight="125829410" behindDoc="0" locked="0" layoutInCell="1" allowOverlap="1">
                <wp:simplePos x="0" y="0"/>
                <wp:positionH relativeFrom="page">
                  <wp:posOffset>2937510</wp:posOffset>
                </wp:positionH>
                <wp:positionV relativeFrom="margin">
                  <wp:posOffset>6330950</wp:posOffset>
                </wp:positionV>
                <wp:extent cx="1395730" cy="149225"/>
                <wp:wrapTopAndBottom/>
                <wp:docPr id="44" name="Shape 44"/>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wps:txbx>
                      <wps:bodyPr wrap="none" lIns="0" tIns="0" rIns="0" bIns="0">
                        <a:noAutoFit/>
                      </wps:bodyPr>
                    </wps:wsp>
                  </a:graphicData>
                </a:graphic>
              </wp:anchor>
            </w:drawing>
          </mc:Choice>
          <mc:Fallback>
            <w:pict>
              <v:shape id="_x0000_s1070" type="#_x0000_t202" style="position:absolute;margin-left:231.30000000000001pt;margin-top:498.5pt;width:109.90000000000001pt;height:11.75pt;z-index:-125829343;mso-wrap-distance-left:184.70000000000002pt;mso-wrap-distance-top:12.pt;mso-wrap-distance-right:202.45000000000002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v:textbox>
                <w10:wrap type="topAndBottom" anchorx="page" anchory="margin"/>
              </v:shape>
            </w:pict>
          </mc:Fallback>
        </mc:AlternateContent>
      </w:r>
      <w:r>
        <mc:AlternateContent>
          <mc:Choice Requires="wps">
            <w:drawing>
              <wp:anchor distT="152400" distB="0" distL="5027930" distR="114300" simplePos="0" relativeHeight="125829412" behindDoc="0" locked="0" layoutInCell="1" allowOverlap="1">
                <wp:simplePos x="0" y="0"/>
                <wp:positionH relativeFrom="page">
                  <wp:posOffset>5619750</wp:posOffset>
                </wp:positionH>
                <wp:positionV relativeFrom="margin">
                  <wp:posOffset>6330950</wp:posOffset>
                </wp:positionV>
                <wp:extent cx="1170305" cy="149225"/>
                <wp:wrapTopAndBottom/>
                <wp:docPr id="46" name="Shape 4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wps:txbx>
                      <wps:bodyPr wrap="none" lIns="0" tIns="0" rIns="0" bIns="0">
                        <a:noAutoFit/>
                      </wps:bodyPr>
                    </wps:wsp>
                  </a:graphicData>
                </a:graphic>
              </wp:anchor>
            </w:drawing>
          </mc:Choice>
          <mc:Fallback>
            <w:pict>
              <v:shape id="_x0000_s1072" type="#_x0000_t202" style="position:absolute;margin-left:442.5pt;margin-top:498.5pt;width:92.150000000000006pt;height:11.75pt;z-index:-125829341;mso-wrap-distance-left:395.90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v:textbox>
                <w10:wrap type="topAndBottom" anchorx="page" anchory="margin"/>
              </v:shape>
            </w:pict>
          </mc:Fallback>
        </mc:AlternateContent>
      </w: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4</w:t>
      </w:r>
      <w:bookmarkEnd w:id="413"/>
      <w:r>
        <w:rPr>
          <w:color w:val="000000"/>
          <w:spacing w:val="0"/>
          <w:w w:val="100"/>
          <w:position w:val="0"/>
        </w:rPr>
        <w:t>、母公司利润表</w:t>
      </w:r>
      <w:bookmarkEnd w:id="411"/>
      <w:bookmarkEnd w:id="412"/>
      <w:bookmarkEnd w:id="41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编制单位：荣信电力电子股份有限公司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1,144,141,834.47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1,083,731,360.13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735,142,459.00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638,465,653.85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7,339,894.70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10,273,287.39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171,853,083.56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173,051,922.99</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171,476,502.08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93,341,033.98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70,155,560.04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57,841,209.59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36,341,699.45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31,400,185.51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150,152,411.67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5,788,027.91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-4,322,914.36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4,288,027.91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101,985,047.31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85,146,094.73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53,768,697.85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65,484,752.78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405,389.31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1,223,221.87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120,831.46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311,595.46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155,348,355.85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149,407,625.64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24,513,505.41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14,957,006.41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130,834,850.44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134,450,619.23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-148,027,500.00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63,750,000.00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-17,192,649.56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198,200,619.23</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6530" simplePos="0" relativeHeight="125829414" behindDoc="0" locked="0" layoutInCell="1" allowOverlap="1">
                <wp:simplePos x="0" y="0"/>
                <wp:positionH relativeFrom="page">
                  <wp:posOffset>706120</wp:posOffset>
                </wp:positionH>
                <wp:positionV relativeFrom="margin">
                  <wp:posOffset>5678170</wp:posOffset>
                </wp:positionV>
                <wp:extent cx="941705" cy="149225"/>
                <wp:wrapTopAndBottom/>
                <wp:docPr id="48" name="Shape 48"/>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wps:txbx>
                      <wps:bodyPr wrap="none" lIns="0" tIns="0" rIns="0" bIns="0">
                        <a:noAutoFit/>
                      </wps:bodyPr>
                    </wps:wsp>
                  </a:graphicData>
                </a:graphic>
              </wp:anchor>
            </w:drawing>
          </mc:Choice>
          <mc:Fallback>
            <w:pict>
              <v:shape id="_x0000_s1074" type="#_x0000_t202" style="position:absolute;margin-left:55.600000000000001pt;margin-top:447.10000000000002pt;width:74.150000000000006pt;height:11.75pt;z-index:-125829339;mso-wrap-distance-left:9.pt;mso-wrap-distance-top:12.pt;mso-wrap-distance-right:413.9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v:textbox>
                <w10:wrap type="topAndBottom" anchorx="page" anchory="margin"/>
              </v:shape>
            </w:pict>
          </mc:Fallback>
        </mc:AlternateContent>
      </w:r>
      <w:r>
        <mc:AlternateContent>
          <mc:Choice Requires="wps">
            <w:drawing>
              <wp:anchor distT="152400" distB="0" distL="2345690" distR="2571115" simplePos="0" relativeHeight="125829416" behindDoc="0" locked="0" layoutInCell="1" allowOverlap="1">
                <wp:simplePos x="0" y="0"/>
                <wp:positionH relativeFrom="page">
                  <wp:posOffset>2937510</wp:posOffset>
                </wp:positionH>
                <wp:positionV relativeFrom="margin">
                  <wp:posOffset>5678170</wp:posOffset>
                </wp:positionV>
                <wp:extent cx="1395730" cy="149225"/>
                <wp:wrapTopAndBottom/>
                <wp:docPr id="50" name="Shape 50"/>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wps:txbx>
                      <wps:bodyPr wrap="none" lIns="0" tIns="0" rIns="0" bIns="0">
                        <a:noAutoFit/>
                      </wps:bodyPr>
                    </wps:wsp>
                  </a:graphicData>
                </a:graphic>
              </wp:anchor>
            </w:drawing>
          </mc:Choice>
          <mc:Fallback>
            <w:pict>
              <v:shape id="_x0000_s1076" type="#_x0000_t202" style="position:absolute;margin-left:231.30000000000001pt;margin-top:447.10000000000002pt;width:109.90000000000001pt;height:11.75pt;z-index:-125829337;mso-wrap-distance-left:184.70000000000002pt;mso-wrap-distance-top:12.pt;mso-wrap-distance-right:202.45000000000002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v:textbox>
                <w10:wrap type="topAndBottom" anchorx="page" anchory="margin"/>
              </v:shape>
            </w:pict>
          </mc:Fallback>
        </mc:AlternateContent>
      </w:r>
      <w:r>
        <mc:AlternateContent>
          <mc:Choice Requires="wps">
            <w:drawing>
              <wp:anchor distT="152400" distB="0" distL="5027930" distR="114300" simplePos="0" relativeHeight="125829418" behindDoc="0" locked="0" layoutInCell="1" allowOverlap="1">
                <wp:simplePos x="0" y="0"/>
                <wp:positionH relativeFrom="page">
                  <wp:posOffset>5619750</wp:posOffset>
                </wp:positionH>
                <wp:positionV relativeFrom="margin">
                  <wp:posOffset>5678170</wp:posOffset>
                </wp:positionV>
                <wp:extent cx="1170305" cy="149225"/>
                <wp:wrapTopAndBottom/>
                <wp:docPr id="52" name="Shape 5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wps:txbx>
                      <wps:bodyPr wrap="none" lIns="0" tIns="0" rIns="0" bIns="0">
                        <a:noAutoFit/>
                      </wps:bodyPr>
                    </wps:wsp>
                  </a:graphicData>
                </a:graphic>
              </wp:anchor>
            </w:drawing>
          </mc:Choice>
          <mc:Fallback>
            <w:pict>
              <v:shape id="_x0000_s1078" type="#_x0000_t202" style="position:absolute;margin-left:442.5pt;margin-top:447.10000000000002pt;width:92.150000000000006pt;height:11.75pt;z-index:-125829335;mso-wrap-distance-left:395.90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v:textbox>
                <w10:wrap type="topAndBottom" anchorx="page" anchory="margin"/>
              </v:shape>
            </w:pict>
          </mc:Fallback>
        </mc:AlternateContent>
      </w: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5</w:t>
      </w:r>
      <w:bookmarkEnd w:id="417"/>
      <w:r>
        <w:rPr>
          <w:color w:val="000000"/>
          <w:spacing w:val="0"/>
          <w:w w:val="100"/>
          <w:position w:val="0"/>
        </w:rPr>
        <w:t>、合并现金流量表</w:t>
      </w:r>
      <w:bookmarkEnd w:id="415"/>
      <w:bookmarkEnd w:id="416"/>
      <w:bookmarkEnd w:id="41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编制单位：荣信电力电子股份有限公司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1,271,957,549.90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1,353,239,831.50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51,435,773.19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81,879,574.19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28,089,924.99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21,201,688.08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1,351,483,248.08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1,456,321,093.77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818,477,065.92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916,995,933.59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136,221,436.53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128,170,012.66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118,275,793.43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147,630,220.59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438,877,260.01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439,888,446.19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1,511,851,555.89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1,632,684,613.03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-160,368,307.81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-176,363,519.26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191,025,152.36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267,776.85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561,792.46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3,778,549.44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198,071,478.65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6,961,792.46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46,558,670.92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60,248,663.80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8,054,195.00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25,358,778.06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39,936,928.65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85,917,448.98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108,239,787.45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112,154,029.67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-101,277,994.99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29,948,500.00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52,205,000.00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29,948,500.00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52,205,000.00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389,030,000.00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696,386,504.53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153,145,456.00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1,172,123,956.00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1,049,091,504.53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607,195,504.53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47,824,352.34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42,622,371.75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21,402,860.01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126,278,456.00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983,227,212.35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776,096,332.28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188,896,743.65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272,995,172.25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-443,486.33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140,677,917.84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-5,089,828.33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500,650,658.27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505,740,486.60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641,328,576.11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500,650,658.27</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6530" simplePos="0" relativeHeight="125829420" behindDoc="0" locked="0" layoutInCell="1" allowOverlap="1">
                <wp:simplePos x="0" y="0"/>
                <wp:positionH relativeFrom="page">
                  <wp:posOffset>706120</wp:posOffset>
                </wp:positionH>
                <wp:positionV relativeFrom="margin">
                  <wp:posOffset>6897370</wp:posOffset>
                </wp:positionV>
                <wp:extent cx="941705" cy="149225"/>
                <wp:wrapTopAndBottom/>
                <wp:docPr id="54" name="Shape 5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wps:txbx>
                      <wps:bodyPr wrap="none" lIns="0" tIns="0" rIns="0" bIns="0">
                        <a:noAutoFit/>
                      </wps:bodyPr>
                    </wps:wsp>
                  </a:graphicData>
                </a:graphic>
              </wp:anchor>
            </w:drawing>
          </mc:Choice>
          <mc:Fallback>
            <w:pict>
              <v:shape id="_x0000_s1080" type="#_x0000_t202" style="position:absolute;margin-left:55.600000000000001pt;margin-top:543.10000000000002pt;width:74.150000000000006pt;height:11.75pt;z-index:-125829333;mso-wrap-distance-left:9.pt;mso-wrap-distance-top:12.pt;mso-wrap-distance-right:413.9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v:textbox>
                <w10:wrap type="topAndBottom" anchorx="page" anchory="margin"/>
              </v:shape>
            </w:pict>
          </mc:Fallback>
        </mc:AlternateContent>
      </w:r>
      <w:r>
        <mc:AlternateContent>
          <mc:Choice Requires="wps">
            <w:drawing>
              <wp:anchor distT="152400" distB="0" distL="2345690" distR="2571115" simplePos="0" relativeHeight="125829422" behindDoc="0" locked="0" layoutInCell="1" allowOverlap="1">
                <wp:simplePos x="0" y="0"/>
                <wp:positionH relativeFrom="page">
                  <wp:posOffset>2937510</wp:posOffset>
                </wp:positionH>
                <wp:positionV relativeFrom="margin">
                  <wp:posOffset>6897370</wp:posOffset>
                </wp:positionV>
                <wp:extent cx="1395730" cy="149225"/>
                <wp:wrapTopAndBottom/>
                <wp:docPr id="56" name="Shape 56"/>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wps:txbx>
                      <wps:bodyPr wrap="none" lIns="0" tIns="0" rIns="0" bIns="0">
                        <a:noAutoFit/>
                      </wps:bodyPr>
                    </wps:wsp>
                  </a:graphicData>
                </a:graphic>
              </wp:anchor>
            </w:drawing>
          </mc:Choice>
          <mc:Fallback>
            <w:pict>
              <v:shape id="_x0000_s1082" type="#_x0000_t202" style="position:absolute;margin-left:231.30000000000001pt;margin-top:543.10000000000002pt;width:109.90000000000001pt;height:11.75pt;z-index:-125829331;mso-wrap-distance-left:184.70000000000002pt;mso-wrap-distance-top:12.pt;mso-wrap-distance-right:202.45000000000002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v:textbox>
                <w10:wrap type="topAndBottom" anchorx="page" anchory="margin"/>
              </v:shape>
            </w:pict>
          </mc:Fallback>
        </mc:AlternateContent>
      </w:r>
      <w:r>
        <mc:AlternateContent>
          <mc:Choice Requires="wps">
            <w:drawing>
              <wp:anchor distT="152400" distB="0" distL="5027930" distR="114300" simplePos="0" relativeHeight="125829424" behindDoc="0" locked="0" layoutInCell="1" allowOverlap="1">
                <wp:simplePos x="0" y="0"/>
                <wp:positionH relativeFrom="page">
                  <wp:posOffset>5619750</wp:posOffset>
                </wp:positionH>
                <wp:positionV relativeFrom="margin">
                  <wp:posOffset>6897370</wp:posOffset>
                </wp:positionV>
                <wp:extent cx="1170305" cy="149225"/>
                <wp:wrapTopAndBottom/>
                <wp:docPr id="58" name="Shape 5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wps:txbx>
                      <wps:bodyPr wrap="none" lIns="0" tIns="0" rIns="0" bIns="0">
                        <a:noAutoFit/>
                      </wps:bodyPr>
                    </wps:wsp>
                  </a:graphicData>
                </a:graphic>
              </wp:anchor>
            </w:drawing>
          </mc:Choice>
          <mc:Fallback>
            <w:pict>
              <v:shape id="_x0000_s1084" type="#_x0000_t202" style="position:absolute;margin-left:442.5pt;margin-top:543.10000000000002pt;width:92.150000000000006pt;height:11.75pt;z-index:-125829329;mso-wrap-distance-left:395.90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v:textbox>
                <w10:wrap type="topAndBottom" anchorx="page" anchory="margin"/>
              </v:shape>
            </w:pict>
          </mc:Fallback>
        </mc:AlternateContent>
      </w: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6</w:t>
      </w:r>
      <w:bookmarkEnd w:id="421"/>
      <w:r>
        <w:rPr>
          <w:color w:val="000000"/>
          <w:spacing w:val="0"/>
          <w:w w:val="100"/>
          <w:position w:val="0"/>
        </w:rPr>
        <w:t>、母公司现金流量表</w:t>
      </w:r>
      <w:bookmarkEnd w:id="419"/>
      <w:bookmarkEnd w:id="420"/>
      <w:bookmarkEnd w:id="42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编制单位：荣信电力电子股份有限公司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1,061,258,212.59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806,442,622.39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37,789,254.00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64,931,930.65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22,491,588.56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9,339,816.25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1,121,539,055.15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880,714,369.29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809,538,297.65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598,666,371.20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48,858,462.83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49,173,578.27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75,735,054.02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109,920,429.99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243,401,658.38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192,666,936.44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1,177,533,472.88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950,427,315.90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-55,994,417.73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-69,712,946.61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191,025,152.36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3,013,000.00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207,776.85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5,219,179.83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15,803,435.31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215,268,544.35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6,420,000.00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13,764,732.32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12,091,946.17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83,902,373.60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53,205,754.20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39,936,928.65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97,667,105.92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105,234,629.02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117,601,438.43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-98,814,629.02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600,386,504.53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126,278,456.00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976,278,456.00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900,386,504.53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574,195,504.53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35,586,647.17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22,865,265.87</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126,278,456.00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835,586,647.17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723,339,226.40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140,691,808.83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177,047,278.13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-382,346.65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202,294,281.86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8,137,355.85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354,008,604.61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345,871,248.76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556,302,886.47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354,008,604.61</w:t>
            </w:r>
          </w:p>
        </w:tc>
      </w:tr>
    </w:tbl>
    <w:p>
      <w:pPr>
        <w:pStyle w:val="Style34"/>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256530" simplePos="0" relativeHeight="125829426" behindDoc="0" locked="0" layoutInCell="1" allowOverlap="1">
                <wp:simplePos x="0" y="0"/>
                <wp:positionH relativeFrom="page">
                  <wp:posOffset>704850</wp:posOffset>
                </wp:positionH>
                <wp:positionV relativeFrom="margin">
                  <wp:posOffset>2277110</wp:posOffset>
                </wp:positionV>
                <wp:extent cx="941705" cy="149225"/>
                <wp:wrapTopAndBottom/>
                <wp:docPr id="60" name="Shape 6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wps:txbx>
                      <wps:bodyPr wrap="none" lIns="0" tIns="0" rIns="0" bIns="0">
                        <a:noAutoFit/>
                      </wps:bodyPr>
                    </wps:wsp>
                  </a:graphicData>
                </a:graphic>
              </wp:anchor>
            </w:drawing>
          </mc:Choice>
          <mc:Fallback>
            <w:pict>
              <v:shape id="_x0000_s1086" type="#_x0000_t202" style="position:absolute;margin-left:55.5pt;margin-top:179.30000000000001pt;width:74.150000000000006pt;height:11.75pt;z-index:-125829327;mso-wrap-distance-left:9.pt;mso-wrap-distance-top:12.pt;mso-wrap-distance-right:413.9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v:textbox>
                <w10:wrap type="topAndBottom" anchorx="page" anchory="margin"/>
              </v:shape>
            </w:pict>
          </mc:Fallback>
        </mc:AlternateContent>
      </w:r>
      <w:r>
        <mc:AlternateContent>
          <mc:Choice Requires="wps">
            <w:drawing>
              <wp:anchor distT="152400" distB="0" distL="2345690" distR="2571115" simplePos="0" relativeHeight="125829428" behindDoc="0" locked="0" layoutInCell="1" allowOverlap="1">
                <wp:simplePos x="0" y="0"/>
                <wp:positionH relativeFrom="page">
                  <wp:posOffset>2936240</wp:posOffset>
                </wp:positionH>
                <wp:positionV relativeFrom="margin">
                  <wp:posOffset>2277110</wp:posOffset>
                </wp:positionV>
                <wp:extent cx="1395730" cy="149225"/>
                <wp:wrapTopAndBottom/>
                <wp:docPr id="62" name="Shape 62"/>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wps:txbx>
                      <wps:bodyPr wrap="none" lIns="0" tIns="0" rIns="0" bIns="0">
                        <a:noAutoFit/>
                      </wps:bodyPr>
                    </wps:wsp>
                  </a:graphicData>
                </a:graphic>
              </wp:anchor>
            </w:drawing>
          </mc:Choice>
          <mc:Fallback>
            <w:pict>
              <v:shape id="_x0000_s1088" type="#_x0000_t202" style="position:absolute;margin-left:231.20000000000002pt;margin-top:179.30000000000001pt;width:109.90000000000001pt;height:11.75pt;z-index:-125829325;mso-wrap-distance-left:184.70000000000002pt;mso-wrap-distance-top:12.pt;mso-wrap-distance-right:202.45000000000002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v:textbox>
                <w10:wrap type="topAndBottom" anchorx="page" anchory="margin"/>
              </v:shape>
            </w:pict>
          </mc:Fallback>
        </mc:AlternateContent>
      </w:r>
      <w:r>
        <mc:AlternateContent>
          <mc:Choice Requires="wps">
            <w:drawing>
              <wp:anchor distT="152400" distB="0" distL="5027930" distR="114300" simplePos="0" relativeHeight="125829430" behindDoc="0" locked="0" layoutInCell="1" allowOverlap="1">
                <wp:simplePos x="0" y="0"/>
                <wp:positionH relativeFrom="page">
                  <wp:posOffset>5618480</wp:posOffset>
                </wp:positionH>
                <wp:positionV relativeFrom="margin">
                  <wp:posOffset>2277110</wp:posOffset>
                </wp:positionV>
                <wp:extent cx="1170305" cy="149225"/>
                <wp:wrapTopAndBottom/>
                <wp:docPr id="64" name="Shape 6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wps:txbx>
                      <wps:bodyPr wrap="none" lIns="0" tIns="0" rIns="0" bIns="0">
                        <a:noAutoFit/>
                      </wps:bodyPr>
                    </wps:wsp>
                  </a:graphicData>
                </a:graphic>
              </wp:anchor>
            </w:drawing>
          </mc:Choice>
          <mc:Fallback>
            <w:pict>
              <v:shape id="_x0000_s1090" type="#_x0000_t202" style="position:absolute;margin-left:442.40000000000003pt;margin-top:179.30000000000001pt;width:92.150000000000006pt;height:11.75pt;z-index:-125829323;mso-wrap-distance-left:395.90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v:textbox>
                <w10:wrap type="topAndBottom" anchorx="page" anchory="margin"/>
              </v:shape>
            </w:pict>
          </mc:Fallback>
        </mc:AlternateContent>
      </w: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7</w:t>
      </w:r>
      <w:bookmarkEnd w:id="425"/>
      <w:r>
        <w:rPr>
          <w:color w:val="000000"/>
          <w:spacing w:val="0"/>
          <w:w w:val="100"/>
          <w:position w:val="0"/>
        </w:rPr>
        <w:t>、合并所有者权益变动表</w:t>
      </w:r>
      <w:bookmarkEnd w:id="423"/>
      <w:bookmarkEnd w:id="424"/>
      <w:bookmarkEnd w:id="42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编制单位：荣信电力电子股份有限公司 </w:t>
      </w: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506,973,</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115,009,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994,158,</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223,273,9</w:t>
            </w:r>
          </w:p>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2,343,415,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506,973,</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115,009,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994,158,</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223,273,9</w:t>
            </w:r>
          </w:p>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2,343,415,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-139,21</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4,054.94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13,083,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62,599,1</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14,609,91</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-48,921,51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75,843,5</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-9,571,64</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66,271,872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-148,02</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-148,027,5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-148,02</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75,843,5</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-9,571,64</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-81,755,62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8,813,44</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-160,89</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24,181,55</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32,834,111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32,795,00</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32,795,000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8,813,44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-160,89</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-8,613,44</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39,111.86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13,083,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-13,083,</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13,083,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-13,083,</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367,759,</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676.34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128,092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1,056,75</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7,984.70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237,883,8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2,294,494,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454.81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454,345,</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101,564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892,277,</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709.93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161,356,1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2,113,543,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加：同一控制下企业合并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37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161,356,1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2,113,543,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349.44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,417.06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709.93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587.77</w:t>
            </w:r>
          </w:p>
        </w:tc>
      </w:tr>
      <w:tr>
        <w:trPr>
          <w:trHeight w:val="36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52,628,3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61,917,80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229,872,38</w:t>
            </w:r>
          </w:p>
        </w:tc>
      </w:tr>
      <w:tr>
        <w:trPr>
          <w:trHeight w:val="350"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061.92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131.49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-7,048,81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108,277,38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63,750,000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-7,048,81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172,027,38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68,966,61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57,845,000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618.16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8.16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58,705,00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58,705,000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10,261,61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618.16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8.16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061.92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061.92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061.92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061.92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506,973,</w:t>
            </w:r>
          </w:p>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115,009,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994,158,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223,273,9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2,343,415,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970.09</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6530" simplePos="0" relativeHeight="125829432" behindDoc="0" locked="0" layoutInCell="1" allowOverlap="1">
                <wp:simplePos x="0" y="0"/>
                <wp:positionH relativeFrom="page">
                  <wp:posOffset>706120</wp:posOffset>
                </wp:positionH>
                <wp:positionV relativeFrom="margin">
                  <wp:posOffset>1764665</wp:posOffset>
                </wp:positionV>
                <wp:extent cx="941705" cy="149225"/>
                <wp:wrapTopAndBottom/>
                <wp:docPr id="66" name="Shape 66"/>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wps:txbx>
                      <wps:bodyPr wrap="none" lIns="0" tIns="0" rIns="0" bIns="0">
                        <a:noAutoFit/>
                      </wps:bodyPr>
                    </wps:wsp>
                  </a:graphicData>
                </a:graphic>
              </wp:anchor>
            </w:drawing>
          </mc:Choice>
          <mc:Fallback>
            <w:pict>
              <v:shape id="_x0000_s1092" type="#_x0000_t202" style="position:absolute;margin-left:55.600000000000001pt;margin-top:138.95000000000002pt;width:74.150000000000006pt;height:11.75pt;z-index:-125829321;mso-wrap-distance-left:9.pt;mso-wrap-distance-top:12.pt;mso-wrap-distance-right:413.9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v:textbox>
                <w10:wrap type="topAndBottom" anchorx="page" anchory="margin"/>
              </v:shape>
            </w:pict>
          </mc:Fallback>
        </mc:AlternateContent>
      </w:r>
      <w:r>
        <mc:AlternateContent>
          <mc:Choice Requires="wps">
            <w:drawing>
              <wp:anchor distT="152400" distB="0" distL="2345690" distR="2571115" simplePos="0" relativeHeight="125829434" behindDoc="0" locked="0" layoutInCell="1" allowOverlap="1">
                <wp:simplePos x="0" y="0"/>
                <wp:positionH relativeFrom="page">
                  <wp:posOffset>2937510</wp:posOffset>
                </wp:positionH>
                <wp:positionV relativeFrom="margin">
                  <wp:posOffset>1764665</wp:posOffset>
                </wp:positionV>
                <wp:extent cx="1395730" cy="149225"/>
                <wp:wrapTopAndBottom/>
                <wp:docPr id="68" name="Shape 68"/>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wps:txbx>
                      <wps:bodyPr wrap="none" lIns="0" tIns="0" rIns="0" bIns="0">
                        <a:noAutoFit/>
                      </wps:bodyPr>
                    </wps:wsp>
                  </a:graphicData>
                </a:graphic>
              </wp:anchor>
            </w:drawing>
          </mc:Choice>
          <mc:Fallback>
            <w:pict>
              <v:shape id="_x0000_s1094" type="#_x0000_t202" style="position:absolute;margin-left:231.30000000000001pt;margin-top:138.95000000000002pt;width:109.90000000000001pt;height:11.75pt;z-index:-125829319;mso-wrap-distance-left:184.70000000000002pt;mso-wrap-distance-top:12.pt;mso-wrap-distance-right:202.45000000000002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v:textbox>
                <w10:wrap type="topAndBottom" anchorx="page" anchory="margin"/>
              </v:shape>
            </w:pict>
          </mc:Fallback>
        </mc:AlternateContent>
      </w:r>
      <w:r>
        <mc:AlternateContent>
          <mc:Choice Requires="wps">
            <w:drawing>
              <wp:anchor distT="152400" distB="0" distL="5027930" distR="114300" simplePos="0" relativeHeight="125829436" behindDoc="0" locked="0" layoutInCell="1" allowOverlap="1">
                <wp:simplePos x="0" y="0"/>
                <wp:positionH relativeFrom="page">
                  <wp:posOffset>5619750</wp:posOffset>
                </wp:positionH>
                <wp:positionV relativeFrom="margin">
                  <wp:posOffset>1764665</wp:posOffset>
                </wp:positionV>
                <wp:extent cx="1170305" cy="149225"/>
                <wp:wrapTopAndBottom/>
                <wp:docPr id="70" name="Shape 7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wps:txbx>
                      <wps:bodyPr wrap="none" lIns="0" tIns="0" rIns="0" bIns="0">
                        <a:noAutoFit/>
                      </wps:bodyPr>
                    </wps:wsp>
                  </a:graphicData>
                </a:graphic>
              </wp:anchor>
            </w:drawing>
          </mc:Choice>
          <mc:Fallback>
            <w:pict>
              <v:shape id="_x0000_s1096" type="#_x0000_t202" style="position:absolute;margin-left:442.5pt;margin-top:138.95000000000002pt;width:92.150000000000006pt;height:11.75pt;z-index:-125829317;mso-wrap-distance-left:395.90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会计机构负责人：陈宏</w:t>
                      </w:r>
                    </w:p>
                  </w:txbxContent>
                </v:textbox>
                <w10:wrap type="topAndBottom" anchorx="page" anchory="margin"/>
              </v:shape>
            </w:pict>
          </mc:Fallback>
        </mc:AlternateContent>
      </w: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8</w:t>
      </w:r>
      <w:bookmarkEnd w:id="429"/>
      <w:r>
        <w:rPr>
          <w:color w:val="000000"/>
          <w:spacing w:val="0"/>
          <w:w w:val="100"/>
          <w:position w:val="0"/>
        </w:rPr>
        <w:t>、母公司所有者权益变动表</w:t>
      </w:r>
      <w:bookmarkEnd w:id="427"/>
      <w:bookmarkEnd w:id="428"/>
      <w:bookmarkEnd w:id="43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编制单位：荣信电力电子股份有限公司 </w:t>
      </w: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504,383,89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115,009,47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925,737,36</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2,049,130,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504,383,89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115,009,47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925,737,36</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2,049,130,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-148,027,5</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13,083,485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117,590,47</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-17,353,54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130,834,85</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130,834,85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-148,027,5</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-148,027,5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-148,027,5</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130,834,85</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-17,192,64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-160,893.1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-160,893.1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-160,893.1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-160,893.1</w:t>
            </w:r>
          </w:p>
        </w:tc>
      </w:tr>
    </w:tbl>
    <w:p>
      <w:pPr>
        <w:widowControl w:val="0"/>
        <w:spacing w:line="1" w:lineRule="exact"/>
      </w:pPr>
      <w:r>
        <w:br w:type="page"/>
      </w:r>
    </w:p>
    <w:tbl>
      <w:tblPr>
        <w:tblOverlap w:val="never"/>
        <w:jc w:val="center"/>
        <w:tblLayout w:type="fixed"/>
      </w:tblPr>
      <w:tblGrid>
        <w:gridCol w:w="2477"/>
        <w:gridCol w:w="888"/>
        <w:gridCol w:w="883"/>
        <w:gridCol w:w="888"/>
        <w:gridCol w:w="883"/>
        <w:gridCol w:w="888"/>
        <w:gridCol w:w="883"/>
        <w:gridCol w:w="888"/>
        <w:gridCol w:w="9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13,083,485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-13,083,48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13,083,485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-13,083,48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356,356,39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128,092,96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1,043,327,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2,031,777,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888"/>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440,633,89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101,564,41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804,731,80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1,850,930,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440,633,89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101,564,41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804,731,80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1,850,930,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三、本期增减变动金额（减少以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63,750,000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13,445,061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121,005,55</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198,200,61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134,450,61</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134,450,61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63,750,000</w:t>
            </w:r>
          </w:p>
        </w:tc>
      </w:tr>
    </w:tbl>
    <w:p>
      <w:pPr>
        <w:widowControl w:val="0"/>
        <w:spacing w:line="1" w:lineRule="exact"/>
      </w:pPr>
      <w:r>
        <w:br w:type="page"/>
      </w:r>
    </w:p>
    <w:tbl>
      <w:tblPr>
        <w:tblOverlap w:val="never"/>
        <w:jc w:val="center"/>
        <w:tblLayout w:type="fixed"/>
      </w:tblPr>
      <w:tblGrid>
        <w:gridCol w:w="2496"/>
        <w:gridCol w:w="888"/>
        <w:gridCol w:w="883"/>
        <w:gridCol w:w="888"/>
        <w:gridCol w:w="883"/>
        <w:gridCol w:w="883"/>
        <w:gridCol w:w="883"/>
        <w:gridCol w:w="883"/>
        <w:gridCol w:w="893"/>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63,750,000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134,450,61</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198,200,61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13,445,061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-13,445,06</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13,445,061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-13,445,06</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504,383,89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115,009,47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925,737,36</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2,049,130,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730.34</w:t>
            </w:r>
          </w:p>
        </w:tc>
      </w:tr>
    </w:tbl>
    <w:p>
      <w:pPr>
        <w:widowControl w:val="0"/>
        <w:spacing w:after="359" w:line="1" w:lineRule="exact"/>
      </w:pPr>
    </w:p>
    <w:p>
      <w:pPr>
        <w:pStyle w:val="Style29"/>
        <w:keepNext w:val="0"/>
        <w:keepLines w:val="0"/>
        <w:widowControl w:val="0"/>
        <w:shd w:val="clear" w:color="auto" w:fill="auto"/>
        <w:tabs>
          <w:tab w:pos="3485" w:val="left"/>
          <w:tab w:pos="7685" w:val="left"/>
        </w:tabs>
        <w:bidi w:val="0"/>
        <w:spacing w:before="0" w:after="360" w:line="240" w:lineRule="auto"/>
        <w:ind w:left="0" w:right="0" w:firstLine="0"/>
        <w:jc w:val="left"/>
      </w:pPr>
      <w:r>
        <w:rPr>
          <w:color w:val="000000"/>
          <w:spacing w:val="0"/>
          <w:w w:val="100"/>
          <w:position w:val="0"/>
        </w:rPr>
        <w:t>法定代表人：左强</w:t>
        <w:tab/>
        <w:t>主管会计工作负责人：戴东</w:t>
        <w:tab/>
        <w:t>会计机构负责人：陈宏</w:t>
      </w:r>
    </w:p>
    <w:p>
      <w:pPr>
        <w:pStyle w:val="Style25"/>
        <w:keepNext/>
        <w:keepLines/>
        <w:widowControl w:val="0"/>
        <w:shd w:val="clear" w:color="auto" w:fill="auto"/>
        <w:bidi w:val="0"/>
        <w:spacing w:before="0" w:after="26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sz w:val="24"/>
          <w:szCs w:val="24"/>
        </w:rPr>
        <w:t>三</w:t>
      </w:r>
      <w:bookmarkEnd w:id="433"/>
      <w:r>
        <w:rPr>
          <w:color w:val="000000"/>
          <w:spacing w:val="0"/>
          <w:w w:val="100"/>
          <w:position w:val="0"/>
          <w:sz w:val="24"/>
          <w:szCs w:val="24"/>
        </w:rPr>
        <w:t>、公司基本情况</w:t>
      </w:r>
      <w:bookmarkEnd w:id="431"/>
      <w:bookmarkEnd w:id="432"/>
      <w:bookmarkEnd w:id="434"/>
    </w:p>
    <w:p>
      <w:pPr>
        <w:pStyle w:val="Style16"/>
        <w:keepNext w:val="0"/>
        <w:keepLines w:val="0"/>
        <w:widowControl w:val="0"/>
        <w:shd w:val="clear" w:color="auto" w:fill="auto"/>
        <w:bidi w:val="0"/>
        <w:spacing w:before="0" w:after="0" w:line="309" w:lineRule="exact"/>
        <w:ind w:left="0" w:right="0" w:firstLine="440"/>
        <w:jc w:val="both"/>
      </w:pPr>
      <w:r>
        <w:rPr>
          <w:color w:val="000000"/>
          <w:spacing w:val="0"/>
          <w:w w:val="100"/>
          <w:position w:val="0"/>
        </w:rPr>
        <w:t>荣信电力电子股份有限公司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rPr>
        <w:t>）</w:t>
      </w:r>
      <w:r>
        <w:rPr>
          <w:color w:val="000000"/>
          <w:spacing w:val="0"/>
          <w:w w:val="100"/>
          <w:position w:val="0"/>
        </w:rPr>
        <w:t>前身系鞍山荣信电力电子有限公司，鞍山荣信电 力电子有限公司系由鞍山市电子电力公司和辽宁科发实业公司共同出资组建，于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日在鞍山市 工商行政管理局登记注册，取得注册号为</w:t>
      </w:r>
      <w:r>
        <w:rPr>
          <w:rFonts w:ascii="Times New Roman" w:eastAsia="Times New Roman" w:hAnsi="Times New Roman" w:cs="Times New Roman"/>
          <w:color w:val="000000"/>
          <w:spacing w:val="0"/>
          <w:w w:val="100"/>
          <w:position w:val="0"/>
        </w:rPr>
        <w:t>11888731</w:t>
      </w:r>
      <w:r>
        <w:rPr>
          <w:color w:val="000000"/>
          <w:spacing w:val="0"/>
          <w:w w:val="100"/>
          <w:position w:val="0"/>
        </w:rPr>
        <w:t xml:space="preserve">的《企业法人营业执照》，公司成立时注册资本 </w:t>
      </w:r>
      <w:r>
        <w:rPr>
          <w:rFonts w:ascii="Times New Roman" w:eastAsia="Times New Roman" w:hAnsi="Times New Roman" w:cs="Times New Roman"/>
          <w:color w:val="000000"/>
          <w:spacing w:val="0"/>
          <w:w w:val="100"/>
          <w:position w:val="0"/>
        </w:rPr>
        <w:t>8,700,000.00</w:t>
      </w:r>
      <w:r>
        <w:rPr>
          <w:color w:val="000000"/>
          <w:spacing w:val="0"/>
          <w:w w:val="100"/>
          <w:position w:val="0"/>
        </w:rPr>
        <w:t>元。</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日公司整体改组为股份有限公司，取得变更后的注册号为</w:t>
      </w:r>
      <w:r>
        <w:rPr>
          <w:rFonts w:ascii="Times New Roman" w:eastAsia="Times New Roman" w:hAnsi="Times New Roman" w:cs="Times New Roman"/>
          <w:color w:val="000000"/>
          <w:spacing w:val="0"/>
          <w:w w:val="100"/>
          <w:position w:val="0"/>
        </w:rPr>
        <w:t>2100001050674</w:t>
      </w:r>
      <w:r>
        <w:rPr>
          <w:color w:val="000000"/>
          <w:spacing w:val="0"/>
          <w:w w:val="100"/>
          <w:position w:val="0"/>
        </w:rPr>
        <w:t>的 《企业法人营业执照》，注册资本变更为</w:t>
      </w:r>
      <w:r>
        <w:rPr>
          <w:rFonts w:ascii="Times New Roman" w:eastAsia="Times New Roman" w:hAnsi="Times New Roman" w:cs="Times New Roman"/>
          <w:color w:val="000000"/>
          <w:spacing w:val="0"/>
          <w:w w:val="100"/>
          <w:position w:val="0"/>
        </w:rPr>
        <w:t>26,310,000.00</w:t>
      </w:r>
      <w:r>
        <w:rPr>
          <w:color w:val="000000"/>
          <w:spacing w:val="0"/>
          <w:w w:val="100"/>
          <w:position w:val="0"/>
        </w:rPr>
        <w:t>元，名称变更为鞍山荣信电力电子股份有限公司。</w:t>
      </w:r>
    </w:p>
    <w:p>
      <w:pPr>
        <w:pStyle w:val="Style16"/>
        <w:keepNext w:val="0"/>
        <w:keepLines w:val="0"/>
        <w:widowControl w:val="0"/>
        <w:shd w:val="clear" w:color="auto" w:fill="auto"/>
        <w:bidi w:val="0"/>
        <w:spacing w:before="0" w:after="360" w:line="309"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日在辽宁省工商行政管理局变更为荣信电力电子股份有限公司，取得注册号为 </w:t>
      </w:r>
      <w:r>
        <w:rPr>
          <w:rFonts w:ascii="Times New Roman" w:eastAsia="Times New Roman" w:hAnsi="Times New Roman" w:cs="Times New Roman"/>
          <w:color w:val="000000"/>
          <w:spacing w:val="0"/>
          <w:w w:val="100"/>
          <w:position w:val="0"/>
        </w:rPr>
        <w:t>210000004920217</w:t>
      </w:r>
      <w:r>
        <w:rPr>
          <w:color w:val="000000"/>
          <w:spacing w:val="0"/>
          <w:w w:val="100"/>
          <w:position w:val="0"/>
        </w:rPr>
        <w:t>的《企业法人营业执照》。公司现有注册资本</w:t>
      </w:r>
      <w:r>
        <w:rPr>
          <w:rFonts w:ascii="Times New Roman" w:eastAsia="Times New Roman" w:hAnsi="Times New Roman" w:cs="Times New Roman"/>
          <w:color w:val="000000"/>
          <w:spacing w:val="0"/>
          <w:w w:val="100"/>
          <w:position w:val="0"/>
        </w:rPr>
        <w:t>504,000,000.00</w:t>
      </w:r>
      <w:r>
        <w:rPr>
          <w:color w:val="000000"/>
          <w:spacing w:val="0"/>
          <w:w w:val="100"/>
          <w:position w:val="0"/>
        </w:rPr>
        <w:t>元，股份总数</w:t>
      </w:r>
      <w:r>
        <w:rPr>
          <w:rFonts w:ascii="Times New Roman" w:eastAsia="Times New Roman" w:hAnsi="Times New Roman" w:cs="Times New Roman"/>
          <w:color w:val="000000"/>
          <w:spacing w:val="0"/>
          <w:w w:val="100"/>
          <w:position w:val="0"/>
        </w:rPr>
        <w:t>504,000,000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每</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51,084,954</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452,915,046</w:t>
      </w:r>
      <w:r>
        <w:rPr>
          <w:color w:val="000000"/>
          <w:spacing w:val="0"/>
          <w:w w:val="100"/>
          <w:position w:val="0"/>
        </w:rPr>
        <w:t>股。 公司股票于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日在深圳证券交易所挂牌交易。</w:t>
      </w:r>
    </w:p>
    <w:p>
      <w:pPr>
        <w:pStyle w:val="Style16"/>
        <w:keepNext w:val="0"/>
        <w:keepLines w:val="0"/>
        <w:widowControl w:val="0"/>
        <w:shd w:val="clear" w:color="auto" w:fill="auto"/>
        <w:bidi w:val="0"/>
        <w:spacing w:before="0" w:after="660" w:line="313" w:lineRule="exact"/>
        <w:ind w:left="0" w:right="0" w:firstLine="440"/>
        <w:jc w:val="both"/>
      </w:pPr>
      <w:r>
        <w:rPr>
          <w:color w:val="000000"/>
          <w:spacing w:val="0"/>
          <w:w w:val="100"/>
          <w:position w:val="0"/>
        </w:rPr>
        <w:t>本公司属节能大功率电力电子设备制造业。经营范围：无功补偿设备、输变电设备、防爆电气设备、 变频调速设备及其控制系统的研发、生产、销售和售后维修；电力电子元件、仪器仪表生产、销售；电力 电子产品及技术的进出口经营（国家禁止的除外，限制的凭许可证明经营）。主要产品或提供的劳务：节 能大功率电力电子产品。</w:t>
      </w:r>
    </w:p>
    <w:p>
      <w:pPr>
        <w:pStyle w:val="Style25"/>
        <w:keepNext/>
        <w:keepLines/>
        <w:widowControl w:val="0"/>
        <w:shd w:val="clear" w:color="auto" w:fill="auto"/>
        <w:bidi w:val="0"/>
        <w:spacing w:before="0" w:after="34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sz w:val="24"/>
          <w:szCs w:val="24"/>
        </w:rPr>
        <w:t>四</w:t>
      </w:r>
      <w:bookmarkEnd w:id="437"/>
      <w:r>
        <w:rPr>
          <w:color w:val="000000"/>
          <w:spacing w:val="0"/>
          <w:w w:val="100"/>
          <w:position w:val="0"/>
          <w:sz w:val="24"/>
          <w:szCs w:val="24"/>
        </w:rPr>
        <w:t>、公司主要会计政策、会计估计和前期差错</w:t>
      </w:r>
      <w:bookmarkEnd w:id="435"/>
      <w:bookmarkEnd w:id="436"/>
      <w:bookmarkEnd w:id="438"/>
    </w:p>
    <w:p>
      <w:pPr>
        <w:pStyle w:val="Style34"/>
        <w:keepNext/>
        <w:keepLines/>
        <w:widowControl w:val="0"/>
        <w:shd w:val="clear" w:color="auto" w:fill="auto"/>
        <w:tabs>
          <w:tab w:pos="373" w:val="left"/>
        </w:tabs>
        <w:bidi w:val="0"/>
        <w:spacing w:before="0" w:after="180" w:line="329"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w:t>
        <w:tab/>
        <w:t>财务报表的编制基础</w:t>
      </w:r>
      <w:bookmarkEnd w:id="439"/>
      <w:bookmarkEnd w:id="440"/>
      <w:bookmarkEnd w:id="442"/>
    </w:p>
    <w:p>
      <w:pPr>
        <w:pStyle w:val="Style16"/>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本公司财务报表以持续经营为编制基础。</w:t>
      </w:r>
    </w:p>
    <w:p>
      <w:pPr>
        <w:pStyle w:val="Style34"/>
        <w:keepNext/>
        <w:keepLines/>
        <w:widowControl w:val="0"/>
        <w:shd w:val="clear" w:color="auto" w:fill="auto"/>
        <w:tabs>
          <w:tab w:pos="382" w:val="left"/>
        </w:tabs>
        <w:bidi w:val="0"/>
        <w:spacing w:before="0" w:after="180" w:line="329"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w:t>
        <w:tab/>
        <w:t>遵循企业会计准则的声明</w:t>
      </w:r>
      <w:bookmarkEnd w:id="443"/>
      <w:bookmarkEnd w:id="444"/>
      <w:bookmarkEnd w:id="446"/>
    </w:p>
    <w:p>
      <w:pPr>
        <w:pStyle w:val="Style16"/>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本公司所编制的财务报表符合企业会计准则的要求，真实、完整地反映了公司的财务状况、经营成果 和现金流量等有关信息。</w:t>
      </w:r>
    </w:p>
    <w:p>
      <w:pPr>
        <w:pStyle w:val="Style34"/>
        <w:keepNext/>
        <w:keepLines/>
        <w:widowControl w:val="0"/>
        <w:shd w:val="clear" w:color="auto" w:fill="auto"/>
        <w:tabs>
          <w:tab w:pos="382" w:val="left"/>
        </w:tabs>
        <w:bidi w:val="0"/>
        <w:spacing w:before="0" w:after="180" w:line="329" w:lineRule="auto"/>
        <w:ind w:left="0" w:right="0" w:firstLine="0"/>
        <w:jc w:val="both"/>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3</w:t>
      </w:r>
      <w:bookmarkEnd w:id="449"/>
      <w:r>
        <w:rPr>
          <w:color w:val="000000"/>
          <w:spacing w:val="0"/>
          <w:w w:val="100"/>
          <w:position w:val="0"/>
        </w:rPr>
        <w:t>、</w:t>
        <w:tab/>
        <w:t>会计期间</w:t>
      </w:r>
      <w:bookmarkEnd w:id="447"/>
      <w:bookmarkEnd w:id="448"/>
      <w:bookmarkEnd w:id="450"/>
    </w:p>
    <w:p>
      <w:pPr>
        <w:pStyle w:val="Style16"/>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shd w:val="clear" w:color="auto" w:fill="auto"/>
        <w:tabs>
          <w:tab w:pos="382" w:val="left"/>
        </w:tabs>
        <w:bidi w:val="0"/>
        <w:spacing w:before="0" w:after="180" w:line="329" w:lineRule="auto"/>
        <w:ind w:left="0" w:right="0" w:firstLine="0"/>
        <w:jc w:val="both"/>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4</w:t>
      </w:r>
      <w:bookmarkEnd w:id="453"/>
      <w:r>
        <w:rPr>
          <w:color w:val="000000"/>
          <w:spacing w:val="0"/>
          <w:w w:val="100"/>
          <w:position w:val="0"/>
        </w:rPr>
        <w:t>、</w:t>
        <w:tab/>
        <w:t>记账本位币</w:t>
      </w:r>
      <w:bookmarkEnd w:id="451"/>
      <w:bookmarkEnd w:id="452"/>
      <w:bookmarkEnd w:id="454"/>
    </w:p>
    <w:p>
      <w:pPr>
        <w:pStyle w:val="Style1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采用人民币为记账本位币。</w:t>
      </w:r>
    </w:p>
    <w:p>
      <w:pPr>
        <w:pStyle w:val="Style34"/>
        <w:keepNext/>
        <w:keepLines/>
        <w:widowControl w:val="0"/>
        <w:shd w:val="clear" w:color="auto" w:fill="auto"/>
        <w:tabs>
          <w:tab w:pos="382" w:val="left"/>
        </w:tabs>
        <w:bidi w:val="0"/>
        <w:spacing w:before="0" w:after="280" w:line="314" w:lineRule="exact"/>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5</w:t>
      </w:r>
      <w:bookmarkEnd w:id="457"/>
      <w:r>
        <w:rPr>
          <w:color w:val="000000"/>
          <w:spacing w:val="0"/>
          <w:w w:val="100"/>
          <w:position w:val="0"/>
        </w:rPr>
        <w:t>、</w:t>
        <w:tab/>
        <w:t>同一控制下和非同一控制下企业合并的会计处理方法</w:t>
      </w:r>
      <w:bookmarkEnd w:id="455"/>
      <w:bookmarkEnd w:id="456"/>
      <w:bookmarkEnd w:id="458"/>
    </w:p>
    <w:p>
      <w:pPr>
        <w:pStyle w:val="Style34"/>
        <w:keepNext/>
        <w:keepLines/>
        <w:widowControl w:val="0"/>
        <w:shd w:val="clear" w:color="auto" w:fill="auto"/>
        <w:tabs>
          <w:tab w:pos="493" w:val="left"/>
        </w:tabs>
        <w:bidi w:val="0"/>
        <w:spacing w:before="0" w:after="280" w:line="314" w:lineRule="exact"/>
        <w:ind w:left="0" w:right="0" w:firstLine="0"/>
        <w:jc w:val="left"/>
      </w:pPr>
      <w:bookmarkStart w:id="455" w:name="bookmark455"/>
      <w:bookmarkStart w:id="456" w:name="bookmark456"/>
      <w:bookmarkStart w:id="459" w:name="bookmark459"/>
      <w:bookmarkStart w:id="460" w:name="bookmark460"/>
      <w:r>
        <w:rPr>
          <w:color w:val="000000"/>
          <w:spacing w:val="0"/>
          <w:w w:val="100"/>
          <w:position w:val="0"/>
        </w:rPr>
        <w:t>（</w:t>
      </w:r>
      <w:bookmarkEnd w:id="459"/>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55"/>
      <w:bookmarkEnd w:id="456"/>
      <w:bookmarkEnd w:id="460"/>
    </w:p>
    <w:p>
      <w:pPr>
        <w:pStyle w:val="Style1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公司在企业合并中取得的资产和负债，按照合并日被合并方的账面价值计量。公司取得的净资产账面 价值与支付的合并对价账面价值</w:t>
      </w:r>
      <w:r>
        <w:rPr>
          <w:rFonts w:ascii="Times New Roman" w:eastAsia="Times New Roman" w:hAnsi="Times New Roman" w:cs="Times New Roman"/>
          <w:color w:val="000000"/>
          <w:spacing w:val="0"/>
          <w:w w:val="100"/>
          <w:position w:val="0"/>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rPr>
        <w:t>）</w:t>
      </w:r>
      <w:r>
        <w:rPr>
          <w:color w:val="000000"/>
          <w:spacing w:val="0"/>
          <w:w w:val="100"/>
          <w:position w:val="0"/>
        </w:rPr>
        <w:t>的差额，调整资本公积；资本公积不足冲减的，调 整留存收益。</w:t>
      </w:r>
    </w:p>
    <w:p>
      <w:pPr>
        <w:pStyle w:val="Style34"/>
        <w:keepNext/>
        <w:keepLines/>
        <w:widowControl w:val="0"/>
        <w:shd w:val="clear" w:color="auto" w:fill="auto"/>
        <w:tabs>
          <w:tab w:pos="493" w:val="left"/>
        </w:tabs>
        <w:bidi w:val="0"/>
        <w:spacing w:before="0" w:after="280" w:line="314"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w:t>
      </w:r>
      <w:bookmarkEnd w:id="463"/>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61"/>
      <w:bookmarkEnd w:id="462"/>
      <w:bookmarkEnd w:id="464"/>
    </w:p>
    <w:p>
      <w:pPr>
        <w:pStyle w:val="Style16"/>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34"/>
        <w:keepNext/>
        <w:keepLines/>
        <w:widowControl w:val="0"/>
        <w:shd w:val="clear" w:color="auto" w:fill="auto"/>
        <w:tabs>
          <w:tab w:pos="382" w:val="left"/>
        </w:tabs>
        <w:bidi w:val="0"/>
        <w:spacing w:before="0" w:after="300" w:line="312" w:lineRule="exact"/>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6</w:t>
      </w:r>
      <w:bookmarkEnd w:id="467"/>
      <w:r>
        <w:rPr>
          <w:color w:val="000000"/>
          <w:spacing w:val="0"/>
          <w:w w:val="100"/>
          <w:position w:val="0"/>
        </w:rPr>
        <w:t>、</w:t>
        <w:tab/>
        <w:t>合并财务报表的编制方法</w:t>
      </w:r>
      <w:bookmarkEnd w:id="465"/>
      <w:bookmarkEnd w:id="466"/>
      <w:bookmarkEnd w:id="468"/>
    </w:p>
    <w:p>
      <w:pPr>
        <w:pStyle w:val="Style34"/>
        <w:keepNext/>
        <w:keepLines/>
        <w:widowControl w:val="0"/>
        <w:shd w:val="clear" w:color="auto" w:fill="auto"/>
        <w:bidi w:val="0"/>
        <w:spacing w:before="0" w:after="300" w:line="312" w:lineRule="exact"/>
        <w:ind w:left="0" w:right="0" w:firstLine="0"/>
        <w:jc w:val="left"/>
      </w:pPr>
      <w:bookmarkStart w:id="465" w:name="bookmark465"/>
      <w:bookmarkStart w:id="466" w:name="bookmark466"/>
      <w:bookmarkStart w:id="469" w:name="bookmark469"/>
      <w:bookmarkStart w:id="470" w:name="bookmark470"/>
      <w:r>
        <w:rPr>
          <w:color w:val="000000"/>
          <w:spacing w:val="0"/>
          <w:w w:val="100"/>
          <w:position w:val="0"/>
        </w:rPr>
        <w:t>（</w:t>
      </w:r>
      <w:bookmarkEnd w:id="469"/>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465"/>
      <w:bookmarkEnd w:id="466"/>
      <w:bookmarkEnd w:id="470"/>
    </w:p>
    <w:p>
      <w:pPr>
        <w:pStyle w:val="Style16"/>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母公司将其控制的所有子公司纳入合并财务报表的合并范围。合并财务报表以母公司及其子公司的财 务报表为基础，根据其他有关资料，按照权益法调整对子公司的长期股权投资后，由母公司按照《企业会 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34"/>
        <w:keepNext/>
        <w:keepLines/>
        <w:widowControl w:val="0"/>
        <w:shd w:val="clear" w:color="auto" w:fill="auto"/>
        <w:tabs>
          <w:tab w:pos="382" w:val="left"/>
        </w:tabs>
        <w:bidi w:val="0"/>
        <w:spacing w:before="0" w:after="300" w:line="312" w:lineRule="exact"/>
        <w:ind w:left="0" w:right="0" w:firstLine="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7</w:t>
      </w:r>
      <w:bookmarkEnd w:id="473"/>
      <w:r>
        <w:rPr>
          <w:color w:val="000000"/>
          <w:spacing w:val="0"/>
          <w:w w:val="100"/>
          <w:position w:val="0"/>
        </w:rPr>
        <w:t>、</w:t>
        <w:tab/>
        <w:t>现金及现金等价物的确定标准</w:t>
      </w:r>
      <w:bookmarkEnd w:id="471"/>
      <w:bookmarkEnd w:id="472"/>
      <w:bookmarkEnd w:id="474"/>
    </w:p>
    <w:p>
      <w:pPr>
        <w:pStyle w:val="Style1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34"/>
        <w:keepNext/>
        <w:keepLines/>
        <w:widowControl w:val="0"/>
        <w:shd w:val="clear" w:color="auto" w:fill="auto"/>
        <w:tabs>
          <w:tab w:pos="382" w:val="left"/>
        </w:tabs>
        <w:bidi w:val="0"/>
        <w:spacing w:before="0" w:after="300" w:line="312" w:lineRule="exact"/>
        <w:ind w:left="0" w:right="0" w:firstLine="0"/>
        <w:jc w:val="both"/>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8</w:t>
      </w:r>
      <w:bookmarkEnd w:id="477"/>
      <w:r>
        <w:rPr>
          <w:color w:val="000000"/>
          <w:spacing w:val="0"/>
          <w:w w:val="100"/>
          <w:position w:val="0"/>
        </w:rPr>
        <w:t>、</w:t>
        <w:tab/>
        <w:t>外币业务和外币报表折算</w:t>
      </w:r>
      <w:bookmarkEnd w:id="475"/>
      <w:bookmarkEnd w:id="476"/>
      <w:bookmarkEnd w:id="478"/>
    </w:p>
    <w:p>
      <w:pPr>
        <w:pStyle w:val="Style34"/>
        <w:keepNext/>
        <w:keepLines/>
        <w:widowControl w:val="0"/>
        <w:shd w:val="clear" w:color="auto" w:fill="auto"/>
        <w:tabs>
          <w:tab w:pos="493" w:val="left"/>
        </w:tabs>
        <w:bidi w:val="0"/>
        <w:spacing w:before="0" w:after="300" w:line="312" w:lineRule="exact"/>
        <w:ind w:left="0" w:right="0" w:firstLine="0"/>
        <w:jc w:val="both"/>
      </w:pPr>
      <w:bookmarkStart w:id="475" w:name="bookmark475"/>
      <w:bookmarkStart w:id="476" w:name="bookmark476"/>
      <w:bookmarkStart w:id="479" w:name="bookmark479"/>
      <w:bookmarkStart w:id="480" w:name="bookmark480"/>
      <w:r>
        <w:rPr>
          <w:color w:val="000000"/>
          <w:spacing w:val="0"/>
          <w:w w:val="100"/>
          <w:position w:val="0"/>
        </w:rPr>
        <w:t>（</w:t>
      </w:r>
      <w:bookmarkEnd w:id="479"/>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475"/>
      <w:bookmarkEnd w:id="476"/>
      <w:bookmarkEnd w:id="480"/>
    </w:p>
    <w:p>
      <w:pPr>
        <w:pStyle w:val="Style1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外币交易在初始确认时，采用交易发生日的即期汇率折算为人民币金额。资产负债表日，夕卜币货币性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定日的即期汇率折算，差额计入当期损益或资本公积。</w:t>
      </w:r>
    </w:p>
    <w:p>
      <w:pPr>
        <w:pStyle w:val="Style34"/>
        <w:keepNext/>
        <w:keepLines/>
        <w:widowControl w:val="0"/>
        <w:shd w:val="clear" w:color="auto" w:fill="auto"/>
        <w:tabs>
          <w:tab w:pos="493" w:val="left"/>
        </w:tabs>
        <w:bidi w:val="0"/>
        <w:spacing w:before="0" w:after="300" w:line="312" w:lineRule="exact"/>
        <w:ind w:left="0" w:right="0" w:firstLine="0"/>
        <w:jc w:val="both"/>
      </w:pPr>
      <w:bookmarkStart w:id="481" w:name="bookmark481"/>
      <w:bookmarkStart w:id="482" w:name="bookmark482"/>
      <w:bookmarkStart w:id="483" w:name="bookmark483"/>
      <w:bookmarkStart w:id="484" w:name="bookmark484"/>
      <w:r>
        <w:rPr>
          <w:color w:val="000000"/>
          <w:spacing w:val="0"/>
          <w:w w:val="100"/>
          <w:position w:val="0"/>
        </w:rPr>
        <w:t>（</w:t>
      </w:r>
      <w:bookmarkEnd w:id="483"/>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481"/>
      <w:bookmarkEnd w:id="482"/>
      <w:bookmarkEnd w:id="484"/>
    </w:p>
    <w:p>
      <w:pPr>
        <w:pStyle w:val="Style16"/>
        <w:keepNext w:val="0"/>
        <w:keepLines w:val="0"/>
        <w:widowControl w:val="0"/>
        <w:shd w:val="clear" w:color="auto" w:fill="auto"/>
        <w:bidi w:val="0"/>
        <w:spacing w:before="0" w:after="300" w:line="310" w:lineRule="exact"/>
        <w:ind w:left="0" w:right="0" w:firstLine="44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项目外，其他项目采用交易发生日的即期汇率折算；利润表中的收入和费用项目，采用交易发生日即 期汇率的近似汇率折算。按照上述折算产生的外币财务报表折算差额，在资产负债表中所有者权益项目下 单独列示。</w:t>
      </w:r>
    </w:p>
    <w:p>
      <w:pPr>
        <w:pStyle w:val="Style34"/>
        <w:keepNext/>
        <w:keepLines/>
        <w:widowControl w:val="0"/>
        <w:shd w:val="clear" w:color="auto" w:fill="auto"/>
        <w:tabs>
          <w:tab w:pos="382" w:val="left"/>
        </w:tabs>
        <w:bidi w:val="0"/>
        <w:spacing w:before="0" w:after="300" w:line="312" w:lineRule="exact"/>
        <w:ind w:left="0" w:right="0" w:firstLine="0"/>
        <w:jc w:val="both"/>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9</w:t>
      </w:r>
      <w:bookmarkEnd w:id="487"/>
      <w:r>
        <w:rPr>
          <w:color w:val="000000"/>
          <w:spacing w:val="0"/>
          <w:w w:val="100"/>
          <w:position w:val="0"/>
        </w:rPr>
        <w:t>、</w:t>
        <w:tab/>
        <w:t>金融工具</w:t>
      </w:r>
      <w:bookmarkEnd w:id="485"/>
      <w:bookmarkEnd w:id="486"/>
      <w:bookmarkEnd w:id="488"/>
    </w:p>
    <w:p>
      <w:pPr>
        <w:pStyle w:val="Style34"/>
        <w:keepNext/>
        <w:keepLines/>
        <w:widowControl w:val="0"/>
        <w:shd w:val="clear" w:color="auto" w:fill="auto"/>
        <w:bidi w:val="0"/>
        <w:spacing w:before="0" w:after="300" w:line="312" w:lineRule="exact"/>
        <w:ind w:left="0" w:right="0" w:firstLine="0"/>
        <w:jc w:val="both"/>
      </w:pPr>
      <w:bookmarkStart w:id="485" w:name="bookmark485"/>
      <w:bookmarkStart w:id="486" w:name="bookmark486"/>
      <w:bookmarkStart w:id="489" w:name="bookmark489"/>
      <w:bookmarkStart w:id="490" w:name="bookmark490"/>
      <w:r>
        <w:rPr>
          <w:color w:val="000000"/>
          <w:spacing w:val="0"/>
          <w:w w:val="100"/>
          <w:position w:val="0"/>
        </w:rPr>
        <w:t>（</w:t>
      </w:r>
      <w:bookmarkEnd w:id="489"/>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485"/>
      <w:bookmarkEnd w:id="486"/>
      <w:bookmarkEnd w:id="490"/>
    </w:p>
    <w:p>
      <w:pPr>
        <w:pStyle w:val="Style1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金融资产在初始确认时划分为以下四类：以公允价值计量且其变动计入当期损益的金融资产</w:t>
      </w:r>
      <w:r>
        <w:rPr>
          <w:rFonts w:ascii="Times New Roman" w:eastAsia="Times New Roman" w:hAnsi="Times New Roman" w:cs="Times New Roman"/>
          <w:color w:val="000000"/>
          <w:spacing w:val="0"/>
          <w:w w:val="100"/>
          <w:position w:val="0"/>
        </w:rPr>
        <w:t>（</w:t>
      </w:r>
      <w:r>
        <w:rPr>
          <w:color w:val="000000"/>
          <w:spacing w:val="0"/>
          <w:w w:val="100"/>
          <w:position w:val="0"/>
        </w:rPr>
        <w:t>包括交易 性金融资产和指定为以公允价值计量且其变动计入当期损益的金融资产</w:t>
      </w:r>
      <w:r>
        <w:rPr>
          <w:rFonts w:ascii="Times New Roman" w:eastAsia="Times New Roman" w:hAnsi="Times New Roman" w:cs="Times New Roman"/>
          <w:color w:val="000000"/>
          <w:spacing w:val="0"/>
          <w:w w:val="100"/>
          <w:position w:val="0"/>
        </w:rPr>
        <w:t>）</w:t>
      </w:r>
      <w:r>
        <w:rPr>
          <w:color w:val="000000"/>
          <w:spacing w:val="0"/>
          <w:w w:val="100"/>
          <w:position w:val="0"/>
        </w:rPr>
        <w:t>、持有至到期投资、贷款和应收款 项、可供出售金融资产。</w:t>
      </w:r>
    </w:p>
    <w:p>
      <w:pPr>
        <w:pStyle w:val="Style16"/>
        <w:keepNext w:val="0"/>
        <w:keepLines w:val="0"/>
        <w:widowControl w:val="0"/>
        <w:shd w:val="clear" w:color="auto" w:fill="auto"/>
        <w:bidi w:val="0"/>
        <w:spacing w:before="0" w:after="600" w:line="315" w:lineRule="exact"/>
        <w:ind w:left="0" w:right="0" w:firstLine="440"/>
        <w:jc w:val="both"/>
      </w:pPr>
      <w:r>
        <w:rPr>
          <w:color w:val="000000"/>
          <w:spacing w:val="0"/>
          <w:w w:val="100"/>
          <w:position w:val="0"/>
        </w:rPr>
        <w:t>金融负债在初始确认时划分为以下两类：以公允价值计量且其变动计入当期损益的金融负债</w:t>
      </w:r>
      <w:r>
        <w:rPr>
          <w:rFonts w:ascii="Times New Roman" w:eastAsia="Times New Roman" w:hAnsi="Times New Roman" w:cs="Times New Roman"/>
          <w:color w:val="000000"/>
          <w:spacing w:val="0"/>
          <w:w w:val="100"/>
          <w:position w:val="0"/>
        </w:rPr>
        <w:t>（</w:t>
      </w:r>
      <w:r>
        <w:rPr>
          <w:color w:val="000000"/>
          <w:spacing w:val="0"/>
          <w:w w:val="100"/>
          <w:position w:val="0"/>
        </w:rPr>
        <w:t>包括交易 性金融负债和指定为以公允价值计量且其变动计入当期损益的金融负债</w:t>
      </w:r>
      <w:r>
        <w:rPr>
          <w:rFonts w:ascii="Times New Roman" w:eastAsia="Times New Roman" w:hAnsi="Times New Roman" w:cs="Times New Roman"/>
          <w:color w:val="000000"/>
          <w:spacing w:val="0"/>
          <w:w w:val="100"/>
          <w:position w:val="0"/>
        </w:rPr>
        <w:t>）</w:t>
      </w:r>
      <w:r>
        <w:rPr>
          <w:color w:val="000000"/>
          <w:spacing w:val="0"/>
          <w:w w:val="100"/>
          <w:position w:val="0"/>
        </w:rPr>
        <w:t>、其他金融负债。</w:t>
      </w:r>
    </w:p>
    <w:p>
      <w:pPr>
        <w:pStyle w:val="Style34"/>
        <w:keepNext/>
        <w:keepLines/>
        <w:widowControl w:val="0"/>
        <w:shd w:val="clear" w:color="auto" w:fill="auto"/>
        <w:bidi w:val="0"/>
        <w:spacing w:before="0" w:after="300" w:line="307" w:lineRule="exact"/>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w:t>
      </w:r>
      <w:bookmarkEnd w:id="493"/>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491"/>
      <w:bookmarkEnd w:id="492"/>
      <w:bookmarkEnd w:id="494"/>
    </w:p>
    <w:p>
      <w:pPr>
        <w:pStyle w:val="Style1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 xml:space="preserve">公司成为金融工具合同的一方时，确认一项金融资产或金融负债。初始确认金融资产或金融负债时， 按照公允价值计量；对于以公允价值计量且其变动计入当期损益的金融资产和金融负债，相关交易费用直 </w:t>
      </w:r>
      <w:r>
        <w:rPr>
          <w:color w:val="000000"/>
          <w:spacing w:val="0"/>
          <w:w w:val="100"/>
          <w:position w:val="0"/>
        </w:rPr>
        <w:t>接计入当期损益；对于其他类别的金融资产或金融负债，相关交易费用计入初始确认金额。</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公司按照公允价值对金融资产进行后续计量，且不扣除将来处置该金融资产时可能发生的交易费用， 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 市场中没有报价且其公允价值不能可靠计量的权益工具投资，以及与该权益工具挂钩并须通过交付该权益 工具结算的衍生金融资产，按照成本计量。</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 且其变动计入当期损益的金融负债，按照公允价值计量，且不扣除将来结清金融负债时可能发生的交易费 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与在活跃市场中没有报价、公允价值不能可靠计量的权益工具挂钩并须通过交付该权益工具结算 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不属于指定为以公允价值计量且其变动计入当期损益的金融负债的 财务担保合同，或没有指定为以公允价值计量且其变动计入当期损益并将以低于市场利率贷款的贷款承 诺，在初始确认后按照下列两项金额之中的较高者进行后续计量：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 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号一收入》的原则确定的累积摊销额 后的余额。</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价值变动损益；在资产持有期间所取得的利息或现金股利，确认为投资收益；处置时，将实际收到的金额 与初始入账金额之间的差额确认为投资收益，同时调整公允价值变动损益。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 价值变动计入资本公积；持有期间按实际利率法计算的利息，计入投资收益；可供出售权益工具投资的现 金股利，于被投资单位宣告发放股利时计入投资收益；处置时，将实际收到的金额与账面价值扣除原直接 计入资本公积的公允价值变动累计额之后的差额确认为投资收益。</w:t>
      </w:r>
    </w:p>
    <w:p>
      <w:pPr>
        <w:pStyle w:val="Style16"/>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34"/>
        <w:keepNext/>
        <w:keepLines/>
        <w:widowControl w:val="0"/>
        <w:shd w:val="clear" w:color="auto" w:fill="auto"/>
        <w:tabs>
          <w:tab w:pos="433" w:val="left"/>
        </w:tabs>
        <w:bidi w:val="0"/>
        <w:spacing w:before="0" w:after="280" w:line="312" w:lineRule="exact"/>
        <w:ind w:left="0" w:right="0" w:firstLine="0"/>
        <w:jc w:val="both"/>
      </w:pPr>
      <w:bookmarkStart w:id="495" w:name="bookmark495"/>
      <w:bookmarkStart w:id="496" w:name="bookmark496"/>
      <w:bookmarkStart w:id="497" w:name="bookmark497"/>
      <w:bookmarkStart w:id="498" w:name="bookmark498"/>
      <w:r>
        <w:rPr>
          <w:color w:val="000000"/>
          <w:spacing w:val="0"/>
          <w:w w:val="100"/>
          <w:position w:val="0"/>
        </w:rPr>
        <w:t>（</w:t>
      </w:r>
      <w:bookmarkEnd w:id="497"/>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495"/>
      <w:bookmarkEnd w:id="496"/>
      <w:bookmarkEnd w:id="498"/>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 移金融资产的程度确认有关金融资产，并相应确认有关负债。</w:t>
      </w:r>
    </w:p>
    <w:p>
      <w:pPr>
        <w:pStyle w:val="Style1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因转移而收到的对价，与原直接计入所有者权益的公允价值变动累计额之和。金融资产 部分转移满足终止确认条件的，将所转移金融资产整体的账面价值，在终止确认部分和未终止确认部分之 间，按照各自的相对公允价值进行分摊，并将下列两项金额的差额计入当期损益：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终止确认部分的对价，与原直接计入所有者权益的公允价值变动累计额中对应终止确认部分 的金额之和。</w:t>
      </w:r>
    </w:p>
    <w:p>
      <w:pPr>
        <w:pStyle w:val="Style34"/>
        <w:keepNext/>
        <w:keepLines/>
        <w:widowControl w:val="0"/>
        <w:shd w:val="clear" w:color="auto" w:fill="auto"/>
        <w:tabs>
          <w:tab w:pos="433" w:val="left"/>
        </w:tabs>
        <w:bidi w:val="0"/>
        <w:spacing w:before="0" w:after="280" w:line="312" w:lineRule="exact"/>
        <w:ind w:left="0" w:right="0" w:firstLine="0"/>
        <w:jc w:val="both"/>
      </w:pPr>
      <w:bookmarkStart w:id="499" w:name="bookmark499"/>
      <w:bookmarkStart w:id="500" w:name="bookmark500"/>
      <w:bookmarkStart w:id="501" w:name="bookmark501"/>
      <w:bookmarkStart w:id="502" w:name="bookmark502"/>
      <w:r>
        <w:rPr>
          <w:color w:val="000000"/>
          <w:spacing w:val="0"/>
          <w:w w:val="100"/>
          <w:position w:val="0"/>
        </w:rPr>
        <w:t>（</w:t>
      </w:r>
      <w:bookmarkEnd w:id="501"/>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金融资产和金融负债公允价值的确定方法</w:t>
      </w:r>
      <w:bookmarkEnd w:id="499"/>
      <w:bookmarkEnd w:id="500"/>
      <w:bookmarkEnd w:id="502"/>
    </w:p>
    <w:p>
      <w:pPr>
        <w:pStyle w:val="Style16"/>
        <w:keepNext w:val="0"/>
        <w:keepLines w:val="0"/>
        <w:widowControl w:val="0"/>
        <w:shd w:val="clear" w:color="auto" w:fill="auto"/>
        <w:bidi w:val="0"/>
        <w:spacing w:before="0" w:after="620" w:line="310" w:lineRule="exact"/>
        <w:ind w:left="0" w:right="0" w:firstLine="440"/>
        <w:jc w:val="both"/>
      </w:pPr>
      <w:r>
        <w:rPr>
          <w:color w:val="000000"/>
          <w:spacing w:val="0"/>
          <w:w w:val="100"/>
          <w:position w:val="0"/>
        </w:rPr>
        <w:t>存在活跃市场的金融资产或金融负债，以活跃市场的报价确定其公允价值；不存在活跃市场的金融资 产或金融负债，采用估值技术</w:t>
      </w:r>
      <w:r>
        <w:rPr>
          <w:rFonts w:ascii="Times New Roman" w:eastAsia="Times New Roman" w:hAnsi="Times New Roman" w:cs="Times New Roman"/>
          <w:color w:val="000000"/>
          <w:spacing w:val="0"/>
          <w:w w:val="100"/>
          <w:position w:val="0"/>
        </w:rPr>
        <w:t>（</w:t>
      </w:r>
      <w:r>
        <w:rPr>
          <w:color w:val="000000"/>
          <w:spacing w:val="0"/>
          <w:w w:val="100"/>
          <w:position w:val="0"/>
        </w:rPr>
        <w:t>包括参考熟悉情况并自愿交易的各方最近进行的市场交易中使用的价格、参 照实质上相同的其他金融工具的当前公允价值、现金流量折现法和期权定价模型等</w:t>
      </w:r>
      <w:r>
        <w:rPr>
          <w:rFonts w:ascii="Times New Roman" w:eastAsia="Times New Roman" w:hAnsi="Times New Roman" w:cs="Times New Roman"/>
          <w:color w:val="000000"/>
          <w:spacing w:val="0"/>
          <w:w w:val="100"/>
          <w:position w:val="0"/>
        </w:rPr>
        <w:t>）</w:t>
      </w:r>
      <w:r>
        <w:rPr>
          <w:color w:val="000000"/>
          <w:spacing w:val="0"/>
          <w:w w:val="100"/>
          <w:position w:val="0"/>
        </w:rPr>
        <w:t xml:space="preserve">确定其公允价值；初始 </w:t>
      </w:r>
      <w:r>
        <w:rPr>
          <w:color w:val="000000"/>
          <w:spacing w:val="0"/>
          <w:w w:val="100"/>
          <w:position w:val="0"/>
        </w:rPr>
        <w:t>取得或源生的金融资产或承担的金融负债，以市场交易价格作为确定其公允价值的基础。</w:t>
      </w:r>
    </w:p>
    <w:p>
      <w:pPr>
        <w:pStyle w:val="Style34"/>
        <w:keepNext/>
        <w:keepLines/>
        <w:widowControl w:val="0"/>
        <w:shd w:val="clear" w:color="auto" w:fill="auto"/>
        <w:bidi w:val="0"/>
        <w:spacing w:before="0" w:after="300" w:line="314" w:lineRule="exact"/>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rFonts w:ascii="Times New Roman" w:eastAsia="Times New Roman" w:hAnsi="Times New Roman" w:cs="Times New Roman"/>
          <w:color w:val="000000"/>
          <w:spacing w:val="0"/>
          <w:w w:val="100"/>
          <w:position w:val="0"/>
        </w:rPr>
        <w:t>5</w:t>
      </w:r>
      <w:r>
        <w:rPr>
          <w:color w:val="000000"/>
          <w:spacing w:val="0"/>
          <w:w w:val="100"/>
          <w:position w:val="0"/>
        </w:rPr>
        <w:t>）金融资产（不含应收款项）减值测试方法、减值准备计提方法</w:t>
      </w:r>
      <w:bookmarkEnd w:id="503"/>
      <w:bookmarkEnd w:id="504"/>
      <w:bookmarkEnd w:id="506"/>
    </w:p>
    <w:p>
      <w:pPr>
        <w:pStyle w:val="Style16"/>
        <w:keepNext w:val="0"/>
        <w:keepLines w:val="0"/>
        <w:widowControl w:val="0"/>
        <w:shd w:val="clear" w:color="auto" w:fill="auto"/>
        <w:tabs>
          <w:tab w:pos="848" w:val="left"/>
        </w:tabs>
        <w:bidi w:val="0"/>
        <w:spacing w:before="0" w:after="0" w:line="314" w:lineRule="exact"/>
        <w:ind w:left="0" w:right="0" w:firstLine="420"/>
        <w:jc w:val="both"/>
      </w:pPr>
      <w:bookmarkStart w:id="507" w:name="bookmark507"/>
      <w:r>
        <w:rPr>
          <w:rFonts w:ascii="Times New Roman" w:eastAsia="Times New Roman" w:hAnsi="Times New Roman" w:cs="Times New Roman"/>
          <w:color w:val="000000"/>
          <w:spacing w:val="0"/>
          <w:w w:val="100"/>
          <w:position w:val="0"/>
        </w:rPr>
        <w:t>（</w:t>
      </w:r>
      <w:bookmarkEnd w:id="507"/>
      <w:r>
        <w:rPr>
          <w:rFonts w:ascii="Times New Roman" w:eastAsia="Times New Roman" w:hAnsi="Times New Roman" w:cs="Times New Roman"/>
          <w:color w:val="000000"/>
          <w:spacing w:val="0"/>
          <w:w w:val="100"/>
          <w:position w:val="0"/>
        </w:rPr>
        <w:t>1）</w:t>
        <w:tab/>
      </w:r>
      <w:r>
        <w:rPr>
          <w:color w:val="000000"/>
          <w:spacing w:val="0"/>
          <w:w w:val="100"/>
          <w:position w:val="0"/>
        </w:rPr>
        <w:t>资产负债表日对以公允价值计量且其变动计入当期损益的金融资产以外的金融资产的账面价值进 行检查，如有客观证据表明该金融资产发生减值的，计提减值准备。</w:t>
      </w:r>
    </w:p>
    <w:p>
      <w:pPr>
        <w:pStyle w:val="Style16"/>
        <w:keepNext w:val="0"/>
        <w:keepLines w:val="0"/>
        <w:widowControl w:val="0"/>
        <w:shd w:val="clear" w:color="auto" w:fill="auto"/>
        <w:tabs>
          <w:tab w:pos="848" w:val="left"/>
        </w:tabs>
        <w:bidi w:val="0"/>
        <w:spacing w:before="0" w:after="0" w:line="314" w:lineRule="exact"/>
        <w:ind w:left="0" w:right="0" w:firstLine="420"/>
        <w:jc w:val="both"/>
      </w:pPr>
      <w:bookmarkStart w:id="508" w:name="bookmark508"/>
      <w:r>
        <w:rPr>
          <w:rFonts w:ascii="Times New Roman" w:eastAsia="Times New Roman" w:hAnsi="Times New Roman" w:cs="Times New Roman"/>
          <w:color w:val="000000"/>
          <w:spacing w:val="0"/>
          <w:w w:val="100"/>
          <w:position w:val="0"/>
        </w:rPr>
        <w:t>（</w:t>
      </w:r>
      <w:bookmarkEnd w:id="508"/>
      <w:r>
        <w:rPr>
          <w:rFonts w:ascii="Times New Roman" w:eastAsia="Times New Roman" w:hAnsi="Times New Roman" w:cs="Times New Roman"/>
          <w:color w:val="000000"/>
          <w:spacing w:val="0"/>
          <w:w w:val="100"/>
          <w:position w:val="0"/>
        </w:rPr>
        <w:t>2）</w:t>
        <w:tab/>
      </w:r>
      <w:r>
        <w:rPr>
          <w:color w:val="000000"/>
          <w:spacing w:val="0"/>
          <w:w w:val="100"/>
          <w:position w:val="0"/>
        </w:rPr>
        <w:t>对单项金额重大的金融资产单独进行减值测试；对单项金额不重大的金融资产，可以单独进行减 值测试，或包括在具有类似信用风险特征的金融资产组合中进行减值测试；单独测试未发生减值的金融资 产（包括单项金额重大和不重大的金融资产），包括在具有类似信用风险特征的金融资产组合中再进行减 值测试。</w:t>
      </w:r>
    </w:p>
    <w:p>
      <w:pPr>
        <w:pStyle w:val="Style16"/>
        <w:keepNext w:val="0"/>
        <w:keepLines w:val="0"/>
        <w:widowControl w:val="0"/>
        <w:shd w:val="clear" w:color="auto" w:fill="auto"/>
        <w:tabs>
          <w:tab w:pos="848" w:val="left"/>
        </w:tabs>
        <w:bidi w:val="0"/>
        <w:spacing w:before="0" w:after="40" w:line="314" w:lineRule="exact"/>
        <w:ind w:left="0" w:right="0" w:firstLine="420"/>
        <w:jc w:val="both"/>
      </w:pPr>
      <w:bookmarkStart w:id="509" w:name="bookmark509"/>
      <w:r>
        <w:rPr>
          <w:rFonts w:ascii="Times New Roman" w:eastAsia="Times New Roman" w:hAnsi="Times New Roman" w:cs="Times New Roman"/>
          <w:color w:val="000000"/>
          <w:spacing w:val="0"/>
          <w:w w:val="100"/>
          <w:position w:val="0"/>
        </w:rPr>
        <w:t>（</w:t>
      </w:r>
      <w:bookmarkEnd w:id="509"/>
      <w:r>
        <w:rPr>
          <w:rFonts w:ascii="Times New Roman" w:eastAsia="Times New Roman" w:hAnsi="Times New Roman" w:cs="Times New Roman"/>
          <w:color w:val="000000"/>
          <w:spacing w:val="0"/>
          <w:w w:val="100"/>
          <w:position w:val="0"/>
        </w:rPr>
        <w:t>3）</w:t>
        <w:tab/>
      </w:r>
      <w:r>
        <w:rPr>
          <w:color w:val="000000"/>
          <w:spacing w:val="0"/>
          <w:w w:val="100"/>
          <w:position w:val="0"/>
        </w:rPr>
        <w:t>按摊余成本计量的金融资产，期末有客观证据表明其发生了减值的，根据其账面价值高于预计未 来现金流量现值之间的差额确认减值损失。在活跃市场中没有报价且其公允价值不能可靠计量的权益工具 投资，或与该权益工具挂钩并须通过交付该权益工具结算的衍生金融资产发生减值时，将该权益工具投资 或衍生金融资产的账面价值，高于按照类似金融资产当时市场收益率对未来现金流量折现确定的现值之间 的差额，确认为减值损失。可供出售金融资产的公允价值发生较大幅度下降，或在综合考虑各种相关因素 后，预期这种下降趋势属于非暂时性的，确认其减值损失，并将原直接计入所有者权益的公允价值累计损 失一并转出计入减值损失。</w:t>
      </w:r>
    </w:p>
    <w:p>
      <w:pPr>
        <w:pStyle w:val="Style16"/>
        <w:keepNext w:val="0"/>
        <w:keepLines w:val="0"/>
        <w:widowControl w:val="0"/>
        <w:shd w:val="clear" w:color="auto" w:fill="auto"/>
        <w:tabs>
          <w:tab w:pos="786" w:val="left"/>
        </w:tabs>
        <w:bidi w:val="0"/>
        <w:spacing w:before="0" w:after="0" w:line="329" w:lineRule="auto"/>
        <w:ind w:left="0" w:right="0" w:firstLine="360"/>
        <w:jc w:val="both"/>
      </w:pPr>
      <w:bookmarkStart w:id="510" w:name="bookmark510"/>
      <w:r>
        <w:rPr>
          <w:rFonts w:ascii="Times New Roman" w:eastAsia="Times New Roman" w:hAnsi="Times New Roman" w:cs="Times New Roman"/>
          <w:color w:val="000000"/>
          <w:spacing w:val="0"/>
          <w:w w:val="100"/>
          <w:position w:val="0"/>
        </w:rPr>
        <w:t>（</w:t>
      </w:r>
      <w:bookmarkEnd w:id="510"/>
      <w:r>
        <w:rPr>
          <w:rFonts w:ascii="Times New Roman" w:eastAsia="Times New Roman" w:hAnsi="Times New Roman" w:cs="Times New Roman"/>
          <w:color w:val="000000"/>
          <w:spacing w:val="0"/>
          <w:w w:val="100"/>
          <w:position w:val="0"/>
        </w:rPr>
        <w:t>4）</w:t>
        <w:tab/>
      </w:r>
      <w:r>
        <w:rPr>
          <w:color w:val="000000"/>
          <w:spacing w:val="0"/>
          <w:w w:val="100"/>
          <w:position w:val="0"/>
        </w:rPr>
        <w:t>可供出售金融资产减值的客观证据</w:t>
      </w:r>
    </w:p>
    <w:p>
      <w:pPr>
        <w:pStyle w:val="Style16"/>
        <w:keepNext w:val="0"/>
        <w:keepLines w:val="0"/>
        <w:widowControl w:val="0"/>
        <w:shd w:val="clear" w:color="auto" w:fill="auto"/>
        <w:tabs>
          <w:tab w:pos="704" w:val="left"/>
        </w:tabs>
        <w:bidi w:val="0"/>
        <w:spacing w:before="0" w:after="0" w:line="329" w:lineRule="auto"/>
        <w:ind w:left="0" w:right="0" w:firstLine="360"/>
        <w:jc w:val="both"/>
      </w:pPr>
      <w:bookmarkStart w:id="511" w:name="bookmark511"/>
      <w:r>
        <w:rPr>
          <w:rFonts w:ascii="Times New Roman" w:eastAsia="Times New Roman" w:hAnsi="Times New Roman" w:cs="Times New Roman"/>
          <w:color w:val="000000"/>
          <w:spacing w:val="0"/>
          <w:w w:val="100"/>
          <w:position w:val="0"/>
        </w:rPr>
        <w:t>1</w:t>
      </w:r>
      <w:bookmarkEnd w:id="511"/>
      <w:r>
        <w:rPr>
          <w:rFonts w:ascii="Times New Roman" w:eastAsia="Times New Roman" w:hAnsi="Times New Roman" w:cs="Times New Roman"/>
          <w:color w:val="000000"/>
          <w:spacing w:val="0"/>
          <w:w w:val="100"/>
          <w:position w:val="0"/>
        </w:rPr>
        <w:t>）</w:t>
        <w:tab/>
      </w:r>
      <w:r>
        <w:rPr>
          <w:color w:val="000000"/>
          <w:spacing w:val="0"/>
          <w:w w:val="100"/>
          <w:position w:val="0"/>
        </w:rPr>
        <w:t>表明可供出售债务工具投资发生减值的客观证据包括：</w:t>
      </w:r>
    </w:p>
    <w:p>
      <w:pPr>
        <w:pStyle w:val="Style16"/>
        <w:keepNext w:val="0"/>
        <w:keepLines w:val="0"/>
        <w:widowControl w:val="0"/>
        <w:numPr>
          <w:ilvl w:val="0"/>
          <w:numId w:val="11"/>
        </w:numPr>
        <w:shd w:val="clear" w:color="auto" w:fill="auto"/>
        <w:tabs>
          <w:tab w:pos="752" w:val="left"/>
        </w:tabs>
        <w:bidi w:val="0"/>
        <w:spacing w:before="0" w:after="0" w:line="314" w:lineRule="exact"/>
        <w:ind w:left="0" w:right="0" w:firstLine="360"/>
        <w:jc w:val="both"/>
      </w:pPr>
      <w:bookmarkStart w:id="512" w:name="bookmark512"/>
      <w:bookmarkEnd w:id="512"/>
      <w:r>
        <w:rPr>
          <w:color w:val="000000"/>
          <w:spacing w:val="0"/>
          <w:w w:val="100"/>
          <w:position w:val="0"/>
        </w:rPr>
        <w:t>债务人发生严重财务困难；</w:t>
      </w:r>
    </w:p>
    <w:p>
      <w:pPr>
        <w:pStyle w:val="Style16"/>
        <w:keepNext w:val="0"/>
        <w:keepLines w:val="0"/>
        <w:widowControl w:val="0"/>
        <w:numPr>
          <w:ilvl w:val="0"/>
          <w:numId w:val="11"/>
        </w:numPr>
        <w:shd w:val="clear" w:color="auto" w:fill="auto"/>
        <w:tabs>
          <w:tab w:pos="757" w:val="left"/>
        </w:tabs>
        <w:bidi w:val="0"/>
        <w:spacing w:before="0" w:after="0" w:line="314" w:lineRule="exact"/>
        <w:ind w:left="0" w:right="0" w:firstLine="360"/>
        <w:jc w:val="both"/>
      </w:pPr>
      <w:bookmarkStart w:id="513" w:name="bookmark513"/>
      <w:bookmarkEnd w:id="513"/>
      <w:r>
        <w:rPr>
          <w:color w:val="000000"/>
          <w:spacing w:val="0"/>
          <w:w w:val="100"/>
          <w:position w:val="0"/>
        </w:rPr>
        <w:t>债务人违反了合同条款，如偿付利息或本金发生违约或逾期；</w:t>
      </w:r>
    </w:p>
    <w:p>
      <w:pPr>
        <w:pStyle w:val="Style16"/>
        <w:keepNext w:val="0"/>
        <w:keepLines w:val="0"/>
        <w:widowControl w:val="0"/>
        <w:numPr>
          <w:ilvl w:val="0"/>
          <w:numId w:val="11"/>
        </w:numPr>
        <w:shd w:val="clear" w:color="auto" w:fill="auto"/>
        <w:tabs>
          <w:tab w:pos="757" w:val="left"/>
        </w:tabs>
        <w:bidi w:val="0"/>
        <w:spacing w:before="0" w:after="0" w:line="314" w:lineRule="exact"/>
        <w:ind w:left="0" w:right="0" w:firstLine="360"/>
        <w:jc w:val="both"/>
      </w:pPr>
      <w:bookmarkStart w:id="514" w:name="bookmark514"/>
      <w:bookmarkEnd w:id="514"/>
      <w:r>
        <w:rPr>
          <w:color w:val="000000"/>
          <w:spacing w:val="0"/>
          <w:w w:val="100"/>
          <w:position w:val="0"/>
        </w:rPr>
        <w:t>公司出于经济或法律等方面因素的考虑，对发生财务困难的债务人作出让步；</w:t>
      </w:r>
    </w:p>
    <w:p>
      <w:pPr>
        <w:pStyle w:val="Style16"/>
        <w:keepNext w:val="0"/>
        <w:keepLines w:val="0"/>
        <w:widowControl w:val="0"/>
        <w:numPr>
          <w:ilvl w:val="0"/>
          <w:numId w:val="11"/>
        </w:numPr>
        <w:shd w:val="clear" w:color="auto" w:fill="auto"/>
        <w:tabs>
          <w:tab w:pos="757" w:val="left"/>
        </w:tabs>
        <w:bidi w:val="0"/>
        <w:spacing w:before="0" w:after="0" w:line="314" w:lineRule="exact"/>
        <w:ind w:left="0" w:right="0" w:firstLine="360"/>
        <w:jc w:val="both"/>
      </w:pPr>
      <w:bookmarkStart w:id="515" w:name="bookmark515"/>
      <w:bookmarkEnd w:id="515"/>
      <w:r>
        <w:rPr>
          <w:color w:val="000000"/>
          <w:spacing w:val="0"/>
          <w:w w:val="100"/>
          <w:position w:val="0"/>
        </w:rPr>
        <w:t>债务人很可能倒闭或进行其他财务重组；</w:t>
      </w:r>
    </w:p>
    <w:p>
      <w:pPr>
        <w:pStyle w:val="Style16"/>
        <w:keepNext w:val="0"/>
        <w:keepLines w:val="0"/>
        <w:widowControl w:val="0"/>
        <w:numPr>
          <w:ilvl w:val="0"/>
          <w:numId w:val="11"/>
        </w:numPr>
        <w:shd w:val="clear" w:color="auto" w:fill="auto"/>
        <w:tabs>
          <w:tab w:pos="757" w:val="left"/>
        </w:tabs>
        <w:bidi w:val="0"/>
        <w:spacing w:before="0" w:after="0" w:line="314" w:lineRule="exact"/>
        <w:ind w:left="0" w:right="0" w:firstLine="360"/>
        <w:jc w:val="both"/>
      </w:pPr>
      <w:bookmarkStart w:id="516" w:name="bookmark516"/>
      <w:bookmarkEnd w:id="516"/>
      <w:r>
        <w:rPr>
          <w:color w:val="000000"/>
          <w:spacing w:val="0"/>
          <w:w w:val="100"/>
          <w:position w:val="0"/>
        </w:rPr>
        <w:t>因债务人发生重大财务困难，该债务工具无法在活跃市场继续交易；</w:t>
      </w:r>
    </w:p>
    <w:p>
      <w:pPr>
        <w:pStyle w:val="Style16"/>
        <w:keepNext w:val="0"/>
        <w:keepLines w:val="0"/>
        <w:widowControl w:val="0"/>
        <w:numPr>
          <w:ilvl w:val="0"/>
          <w:numId w:val="11"/>
        </w:numPr>
        <w:shd w:val="clear" w:color="auto" w:fill="auto"/>
        <w:tabs>
          <w:tab w:pos="757" w:val="left"/>
        </w:tabs>
        <w:bidi w:val="0"/>
        <w:spacing w:before="0" w:after="0" w:line="314" w:lineRule="exact"/>
        <w:ind w:left="0" w:right="0" w:firstLine="360"/>
        <w:jc w:val="both"/>
      </w:pPr>
      <w:bookmarkStart w:id="517" w:name="bookmark517"/>
      <w:bookmarkEnd w:id="517"/>
      <w:r>
        <w:rPr>
          <w:color w:val="000000"/>
          <w:spacing w:val="0"/>
          <w:w w:val="100"/>
          <w:position w:val="0"/>
        </w:rPr>
        <w:t>其他表明可供出售债务工具已经发生减值的情况。</w:t>
      </w:r>
    </w:p>
    <w:p>
      <w:pPr>
        <w:pStyle w:val="Style16"/>
        <w:keepNext w:val="0"/>
        <w:keepLines w:val="0"/>
        <w:widowControl w:val="0"/>
        <w:shd w:val="clear" w:color="auto" w:fill="auto"/>
        <w:tabs>
          <w:tab w:pos="776" w:val="left"/>
        </w:tabs>
        <w:bidi w:val="0"/>
        <w:spacing w:before="0" w:after="0" w:line="314" w:lineRule="exact"/>
        <w:ind w:left="0" w:right="0" w:firstLine="420"/>
        <w:jc w:val="both"/>
      </w:pPr>
      <w:bookmarkStart w:id="518" w:name="bookmark518"/>
      <w:r>
        <w:rPr>
          <w:i/>
          <w:iCs/>
          <w:color w:val="000000"/>
          <w:spacing w:val="0"/>
          <w:w w:val="100"/>
          <w:position w:val="0"/>
        </w:rPr>
        <w:t>2</w:t>
      </w:r>
      <w:bookmarkEnd w:id="518"/>
      <w:r>
        <w:rPr>
          <w:color w:val="000000"/>
          <w:spacing w:val="0"/>
          <w:w w:val="100"/>
          <w:position w:val="0"/>
        </w:rPr>
        <w:t>）</w:t>
        <w:tab/>
        <w:t>表明可供出售权益工具投资发生减值的客观证据包括权益工具投资的公允价值发生严重或非暂时性 下跌。本公司于资产负债表日对各项可供出售权益工具投资单独进行检查，若该权益工具投资于资产负债 表日的公允价值低于其成本超过</w:t>
      </w:r>
      <w:r>
        <w:rPr>
          <w:color w:val="000000"/>
          <w:spacing w:val="0"/>
          <w:w w:val="100"/>
          <w:position w:val="0"/>
        </w:rPr>
        <w:t>50%（</w:t>
      </w:r>
      <w:r>
        <w:rPr>
          <w:color w:val="000000"/>
          <w:spacing w:val="0"/>
          <w:w w:val="100"/>
          <w:position w:val="0"/>
        </w:rPr>
        <w:t>含</w:t>
      </w:r>
      <w:r>
        <w:rPr>
          <w:color w:val="000000"/>
          <w:spacing w:val="0"/>
          <w:w w:val="100"/>
          <w:position w:val="0"/>
        </w:rPr>
        <w:t>50%）</w:t>
      </w:r>
      <w:r>
        <w:rPr>
          <w:color w:val="000000"/>
          <w:spacing w:val="0"/>
          <w:w w:val="100"/>
          <w:position w:val="0"/>
        </w:rPr>
        <w:t>或低于其成本持续时间超过</w:t>
      </w:r>
      <w:r>
        <w:rPr>
          <w:color w:val="000000"/>
          <w:spacing w:val="0"/>
          <w:w w:val="100"/>
          <w:position w:val="0"/>
        </w:rPr>
        <w:t>12</w:t>
      </w:r>
      <w:r>
        <w:rPr>
          <w:color w:val="000000"/>
          <w:spacing w:val="0"/>
          <w:w w:val="100"/>
          <w:position w:val="0"/>
        </w:rPr>
        <w:t>个月（含</w:t>
      </w:r>
      <w:r>
        <w:rPr>
          <w:color w:val="000000"/>
          <w:spacing w:val="0"/>
          <w:w w:val="100"/>
          <w:position w:val="0"/>
        </w:rPr>
        <w:t>12</w:t>
      </w:r>
      <w:r>
        <w:rPr>
          <w:color w:val="000000"/>
          <w:spacing w:val="0"/>
          <w:w w:val="100"/>
          <w:position w:val="0"/>
        </w:rPr>
        <w:t>个月）的，则表 明其发生减值;若该权益工具投资于资产负债 表日的公允价值低于其成本超过</w:t>
      </w:r>
      <w:r>
        <w:rPr>
          <w:color w:val="000000"/>
          <w:spacing w:val="0"/>
          <w:w w:val="100"/>
          <w:position w:val="0"/>
        </w:rPr>
        <w:t>20%（</w:t>
      </w:r>
      <w:r>
        <w:rPr>
          <w:color w:val="000000"/>
          <w:spacing w:val="0"/>
          <w:w w:val="100"/>
          <w:position w:val="0"/>
        </w:rPr>
        <w:t>含</w:t>
      </w:r>
      <w:r>
        <w:rPr>
          <w:color w:val="000000"/>
          <w:spacing w:val="0"/>
          <w:w w:val="100"/>
          <w:position w:val="0"/>
        </w:rPr>
        <w:t>20%）</w:t>
      </w:r>
      <w:r>
        <w:rPr>
          <w:color w:val="000000"/>
          <w:spacing w:val="0"/>
          <w:w w:val="100"/>
          <w:position w:val="0"/>
        </w:rPr>
        <w:t xml:space="preserve">但尚未达到 </w:t>
      </w:r>
      <w:r>
        <w:rPr>
          <w:color w:val="000000"/>
          <w:spacing w:val="0"/>
          <w:w w:val="100"/>
          <w:position w:val="0"/>
        </w:rPr>
        <w:t>50%</w:t>
      </w:r>
      <w:r>
        <w:rPr>
          <w:color w:val="000000"/>
          <w:spacing w:val="0"/>
          <w:w w:val="100"/>
          <w:position w:val="0"/>
        </w:rPr>
        <w:t>的，或低于其成本持续时间超过</w:t>
      </w:r>
      <w:r>
        <w:rPr>
          <w:color w:val="000000"/>
          <w:spacing w:val="0"/>
          <w:w w:val="100"/>
          <w:position w:val="0"/>
        </w:rPr>
        <w:t>6</w:t>
      </w:r>
      <w:r>
        <w:rPr>
          <w:color w:val="000000"/>
          <w:spacing w:val="0"/>
          <w:w w:val="100"/>
          <w:position w:val="0"/>
        </w:rPr>
        <w:t>个月（含</w:t>
      </w:r>
      <w:r>
        <w:rPr>
          <w:color w:val="000000"/>
          <w:spacing w:val="0"/>
          <w:w w:val="100"/>
          <w:position w:val="0"/>
        </w:rPr>
        <w:t>6</w:t>
      </w:r>
      <w:r>
        <w:rPr>
          <w:color w:val="000000"/>
          <w:spacing w:val="0"/>
          <w:w w:val="100"/>
          <w:position w:val="0"/>
        </w:rPr>
        <w:t>个月）但未超过</w:t>
      </w:r>
      <w:r>
        <w:rPr>
          <w:color w:val="000000"/>
          <w:spacing w:val="0"/>
          <w:w w:val="100"/>
          <w:position w:val="0"/>
        </w:rPr>
        <w:t>12</w:t>
      </w:r>
      <w:r>
        <w:rPr>
          <w:color w:val="000000"/>
          <w:spacing w:val="0"/>
          <w:w w:val="100"/>
          <w:position w:val="0"/>
        </w:rPr>
        <w:t>个月的，本公司会综合考虑其他相 关因素，诸如价格波动率等，判断该权益工具投资是否发生减值。</w:t>
      </w:r>
    </w:p>
    <w:p>
      <w:pPr>
        <w:pStyle w:val="Style16"/>
        <w:keepNext w:val="0"/>
        <w:keepLines w:val="0"/>
        <w:widowControl w:val="0"/>
        <w:shd w:val="clear" w:color="auto" w:fill="auto"/>
        <w:bidi w:val="0"/>
        <w:spacing w:before="0" w:after="0" w:line="314" w:lineRule="exact"/>
        <w:ind w:left="0" w:right="0" w:firstLine="420"/>
        <w:jc w:val="both"/>
      </w:pPr>
      <w:r>
        <w:rPr>
          <w:color w:val="000000"/>
          <w:spacing w:val="0"/>
          <w:w w:val="100"/>
          <w:position w:val="0"/>
        </w:rPr>
        <w:t>上段所述</w:t>
      </w:r>
      <w:r>
        <w:rPr>
          <w:rFonts w:ascii="Times New Roman" w:eastAsia="Times New Roman" w:hAnsi="Times New Roman" w:cs="Times New Roman"/>
          <w:color w:val="000000"/>
          <w:spacing w:val="0"/>
          <w:w w:val="100"/>
          <w:position w:val="0"/>
        </w:rPr>
        <w:t>“</w:t>
      </w:r>
      <w:r>
        <w:rPr>
          <w:color w:val="000000"/>
          <w:spacing w:val="0"/>
          <w:w w:val="100"/>
          <w:position w:val="0"/>
        </w:rPr>
        <w:t>成本</w:t>
      </w:r>
      <w:r>
        <w:rPr>
          <w:color w:val="000000"/>
          <w:spacing w:val="0"/>
          <w:w w:val="100"/>
          <w:position w:val="0"/>
        </w:rPr>
        <w:t>''</w:t>
      </w:r>
      <w:r>
        <w:rPr>
          <w:color w:val="000000"/>
          <w:spacing w:val="0"/>
          <w:w w:val="100"/>
          <w:position w:val="0"/>
        </w:rPr>
        <w:t>按照可供出售权益工具投资的初始取得成本扣除已收回本金和已摊销金额确定公允 价值''根据证券交易所期末收盘价确定，除非该项可供出售权益工具投资存在限售期。对于存在限售期的 可供出售权益工具投资，采用如下方法确定公允价值：</w:t>
      </w:r>
    </w:p>
    <w:p>
      <w:pPr>
        <w:pStyle w:val="Style16"/>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如果可供出售权益工具投资的初始取得成本高于在证券交易所上市交易的同一股票的市价，应采用在 证券交易所上市交易的同一股票的市价作为估值日该股票的价值；</w:t>
      </w:r>
    </w:p>
    <w:p>
      <w:pPr>
        <w:pStyle w:val="Style16"/>
        <w:keepNext w:val="0"/>
        <w:keepLines w:val="0"/>
        <w:widowControl w:val="0"/>
        <w:shd w:val="clear" w:color="auto" w:fill="auto"/>
        <w:bidi w:val="0"/>
        <w:spacing w:before="0" w:after="40" w:line="314" w:lineRule="exact"/>
        <w:ind w:left="0" w:right="0" w:firstLine="420"/>
        <w:jc w:val="both"/>
      </w:pPr>
      <w:r>
        <w:rPr>
          <w:color w:val="000000"/>
          <w:spacing w:val="0"/>
          <w:w w:val="100"/>
          <w:position w:val="0"/>
        </w:rPr>
        <w:t>如果可供出售权益工具投资的初始取得成本低于在证券交易所上市交易的同一股票的市价，应按以下 公式确定该股票的价值：</w:t>
      </w:r>
    </w:p>
    <w:p>
      <w:pPr>
        <w:pStyle w:val="Style75"/>
        <w:keepNext w:val="0"/>
        <w:keepLines w:val="0"/>
        <w:widowControl w:val="0"/>
        <w:shd w:val="clear" w:color="auto" w:fill="auto"/>
        <w:bidi w:val="0"/>
        <w:spacing w:before="0" w:after="0"/>
        <w:ind w:left="0" w:right="0"/>
        <w:jc w:val="both"/>
        <w:rPr>
          <w:sz w:val="14"/>
          <w:szCs w:val="14"/>
        </w:rPr>
      </w:pPr>
      <w:r>
        <w:rPr>
          <w:color w:val="000000"/>
          <w:spacing w:val="0"/>
          <w:w w:val="100"/>
          <w:position w:val="0"/>
          <w:sz w:val="20"/>
          <w:szCs w:val="20"/>
        </w:rPr>
        <w:t>FV=C</w:t>
      </w:r>
      <w:r>
        <w:rPr>
          <w:color w:val="000000"/>
          <w:spacing w:val="0"/>
          <w:w w:val="100"/>
          <w:position w:val="0"/>
          <w:sz w:val="20"/>
          <w:szCs w:val="20"/>
        </w:rPr>
        <w:t xml:space="preserve">+ </w:t>
      </w:r>
      <w:r>
        <w:rPr>
          <w:rFonts w:ascii="SimSun" w:eastAsia="SimSun" w:hAnsi="SimSun" w:cs="SimSun"/>
          <w:color w:val="000000"/>
          <w:spacing w:val="0"/>
          <w:w w:val="100"/>
          <w:position w:val="0"/>
          <w:sz w:val="20"/>
          <w:szCs w:val="20"/>
        </w:rPr>
        <w:t>（</w:t>
      </w:r>
      <w:r>
        <w:rPr>
          <w:color w:val="000000"/>
          <w:spacing w:val="0"/>
          <w:w w:val="100"/>
          <w:position w:val="0"/>
          <w:sz w:val="20"/>
          <w:szCs w:val="20"/>
        </w:rPr>
        <w:t>P-C</w:t>
      </w:r>
      <w:r>
        <w:rPr>
          <w:rFonts w:ascii="SimSun" w:eastAsia="SimSun" w:hAnsi="SimSun" w:cs="SimSun"/>
          <w:color w:val="000000"/>
          <w:spacing w:val="0"/>
          <w:w w:val="100"/>
          <w:position w:val="0"/>
          <w:sz w:val="20"/>
          <w:szCs w:val="20"/>
        </w:rPr>
        <w:t xml:space="preserve">） </w:t>
      </w:r>
      <w:r>
        <w:rPr>
          <w:color w:val="000000"/>
          <w:spacing w:val="0"/>
          <w:w w:val="100"/>
          <w:position w:val="0"/>
          <w:sz w:val="20"/>
          <w:szCs w:val="20"/>
        </w:rPr>
        <w:t xml:space="preserve">x </w:t>
      </w:r>
      <w:r>
        <w:rPr>
          <w:rFonts w:ascii="SimSun" w:eastAsia="SimSun" w:hAnsi="SimSun" w:cs="SimSun"/>
          <w:color w:val="000000"/>
          <w:spacing w:val="0"/>
          <w:w w:val="100"/>
          <w:position w:val="0"/>
          <w:sz w:val="20"/>
          <w:szCs w:val="20"/>
        </w:rPr>
        <w:t>（</w:t>
      </w:r>
      <w:r>
        <w:rPr>
          <w:color w:val="000000"/>
          <w:spacing w:val="0"/>
          <w:w w:val="100"/>
          <w:position w:val="0"/>
          <w:sz w:val="20"/>
          <w:szCs w:val="20"/>
        </w:rPr>
        <w:t>D</w:t>
      </w:r>
      <w:r>
        <w:rPr>
          <w:color w:val="000000"/>
          <w:spacing w:val="0"/>
          <w:w w:val="100"/>
          <w:position w:val="0"/>
          <w:sz w:val="14"/>
          <w:szCs w:val="14"/>
        </w:rPr>
        <w:t>i</w:t>
      </w:r>
      <w:r>
        <w:rPr>
          <w:color w:val="000000"/>
          <w:spacing w:val="0"/>
          <w:w w:val="100"/>
          <w:position w:val="0"/>
          <w:sz w:val="20"/>
          <w:szCs w:val="20"/>
        </w:rPr>
        <w:t>-D</w:t>
      </w:r>
      <w:r>
        <w:rPr>
          <w:color w:val="000000"/>
          <w:spacing w:val="0"/>
          <w:w w:val="100"/>
          <w:position w:val="0"/>
          <w:sz w:val="14"/>
          <w:szCs w:val="14"/>
          <w:vertAlign w:val="subscript"/>
        </w:rPr>
        <w:t>r</w:t>
      </w:r>
      <w:r>
        <w:rPr>
          <w:rFonts w:ascii="SimSun" w:eastAsia="SimSun" w:hAnsi="SimSun" w:cs="SimSun"/>
          <w:color w:val="000000"/>
          <w:spacing w:val="0"/>
          <w:w w:val="100"/>
          <w:position w:val="0"/>
          <w:sz w:val="20"/>
          <w:szCs w:val="20"/>
        </w:rPr>
        <w:t>）/</w:t>
      </w:r>
      <w:r>
        <w:rPr>
          <w:color w:val="000000"/>
          <w:spacing w:val="0"/>
          <w:w w:val="100"/>
          <w:position w:val="0"/>
          <w:sz w:val="20"/>
          <w:szCs w:val="20"/>
        </w:rPr>
        <w:t>D</w:t>
      </w:r>
      <w:r>
        <w:rPr>
          <w:color w:val="000000"/>
          <w:spacing w:val="0"/>
          <w:w w:val="100"/>
          <w:position w:val="0"/>
          <w:sz w:val="14"/>
          <w:szCs w:val="14"/>
        </w:rPr>
        <w:t>i</w:t>
      </w:r>
    </w:p>
    <w:p>
      <w:pPr>
        <w:pStyle w:val="Style1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其中：</w:t>
      </w:r>
    </w:p>
    <w:p>
      <w:pPr>
        <w:pStyle w:val="Style16"/>
        <w:keepNext w:val="0"/>
        <w:keepLines w:val="0"/>
        <w:widowControl w:val="0"/>
        <w:shd w:val="clear" w:color="auto" w:fill="auto"/>
        <w:bidi w:val="0"/>
        <w:spacing w:before="0" w:after="0" w:line="326" w:lineRule="exact"/>
        <w:ind w:left="0" w:right="0" w:firstLine="360"/>
        <w:jc w:val="both"/>
      </w:pPr>
      <w:r>
        <w:rPr>
          <w:rFonts w:ascii="Times New Roman" w:eastAsia="Times New Roman" w:hAnsi="Times New Roman" w:cs="Times New Roman"/>
          <w:color w:val="000000"/>
          <w:spacing w:val="0"/>
          <w:w w:val="100"/>
          <w:position w:val="0"/>
        </w:rPr>
        <w:t>FV</w:t>
      </w:r>
      <w:r>
        <w:rPr>
          <w:color w:val="000000"/>
          <w:spacing w:val="0"/>
          <w:w w:val="100"/>
          <w:position w:val="0"/>
        </w:rPr>
        <w:t>为估值日该可供出售权益工具的公允价值；</w:t>
      </w:r>
    </w:p>
    <w:p>
      <w:pPr>
        <w:pStyle w:val="Style16"/>
        <w:keepNext w:val="0"/>
        <w:keepLines w:val="0"/>
        <w:widowControl w:val="0"/>
        <w:shd w:val="clear" w:color="auto" w:fill="auto"/>
        <w:bidi w:val="0"/>
        <w:spacing w:before="0" w:after="40" w:line="326" w:lineRule="exact"/>
        <w:ind w:left="0" w:right="0" w:firstLine="420"/>
        <w:jc w:val="both"/>
      </w:pPr>
      <w:r>
        <w:rPr>
          <w:rFonts w:ascii="Times New Roman" w:eastAsia="Times New Roman" w:hAnsi="Times New Roman" w:cs="Times New Roman"/>
          <w:color w:val="000000"/>
          <w:spacing w:val="0"/>
          <w:w w:val="100"/>
          <w:position w:val="0"/>
        </w:rPr>
        <w:t>C</w:t>
      </w:r>
      <w:r>
        <w:rPr>
          <w:color w:val="000000"/>
          <w:spacing w:val="0"/>
          <w:w w:val="100"/>
          <w:position w:val="0"/>
        </w:rPr>
        <w:t>为该可供出售权益工具的初始取得成本（因权益业务导致市场价格除权时，应于除权日对其初始取得 成本作相应调整）；</w:t>
      </w:r>
    </w:p>
    <w:p>
      <w:pPr>
        <w:pStyle w:val="Style16"/>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rPr>
        <w:t>P</w:t>
      </w:r>
      <w:r>
        <w:rPr>
          <w:color w:val="000000"/>
          <w:spacing w:val="0"/>
          <w:w w:val="100"/>
          <w:position w:val="0"/>
        </w:rPr>
        <w:t>为估值日在证券交易所上市交易的同一股票的市价；</w:t>
      </w:r>
    </w:p>
    <w:p>
      <w:pPr>
        <w:pStyle w:val="Style16"/>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rPr>
        <w:t>D</w:t>
      </w:r>
      <w:r>
        <w:rPr>
          <w:rFonts w:ascii="Times New Roman" w:eastAsia="Times New Roman" w:hAnsi="Times New Roman" w:cs="Times New Roman"/>
          <w:color w:val="000000"/>
          <w:spacing w:val="0"/>
          <w:w w:val="100"/>
          <w:position w:val="0"/>
          <w:sz w:val="14"/>
          <w:szCs w:val="14"/>
        </w:rPr>
        <w:t>i</w:t>
      </w:r>
      <w:r>
        <w:rPr>
          <w:color w:val="000000"/>
          <w:spacing w:val="0"/>
          <w:w w:val="100"/>
          <w:position w:val="0"/>
        </w:rPr>
        <w:t>为该可供出售权益工具限售期所含的交易所的交易天数；</w:t>
      </w:r>
    </w:p>
    <w:p>
      <w:pPr>
        <w:pStyle w:val="Style16"/>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rPr>
        <w:t>D</w:t>
      </w:r>
      <w:r>
        <w:rPr>
          <w:color w:val="000000"/>
          <w:spacing w:val="0"/>
          <w:w w:val="100"/>
          <w:position w:val="0"/>
          <w:sz w:val="14"/>
          <w:szCs w:val="14"/>
        </w:rPr>
        <w:t>『</w:t>
      </w:r>
      <w:r>
        <w:rPr>
          <w:color w:val="000000"/>
          <w:spacing w:val="0"/>
          <w:w w:val="100"/>
          <w:position w:val="0"/>
        </w:rPr>
        <w:t>为估值日剩余限售期，即估值日至限售期结束所含的交易所的交易天数(不含估值日当天)</w:t>
      </w:r>
    </w:p>
    <w:p>
      <w:pPr>
        <w:pStyle w:val="Style16"/>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可供出售金融资产发生减值时，原直接计入所有者权益的因公允价值下降形成的累计损失予以转出并 计入减值损失。对已确认减值损失的可供出售债务工具投资，在期后公允价值上升且客观上与确认原减值 损失后发生的事项有关的，原确认的减值损失予以转回并计入当期损益。对已确认减值损失的可供出售权 益工具投资，期后公允价值上升直接计入所有者权益。</w:t>
      </w:r>
    </w:p>
    <w:p>
      <w:pPr>
        <w:pStyle w:val="Style34"/>
        <w:keepNext/>
        <w:keepLines/>
        <w:widowControl w:val="0"/>
        <w:shd w:val="clear" w:color="auto" w:fill="auto"/>
        <w:bidi w:val="0"/>
        <w:spacing w:before="0" w:after="260" w:line="326"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519"/>
      <w:bookmarkEnd w:id="520"/>
      <w:bookmarkEnd w:id="522"/>
    </w:p>
    <w:p>
      <w:pPr>
        <w:pStyle w:val="Style34"/>
        <w:keepNext/>
        <w:keepLines/>
        <w:widowControl w:val="0"/>
        <w:numPr>
          <w:ilvl w:val="0"/>
          <w:numId w:val="13"/>
        </w:numPr>
        <w:shd w:val="clear" w:color="auto" w:fill="auto"/>
        <w:bidi w:val="0"/>
        <w:spacing w:before="0" w:after="320" w:line="240" w:lineRule="auto"/>
        <w:ind w:left="0" w:right="0" w:firstLine="0"/>
        <w:jc w:val="left"/>
      </w:pPr>
      <w:bookmarkStart w:id="519" w:name="bookmark519"/>
      <w:bookmarkStart w:id="520" w:name="bookmark520"/>
      <w:bookmarkStart w:id="523" w:name="bookmark523"/>
      <w:bookmarkStart w:id="524" w:name="bookmark524"/>
      <w:bookmarkEnd w:id="523"/>
      <w:r>
        <w:rPr>
          <w:color w:val="000000"/>
          <w:spacing w:val="0"/>
          <w:w w:val="100"/>
          <w:position w:val="0"/>
        </w:rPr>
        <w:t>单项金额重大的应收款项坏账准备</w:t>
      </w:r>
      <w:bookmarkEnd w:id="519"/>
      <w:bookmarkEnd w:id="520"/>
      <w:bookmarkEnd w:id="524"/>
    </w:p>
    <w:tbl>
      <w:tblPr>
        <w:tblOverlap w:val="never"/>
        <w:jc w:val="center"/>
        <w:tblLayout w:type="fixed"/>
      </w:tblPr>
      <w:tblGrid>
        <w:gridCol w:w="5059"/>
        <w:gridCol w:w="452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应收账款金额</w:t>
            </w:r>
            <w:r>
              <w:rPr>
                <w:rFonts w:ascii="Times New Roman" w:eastAsia="Times New Roman" w:hAnsi="Times New Roman" w:cs="Times New Roman"/>
                <w:color w:val="000000"/>
                <w:spacing w:val="0"/>
                <w:w w:val="100"/>
                <w:position w:val="0"/>
              </w:rPr>
              <w:t>1,000</w:t>
            </w:r>
            <w:r>
              <w:rPr>
                <w:color w:val="000000"/>
                <w:spacing w:val="0"/>
                <w:w w:val="100"/>
                <w:position w:val="0"/>
              </w:rPr>
              <w:t>万元以上且占应收账款</w:t>
            </w:r>
            <w:r>
              <w:rPr>
                <w:rFonts w:ascii="Times New Roman" w:eastAsia="Times New Roman" w:hAnsi="Times New Roman" w:cs="Times New Roman"/>
                <w:color w:val="000000"/>
                <w:spacing w:val="0"/>
                <w:w w:val="100"/>
                <w:position w:val="0"/>
              </w:rPr>
              <w:t>5%</w:t>
            </w:r>
            <w:r>
              <w:rPr>
                <w:color w:val="000000"/>
                <w:spacing w:val="0"/>
                <w:w w:val="100"/>
                <w:position w:val="0"/>
              </w:rPr>
              <w:t>以上的款 项、其他应收款</w:t>
            </w:r>
            <w:r>
              <w:rPr>
                <w:rFonts w:ascii="Times New Roman" w:eastAsia="Times New Roman" w:hAnsi="Times New Roman" w:cs="Times New Roman"/>
                <w:color w:val="000000"/>
                <w:spacing w:val="0"/>
                <w:w w:val="100"/>
                <w:position w:val="0"/>
              </w:rPr>
              <w:t>100</w:t>
            </w:r>
            <w:r>
              <w:rPr>
                <w:color w:val="000000"/>
                <w:spacing w:val="0"/>
                <w:w w:val="100"/>
                <w:position w:val="0"/>
              </w:rPr>
              <w:t>万以上且占其他应收款</w:t>
            </w:r>
            <w:r>
              <w:rPr>
                <w:rFonts w:ascii="Times New Roman" w:eastAsia="Times New Roman" w:hAnsi="Times New Roman" w:cs="Times New Roman"/>
                <w:color w:val="000000"/>
                <w:spacing w:val="0"/>
                <w:w w:val="100"/>
                <w:position w:val="0"/>
              </w:rPr>
              <w:t>10%</w:t>
            </w:r>
            <w:r>
              <w:rPr>
                <w:color w:val="000000"/>
                <w:spacing w:val="0"/>
                <w:w w:val="100"/>
                <w:position w:val="0"/>
              </w:rPr>
              <w:t>以上的款 项</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单独进行减值测试，根据其未来现金流量现值低于其账面 价值的差额计提坏账准备。</w:t>
            </w:r>
          </w:p>
        </w:tc>
      </w:tr>
    </w:tbl>
    <w:p>
      <w:pPr>
        <w:widowControl w:val="0"/>
        <w:spacing w:after="319" w:line="1" w:lineRule="exact"/>
      </w:pPr>
    </w:p>
    <w:p>
      <w:pPr>
        <w:pStyle w:val="Style34"/>
        <w:keepNext/>
        <w:keepLines/>
        <w:widowControl w:val="0"/>
        <w:numPr>
          <w:ilvl w:val="0"/>
          <w:numId w:val="13"/>
        </w:numPr>
        <w:shd w:val="clear" w:color="auto" w:fill="auto"/>
        <w:bidi w:val="0"/>
        <w:spacing w:before="0" w:after="320" w:line="240" w:lineRule="auto"/>
        <w:ind w:left="0" w:right="0" w:firstLine="0"/>
        <w:jc w:val="left"/>
      </w:pPr>
      <w:bookmarkStart w:id="525" w:name="bookmark525"/>
      <w:bookmarkStart w:id="526" w:name="bookmark526"/>
      <w:bookmarkStart w:id="527" w:name="bookmark527"/>
      <w:bookmarkStart w:id="528" w:name="bookmark528"/>
      <w:bookmarkEnd w:id="527"/>
      <w:r>
        <w:rPr>
          <w:color w:val="000000"/>
          <w:spacing w:val="0"/>
          <w:w w:val="100"/>
          <w:position w:val="0"/>
        </w:rPr>
        <w:t>按组合计提坏账准备的应收款项</w:t>
      </w:r>
      <w:bookmarkEnd w:id="525"/>
      <w:bookmarkEnd w:id="526"/>
      <w:bookmarkEnd w:id="528"/>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相同账龄的应收款项具有类似信用风险特征</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合并范围内关联方的应收款项</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bl>
    <w:p>
      <w:pPr>
        <w:pStyle w:val="Style29"/>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341" w:lineRule="exact"/>
        <w:ind w:left="0" w:right="0" w:firstLine="0"/>
        <w:jc w:val="both"/>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31"/>
        <w:gridCol w:w="565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bl>
    <w:p>
      <w:pPr>
        <w:widowControl w:val="0"/>
        <w:spacing w:line="1" w:lineRule="exact"/>
      </w:pPr>
    </w:p>
    <w:tbl>
      <w:tblPr>
        <w:tblOverlap w:val="never"/>
        <w:jc w:val="center"/>
        <w:tblLayout w:type="fixed"/>
      </w:tblPr>
      <w:tblGrid>
        <w:gridCol w:w="3931"/>
        <w:gridCol w:w="5650"/>
      </w:tblGrid>
      <w:tr>
        <w:trPr>
          <w:trHeight w:val="7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单独进行减值测试，根据其未来现金流量现值低于其账面价值的差额计 提坏账准备。</w:t>
            </w:r>
          </w:p>
        </w:tc>
      </w:tr>
    </w:tbl>
    <w:p>
      <w:pPr>
        <w:pStyle w:val="Style27"/>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p>
      <w:pPr>
        <w:widowControl w:val="0"/>
        <w:spacing w:after="279" w:line="1" w:lineRule="exact"/>
      </w:pPr>
    </w:p>
    <w:p>
      <w:pPr>
        <w:widowControl w:val="0"/>
        <w:spacing w:line="1" w:lineRule="exact"/>
      </w:pPr>
    </w:p>
    <w:tbl>
      <w:tblPr>
        <w:tblOverlap w:val="never"/>
        <w:jc w:val="center"/>
        <w:tblLayout w:type="fixed"/>
      </w:tblPr>
      <w:tblGrid>
        <w:gridCol w:w="3355"/>
        <w:gridCol w:w="6226"/>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应收款项的未来现金流量现值与以账龄为信用风险特征的应收款项组合的未来 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单独进行减值测试，根据其未来现金流量现值低于其账面价值的差额计提坏账 准备。</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w:t>
      </w:r>
      <w:r>
        <w:rPr>
          <w:b/>
          <w:bCs/>
          <w:color w:val="000000"/>
          <w:spacing w:val="0"/>
          <w:w w:val="100"/>
          <w:position w:val="0"/>
          <w:sz w:val="20"/>
          <w:szCs w:val="20"/>
        </w:rPr>
        <w:t>、存货</w:t>
      </w:r>
    </w:p>
    <w:p>
      <w:pPr>
        <w:widowControl w:val="0"/>
        <w:spacing w:after="279" w:line="1" w:lineRule="exact"/>
      </w:pPr>
    </w:p>
    <w:p>
      <w:pPr>
        <w:pStyle w:val="Style34"/>
        <w:keepNext/>
        <w:keepLines/>
        <w:widowControl w:val="0"/>
        <w:shd w:val="clear" w:color="auto" w:fill="auto"/>
        <w:tabs>
          <w:tab w:pos="493" w:val="left"/>
        </w:tabs>
        <w:bidi w:val="0"/>
        <w:spacing w:before="0" w:after="280" w:line="312" w:lineRule="exact"/>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29"/>
      <w:bookmarkEnd w:id="530"/>
      <w:bookmarkEnd w:id="532"/>
    </w:p>
    <w:p>
      <w:pPr>
        <w:pStyle w:val="Style1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34"/>
        <w:keepNext/>
        <w:keepLines/>
        <w:widowControl w:val="0"/>
        <w:shd w:val="clear" w:color="auto" w:fill="auto"/>
        <w:tabs>
          <w:tab w:pos="493" w:val="left"/>
        </w:tabs>
        <w:bidi w:val="0"/>
        <w:spacing w:before="0" w:after="380" w:line="312" w:lineRule="exact"/>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w:t>
      </w:r>
      <w:bookmarkEnd w:id="535"/>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33"/>
      <w:bookmarkEnd w:id="534"/>
      <w:bookmarkEnd w:id="536"/>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计价方法：加权平均法</w:t>
      </w:r>
    </w:p>
    <w:p>
      <w:pPr>
        <w:pStyle w:val="Style34"/>
        <w:keepNext/>
        <w:keepLines/>
        <w:widowControl w:val="0"/>
        <w:shd w:val="clear" w:color="auto" w:fill="auto"/>
        <w:tabs>
          <w:tab w:pos="493" w:val="left"/>
        </w:tabs>
        <w:bidi w:val="0"/>
        <w:spacing w:before="0" w:after="280" w:line="312" w:lineRule="exact"/>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37"/>
      <w:bookmarkEnd w:id="538"/>
      <w:bookmarkEnd w:id="540"/>
    </w:p>
    <w:p>
      <w:pPr>
        <w:pStyle w:val="Style1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34"/>
        <w:keepNext/>
        <w:keepLines/>
        <w:widowControl w:val="0"/>
        <w:shd w:val="clear" w:color="auto" w:fill="auto"/>
        <w:tabs>
          <w:tab w:pos="493" w:val="left"/>
        </w:tabs>
        <w:bidi w:val="0"/>
        <w:spacing w:before="0" w:after="380" w:line="312" w:lineRule="exact"/>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41"/>
      <w:bookmarkEnd w:id="542"/>
      <w:bookmarkEnd w:id="544"/>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盘存制度：永续盘存制</w:t>
      </w:r>
    </w:p>
    <w:p>
      <w:pPr>
        <w:pStyle w:val="Style34"/>
        <w:keepNext/>
        <w:keepLines/>
        <w:widowControl w:val="0"/>
        <w:shd w:val="clear" w:color="auto" w:fill="auto"/>
        <w:tabs>
          <w:tab w:pos="493" w:val="left"/>
        </w:tabs>
        <w:bidi w:val="0"/>
        <w:spacing w:before="0" w:after="380" w:line="312" w:lineRule="exact"/>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45"/>
      <w:bookmarkEnd w:id="546"/>
      <w:bookmarkEnd w:id="54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包装物</w:t>
      </w: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摊销方法：一次摊销法</w:t>
      </w:r>
    </w:p>
    <w:p>
      <w:pPr>
        <w:pStyle w:val="Style34"/>
        <w:keepNext/>
        <w:keepLines/>
        <w:widowControl w:val="0"/>
        <w:shd w:val="clear" w:color="auto" w:fill="auto"/>
        <w:tabs>
          <w:tab w:pos="468" w:val="left"/>
        </w:tabs>
        <w:bidi w:val="0"/>
        <w:spacing w:before="0" w:after="280" w:line="314" w:lineRule="exact"/>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549"/>
      <w:bookmarkEnd w:id="550"/>
      <w:bookmarkEnd w:id="552"/>
    </w:p>
    <w:p>
      <w:pPr>
        <w:pStyle w:val="Style34"/>
        <w:keepNext/>
        <w:keepLines/>
        <w:widowControl w:val="0"/>
        <w:shd w:val="clear" w:color="auto" w:fill="auto"/>
        <w:tabs>
          <w:tab w:pos="483" w:val="left"/>
        </w:tabs>
        <w:bidi w:val="0"/>
        <w:spacing w:before="0" w:after="280" w:line="314" w:lineRule="exact"/>
        <w:ind w:left="0" w:right="0" w:firstLine="0"/>
        <w:jc w:val="left"/>
      </w:pPr>
      <w:bookmarkStart w:id="549" w:name="bookmark549"/>
      <w:bookmarkStart w:id="550" w:name="bookmark550"/>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549"/>
      <w:bookmarkEnd w:id="550"/>
      <w:bookmarkEnd w:id="554"/>
    </w:p>
    <w:p>
      <w:pPr>
        <w:pStyle w:val="Style16"/>
        <w:keepNext w:val="0"/>
        <w:keepLines w:val="0"/>
        <w:widowControl w:val="0"/>
        <w:shd w:val="clear" w:color="auto" w:fill="auto"/>
        <w:bidi w:val="0"/>
        <w:spacing w:before="0" w:after="280" w:line="314" w:lineRule="exact"/>
        <w:ind w:left="0" w:right="0" w:firstLine="440"/>
        <w:jc w:val="left"/>
      </w:pPr>
      <w:bookmarkStart w:id="555" w:name="bookmark555"/>
      <w:r>
        <w:rPr>
          <w:rFonts w:ascii="Times New Roman" w:eastAsia="Times New Roman" w:hAnsi="Times New Roman" w:cs="Times New Roman"/>
          <w:color w:val="000000"/>
          <w:spacing w:val="0"/>
          <w:w w:val="100"/>
          <w:position w:val="0"/>
        </w:rPr>
        <w:t>（</w:t>
      </w:r>
      <w:bookmarkEnd w:id="555"/>
      <w:r>
        <w:rPr>
          <w:rFonts w:ascii="Times New Roman" w:eastAsia="Times New Roman" w:hAnsi="Times New Roman" w:cs="Times New Roman"/>
          <w:color w:val="000000"/>
          <w:spacing w:val="0"/>
          <w:w w:val="100"/>
          <w:position w:val="0"/>
        </w:rPr>
        <w:t>1）</w:t>
      </w:r>
      <w:r>
        <w:rPr>
          <w:color w:val="000000"/>
          <w:spacing w:val="0"/>
          <w:w w:val="100"/>
          <w:position w:val="0"/>
        </w:rPr>
        <w:t>同一控制下的企业合并形成的，合并方以支付现金、转让非现金资产、承担债务或发行权益性证 券作为合并对价的，在合并日按照取得被合并方所有者权益账面价值的份额作为其初始投资成本。长期股 权投资初始投资成本与支付的合并对价的账面价值或发行股份的面值总额之间的差额调整资本公积；资本 公积不足冲减的，调整留存收益。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非同一控制下的企业合并形成的，在购买日按照支付的合并对价的 公允价值作为其初始投资成本。</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除企业合并形成以外的：以支付现金取得的，按照实际支付的购买价 款作为其初始投资成本；以发行权益性证券取得的，按照发行权益性证券的公允价值作为其初始投资成本; 投资者投入的，按照投资合同或协议约定的价值作为其初始投资成本</w:t>
      </w:r>
      <w:r>
        <w:rPr>
          <w:rFonts w:ascii="Times New Roman" w:eastAsia="Times New Roman" w:hAnsi="Times New Roman" w:cs="Times New Roman"/>
          <w:color w:val="000000"/>
          <w:spacing w:val="0"/>
          <w:w w:val="100"/>
          <w:position w:val="0"/>
        </w:rPr>
        <w:t>（</w:t>
      </w:r>
      <w:r>
        <w:rPr>
          <w:color w:val="000000"/>
          <w:spacing w:val="0"/>
          <w:w w:val="100"/>
          <w:position w:val="0"/>
        </w:rPr>
        <w:t>合同或协议约定价值不公允的除外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keepLines/>
        <w:widowControl w:val="0"/>
        <w:shd w:val="clear" w:color="auto" w:fill="auto"/>
        <w:tabs>
          <w:tab w:pos="483" w:val="left"/>
        </w:tabs>
        <w:bidi w:val="0"/>
        <w:spacing w:before="0" w:after="280" w:line="314" w:lineRule="exact"/>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w:t>
      </w:r>
      <w:bookmarkEnd w:id="558"/>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56"/>
      <w:bookmarkEnd w:id="557"/>
      <w:bookmarkEnd w:id="559"/>
    </w:p>
    <w:p>
      <w:pPr>
        <w:pStyle w:val="Style1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对被投资单位能够实施控制的长期股权投资采用成本法核算，在编制合并财务报表时按照权益法进行 调整；对不具有共同控制或重大影响，并且在活跃市场中没有报价、公允价值不能可靠计量的长期股权投 资，采用成本法核算；对具有共同控制或重大影响的长期股权投资，采用权益法核算。</w:t>
      </w:r>
    </w:p>
    <w:p>
      <w:pPr>
        <w:pStyle w:val="Style34"/>
        <w:keepNext/>
        <w:keepLines/>
        <w:widowControl w:val="0"/>
        <w:shd w:val="clear" w:color="auto" w:fill="auto"/>
        <w:tabs>
          <w:tab w:pos="483" w:val="left"/>
        </w:tabs>
        <w:bidi w:val="0"/>
        <w:spacing w:before="0" w:after="280" w:line="314" w:lineRule="exact"/>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w:t>
      </w:r>
      <w:bookmarkEnd w:id="562"/>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60"/>
      <w:bookmarkEnd w:id="561"/>
      <w:bookmarkEnd w:id="563"/>
    </w:p>
    <w:p>
      <w:pPr>
        <w:pStyle w:val="Style16"/>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按照合同约定，与被投资单位相关的重要财务和经营决策需要分享控制权的投资方一致同意的，认定 为共同控制；对被投资单位的财务和经营政策有参与决策的权力，但并不能够控制或者与其他方一起共同 控制这些政策的制定的，认定为重大影响。</w:t>
      </w:r>
    </w:p>
    <w:p>
      <w:pPr>
        <w:pStyle w:val="Style34"/>
        <w:keepNext/>
        <w:keepLines/>
        <w:widowControl w:val="0"/>
        <w:shd w:val="clear" w:color="auto" w:fill="auto"/>
        <w:tabs>
          <w:tab w:pos="483" w:val="left"/>
        </w:tabs>
        <w:bidi w:val="0"/>
        <w:spacing w:before="0" w:after="280" w:line="314" w:lineRule="exact"/>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w:t>
      </w:r>
      <w:bookmarkEnd w:id="566"/>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64"/>
      <w:bookmarkEnd w:id="565"/>
      <w:bookmarkEnd w:id="567"/>
    </w:p>
    <w:p>
      <w:pPr>
        <w:pStyle w:val="Style16"/>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对子公司、联营企业及合营企业的投资，在资产负债表日有客观证据表明其发生减值的，按照账面价 值高于可收回金额的差额计提相应的减值准备；对被投资单位不具有共同控制或重大影响、在活跃市场中 没有报价、公允价值不能可靠计量的长期股权投资，按照《企业会计准则第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 量》的规定计提相应的减值准备。</w:t>
      </w:r>
    </w:p>
    <w:p>
      <w:pPr>
        <w:pStyle w:val="Style34"/>
        <w:keepNext/>
        <w:keepLines/>
        <w:widowControl w:val="0"/>
        <w:shd w:val="clear" w:color="auto" w:fill="auto"/>
        <w:tabs>
          <w:tab w:pos="468" w:val="left"/>
        </w:tabs>
        <w:bidi w:val="0"/>
        <w:spacing w:before="0" w:after="280" w:line="314" w:lineRule="exact"/>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rFonts w:ascii="Times New Roman" w:eastAsia="Times New Roman" w:hAnsi="Times New Roman" w:cs="Times New Roman"/>
          <w:color w:val="000000"/>
          <w:spacing w:val="0"/>
          <w:w w:val="100"/>
          <w:position w:val="0"/>
        </w:rPr>
        <w:t>3</w:t>
      </w:r>
      <w:r>
        <w:rPr>
          <w:color w:val="000000"/>
          <w:spacing w:val="0"/>
          <w:w w:val="100"/>
          <w:position w:val="0"/>
        </w:rPr>
        <w:t>、</w:t>
        <w:tab/>
        <w:t>固定资产</w:t>
      </w:r>
      <w:bookmarkEnd w:id="568"/>
      <w:bookmarkEnd w:id="569"/>
      <w:bookmarkEnd w:id="571"/>
    </w:p>
    <w:p>
      <w:pPr>
        <w:pStyle w:val="Style34"/>
        <w:keepNext/>
        <w:keepLines/>
        <w:widowControl w:val="0"/>
        <w:shd w:val="clear" w:color="auto" w:fill="auto"/>
        <w:tabs>
          <w:tab w:pos="483" w:val="left"/>
        </w:tabs>
        <w:bidi w:val="0"/>
        <w:spacing w:before="0" w:after="280" w:line="314" w:lineRule="exact"/>
        <w:ind w:left="0" w:right="0" w:firstLine="0"/>
        <w:jc w:val="left"/>
      </w:pPr>
      <w:bookmarkStart w:id="568" w:name="bookmark568"/>
      <w:bookmarkStart w:id="569" w:name="bookmark569"/>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68"/>
      <w:bookmarkEnd w:id="569"/>
      <w:bookmarkEnd w:id="573"/>
    </w:p>
    <w:p>
      <w:pPr>
        <w:pStyle w:val="Style16"/>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固定资产是指为生产商品、提供劳务、出租或经营管理而持有的，使用年限超过一个会计年度的有形 资产。固定资产以取得时的实际成本入账，并从其达到预定可使用状态的次月起采用年限平均法计提折旧。</w:t>
      </w:r>
    </w:p>
    <w:p>
      <w:pPr>
        <w:pStyle w:val="Style34"/>
        <w:keepNext/>
        <w:keepLines/>
        <w:widowControl w:val="0"/>
        <w:shd w:val="clear" w:color="auto" w:fill="auto"/>
        <w:tabs>
          <w:tab w:pos="483" w:val="left"/>
        </w:tabs>
        <w:bidi w:val="0"/>
        <w:spacing w:before="0" w:after="280" w:line="314" w:lineRule="exact"/>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w:t>
      </w:r>
      <w:bookmarkEnd w:id="576"/>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74"/>
      <w:bookmarkEnd w:id="575"/>
      <w:bookmarkEnd w:id="577"/>
    </w:p>
    <w:p>
      <w:pPr>
        <w:pStyle w:val="Style16"/>
        <w:keepNext w:val="0"/>
        <w:keepLines w:val="0"/>
        <w:widowControl w:val="0"/>
        <w:shd w:val="clear" w:color="auto" w:fill="auto"/>
        <w:bidi w:val="0"/>
        <w:spacing w:before="0" w:after="280" w:line="310" w:lineRule="exact"/>
        <w:ind w:left="0" w:right="0" w:firstLine="440"/>
        <w:jc w:val="left"/>
      </w:pPr>
      <w:r>
        <w:rPr>
          <w:color w:val="000000"/>
          <w:spacing w:val="0"/>
          <w:w w:val="100"/>
          <w:position w:val="0"/>
        </w:rPr>
        <w:t>符合下列一项或数项标准的，认定为融资租赁：</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在租赁期届满时，租赁资产的所有权转移给承租 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承租人有购买租赁资产的选择权，所订立的购买价款预计将远低于行使选择权时租赁资产的公允 价值，因而在租赁开始日就可以合理确定承租人将会行使这种选择权；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即使资产的所有权不转移，但 租赁期占租赁资产使用寿命的大部分</w:t>
      </w:r>
      <w:r>
        <w:rPr>
          <w:rFonts w:ascii="Times New Roman" w:eastAsia="Times New Roman" w:hAnsi="Times New Roman" w:cs="Times New Roman"/>
          <w:color w:val="000000"/>
          <w:spacing w:val="0"/>
          <w:w w:val="100"/>
          <w:position w:val="0"/>
        </w:rPr>
        <w:t>［</w:t>
      </w:r>
      <w:r>
        <w:rPr>
          <w:color w:val="000000"/>
          <w:spacing w:val="0"/>
          <w:w w:val="100"/>
          <w:position w:val="0"/>
        </w:rPr>
        <w:t>通常占租赁资产使用寿命的</w:t>
      </w:r>
      <w:r>
        <w:rPr>
          <w:rFonts w:ascii="Times New Roman" w:eastAsia="Times New Roman" w:hAnsi="Times New Roman" w:cs="Times New Roman"/>
          <w:color w:val="000000"/>
          <w:spacing w:val="0"/>
          <w:w w:val="100"/>
          <w:position w:val="0"/>
        </w:rPr>
        <w:t>75%</w:t>
      </w:r>
      <w:r>
        <w:rPr>
          <w:color w:val="000000"/>
          <w:spacing w:val="0"/>
          <w:w w:val="100"/>
          <w:position w:val="0"/>
        </w:rPr>
        <w:t>以上（含</w:t>
      </w:r>
      <w:r>
        <w:rPr>
          <w:rFonts w:ascii="Times New Roman" w:eastAsia="Times New Roman" w:hAnsi="Times New Roman" w:cs="Times New Roman"/>
          <w:color w:val="000000"/>
          <w:spacing w:val="0"/>
          <w:w w:val="100"/>
          <w:position w:val="0"/>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承租人在 租赁开始日的最低租赁付款额现值，几乎相当于租赁开始日租赁资产公允价值</w:t>
      </w:r>
      <w:r>
        <w:rPr>
          <w:rFonts w:ascii="Times New Roman" w:eastAsia="Times New Roman" w:hAnsi="Times New Roman" w:cs="Times New Roman"/>
          <w:color w:val="000000"/>
          <w:spacing w:val="0"/>
          <w:w w:val="100"/>
          <w:position w:val="0"/>
        </w:rPr>
        <w:t>［90%</w:t>
      </w:r>
      <w:r>
        <w:rPr>
          <w:color w:val="000000"/>
          <w:spacing w:val="0"/>
          <w:w w:val="100"/>
          <w:position w:val="0"/>
        </w:rPr>
        <w:t>以上（含</w:t>
      </w:r>
      <w:r>
        <w:rPr>
          <w:rFonts w:ascii="Times New Roman" w:eastAsia="Times New Roman" w:hAnsi="Times New Roman" w:cs="Times New Roman"/>
          <w:color w:val="000000"/>
          <w:spacing w:val="0"/>
          <w:w w:val="100"/>
          <w:position w:val="0"/>
        </w:rPr>
        <w:t>90%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；出 </w:t>
      </w:r>
      <w:r>
        <w:rPr>
          <w:color w:val="000000"/>
          <w:spacing w:val="0"/>
          <w:w w:val="100"/>
          <w:position w:val="0"/>
        </w:rPr>
        <w:t>租人在租赁开始日的最低租赁收款额现值，几乎相当于租赁开始日租赁资产公允价值</w:t>
      </w:r>
      <w:r>
        <w:rPr>
          <w:rFonts w:ascii="Times New Roman" w:eastAsia="Times New Roman" w:hAnsi="Times New Roman" w:cs="Times New Roman"/>
          <w:color w:val="000000"/>
          <w:spacing w:val="0"/>
          <w:w w:val="100"/>
          <w:position w:val="0"/>
        </w:rPr>
        <w:t>［90%</w:t>
      </w:r>
      <w:r>
        <w:rPr>
          <w:color w:val="000000"/>
          <w:spacing w:val="0"/>
          <w:w w:val="100"/>
          <w:position w:val="0"/>
        </w:rPr>
        <w:t xml:space="preserve">以上（含 </w:t>
      </w:r>
      <w:r>
        <w:rPr>
          <w:rFonts w:ascii="Times New Roman" w:eastAsia="Times New Roman" w:hAnsi="Times New Roman" w:cs="Times New Roman"/>
          <w:color w:val="000000"/>
          <w:spacing w:val="0"/>
          <w:w w:val="100"/>
          <w:position w:val="0"/>
        </w:rPr>
        <w:t>90%</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租赁资产性质特殊，如果不作较大改造，只有承租人才能使用。融资租入的固定资产，按租 赁开始日租赁资产的公允价值与最低租赁付款额的现值中较低者入账，按自有固定资产的折旧政策计提折 旧。</w:t>
      </w:r>
    </w:p>
    <w:p>
      <w:pPr>
        <w:pStyle w:val="Style16"/>
        <w:keepNext w:val="0"/>
        <w:keepLines w:val="0"/>
        <w:widowControl w:val="0"/>
        <w:shd w:val="clear" w:color="auto" w:fill="auto"/>
        <w:bidi w:val="0"/>
        <w:spacing w:before="0" w:after="340" w:line="312" w:lineRule="exact"/>
        <w:ind w:left="0" w:right="0" w:firstLine="0"/>
        <w:jc w:val="left"/>
      </w:pPr>
      <w:bookmarkStart w:id="578" w:name="bookmark578"/>
      <w:r>
        <w:rPr>
          <w:b/>
          <w:bCs/>
          <w:color w:val="000000"/>
          <w:spacing w:val="0"/>
          <w:w w:val="100"/>
          <w:position w:val="0"/>
        </w:rPr>
        <w:t>（</w:t>
      </w:r>
      <w:bookmarkEnd w:id="578"/>
      <w:r>
        <w:rPr>
          <w:rFonts w:ascii="Times New Roman" w:eastAsia="Times New Roman" w:hAnsi="Times New Roman" w:cs="Times New Roman"/>
          <w:b/>
          <w:bCs/>
          <w:color w:val="000000"/>
          <w:spacing w:val="0"/>
          <w:w w:val="100"/>
          <w:position w:val="0"/>
        </w:rPr>
        <w:t>3</w:t>
      </w:r>
      <w:r>
        <w:rPr>
          <w:b/>
          <w:bCs/>
          <w:color w:val="000000"/>
          <w:spacing w:val="0"/>
          <w:w w:val="100"/>
          <w:position w:val="0"/>
        </w:rPr>
        <w:t>）各类固定资产的折旧方法</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年折旧率</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79" w:line="1" w:lineRule="exact"/>
      </w:pPr>
    </w:p>
    <w:p>
      <w:pPr>
        <w:pStyle w:val="Style34"/>
        <w:keepNext/>
        <w:keepLines/>
        <w:widowControl w:val="0"/>
        <w:shd w:val="clear" w:color="auto" w:fill="auto"/>
        <w:bidi w:val="0"/>
        <w:spacing w:before="0" w:after="280" w:line="317" w:lineRule="exact"/>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579"/>
      <w:bookmarkEnd w:id="580"/>
      <w:bookmarkEnd w:id="582"/>
    </w:p>
    <w:p>
      <w:pPr>
        <w:pStyle w:val="Style1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资产负债表日，有迹象表明固定资产发生减值的，按照账面价值高于可收回金额的差额计提相应的减 值准备。</w:t>
      </w:r>
    </w:p>
    <w:p>
      <w:pPr>
        <w:pStyle w:val="Style34"/>
        <w:keepNext/>
        <w:keepLines/>
        <w:widowControl w:val="0"/>
        <w:shd w:val="clear" w:color="auto" w:fill="auto"/>
        <w:bidi w:val="0"/>
        <w:spacing w:before="0" w:after="280" w:line="317" w:lineRule="exact"/>
        <w:ind w:left="0" w:right="0" w:firstLine="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583"/>
      <w:bookmarkEnd w:id="584"/>
      <w:bookmarkEnd w:id="586"/>
    </w:p>
    <w:p>
      <w:pPr>
        <w:pStyle w:val="Style34"/>
        <w:keepNext/>
        <w:keepLines/>
        <w:widowControl w:val="0"/>
        <w:shd w:val="clear" w:color="auto" w:fill="auto"/>
        <w:tabs>
          <w:tab w:pos="493" w:val="left"/>
        </w:tabs>
        <w:bidi w:val="0"/>
        <w:spacing w:before="0" w:after="280" w:line="317" w:lineRule="exact"/>
        <w:ind w:left="0" w:right="0" w:firstLine="0"/>
        <w:jc w:val="both"/>
      </w:pPr>
      <w:bookmarkStart w:id="583" w:name="bookmark583"/>
      <w:bookmarkStart w:id="584" w:name="bookmark584"/>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583"/>
      <w:bookmarkEnd w:id="584"/>
      <w:bookmarkEnd w:id="588"/>
    </w:p>
    <w:p>
      <w:pPr>
        <w:pStyle w:val="Style1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在建工程同时满足经济利益很可能流入、成本能够可靠计量则予以确认。在建工程按建造该项资产达 到预定可使用状态前所发生的实际成本计量。</w:t>
      </w:r>
    </w:p>
    <w:p>
      <w:pPr>
        <w:pStyle w:val="Style34"/>
        <w:keepNext/>
        <w:keepLines/>
        <w:widowControl w:val="0"/>
        <w:shd w:val="clear" w:color="auto" w:fill="auto"/>
        <w:tabs>
          <w:tab w:pos="493" w:val="left"/>
        </w:tabs>
        <w:bidi w:val="0"/>
        <w:spacing w:before="0" w:after="280" w:line="317" w:lineRule="exact"/>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w:t>
      </w:r>
      <w:bookmarkEnd w:id="591"/>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589"/>
      <w:bookmarkEnd w:id="590"/>
      <w:bookmarkEnd w:id="592"/>
    </w:p>
    <w:p>
      <w:pPr>
        <w:pStyle w:val="Style1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在建工程达到预定可使用状态时，按工程实际成本转入固定资产。已达到预定可使用状态但尚未办理 竣工决算的，先按估计价值转入固定资产，待办理竣工决算后再按实际成本调整原暂估价值，但不再调整 原已计提的折旧。</w:t>
      </w:r>
    </w:p>
    <w:p>
      <w:pPr>
        <w:pStyle w:val="Style34"/>
        <w:keepNext/>
        <w:keepLines/>
        <w:widowControl w:val="0"/>
        <w:shd w:val="clear" w:color="auto" w:fill="auto"/>
        <w:tabs>
          <w:tab w:pos="493" w:val="left"/>
        </w:tabs>
        <w:bidi w:val="0"/>
        <w:spacing w:before="0" w:after="280" w:line="317" w:lineRule="exact"/>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593"/>
      <w:bookmarkEnd w:id="594"/>
      <w:bookmarkEnd w:id="596"/>
    </w:p>
    <w:p>
      <w:pPr>
        <w:pStyle w:val="Style1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资产负债表日，有迹象表明在建工程发生减值的，按照账面价值高于可收回金额的差额计提相应的减 值准备。</w:t>
      </w:r>
    </w:p>
    <w:p>
      <w:pPr>
        <w:pStyle w:val="Style34"/>
        <w:keepNext/>
        <w:keepLines/>
        <w:widowControl w:val="0"/>
        <w:shd w:val="clear" w:color="auto" w:fill="auto"/>
        <w:tabs>
          <w:tab w:pos="478" w:val="left"/>
        </w:tabs>
        <w:bidi w:val="0"/>
        <w:spacing w:before="0" w:after="280" w:line="317" w:lineRule="exact"/>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1</w:t>
      </w:r>
      <w:bookmarkEnd w:id="599"/>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597"/>
      <w:bookmarkEnd w:id="598"/>
      <w:bookmarkEnd w:id="600"/>
    </w:p>
    <w:p>
      <w:pPr>
        <w:pStyle w:val="Style34"/>
        <w:keepNext/>
        <w:keepLines/>
        <w:widowControl w:val="0"/>
        <w:shd w:val="clear" w:color="auto" w:fill="auto"/>
        <w:tabs>
          <w:tab w:pos="493" w:val="left"/>
        </w:tabs>
        <w:bidi w:val="0"/>
        <w:spacing w:before="0" w:after="280" w:line="317" w:lineRule="exact"/>
        <w:ind w:left="0" w:right="0" w:firstLine="0"/>
        <w:jc w:val="left"/>
      </w:pPr>
      <w:bookmarkStart w:id="597" w:name="bookmark597"/>
      <w:bookmarkStart w:id="598" w:name="bookmark598"/>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597"/>
      <w:bookmarkEnd w:id="598"/>
      <w:bookmarkEnd w:id="602"/>
    </w:p>
    <w:p>
      <w:pPr>
        <w:pStyle w:val="Style16"/>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34"/>
        <w:keepNext/>
        <w:keepLines/>
        <w:widowControl w:val="0"/>
        <w:shd w:val="clear" w:color="auto" w:fill="auto"/>
        <w:tabs>
          <w:tab w:pos="493" w:val="left"/>
        </w:tabs>
        <w:bidi w:val="0"/>
        <w:spacing w:before="0" w:after="280" w:line="317" w:lineRule="exact"/>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w:t>
      </w:r>
      <w:bookmarkEnd w:id="60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03"/>
      <w:bookmarkEnd w:id="604"/>
      <w:bookmarkEnd w:id="606"/>
    </w:p>
    <w:p>
      <w:pPr>
        <w:pStyle w:val="Style16"/>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 使资产达到预定可使用或可销售状态所必要的购建或者生产活动已经开始。</w:t>
      </w:r>
    </w:p>
    <w:p>
      <w:pPr>
        <w:pStyle w:val="Style34"/>
        <w:keepNext/>
        <w:keepLines/>
        <w:widowControl w:val="0"/>
        <w:shd w:val="clear" w:color="auto" w:fill="auto"/>
        <w:tabs>
          <w:tab w:pos="493" w:val="left"/>
        </w:tabs>
        <w:bidi w:val="0"/>
        <w:spacing w:before="0" w:after="280" w:line="317" w:lineRule="exact"/>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07"/>
      <w:bookmarkEnd w:id="608"/>
      <w:bookmarkEnd w:id="610"/>
    </w:p>
    <w:p>
      <w:pPr>
        <w:pStyle w:val="Style16"/>
        <w:keepNext w:val="0"/>
        <w:keepLines w:val="0"/>
        <w:widowControl w:val="0"/>
        <w:shd w:val="clear" w:color="auto" w:fill="auto"/>
        <w:bidi w:val="0"/>
        <w:spacing w:before="0" w:after="280" w:line="319" w:lineRule="exact"/>
        <w:ind w:left="0" w:right="0" w:firstLine="440"/>
        <w:jc w:val="left"/>
      </w:pP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 停借款费用的资本化；中断期间发生的借款费用确认为当期费用，直至资产的购建或者生产活动重新开始。 当所购建或者生产符合资本化条件的资产达到预定可使用或可销售状态时，借款费用停止资本化。</w:t>
      </w:r>
    </w:p>
    <w:p>
      <w:pPr>
        <w:pStyle w:val="Style34"/>
        <w:keepNext/>
        <w:keepLines/>
        <w:widowControl w:val="0"/>
        <w:shd w:val="clear" w:color="auto" w:fill="auto"/>
        <w:tabs>
          <w:tab w:pos="493" w:val="left"/>
        </w:tabs>
        <w:bidi w:val="0"/>
        <w:spacing w:before="0" w:after="280" w:line="317" w:lineRule="exact"/>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11"/>
      <w:bookmarkEnd w:id="612"/>
      <w:bookmarkEnd w:id="614"/>
    </w:p>
    <w:p>
      <w:pPr>
        <w:pStyle w:val="Style16"/>
        <w:keepNext w:val="0"/>
        <w:keepLines w:val="0"/>
        <w:widowControl w:val="0"/>
        <w:shd w:val="clear" w:color="auto" w:fill="auto"/>
        <w:bidi w:val="0"/>
        <w:spacing w:before="0" w:after="280" w:line="311" w:lineRule="exact"/>
        <w:ind w:left="0" w:right="0" w:firstLine="440"/>
        <w:jc w:val="left"/>
      </w:pPr>
      <w:r>
        <w:rPr>
          <w:color w:val="000000"/>
          <w:spacing w:val="0"/>
          <w:w w:val="100"/>
          <w:position w:val="0"/>
        </w:rPr>
        <w:t>为购建或者生产符合资本化条件的资产而借入专门借款的，以专门借款当期实际发生的利息费用</w:t>
      </w:r>
      <w:r>
        <w:rPr>
          <w:rFonts w:ascii="Times New Roman" w:eastAsia="Times New Roman" w:hAnsi="Times New Roman" w:cs="Times New Roman"/>
          <w:color w:val="000000"/>
          <w:spacing w:val="0"/>
          <w:w w:val="100"/>
          <w:position w:val="0"/>
        </w:rPr>
        <w:t>（</w:t>
      </w:r>
      <w:r>
        <w:rPr>
          <w:color w:val="000000"/>
          <w:spacing w:val="0"/>
          <w:w w:val="100"/>
          <w:position w:val="0"/>
        </w:rPr>
        <w:t>包括 按照实际利率法确定的折价或溢价的摊销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,减去将尚未动用的借款资金存入银行取得的利息收入或进行暂 时性投资取得的投资收益后的金额，确定应予资本化的利息金额；为购建或者生产符合资本化条件的资产 占用了一般借款的，根据累计资产支出超过专门借款的资产支出加权平均数乘以占用一般借款的资本化 率，计算确定一般借款应予资本化的利息金额。</w:t>
      </w:r>
    </w:p>
    <w:p>
      <w:pPr>
        <w:pStyle w:val="Style34"/>
        <w:keepNext/>
        <w:keepLines/>
        <w:widowControl w:val="0"/>
        <w:shd w:val="clear" w:color="auto" w:fill="auto"/>
        <w:tabs>
          <w:tab w:pos="478" w:val="left"/>
        </w:tabs>
        <w:bidi w:val="0"/>
        <w:spacing w:before="0" w:after="280" w:line="317" w:lineRule="exact"/>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615"/>
      <w:bookmarkEnd w:id="616"/>
      <w:bookmarkEnd w:id="618"/>
    </w:p>
    <w:p>
      <w:pPr>
        <w:pStyle w:val="Style34"/>
        <w:keepNext/>
        <w:keepLines/>
        <w:widowControl w:val="0"/>
        <w:shd w:val="clear" w:color="auto" w:fill="auto"/>
        <w:tabs>
          <w:tab w:pos="493" w:val="left"/>
        </w:tabs>
        <w:bidi w:val="0"/>
        <w:spacing w:before="0" w:after="280" w:line="317" w:lineRule="exact"/>
        <w:ind w:left="0" w:right="0" w:firstLine="0"/>
        <w:jc w:val="left"/>
      </w:pPr>
      <w:bookmarkStart w:id="615" w:name="bookmark615"/>
      <w:bookmarkStart w:id="616" w:name="bookmark616"/>
      <w:bookmarkStart w:id="619" w:name="bookmark619"/>
      <w:bookmarkStart w:id="620" w:name="bookmark620"/>
      <w:r>
        <w:rPr>
          <w:color w:val="000000"/>
          <w:spacing w:val="0"/>
          <w:w w:val="100"/>
          <w:position w:val="0"/>
        </w:rPr>
        <w:t>（</w:t>
      </w:r>
      <w:bookmarkEnd w:id="619"/>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615"/>
      <w:bookmarkEnd w:id="616"/>
      <w:bookmarkEnd w:id="620"/>
    </w:p>
    <w:p>
      <w:pPr>
        <w:pStyle w:val="Style16"/>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无形资产包括土地使用权、专利技术、非专利技术和软件等，按成本进行初始计量。</w:t>
      </w:r>
    </w:p>
    <w:p>
      <w:pPr>
        <w:pStyle w:val="Style34"/>
        <w:keepNext/>
        <w:keepLines/>
        <w:widowControl w:val="0"/>
        <w:shd w:val="clear" w:color="auto" w:fill="auto"/>
        <w:tabs>
          <w:tab w:pos="493" w:val="left"/>
        </w:tabs>
        <w:bidi w:val="0"/>
        <w:spacing w:before="0" w:after="280" w:line="317" w:lineRule="exact"/>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w:t>
      </w:r>
      <w:bookmarkEnd w:id="623"/>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621"/>
      <w:bookmarkEnd w:id="622"/>
      <w:bookmarkEnd w:id="624"/>
    </w:p>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使用寿命有限的无形资产，在使用寿命内按照与该项无形资产有关的经济利益的预期实现方式系统合 理地摊销，无法可靠确定预期实现方式的，采用直线法摊销。具体年限如下：</w:t>
      </w:r>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规定的使用年限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规定使用年限</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bl>
    <w:p>
      <w:pPr>
        <w:widowControl w:val="0"/>
        <w:spacing w:after="279" w:line="1" w:lineRule="exact"/>
      </w:pPr>
    </w:p>
    <w:p>
      <w:pPr>
        <w:pStyle w:val="Style34"/>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w:t>
      </w:r>
      <w:bookmarkEnd w:id="627"/>
      <w:r>
        <w:rPr>
          <w:rFonts w:ascii="Times New Roman" w:eastAsia="Times New Roman" w:hAnsi="Times New Roman" w:cs="Times New Roman"/>
          <w:color w:val="000000"/>
          <w:spacing w:val="0"/>
          <w:w w:val="100"/>
          <w:position w:val="0"/>
        </w:rPr>
        <w:t>3</w:t>
      </w:r>
      <w:r>
        <w:rPr>
          <w:color w:val="000000"/>
          <w:spacing w:val="0"/>
          <w:w w:val="100"/>
          <w:position w:val="0"/>
        </w:rPr>
        <w:t>）无形资产减值准备的计提</w:t>
      </w:r>
      <w:bookmarkEnd w:id="625"/>
      <w:bookmarkEnd w:id="626"/>
      <w:bookmarkEnd w:id="628"/>
    </w:p>
    <w:p>
      <w:pPr>
        <w:pStyle w:val="Style16"/>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 xml:space="preserve">使用寿命确定的无形资产，在资产负债表日有迹象表明发生减值的，按照账面价值高于可收回金额的 </w:t>
      </w:r>
      <w:r>
        <w:rPr>
          <w:color w:val="000000"/>
          <w:spacing w:val="0"/>
          <w:w w:val="100"/>
          <w:position w:val="0"/>
        </w:rPr>
        <w:t>差额计提相应的减值准备；使用寿命不确定的无形资产和尚未达到可使用状态的无形资产，无论是否存在 减值迹象，每年均进行减值测试。</w:t>
      </w:r>
    </w:p>
    <w:p>
      <w:pPr>
        <w:pStyle w:val="Style34"/>
        <w:keepNext/>
        <w:keepLines/>
        <w:widowControl w:val="0"/>
        <w:shd w:val="clear" w:color="auto" w:fill="auto"/>
        <w:tabs>
          <w:tab w:pos="492" w:val="left"/>
        </w:tabs>
        <w:bidi w:val="0"/>
        <w:spacing w:before="0" w:after="300" w:line="312" w:lineRule="exact"/>
        <w:ind w:left="0" w:right="0" w:firstLine="0"/>
        <w:jc w:val="both"/>
      </w:pPr>
      <w:bookmarkStart w:id="629" w:name="bookmark629"/>
      <w:bookmarkStart w:id="630" w:name="bookmark630"/>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4</w:t>
      </w:r>
      <w:r>
        <w:rPr>
          <w:color w:val="000000"/>
          <w:spacing w:val="0"/>
          <w:w w:val="100"/>
          <w:position w:val="0"/>
        </w:rPr>
        <w:t>）</w:t>
        <w:tab/>
        <w:t>划分公司内部研究开发项目的研究阶段和开发阶段具体标准</w:t>
      </w:r>
      <w:bookmarkEnd w:id="629"/>
      <w:bookmarkEnd w:id="630"/>
      <w:bookmarkEnd w:id="632"/>
    </w:p>
    <w:p>
      <w:pPr>
        <w:pStyle w:val="Style1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根据内部研究开发项目支出的性质以及研发活动最终形成无形资产是否具有较大不确定性，分为研究 阶段支出和开发阶段支出。</w:t>
      </w:r>
    </w:p>
    <w:p>
      <w:pPr>
        <w:pStyle w:val="Style34"/>
        <w:keepNext/>
        <w:keepLines/>
        <w:widowControl w:val="0"/>
        <w:shd w:val="clear" w:color="auto" w:fill="auto"/>
        <w:tabs>
          <w:tab w:pos="492" w:val="left"/>
        </w:tabs>
        <w:bidi w:val="0"/>
        <w:spacing w:before="0" w:after="300" w:line="312" w:lineRule="exact"/>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w:t>
      </w:r>
      <w:bookmarkEnd w:id="635"/>
      <w:r>
        <w:rPr>
          <w:rFonts w:ascii="Times New Roman" w:eastAsia="Times New Roman" w:hAnsi="Times New Roman" w:cs="Times New Roman"/>
          <w:color w:val="000000"/>
          <w:spacing w:val="0"/>
          <w:w w:val="100"/>
          <w:position w:val="0"/>
        </w:rPr>
        <w:t>5</w:t>
      </w:r>
      <w:r>
        <w:rPr>
          <w:color w:val="000000"/>
          <w:spacing w:val="0"/>
          <w:w w:val="100"/>
          <w:position w:val="0"/>
        </w:rPr>
        <w:t>）</w:t>
        <w:tab/>
        <w:t>内部研究开发项目支出的核算</w:t>
      </w:r>
      <w:bookmarkEnd w:id="633"/>
      <w:bookmarkEnd w:id="634"/>
      <w:bookmarkEnd w:id="636"/>
    </w:p>
    <w:p>
      <w:pPr>
        <w:pStyle w:val="Style16"/>
        <w:keepNext w:val="0"/>
        <w:keepLines w:val="0"/>
        <w:widowControl w:val="0"/>
        <w:shd w:val="clear" w:color="auto" w:fill="auto"/>
        <w:bidi w:val="0"/>
        <w:spacing w:before="0" w:after="0" w:line="312" w:lineRule="exact"/>
        <w:ind w:left="0" w:right="0" w:firstLine="520"/>
        <w:jc w:val="both"/>
      </w:pPr>
      <w:r>
        <w:rPr>
          <w:color w:val="000000"/>
          <w:spacing w:val="0"/>
          <w:w w:val="100"/>
          <w:position w:val="0"/>
          <w:shd w:val="clear" w:color="auto" w:fill="FFFFFF"/>
        </w:rPr>
        <w:t>内部研究开发项目研究阶段的支出，于发生时计入当期损益。内部研究开发项目开发阶段的支出， 同时满足下列条件的，确认为无形资产：</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完成该无形资产以使其能够使用或出售在技术上具有可行性;</w:t>
      </w:r>
    </w:p>
    <w:p>
      <w:pPr>
        <w:pStyle w:val="Style16"/>
        <w:keepNext w:val="0"/>
        <w:keepLines w:val="0"/>
        <w:widowControl w:val="0"/>
        <w:shd w:val="clear" w:color="auto" w:fill="auto"/>
        <w:bidi w:val="0"/>
        <w:spacing w:before="0" w:after="340" w:line="312" w:lineRule="exact"/>
        <w:ind w:left="0" w:right="0" w:firstLine="0"/>
        <w:jc w:val="both"/>
      </w:pPr>
      <w:bookmarkStart w:id="637" w:name="bookmark637"/>
      <w:r>
        <w:rPr>
          <w:rFonts w:ascii="Times New Roman" w:eastAsia="Times New Roman" w:hAnsi="Times New Roman" w:cs="Times New Roman"/>
          <w:color w:val="000000"/>
          <w:spacing w:val="0"/>
          <w:w w:val="100"/>
          <w:position w:val="0"/>
        </w:rPr>
        <w:t>（</w:t>
      </w:r>
      <w:bookmarkEnd w:id="637"/>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 形资产生产的产品存在市场或无形资产自身存在市场，无形资产将在内部使用的，能证明其有用性；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 足够的技术、财务资源和其他资源支持，以完成该无形资产的开发，并有能力使用或出售该无形资产；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归属于该无形资产开发阶段的支出能够可靠地计量。</w:t>
      </w:r>
    </w:p>
    <w:p>
      <w:pPr>
        <w:pStyle w:val="Style34"/>
        <w:keepNext/>
        <w:keepLines/>
        <w:widowControl w:val="0"/>
        <w:shd w:val="clear" w:color="auto" w:fill="auto"/>
        <w:tabs>
          <w:tab w:pos="478" w:val="left"/>
        </w:tabs>
        <w:bidi w:val="0"/>
        <w:spacing w:before="0" w:after="220" w:line="326" w:lineRule="auto"/>
        <w:ind w:left="0" w:right="0" w:firstLine="0"/>
        <w:jc w:val="both"/>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1</w:t>
      </w:r>
      <w:bookmarkEnd w:id="640"/>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638"/>
      <w:bookmarkEnd w:id="639"/>
      <w:bookmarkEnd w:id="641"/>
    </w:p>
    <w:p>
      <w:pPr>
        <w:pStyle w:val="Style16"/>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长期待摊费用按实际发生额入账，在受益期或规定的期限内分期平均摊销。如果长期待摊的费用项目 不能使以后会计期间受益则将尚未摊销的该项目的摊余价值全部转入当期损益。</w:t>
      </w:r>
    </w:p>
    <w:p>
      <w:pPr>
        <w:pStyle w:val="Style34"/>
        <w:keepNext/>
        <w:keepLines/>
        <w:widowControl w:val="0"/>
        <w:shd w:val="clear" w:color="auto" w:fill="auto"/>
        <w:tabs>
          <w:tab w:pos="478" w:val="left"/>
        </w:tabs>
        <w:bidi w:val="0"/>
        <w:spacing w:before="0" w:after="220" w:line="326"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1</w:t>
      </w:r>
      <w:bookmarkEnd w:id="644"/>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642"/>
      <w:bookmarkEnd w:id="643"/>
      <w:bookmarkEnd w:id="645"/>
    </w:p>
    <w:p>
      <w:pPr>
        <w:pStyle w:val="Style34"/>
        <w:keepNext/>
        <w:keepLines/>
        <w:widowControl w:val="0"/>
        <w:shd w:val="clear" w:color="auto" w:fill="auto"/>
        <w:tabs>
          <w:tab w:pos="492" w:val="left"/>
        </w:tabs>
        <w:bidi w:val="0"/>
        <w:spacing w:before="0" w:after="300" w:line="312" w:lineRule="exact"/>
        <w:ind w:left="0" w:right="0" w:firstLine="0"/>
        <w:jc w:val="left"/>
      </w:pPr>
      <w:bookmarkStart w:id="642" w:name="bookmark642"/>
      <w:bookmarkStart w:id="643" w:name="bookmark643"/>
      <w:bookmarkStart w:id="646" w:name="bookmark646"/>
      <w:bookmarkStart w:id="647" w:name="bookmark647"/>
      <w:r>
        <w:rPr>
          <w:color w:val="000000"/>
          <w:spacing w:val="0"/>
          <w:w w:val="100"/>
          <w:position w:val="0"/>
        </w:rPr>
        <w:t>（</w:t>
      </w:r>
      <w:bookmarkEnd w:id="646"/>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642"/>
      <w:bookmarkEnd w:id="643"/>
      <w:bookmarkEnd w:id="647"/>
    </w:p>
    <w:p>
      <w:pPr>
        <w:pStyle w:val="Style16"/>
        <w:keepNext w:val="0"/>
        <w:keepLines w:val="0"/>
        <w:widowControl w:val="0"/>
        <w:shd w:val="clear" w:color="auto" w:fill="auto"/>
        <w:bidi w:val="0"/>
        <w:spacing w:before="0" w:after="300" w:line="317" w:lineRule="exact"/>
        <w:ind w:left="0" w:right="0" w:firstLine="440"/>
        <w:jc w:val="left"/>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 xml:space="preserve">将商品所有权上的主要风险和报酬转移给购货方； </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公司不再保留通常与所有权相联系的继续管理权，也不再对已售出的商品实施有效控制；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 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 收入确认的具体方法：公司主要销售高压动态无功补偿装置</w:t>
      </w:r>
      <w:r>
        <w:rPr>
          <w:rFonts w:ascii="Times New Roman" w:eastAsia="Times New Roman" w:hAnsi="Times New Roman" w:cs="Times New Roman"/>
          <w:color w:val="000000"/>
          <w:spacing w:val="0"/>
          <w:w w:val="100"/>
          <w:position w:val="0"/>
        </w:rPr>
        <w:t>（SVC</w:t>
      </w:r>
      <w:r>
        <w:rPr>
          <w:rFonts w:ascii="Times New Roman" w:eastAsia="Times New Roman" w:hAnsi="Times New Roman" w:cs="Times New Roman"/>
          <w:color w:val="000000"/>
          <w:spacing w:val="0"/>
          <w:w w:val="100"/>
          <w:position w:val="0"/>
        </w:rPr>
        <w:t>）</w:t>
      </w:r>
      <w:r>
        <w:rPr>
          <w:color w:val="000000"/>
          <w:spacing w:val="0"/>
          <w:w w:val="100"/>
          <w:position w:val="0"/>
        </w:rPr>
        <w:t>、智能瓦斯排放装置、电力滤波装置、 高压变频调速装置等产品。内销产品收入确认需满足以下条件：公司已根据合同约定将产品交付给购货方, 且产品销售收入金额已确定，已经收回货款或取得了收款凭证且相关的经济利益很可能流入，产品相关的 成本能够可靠地计量。外销产品收入确认需满足以下条件：公司已根据合同约定将产品报关、离港，取得 提单，且产品销售收入金额已确定，已经收回货款或取得了收款凭证且相关的经济利益很可能流入，产品 相关的成本能够可靠地计量。</w:t>
      </w:r>
    </w:p>
    <w:p>
      <w:pPr>
        <w:pStyle w:val="Style34"/>
        <w:keepNext/>
        <w:keepLines/>
        <w:widowControl w:val="0"/>
        <w:shd w:val="clear" w:color="auto" w:fill="auto"/>
        <w:tabs>
          <w:tab w:pos="492" w:val="left"/>
        </w:tabs>
        <w:bidi w:val="0"/>
        <w:spacing w:before="0" w:after="300" w:line="312" w:lineRule="exact"/>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648"/>
      <w:bookmarkEnd w:id="649"/>
      <w:bookmarkEnd w:id="651"/>
    </w:p>
    <w:p>
      <w:pPr>
        <w:pStyle w:val="Style1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34"/>
        <w:keepNext/>
        <w:keepLines/>
        <w:widowControl w:val="0"/>
        <w:shd w:val="clear" w:color="auto" w:fill="auto"/>
        <w:tabs>
          <w:tab w:pos="492" w:val="left"/>
        </w:tabs>
        <w:bidi w:val="0"/>
        <w:spacing w:before="0" w:after="300" w:line="312" w:lineRule="exact"/>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w:t>
      </w:r>
      <w:bookmarkEnd w:id="654"/>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652"/>
      <w:bookmarkEnd w:id="653"/>
      <w:bookmarkEnd w:id="655"/>
    </w:p>
    <w:p>
      <w:pPr>
        <w:pStyle w:val="Style1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 xml:space="preserve">提供劳务交易的结果在资产负债表日能够可靠估计的（同时满足收入的金额能够可靠地计量、相关经 </w:t>
      </w:r>
      <w:r>
        <w:rPr>
          <w:color w:val="000000"/>
          <w:spacing w:val="0"/>
          <w:w w:val="100"/>
          <w:position w:val="0"/>
        </w:rPr>
        <w:t>济利益很可能流入、交易的完工进度能够可靠地确定、交易中已发生和将发生的成本能够可靠地计量）， 采用完工百分比法确认提供劳务的收入，并按已经发生的成本占估计总成本的比例确定提供劳务交易的完 工进度。提供劳务交易的结果在资产负债表日不能够可靠估计的，若已经发生的劳务成本预计能够得到补 偿，按已经发生的劳务成本金额确认提供劳务收入，并按相同金额结转劳务成本；若已经发生的劳务成本 预计不能够得到补偿，将已经发生的劳务成本计入当期损益，不确认劳务收入。</w:t>
      </w:r>
    </w:p>
    <w:p>
      <w:pPr>
        <w:pStyle w:val="Style34"/>
        <w:keepNext/>
        <w:keepLines/>
        <w:widowControl w:val="0"/>
        <w:shd w:val="clear" w:color="auto" w:fill="auto"/>
        <w:bidi w:val="0"/>
        <w:spacing w:before="0" w:after="300" w:line="314" w:lineRule="exact"/>
        <w:ind w:left="0" w:right="0" w:firstLine="0"/>
        <w:jc w:val="both"/>
      </w:pPr>
      <w:bookmarkStart w:id="656" w:name="bookmark656"/>
      <w:bookmarkStart w:id="657" w:name="bookmark657"/>
      <w:bookmarkStart w:id="658" w:name="bookmark658"/>
      <w:bookmarkStart w:id="659" w:name="bookmark659"/>
      <w:r>
        <w:rPr>
          <w:color w:val="000000"/>
          <w:spacing w:val="0"/>
          <w:w w:val="100"/>
          <w:position w:val="0"/>
        </w:rPr>
        <w:t>（</w:t>
      </w:r>
      <w:bookmarkEnd w:id="658"/>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656"/>
      <w:bookmarkEnd w:id="657"/>
      <w:bookmarkEnd w:id="659"/>
    </w:p>
    <w:p>
      <w:pPr>
        <w:pStyle w:val="Style16"/>
        <w:keepNext w:val="0"/>
        <w:keepLines w:val="0"/>
        <w:widowControl w:val="0"/>
        <w:shd w:val="clear" w:color="auto" w:fill="auto"/>
        <w:tabs>
          <w:tab w:pos="772" w:val="left"/>
        </w:tabs>
        <w:bidi w:val="0"/>
        <w:spacing w:before="0" w:after="0" w:line="315" w:lineRule="exact"/>
        <w:ind w:left="0" w:right="0" w:firstLine="440"/>
        <w:jc w:val="both"/>
      </w:pPr>
      <w:bookmarkStart w:id="660" w:name="bookmark660"/>
      <w:r>
        <w:rPr>
          <w:rFonts w:ascii="Times New Roman" w:eastAsia="Times New Roman" w:hAnsi="Times New Roman" w:cs="Times New Roman"/>
          <w:color w:val="000000"/>
          <w:spacing w:val="0"/>
          <w:w w:val="100"/>
          <w:position w:val="0"/>
        </w:rPr>
        <w:t>1</w:t>
      </w:r>
      <w:bookmarkEnd w:id="660"/>
      <w:r>
        <w:rPr>
          <w:rFonts w:ascii="Times New Roman" w:eastAsia="Times New Roman" w:hAnsi="Times New Roman" w:cs="Times New Roman"/>
          <w:color w:val="000000"/>
          <w:spacing w:val="0"/>
          <w:w w:val="100"/>
          <w:position w:val="0"/>
        </w:rPr>
        <w:t>）</w:t>
        <w:tab/>
      </w:r>
      <w:r>
        <w:rPr>
          <w:color w:val="000000"/>
          <w:spacing w:val="0"/>
          <w:w w:val="100"/>
          <w:position w:val="0"/>
        </w:rPr>
        <w:t>建造合同的结果在资产负债表日能够可靠估计的，根据完工百分比法确认合同收入和合同费用。建 造合同的结果在资产负债表日不能够可靠估计的，若合同成本能够收回的，合同收入根据能够收回的实际 合同成本予以确认，合同成本在其发生的当期确认为合同费用；若合同成本不可能收回的，在发生时立即 确认为合同费用，不确认合同收入。</w:t>
      </w:r>
    </w:p>
    <w:p>
      <w:pPr>
        <w:pStyle w:val="Style16"/>
        <w:keepNext w:val="0"/>
        <w:keepLines w:val="0"/>
        <w:widowControl w:val="0"/>
        <w:shd w:val="clear" w:color="auto" w:fill="auto"/>
        <w:tabs>
          <w:tab w:pos="758" w:val="left"/>
        </w:tabs>
        <w:bidi w:val="0"/>
        <w:spacing w:before="0" w:after="0" w:line="315" w:lineRule="exact"/>
        <w:ind w:left="0" w:right="0" w:firstLine="440"/>
        <w:jc w:val="both"/>
      </w:pPr>
      <w:bookmarkStart w:id="661" w:name="bookmark661"/>
      <w:r>
        <w:rPr>
          <w:rFonts w:ascii="Times New Roman" w:eastAsia="Times New Roman" w:hAnsi="Times New Roman" w:cs="Times New Roman"/>
          <w:color w:val="000000"/>
          <w:spacing w:val="0"/>
          <w:w w:val="100"/>
          <w:position w:val="0"/>
        </w:rPr>
        <w:t>2</w:t>
      </w:r>
      <w:bookmarkEnd w:id="661"/>
      <w:r>
        <w:rPr>
          <w:rFonts w:ascii="Times New Roman" w:eastAsia="Times New Roman" w:hAnsi="Times New Roman" w:cs="Times New Roman"/>
          <w:color w:val="000000"/>
          <w:spacing w:val="0"/>
          <w:w w:val="100"/>
          <w:position w:val="0"/>
        </w:rPr>
        <w:t>）</w:t>
        <w:tab/>
      </w:r>
      <w:r>
        <w:rPr>
          <w:color w:val="000000"/>
          <w:spacing w:val="0"/>
          <w:w w:val="100"/>
          <w:position w:val="0"/>
        </w:rPr>
        <w:t>固定造价合同同时满足下列条件表明其结果能够可靠估计：合同总收入能够可靠计量、与合同相关 的经济利益很可能流入、实际发生的合同成本能够清楚地区分和可靠地计量、合同完工进度和为完成合同 尚需发生的成本能够可靠地计量。成本加成合同同时满足下列条件表明其结果能够可靠估计：与合同相关 的经济利益很可能流入、实际发生的合同成本能够清楚地区分和可靠地计量。</w:t>
      </w:r>
    </w:p>
    <w:p>
      <w:pPr>
        <w:pStyle w:val="Style16"/>
        <w:keepNext w:val="0"/>
        <w:keepLines w:val="0"/>
        <w:widowControl w:val="0"/>
        <w:shd w:val="clear" w:color="auto" w:fill="auto"/>
        <w:tabs>
          <w:tab w:pos="795" w:val="left"/>
        </w:tabs>
        <w:bidi w:val="0"/>
        <w:spacing w:before="0" w:after="0" w:line="315" w:lineRule="exact"/>
        <w:ind w:left="0" w:right="0" w:firstLine="440"/>
        <w:jc w:val="both"/>
      </w:pPr>
      <w:bookmarkStart w:id="662" w:name="bookmark662"/>
      <w:r>
        <w:rPr>
          <w:color w:val="000000"/>
          <w:spacing w:val="0"/>
          <w:w w:val="100"/>
          <w:position w:val="0"/>
        </w:rPr>
        <w:t>3</w:t>
      </w:r>
      <w:bookmarkEnd w:id="662"/>
      <w:r>
        <w:rPr>
          <w:color w:val="000000"/>
          <w:spacing w:val="0"/>
          <w:w w:val="100"/>
          <w:position w:val="0"/>
        </w:rPr>
        <w:t>）</w:t>
        <w:tab/>
      </w:r>
      <w:r>
        <w:rPr>
          <w:color w:val="000000"/>
          <w:spacing w:val="0"/>
          <w:w w:val="100"/>
          <w:position w:val="0"/>
        </w:rPr>
        <w:t>确定合同完工进度的方法为累计实际发生的合同成本占合同预计总成本的比例。</w:t>
      </w:r>
    </w:p>
    <w:p>
      <w:pPr>
        <w:pStyle w:val="Style16"/>
        <w:keepNext w:val="0"/>
        <w:keepLines w:val="0"/>
        <w:widowControl w:val="0"/>
        <w:shd w:val="clear" w:color="auto" w:fill="auto"/>
        <w:tabs>
          <w:tab w:pos="753" w:val="left"/>
        </w:tabs>
        <w:bidi w:val="0"/>
        <w:spacing w:before="0" w:after="340" w:line="315" w:lineRule="exact"/>
        <w:ind w:left="0" w:right="0" w:firstLine="440"/>
        <w:jc w:val="both"/>
      </w:pPr>
      <w:bookmarkStart w:id="663" w:name="bookmark663"/>
      <w:r>
        <w:rPr>
          <w:rFonts w:ascii="Times New Roman" w:eastAsia="Times New Roman" w:hAnsi="Times New Roman" w:cs="Times New Roman"/>
          <w:color w:val="000000"/>
          <w:spacing w:val="0"/>
          <w:w w:val="100"/>
          <w:position w:val="0"/>
        </w:rPr>
        <w:t>4</w:t>
      </w:r>
      <w:bookmarkEnd w:id="663"/>
      <w:r>
        <w:rPr>
          <w:rFonts w:ascii="Times New Roman" w:eastAsia="Times New Roman" w:hAnsi="Times New Roman" w:cs="Times New Roman"/>
          <w:color w:val="000000"/>
          <w:spacing w:val="0"/>
          <w:w w:val="100"/>
          <w:position w:val="0"/>
        </w:rPr>
        <w:t>）</w:t>
        <w:tab/>
      </w:r>
      <w:r>
        <w:rPr>
          <w:color w:val="000000"/>
          <w:spacing w:val="0"/>
          <w:w w:val="100"/>
          <w:position w:val="0"/>
        </w:rPr>
        <w:t>资产负债表日，合同预计总成本超过合同总收入的，将预计损失确认为当期费用。执行中的建造合 同，按其差额计提存货跌价准备；待执行的亏损合同，按其差额确认预计负债。</w:t>
      </w:r>
    </w:p>
    <w:p>
      <w:pPr>
        <w:pStyle w:val="Style34"/>
        <w:keepNext/>
        <w:keepLines/>
        <w:widowControl w:val="0"/>
        <w:shd w:val="clear" w:color="auto" w:fill="auto"/>
        <w:tabs>
          <w:tab w:pos="470" w:val="left"/>
        </w:tabs>
        <w:bidi w:val="0"/>
        <w:spacing w:before="0" w:after="200" w:line="329"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bookmarkEnd w:id="666"/>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664"/>
      <w:bookmarkEnd w:id="665"/>
      <w:bookmarkEnd w:id="667"/>
    </w:p>
    <w:p>
      <w:pPr>
        <w:pStyle w:val="Style34"/>
        <w:keepNext/>
        <w:keepLines/>
        <w:widowControl w:val="0"/>
        <w:shd w:val="clear" w:color="auto" w:fill="auto"/>
        <w:tabs>
          <w:tab w:pos="484" w:val="left"/>
        </w:tabs>
        <w:bidi w:val="0"/>
        <w:spacing w:before="0" w:after="300" w:line="314" w:lineRule="exact"/>
        <w:ind w:left="0" w:right="0" w:firstLine="0"/>
        <w:jc w:val="both"/>
      </w:pPr>
      <w:bookmarkStart w:id="664" w:name="bookmark664"/>
      <w:bookmarkStart w:id="665" w:name="bookmark665"/>
      <w:bookmarkStart w:id="668" w:name="bookmark668"/>
      <w:bookmarkStart w:id="669" w:name="bookmark669"/>
      <w:r>
        <w:rPr>
          <w:color w:val="000000"/>
          <w:spacing w:val="0"/>
          <w:w w:val="100"/>
          <w:position w:val="0"/>
        </w:rPr>
        <w:t>（</w:t>
      </w:r>
      <w:bookmarkEnd w:id="668"/>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664"/>
      <w:bookmarkEnd w:id="665"/>
      <w:bookmarkEnd w:id="669"/>
    </w:p>
    <w:p>
      <w:pPr>
        <w:pStyle w:val="Style16"/>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政府补助包括与资产相关的政府补助和与收益相关的政府补助。公司取得的、用于购建或以其他方式 形成长期资产的政府补助划分为与资产相关的政府补助，除与资产相关的政府补助之外的政府补助划分为 与收益相关的政府补助。</w:t>
      </w:r>
    </w:p>
    <w:p>
      <w:pPr>
        <w:pStyle w:val="Style34"/>
        <w:keepNext/>
        <w:keepLines/>
        <w:widowControl w:val="0"/>
        <w:shd w:val="clear" w:color="auto" w:fill="auto"/>
        <w:tabs>
          <w:tab w:pos="484" w:val="left"/>
        </w:tabs>
        <w:bidi w:val="0"/>
        <w:spacing w:before="0" w:after="300" w:line="314" w:lineRule="exact"/>
        <w:ind w:left="0" w:right="0" w:firstLine="0"/>
        <w:jc w:val="both"/>
      </w:pPr>
      <w:bookmarkStart w:id="670" w:name="bookmark670"/>
      <w:bookmarkStart w:id="671" w:name="bookmark671"/>
      <w:bookmarkStart w:id="672" w:name="bookmark672"/>
      <w:bookmarkStart w:id="673" w:name="bookmark673"/>
      <w:r>
        <w:rPr>
          <w:color w:val="000000"/>
          <w:spacing w:val="0"/>
          <w:w w:val="100"/>
          <w:position w:val="0"/>
        </w:rPr>
        <w:t>（</w:t>
      </w:r>
      <w:bookmarkEnd w:id="672"/>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670"/>
      <w:bookmarkEnd w:id="671"/>
      <w:bookmarkEnd w:id="673"/>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计量，公允价值不能可靠取得的，按照名义金额计量。</w:t>
      </w:r>
    </w:p>
    <w:p>
      <w:pPr>
        <w:pStyle w:val="Style16"/>
        <w:keepNext w:val="0"/>
        <w:keepLines w:val="0"/>
        <w:widowControl w:val="0"/>
        <w:shd w:val="clear" w:color="auto" w:fill="auto"/>
        <w:bidi w:val="0"/>
        <w:spacing w:before="0" w:after="340" w:line="311" w:lineRule="exact"/>
        <w:ind w:left="0" w:right="0" w:firstLine="260"/>
        <w:jc w:val="both"/>
      </w:pPr>
      <w:r>
        <w:rPr>
          <w:color w:val="000000"/>
          <w:spacing w:val="0"/>
          <w:w w:val="100"/>
          <w:position w:val="0"/>
        </w:rPr>
        <w:t>与资产相关的政府补助，确认为递延收益，在相关资产使用寿命内平均分配，计入当期损益。与收益相 关的政府补助，用于补偿以后期间的相关费用或损失的，确认为递延收益，在确认相关费用的期间，计入 当期损益；用于补偿已发生的相关费用或损失的，直接计入当期损益。</w:t>
      </w:r>
    </w:p>
    <w:p>
      <w:pPr>
        <w:pStyle w:val="Style34"/>
        <w:keepNext/>
        <w:keepLines/>
        <w:widowControl w:val="0"/>
        <w:shd w:val="clear" w:color="auto" w:fill="auto"/>
        <w:tabs>
          <w:tab w:pos="480" w:val="left"/>
        </w:tabs>
        <w:bidi w:val="0"/>
        <w:spacing w:before="0" w:after="200" w:line="329" w:lineRule="auto"/>
        <w:ind w:left="0" w:right="0" w:firstLine="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2</w:t>
      </w:r>
      <w:bookmarkEnd w:id="676"/>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递延所得税资产和递延所得税负债</w:t>
      </w:r>
      <w:bookmarkEnd w:id="674"/>
      <w:bookmarkEnd w:id="675"/>
      <w:bookmarkEnd w:id="677"/>
    </w:p>
    <w:p>
      <w:pPr>
        <w:pStyle w:val="Style34"/>
        <w:keepNext/>
        <w:keepLines/>
        <w:widowControl w:val="0"/>
        <w:shd w:val="clear" w:color="auto" w:fill="auto"/>
        <w:bidi w:val="0"/>
        <w:spacing w:before="0" w:after="300" w:line="314" w:lineRule="exact"/>
        <w:ind w:left="0" w:right="0" w:firstLine="0"/>
        <w:jc w:val="both"/>
      </w:pPr>
      <w:bookmarkStart w:id="674" w:name="bookmark674"/>
      <w:bookmarkStart w:id="675" w:name="bookmark675"/>
      <w:bookmarkStart w:id="678" w:name="bookmark678"/>
      <w:bookmarkStart w:id="679" w:name="bookmark679"/>
      <w:r>
        <w:rPr>
          <w:color w:val="000000"/>
          <w:spacing w:val="0"/>
          <w:w w:val="100"/>
          <w:position w:val="0"/>
        </w:rPr>
        <w:t>（</w:t>
      </w:r>
      <w:bookmarkEnd w:id="678"/>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674"/>
      <w:bookmarkEnd w:id="675"/>
      <w:bookmarkEnd w:id="679"/>
    </w:p>
    <w:p>
      <w:pPr>
        <w:pStyle w:val="Style16"/>
        <w:keepNext w:val="0"/>
        <w:keepLines w:val="0"/>
        <w:widowControl w:val="0"/>
        <w:numPr>
          <w:ilvl w:val="0"/>
          <w:numId w:val="15"/>
        </w:numPr>
        <w:shd w:val="clear" w:color="auto" w:fill="auto"/>
        <w:bidi w:val="0"/>
        <w:spacing w:before="0" w:after="0" w:line="307" w:lineRule="exact"/>
        <w:ind w:left="0" w:right="0" w:firstLine="440"/>
        <w:jc w:val="both"/>
      </w:pPr>
      <w:bookmarkStart w:id="680" w:name="bookmark680"/>
      <w:bookmarkEnd w:id="680"/>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rPr>
        <w:t>（</w:t>
      </w:r>
      <w:r>
        <w:rPr>
          <w:color w:val="000000"/>
          <w:spacing w:val="0"/>
          <w:w w:val="100"/>
          <w:position w:val="0"/>
        </w:rPr>
        <w:t>未作为资产和负债确认的项目按照税法规定 可以确定其计税基础的，该计税基础与其账面数之间的差额</w:t>
      </w:r>
      <w:r>
        <w:rPr>
          <w:rFonts w:ascii="Times New Roman" w:eastAsia="Times New Roman" w:hAnsi="Times New Roman" w:cs="Times New Roman"/>
          <w:color w:val="000000"/>
          <w:spacing w:val="0"/>
          <w:w w:val="100"/>
          <w:position w:val="0"/>
        </w:rPr>
        <w:t>）</w:t>
      </w:r>
      <w:r>
        <w:rPr>
          <w:color w:val="000000"/>
          <w:spacing w:val="0"/>
          <w:w w:val="100"/>
          <w:position w:val="0"/>
        </w:rPr>
        <w:t>，按照预期收回该资产或清偿该负债期间的适 用税率计算确认递延所得税资产或递延所得税负债。</w:t>
      </w:r>
      <w:r>
        <w:rPr>
          <w:rFonts w:ascii="Times New Roman" w:eastAsia="Times New Roman" w:hAnsi="Times New Roman" w:cs="Times New Roman"/>
          <w:color w:val="000000"/>
          <w:spacing w:val="0"/>
          <w:w w:val="100"/>
          <w:position w:val="0"/>
        </w:rPr>
        <w:t>2.</w:t>
      </w:r>
      <w:r>
        <w:rPr>
          <w:color w:val="000000"/>
          <w:spacing w:val="0"/>
          <w:w w:val="100"/>
          <w:position w:val="0"/>
        </w:rPr>
        <w:t xml:space="preserve">确认递延所得税资产以很可能取得用来抵扣可抵扣 </w:t>
      </w:r>
      <w:r>
        <w:rPr>
          <w:color w:val="000000"/>
          <w:spacing w:val="0"/>
          <w:w w:val="100"/>
          <w:position w:val="0"/>
          <w:shd w:val="clear" w:color="auto" w:fill="FFFFFF"/>
        </w:rPr>
        <w:t>暂时性差异的应纳税所得额为限。资产负债表日，有确凿证据表明未来期间很可能获得足够的应纳税所得 额用来抵扣可抵扣暂时性差异的，确认以前会计期间未确认的递延所得税资产。</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资产负债表日，对递延 所得税资产的账面价值进行复核，如果未来期间很可能无法获得足够的应纳税所得额用以抵扣递延所得税 资产的利益，则减记递延所得税资产的账面价值。在很可能获得足够的应纳税所得额时，转回减记的金额。</w:t>
      </w:r>
    </w:p>
    <w:p>
      <w:pPr>
        <w:pStyle w:val="Style16"/>
        <w:keepNext w:val="0"/>
        <w:keepLines w:val="0"/>
        <w:widowControl w:val="0"/>
        <w:numPr>
          <w:ilvl w:val="0"/>
          <w:numId w:val="17"/>
        </w:numPr>
        <w:shd w:val="clear" w:color="auto" w:fill="auto"/>
        <w:bidi w:val="0"/>
        <w:spacing w:before="0" w:after="360" w:line="310" w:lineRule="exact"/>
        <w:ind w:left="0" w:right="0" w:firstLine="0"/>
        <w:jc w:val="left"/>
      </w:pPr>
      <w:bookmarkStart w:id="681" w:name="bookmark681"/>
      <w:bookmarkEnd w:id="681"/>
      <w:r>
        <w:rPr>
          <w:color w:val="000000"/>
          <w:spacing w:val="0"/>
          <w:w w:val="100"/>
          <w:position w:val="0"/>
        </w:rPr>
        <w:t xml:space="preserve">公司当期所得税和递延所得税作为所得税费用或收益计入当期损益，但不包括下列情况产生的所得税： </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4"/>
        <w:keepNext/>
        <w:keepLines/>
        <w:widowControl w:val="0"/>
        <w:shd w:val="clear" w:color="auto" w:fill="auto"/>
        <w:tabs>
          <w:tab w:pos="488" w:val="left"/>
        </w:tabs>
        <w:bidi w:val="0"/>
        <w:spacing w:before="0" w:after="200" w:line="329"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w:t>
      </w:r>
      <w:bookmarkEnd w:id="684"/>
      <w:r>
        <w:rPr>
          <w:rFonts w:ascii="Times New Roman" w:eastAsia="Times New Roman" w:hAnsi="Times New Roman" w:cs="Times New Roman"/>
          <w:color w:val="000000"/>
          <w:spacing w:val="0"/>
          <w:w w:val="100"/>
          <w:position w:val="0"/>
        </w:rPr>
        <w:t>1</w:t>
      </w:r>
      <w:r>
        <w:rPr>
          <w:color w:val="000000"/>
          <w:spacing w:val="0"/>
          <w:w w:val="100"/>
          <w:position w:val="0"/>
        </w:rPr>
        <w:t>、</w:t>
        <w:tab/>
        <w:t>经营租赁、融资租赁</w:t>
      </w:r>
      <w:bookmarkEnd w:id="682"/>
      <w:bookmarkEnd w:id="683"/>
      <w:bookmarkEnd w:id="685"/>
    </w:p>
    <w:p>
      <w:pPr>
        <w:pStyle w:val="Style34"/>
        <w:keepNext/>
        <w:keepLines/>
        <w:widowControl w:val="0"/>
        <w:shd w:val="clear" w:color="auto" w:fill="auto"/>
        <w:tabs>
          <w:tab w:pos="493" w:val="left"/>
        </w:tabs>
        <w:bidi w:val="0"/>
        <w:spacing w:before="0" w:after="280" w:line="314" w:lineRule="exact"/>
        <w:ind w:left="0" w:right="0" w:firstLine="0"/>
        <w:jc w:val="left"/>
      </w:pPr>
      <w:bookmarkStart w:id="682" w:name="bookmark682"/>
      <w:bookmarkStart w:id="683" w:name="bookmark683"/>
      <w:bookmarkStart w:id="686" w:name="bookmark686"/>
      <w:bookmarkStart w:id="687" w:name="bookmark687"/>
      <w:r>
        <w:rPr>
          <w:color w:val="000000"/>
          <w:spacing w:val="0"/>
          <w:w w:val="100"/>
          <w:position w:val="0"/>
        </w:rPr>
        <w:t>（</w:t>
      </w:r>
      <w:bookmarkEnd w:id="686"/>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682"/>
      <w:bookmarkEnd w:id="683"/>
      <w:bookmarkEnd w:id="687"/>
    </w:p>
    <w:p>
      <w:pPr>
        <w:pStyle w:val="Style1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1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公司为出租人时，在租赁期内各个期间按照直线法将租金确认为当期损益，发生的初始直接费用，直 接计入当期损益。或有租金在实际发生时计入当期损益。</w:t>
      </w:r>
    </w:p>
    <w:p>
      <w:pPr>
        <w:pStyle w:val="Style34"/>
        <w:keepNext/>
        <w:keepLines/>
        <w:widowControl w:val="0"/>
        <w:shd w:val="clear" w:color="auto" w:fill="auto"/>
        <w:tabs>
          <w:tab w:pos="493" w:val="left"/>
        </w:tabs>
        <w:bidi w:val="0"/>
        <w:spacing w:before="0" w:after="280" w:line="314" w:lineRule="exact"/>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w:t>
      </w:r>
      <w:bookmarkEnd w:id="690"/>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688"/>
      <w:bookmarkEnd w:id="689"/>
      <w:bookmarkEnd w:id="691"/>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公司为承租人时，在租赁期开始日，公司以租赁开始日租赁资产公允价值与最低租赁付款额现值中两 者较低者作为租入资产的入账价值，将最低租赁付款额作为长期应付款的入账价值，其差额为未确认融资 费用，发生的初始直接费用，计入租赁资产价值。在租赁期各个期间，采用实际利率法计算确认当期的融 资费用。</w:t>
      </w:r>
    </w:p>
    <w:p>
      <w:pPr>
        <w:pStyle w:val="Style16"/>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公司为出租人时，在租赁期开始日，公司以租赁开始日最低租赁收款额与初始直接费用之和作为应收 融资租赁款的入账价值，同时记录未担保余值；将最低租赁收款额、初始直接费用及未担保余值之和与其 现值之和的差额确认为未实现融资收益。在租赁期各个期间，采用实际利率法计算确认当期的融资收入。</w:t>
      </w:r>
    </w:p>
    <w:p>
      <w:pPr>
        <w:pStyle w:val="Style34"/>
        <w:keepNext/>
        <w:keepLines/>
        <w:widowControl w:val="0"/>
        <w:shd w:val="clear" w:color="auto" w:fill="auto"/>
        <w:tabs>
          <w:tab w:pos="488" w:val="left"/>
        </w:tabs>
        <w:bidi w:val="0"/>
        <w:spacing w:before="0" w:after="280" w:line="329"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rFonts w:ascii="Times New Roman" w:eastAsia="Times New Roman" w:hAnsi="Times New Roman" w:cs="Times New Roman"/>
          <w:color w:val="000000"/>
          <w:spacing w:val="0"/>
          <w:w w:val="100"/>
          <w:position w:val="0"/>
        </w:rPr>
        <w:t>2</w:t>
      </w:r>
      <w:r>
        <w:rPr>
          <w:color w:val="000000"/>
          <w:spacing w:val="0"/>
          <w:w w:val="100"/>
          <w:position w:val="0"/>
        </w:rPr>
        <w:t>、</w:t>
        <w:tab/>
        <w:t>主要会计政策、会计估计的变更</w:t>
      </w:r>
      <w:bookmarkEnd w:id="692"/>
      <w:bookmarkEnd w:id="693"/>
      <w:bookmarkEnd w:id="69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本报告期主要会计政策、会计估计是否变更</w:t>
      </w:r>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tabs>
          <w:tab w:pos="493" w:val="left"/>
        </w:tabs>
        <w:bidi w:val="0"/>
        <w:spacing w:before="0" w:after="360" w:line="314" w:lineRule="exact"/>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696"/>
      <w:bookmarkEnd w:id="697"/>
      <w:bookmarkEnd w:id="69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本报告期主要会计政策是否变更</w:t>
      </w:r>
    </w:p>
    <w:p>
      <w:pPr>
        <w:pStyle w:val="Style29"/>
        <w:keepNext w:val="0"/>
        <w:keepLines w:val="0"/>
        <w:widowControl w:val="0"/>
        <w:shd w:val="clear" w:color="auto" w:fill="auto"/>
        <w:bidi w:val="0"/>
        <w:spacing w:before="0" w:after="2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是</w:t>
      </w:r>
      <w:r>
        <w:rPr>
          <w:i/>
          <w:iCs/>
          <w:color w:val="000000"/>
          <w:spacing w:val="0"/>
          <w:w w:val="100"/>
          <w:position w:val="0"/>
          <w:sz w:val="18"/>
          <w:szCs w:val="18"/>
        </w:rPr>
        <w:t>V</w:t>
      </w:r>
      <w:r>
        <w:rPr>
          <w:i/>
          <w:iCs/>
          <w:color w:val="000000"/>
          <w:spacing w:val="0"/>
          <w:w w:val="100"/>
          <w:position w:val="0"/>
          <w:sz w:val="19"/>
          <w:szCs w:val="19"/>
        </w:rPr>
        <w:t>否</w:t>
      </w:r>
    </w:p>
    <w:p>
      <w:pPr>
        <w:pStyle w:val="Style34"/>
        <w:keepNext/>
        <w:keepLines/>
        <w:widowControl w:val="0"/>
        <w:shd w:val="clear" w:color="auto" w:fill="auto"/>
        <w:tabs>
          <w:tab w:pos="493" w:val="left"/>
        </w:tabs>
        <w:bidi w:val="0"/>
        <w:spacing w:before="0" w:after="360" w:line="314" w:lineRule="exact"/>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700"/>
      <w:bookmarkEnd w:id="701"/>
      <w:bookmarkEnd w:id="70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本报告期主要会计估计是否变更</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tabs>
          <w:tab w:pos="488" w:val="left"/>
        </w:tabs>
        <w:bidi w:val="0"/>
        <w:spacing w:before="0" w:after="280" w:line="329"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rFonts w:ascii="Times New Roman" w:eastAsia="Times New Roman" w:hAnsi="Times New Roman" w:cs="Times New Roman"/>
          <w:color w:val="000000"/>
          <w:spacing w:val="0"/>
          <w:w w:val="100"/>
          <w:position w:val="0"/>
        </w:rPr>
        <w:t>3</w:t>
      </w:r>
      <w:r>
        <w:rPr>
          <w:color w:val="000000"/>
          <w:spacing w:val="0"/>
          <w:w w:val="100"/>
          <w:position w:val="0"/>
        </w:rPr>
        <w:t>、</w:t>
        <w:tab/>
        <w:t>前期会计差错更正</w:t>
      </w:r>
      <w:bookmarkEnd w:id="704"/>
      <w:bookmarkEnd w:id="705"/>
      <w:bookmarkEnd w:id="707"/>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本报告期是否发现前期会计差错</w:t>
      </w:r>
    </w:p>
    <w:p>
      <w:pPr>
        <w:pStyle w:val="Style29"/>
        <w:keepNext w:val="0"/>
        <w:keepLines w:val="0"/>
        <w:widowControl w:val="0"/>
        <w:shd w:val="clear" w:color="auto" w:fill="auto"/>
        <w:bidi w:val="0"/>
        <w:spacing w:before="0" w:after="340" w:line="343" w:lineRule="exact"/>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是</w:t>
      </w:r>
      <w:r>
        <w:rPr>
          <w:i/>
          <w:iCs/>
          <w:color w:val="000000"/>
          <w:spacing w:val="0"/>
          <w:w w:val="100"/>
          <w:position w:val="0"/>
          <w:sz w:val="18"/>
          <w:szCs w:val="18"/>
        </w:rPr>
        <w:t>V</w:t>
      </w:r>
      <w:r>
        <w:rPr>
          <w:i/>
          <w:iCs/>
          <w:color w:val="000000"/>
          <w:spacing w:val="0"/>
          <w:w w:val="100"/>
          <w:position w:val="0"/>
          <w:sz w:val="19"/>
          <w:szCs w:val="19"/>
        </w:rPr>
        <w:t>否</w:t>
      </w:r>
    </w:p>
    <w:p>
      <w:pPr>
        <w:pStyle w:val="Style34"/>
        <w:keepNext/>
        <w:keepLines/>
        <w:widowControl w:val="0"/>
        <w:numPr>
          <w:ilvl w:val="0"/>
          <w:numId w:val="19"/>
        </w:numPr>
        <w:shd w:val="clear" w:color="auto" w:fill="auto"/>
        <w:tabs>
          <w:tab w:pos="493" w:val="left"/>
        </w:tabs>
        <w:bidi w:val="0"/>
        <w:spacing w:before="0" w:after="240" w:line="240" w:lineRule="auto"/>
        <w:ind w:left="0" w:right="0" w:firstLine="0"/>
        <w:jc w:val="left"/>
      </w:pPr>
      <w:bookmarkStart w:id="708" w:name="bookmark708"/>
      <w:bookmarkStart w:id="709" w:name="bookmark709"/>
      <w:bookmarkStart w:id="710" w:name="bookmark710"/>
      <w:bookmarkStart w:id="711" w:name="bookmark711"/>
      <w:bookmarkEnd w:id="710"/>
      <w:r>
        <w:rPr>
          <w:color w:val="000000"/>
          <w:spacing w:val="0"/>
          <w:w w:val="100"/>
          <w:position w:val="0"/>
        </w:rPr>
        <w:t>追溯重述法</w:t>
      </w:r>
      <w:bookmarkEnd w:id="708"/>
      <w:bookmarkEnd w:id="709"/>
      <w:bookmarkEnd w:id="711"/>
    </w:p>
    <w:p>
      <w:pPr>
        <w:pStyle w:val="Style29"/>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numPr>
          <w:ilvl w:val="0"/>
          <w:numId w:val="19"/>
        </w:numPr>
        <w:shd w:val="clear" w:color="auto" w:fill="auto"/>
        <w:tabs>
          <w:tab w:pos="493" w:val="left"/>
        </w:tabs>
        <w:bidi w:val="0"/>
        <w:spacing w:before="0" w:after="240" w:line="240" w:lineRule="auto"/>
        <w:ind w:left="0" w:right="0" w:firstLine="0"/>
        <w:jc w:val="left"/>
      </w:pPr>
      <w:bookmarkStart w:id="712" w:name="bookmark712"/>
      <w:bookmarkStart w:id="713" w:name="bookmark713"/>
      <w:bookmarkStart w:id="714" w:name="bookmark714"/>
      <w:bookmarkStart w:id="715" w:name="bookmark715"/>
      <w:bookmarkEnd w:id="714"/>
      <w:r>
        <w:rPr>
          <w:color w:val="000000"/>
          <w:spacing w:val="0"/>
          <w:w w:val="100"/>
          <w:position w:val="0"/>
        </w:rPr>
        <w:t>未来适用法</w:t>
      </w:r>
      <w:bookmarkEnd w:id="712"/>
      <w:bookmarkEnd w:id="713"/>
      <w:bookmarkEnd w:id="715"/>
    </w:p>
    <w:p>
      <w:pPr>
        <w:pStyle w:val="Style29"/>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34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sz w:val="24"/>
          <w:szCs w:val="24"/>
        </w:rPr>
        <w:t>五</w:t>
      </w:r>
      <w:bookmarkEnd w:id="718"/>
      <w:r>
        <w:rPr>
          <w:color w:val="000000"/>
          <w:spacing w:val="0"/>
          <w:w w:val="100"/>
          <w:position w:val="0"/>
          <w:sz w:val="24"/>
          <w:szCs w:val="24"/>
        </w:rPr>
        <w:t>、税项</w:t>
      </w:r>
      <w:bookmarkEnd w:id="716"/>
      <w:bookmarkEnd w:id="717"/>
      <w:bookmarkEnd w:id="719"/>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、公司主要税种和税率</w:t>
      </w:r>
    </w:p>
    <w:tbl>
      <w:tblPr>
        <w:tblOverlap w:val="never"/>
        <w:jc w:val="center"/>
        <w:tblLayout w:type="fixed"/>
      </w:tblPr>
      <w:tblGrid>
        <w:gridCol w:w="3518"/>
        <w:gridCol w:w="3024"/>
        <w:gridCol w:w="30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bl>
    <w:p>
      <w:pPr>
        <w:widowControl w:val="0"/>
        <w:spacing w:after="239" w:line="1" w:lineRule="exact"/>
      </w:pPr>
    </w:p>
    <w:p>
      <w:pPr>
        <w:pStyle w:val="Style34"/>
        <w:keepNext/>
        <w:keepLines/>
        <w:widowControl w:val="0"/>
        <w:shd w:val="clear" w:color="auto" w:fill="auto"/>
        <w:bidi w:val="0"/>
        <w:spacing w:before="0" w:after="340" w:line="311" w:lineRule="exact"/>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2</w:t>
      </w:r>
      <w:bookmarkEnd w:id="722"/>
      <w:r>
        <w:rPr>
          <w:color w:val="000000"/>
          <w:spacing w:val="0"/>
          <w:w w:val="100"/>
          <w:position w:val="0"/>
        </w:rPr>
        <w:t>、税收优惠及批文</w:t>
      </w:r>
      <w:bookmarkEnd w:id="720"/>
      <w:bookmarkEnd w:id="721"/>
      <w:bookmarkEnd w:id="723"/>
    </w:p>
    <w:p>
      <w:pPr>
        <w:pStyle w:val="Style16"/>
        <w:keepNext w:val="0"/>
        <w:keepLines w:val="0"/>
        <w:widowControl w:val="0"/>
        <w:numPr>
          <w:ilvl w:val="0"/>
          <w:numId w:val="21"/>
        </w:numPr>
        <w:shd w:val="clear" w:color="auto" w:fill="auto"/>
        <w:bidi w:val="0"/>
        <w:spacing w:before="0" w:after="0" w:line="324" w:lineRule="auto"/>
        <w:ind w:left="0" w:right="0" w:firstLine="440"/>
        <w:jc w:val="both"/>
      </w:pPr>
      <w:bookmarkStart w:id="724" w:name="bookmark724"/>
      <w:bookmarkEnd w:id="724"/>
      <w:r>
        <w:rPr>
          <w:color w:val="000000"/>
          <w:spacing w:val="0"/>
          <w:w w:val="100"/>
          <w:position w:val="0"/>
        </w:rPr>
        <w:t>企业所得税</w:t>
      </w:r>
    </w:p>
    <w:p>
      <w:pPr>
        <w:pStyle w:val="Style16"/>
        <w:keepNext w:val="0"/>
        <w:keepLines w:val="0"/>
        <w:widowControl w:val="0"/>
        <w:numPr>
          <w:ilvl w:val="0"/>
          <w:numId w:val="23"/>
        </w:numPr>
        <w:shd w:val="clear" w:color="auto" w:fill="auto"/>
        <w:tabs>
          <w:tab w:pos="866" w:val="left"/>
        </w:tabs>
        <w:bidi w:val="0"/>
        <w:spacing w:before="0" w:after="0" w:line="324" w:lineRule="auto"/>
        <w:ind w:left="0" w:right="0" w:firstLine="440"/>
        <w:jc w:val="both"/>
      </w:pPr>
      <w:bookmarkStart w:id="725" w:name="bookmark725"/>
      <w:bookmarkEnd w:id="725"/>
      <w:r>
        <w:rPr>
          <w:color w:val="000000"/>
          <w:spacing w:val="0"/>
          <w:w w:val="100"/>
          <w:position w:val="0"/>
        </w:rPr>
        <w:t>本公司</w:t>
      </w:r>
    </w:p>
    <w:p>
      <w:pPr>
        <w:pStyle w:val="Style16"/>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日，本公司被辽宁省科学技术厅、辽宁省财政厅、辽宁省国家税务局、辽宁省地方税务 局联合认定为高新技术企业，证书编号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GR201121000089</w:t>
      </w:r>
      <w:r>
        <w:rPr>
          <w:color w:val="000000"/>
          <w:spacing w:val="0"/>
          <w:w w:val="100"/>
          <w:position w:val="0"/>
        </w:rPr>
        <w:t>，</w:t>
      </w:r>
      <w:r>
        <w:rPr>
          <w:color w:val="000000"/>
          <w:spacing w:val="0"/>
          <w:w w:val="100"/>
          <w:position w:val="0"/>
        </w:rPr>
        <w:t>有效期三年。本公司自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6"/>
        <w:keepNext w:val="0"/>
        <w:keepLines w:val="0"/>
        <w:widowControl w:val="0"/>
        <w:numPr>
          <w:ilvl w:val="0"/>
          <w:numId w:val="23"/>
        </w:numPr>
        <w:shd w:val="clear" w:color="auto" w:fill="auto"/>
        <w:tabs>
          <w:tab w:pos="866" w:val="left"/>
        </w:tabs>
        <w:bidi w:val="0"/>
        <w:spacing w:before="0" w:after="0" w:line="311" w:lineRule="exact"/>
        <w:ind w:left="0" w:right="0" w:firstLine="440"/>
        <w:jc w:val="both"/>
      </w:pPr>
      <w:bookmarkStart w:id="726" w:name="bookmark726"/>
      <w:bookmarkEnd w:id="726"/>
      <w:r>
        <w:rPr>
          <w:color w:val="000000"/>
          <w:spacing w:val="0"/>
          <w:w w:val="100"/>
          <w:position w:val="0"/>
        </w:rPr>
        <w:t>北京信力筑正新能源技术股份有限公司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以下简称信力筑正公司</w:t>
      </w:r>
      <w:r>
        <w:rPr>
          <w:color w:val="000000"/>
          <w:spacing w:val="0"/>
          <w:w w:val="100"/>
          <w:position w:val="0"/>
        </w:rPr>
        <w:t>)</w:t>
      </w:r>
    </w:p>
    <w:p>
      <w:pPr>
        <w:pStyle w:val="Style16"/>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日，信力筑正公司被北京市科学技术委员会、北京市财政局、北京市国家税务局、北京 市地方税务局联合认定为高新技术企业，证书编号：</w:t>
      </w:r>
      <w:r>
        <w:rPr>
          <w:rFonts w:ascii="Times New Roman" w:eastAsia="Times New Roman" w:hAnsi="Times New Roman" w:cs="Times New Roman"/>
          <w:color w:val="000000"/>
          <w:spacing w:val="0"/>
          <w:w w:val="100"/>
          <w:position w:val="0"/>
        </w:rPr>
        <w:t>GF201211001206</w:t>
      </w:r>
      <w:r>
        <w:rPr>
          <w:color w:val="000000"/>
          <w:spacing w:val="0"/>
          <w:w w:val="100"/>
          <w:position w:val="0"/>
        </w:rPr>
        <w:t>,</w:t>
      </w:r>
      <w:r>
        <w:rPr>
          <w:color w:val="000000"/>
          <w:spacing w:val="0"/>
          <w:w w:val="100"/>
          <w:position w:val="0"/>
        </w:rPr>
        <w:t>有效期三年，信力筑正公司自</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6"/>
        <w:keepNext w:val="0"/>
        <w:keepLines w:val="0"/>
        <w:widowControl w:val="0"/>
        <w:numPr>
          <w:ilvl w:val="0"/>
          <w:numId w:val="23"/>
        </w:numPr>
        <w:shd w:val="clear" w:color="auto" w:fill="auto"/>
        <w:tabs>
          <w:tab w:pos="848" w:val="left"/>
        </w:tabs>
        <w:bidi w:val="0"/>
        <w:spacing w:before="0" w:after="0" w:line="311" w:lineRule="exact"/>
        <w:ind w:left="0" w:right="0" w:firstLine="440"/>
        <w:jc w:val="both"/>
      </w:pPr>
      <w:bookmarkStart w:id="727" w:name="bookmark727"/>
      <w:bookmarkEnd w:id="727"/>
      <w:r>
        <w:rPr>
          <w:color w:val="000000"/>
          <w:spacing w:val="0"/>
          <w:w w:val="100"/>
          <w:position w:val="0"/>
        </w:rPr>
        <w:t>辽宁荣信电气传动技术有限责任公司(以下简称荣信电气公司)、辽宁荣信光伏技术有限公司(以 下简称荣信光伏公司)、辽宁荣信防爆电气技术有限公司(以下简称荣信防爆公司)、辽宁荣信电机控制 技术有限公司(以下简称荣信电机公司)</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根据国务院《进一步鼓励软件产业和集成电路产业发展的若干政策》国发</w:t>
      </w:r>
      <w:r>
        <w:rPr>
          <w:rFonts w:ascii="Times New Roman" w:eastAsia="Times New Roman" w:hAnsi="Times New Roman" w:cs="Times New Roman"/>
          <w:color w:val="000000"/>
          <w:spacing w:val="0"/>
          <w:w w:val="100"/>
          <w:position w:val="0"/>
        </w:rPr>
        <w:t>[2011]4</w:t>
      </w:r>
      <w:r>
        <w:rPr>
          <w:color w:val="000000"/>
          <w:spacing w:val="0"/>
          <w:w w:val="100"/>
          <w:position w:val="0"/>
        </w:rPr>
        <w:t>号，对我国境内新办 集成电路设计企业和符合条件的软件企业，经认定后，自获利年度起，享受企业所得税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color w:val="000000"/>
          <w:spacing w:val="0"/>
          <w:w w:val="100"/>
          <w:position w:val="0"/>
        </w:rPr>
        <w:t>''</w:t>
      </w:r>
      <w:r>
        <w:rPr>
          <w:color w:val="000000"/>
          <w:spacing w:val="0"/>
          <w:w w:val="100"/>
          <w:position w:val="0"/>
        </w:rPr>
        <w:t>优惠 政策。</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日，上述四家公司被辽宁省软件认定办公室认定为软件企业，证书编号分别为：辽 </w:t>
      </w:r>
      <w:r>
        <w:rPr>
          <w:rFonts w:ascii="Times New Roman" w:eastAsia="Times New Roman" w:hAnsi="Times New Roman" w:cs="Times New Roman"/>
          <w:color w:val="000000"/>
          <w:spacing w:val="0"/>
          <w:w w:val="100"/>
          <w:position w:val="0"/>
        </w:rPr>
        <w:t>R-2011-0013</w:t>
      </w:r>
      <w:r>
        <w:rPr>
          <w:color w:val="000000"/>
          <w:spacing w:val="0"/>
          <w:w w:val="100"/>
          <w:position w:val="0"/>
        </w:rPr>
        <w:t>、</w:t>
      </w:r>
      <w:r>
        <w:rPr>
          <w:color w:val="000000"/>
          <w:spacing w:val="0"/>
          <w:w w:val="100"/>
          <w:position w:val="0"/>
        </w:rPr>
        <w:t>辽</w:t>
      </w:r>
      <w:r>
        <w:rPr>
          <w:rFonts w:ascii="Times New Roman" w:eastAsia="Times New Roman" w:hAnsi="Times New Roman" w:cs="Times New Roman"/>
          <w:color w:val="000000"/>
          <w:spacing w:val="0"/>
          <w:w w:val="100"/>
          <w:position w:val="0"/>
        </w:rPr>
        <w:t>R-2011-0011</w:t>
      </w:r>
      <w:r>
        <w:rPr>
          <w:color w:val="000000"/>
          <w:spacing w:val="0"/>
          <w:w w:val="100"/>
          <w:position w:val="0"/>
        </w:rPr>
        <w:t>、</w:t>
      </w:r>
      <w:r>
        <w:rPr>
          <w:color w:val="000000"/>
          <w:spacing w:val="0"/>
          <w:w w:val="100"/>
          <w:position w:val="0"/>
        </w:rPr>
        <w:t>辽</w:t>
      </w:r>
      <w:r>
        <w:rPr>
          <w:rFonts w:ascii="Times New Roman" w:eastAsia="Times New Roman" w:hAnsi="Times New Roman" w:cs="Times New Roman"/>
          <w:color w:val="000000"/>
          <w:spacing w:val="0"/>
          <w:w w:val="100"/>
          <w:position w:val="0"/>
        </w:rPr>
        <w:t>R-2011-0010</w:t>
      </w:r>
      <w:r>
        <w:rPr>
          <w:color w:val="000000"/>
          <w:spacing w:val="0"/>
          <w:w w:val="100"/>
          <w:position w:val="0"/>
        </w:rPr>
        <w:t>、</w:t>
      </w:r>
      <w:r>
        <w:rPr>
          <w:color w:val="000000"/>
          <w:spacing w:val="0"/>
          <w:w w:val="100"/>
          <w:position w:val="0"/>
        </w:rPr>
        <w:t>辽</w:t>
      </w:r>
      <w:r>
        <w:rPr>
          <w:rFonts w:ascii="Times New Roman" w:eastAsia="Times New Roman" w:hAnsi="Times New Roman" w:cs="Times New Roman"/>
          <w:color w:val="000000"/>
          <w:spacing w:val="0"/>
          <w:w w:val="100"/>
          <w:position w:val="0"/>
        </w:rPr>
        <w:t>R-2011-0012</w:t>
      </w:r>
      <w:r>
        <w:rPr>
          <w:color w:val="000000"/>
          <w:spacing w:val="0"/>
          <w:w w:val="100"/>
          <w:position w:val="0"/>
        </w:rPr>
        <w:t>。</w:t>
      </w:r>
      <w:r>
        <w:rPr>
          <w:color w:val="000000"/>
          <w:spacing w:val="0"/>
          <w:w w:val="100"/>
          <w:position w:val="0"/>
        </w:rPr>
        <w:t>该四家公司自</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日止，免交企业所得税，自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日止，减半计缴企业所得税。</w:t>
      </w:r>
    </w:p>
    <w:p>
      <w:pPr>
        <w:pStyle w:val="Style16"/>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增值税</w:t>
      </w:r>
    </w:p>
    <w:p>
      <w:pPr>
        <w:pStyle w:val="Style16"/>
        <w:keepNext w:val="0"/>
        <w:keepLines w:val="0"/>
        <w:widowControl w:val="0"/>
        <w:shd w:val="clear" w:color="auto" w:fill="auto"/>
        <w:bidi w:val="0"/>
        <w:spacing w:before="0" w:after="360" w:line="310" w:lineRule="exact"/>
        <w:ind w:left="0" w:right="0" w:firstLine="440"/>
        <w:jc w:val="left"/>
      </w:pPr>
      <w:r>
        <w:rPr>
          <w:color w:val="000000"/>
          <w:spacing w:val="0"/>
          <w:w w:val="100"/>
          <w:position w:val="0"/>
        </w:rPr>
        <w:t>根据财政部《关于软件产品增值税政策的通知》（财税〔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号），增值税一般纳税人销售其 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 策。本公司、诚和伟业</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科技发展有限责任公司</w:t>
      </w:r>
      <w:r>
        <w:rPr>
          <w:rFonts w:ascii="Times New Roman" w:eastAsia="Times New Roman" w:hAnsi="Times New Roman" w:cs="Times New Roman"/>
          <w:color w:val="000000"/>
          <w:spacing w:val="0"/>
          <w:w w:val="100"/>
          <w:position w:val="0"/>
        </w:rPr>
        <w:t>（</w:t>
      </w:r>
      <w:r>
        <w:rPr>
          <w:color w:val="000000"/>
          <w:spacing w:val="0"/>
          <w:w w:val="100"/>
          <w:position w:val="0"/>
        </w:rPr>
        <w:t>以下简称诚和伟业公司</w:t>
      </w:r>
      <w:r>
        <w:rPr>
          <w:rFonts w:ascii="Times New Roman" w:eastAsia="Times New Roman" w:hAnsi="Times New Roman" w:cs="Times New Roman"/>
          <w:color w:val="000000"/>
          <w:spacing w:val="0"/>
          <w:w w:val="100"/>
          <w:position w:val="0"/>
        </w:rPr>
        <w:t>）</w:t>
      </w:r>
      <w:r>
        <w:rPr>
          <w:color w:val="000000"/>
          <w:spacing w:val="0"/>
          <w:w w:val="100"/>
          <w:position w:val="0"/>
        </w:rPr>
        <w:t>、荣信嘉时</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科技发展有 限公司（以下简称荣信嘉时公司）、荣信电气传动系统（上海）有限公司（以下简称电气传动上海公司）、 荣信电气公司、荣信光伏公司、荣信防爆公司、荣信电机公司于以前年度被认定为软件企业，销售自行开 发生产的软件产品享受增值税实际税负超过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的部分即征即退政策。</w:t>
      </w:r>
    </w:p>
    <w:p>
      <w:pPr>
        <w:pStyle w:val="Style25"/>
        <w:keepNext/>
        <w:keepLines/>
        <w:widowControl w:val="0"/>
        <w:shd w:val="clear" w:color="auto" w:fill="auto"/>
        <w:bidi w:val="0"/>
        <w:spacing w:before="0" w:line="240" w:lineRule="auto"/>
        <w:ind w:left="0" w:right="0" w:firstLine="0"/>
        <w:jc w:val="left"/>
      </w:pPr>
      <w:bookmarkStart w:id="728" w:name="bookmark728"/>
      <w:bookmarkStart w:id="729" w:name="bookmark729"/>
      <w:bookmarkStart w:id="730" w:name="bookmark730"/>
      <w:bookmarkStart w:id="731" w:name="bookmark731"/>
      <w:r>
        <w:rPr>
          <w:color w:val="000000"/>
          <w:spacing w:val="0"/>
          <w:w w:val="100"/>
          <w:position w:val="0"/>
          <w:sz w:val="24"/>
          <w:szCs w:val="24"/>
        </w:rPr>
        <w:t>六</w:t>
      </w:r>
      <w:bookmarkEnd w:id="730"/>
      <w:r>
        <w:rPr>
          <w:color w:val="000000"/>
          <w:spacing w:val="0"/>
          <w:w w:val="100"/>
          <w:position w:val="0"/>
          <w:sz w:val="24"/>
          <w:szCs w:val="24"/>
        </w:rPr>
        <w:t>、企业合并及合并财务报表</w:t>
      </w:r>
      <w:bookmarkEnd w:id="728"/>
      <w:bookmarkEnd w:id="729"/>
      <w:bookmarkEnd w:id="731"/>
    </w:p>
    <w:p>
      <w:pPr>
        <w:pStyle w:val="Style34"/>
        <w:keepNext/>
        <w:keepLines/>
        <w:widowControl w:val="0"/>
        <w:shd w:val="clear" w:color="auto" w:fill="auto"/>
        <w:bidi w:val="0"/>
        <w:spacing w:before="0" w:after="300" w:line="310" w:lineRule="exact"/>
        <w:ind w:left="0" w:right="0" w:firstLine="0"/>
        <w:jc w:val="left"/>
      </w:pPr>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32"/>
      <w:bookmarkEnd w:id="733"/>
      <w:bookmarkEnd w:id="734"/>
    </w:p>
    <w:p>
      <w:pPr>
        <w:pStyle w:val="Style34"/>
        <w:keepNext/>
        <w:keepLines/>
        <w:widowControl w:val="0"/>
        <w:shd w:val="clear" w:color="auto" w:fill="auto"/>
        <w:bidi w:val="0"/>
        <w:spacing w:before="0" w:after="360" w:line="310" w:lineRule="exact"/>
        <w:ind w:left="0" w:right="0" w:firstLine="0"/>
        <w:jc w:val="left"/>
      </w:pPr>
      <w:bookmarkStart w:id="732" w:name="bookmark732"/>
      <w:bookmarkStart w:id="733" w:name="bookmark733"/>
      <w:bookmarkStart w:id="735" w:name="bookmark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732"/>
      <w:bookmarkEnd w:id="733"/>
      <w:bookmarkEnd w:id="7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诚和伟 业</w:t>
            </w:r>
            <w:r>
              <w:rPr>
                <w:rFonts w:ascii="Times New Roman" w:eastAsia="Times New Roman" w:hAnsi="Times New Roman" w:cs="Times New Roman"/>
                <w:color w:val="000000"/>
                <w:spacing w:val="0"/>
                <w:w w:val="100"/>
                <w:position w:val="0"/>
              </w:rPr>
              <w:t>（</w:t>
            </w:r>
            <w:r>
              <w:rPr>
                <w:color w:val="000000"/>
                <w:spacing w:val="0"/>
                <w:w w:val="100"/>
                <w:position w:val="0"/>
              </w:rPr>
              <w:t>北 京</w:t>
            </w:r>
            <w:r>
              <w:rPr>
                <w:rFonts w:ascii="Times New Roman" w:eastAsia="Times New Roman" w:hAnsi="Times New Roman" w:cs="Times New Roman"/>
                <w:color w:val="000000"/>
                <w:spacing w:val="0"/>
                <w:w w:val="100"/>
                <w:position w:val="0"/>
              </w:rPr>
              <w:t>）</w:t>
            </w:r>
            <w:r>
              <w:rPr>
                <w:color w:val="000000"/>
                <w:spacing w:val="0"/>
                <w:w w:val="100"/>
                <w:position w:val="0"/>
              </w:rPr>
              <w:t>科技 发展有 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备的设 计、销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备的设 计、销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-3,524,2</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荣信嘉</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时</w:t>
            </w:r>
            <w:r>
              <w:rPr>
                <w:rFonts w:ascii="Times New Roman" w:eastAsia="Times New Roman" w:hAnsi="Times New Roman" w:cs="Times New Roman"/>
                <w:color w:val="000000"/>
                <w:spacing w:val="0"/>
                <w:w w:val="100"/>
                <w:position w:val="0"/>
              </w:rPr>
              <w:t>（</w:t>
            </w:r>
            <w:r>
              <w:rPr>
                <w:color w:val="000000"/>
                <w:spacing w:val="0"/>
                <w:w w:val="100"/>
                <w:position w:val="0"/>
              </w:rPr>
              <w:t>北 京</w:t>
            </w:r>
            <w:r>
              <w:rPr>
                <w:rFonts w:ascii="Times New Roman" w:eastAsia="Times New Roman" w:hAnsi="Times New Roman" w:cs="Times New Roman"/>
                <w:color w:val="000000"/>
                <w:spacing w:val="0"/>
                <w:w w:val="100"/>
                <w:position w:val="0"/>
              </w:rPr>
              <w:t>）</w:t>
            </w:r>
            <w:r>
              <w:rPr>
                <w:color w:val="000000"/>
                <w:spacing w:val="0"/>
                <w:w w:val="100"/>
                <w:position w:val="0"/>
              </w:rPr>
              <w:t>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电气设 备的设 计、销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电气设 备的设 计、销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-5,915,7</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68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荣信电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气传动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电气设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电气设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备的设</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备的设</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计、销</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计、销</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和龙盛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电力设 备器件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风电产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235200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品开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发、设</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51.02%</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51.02%</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工程技</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代理销</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87.71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计销售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北京荣 科恒阳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整流设 备、变</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整流设 备、变 流设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整流技</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流设备</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04.44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华恒信</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开关技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开关技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开关技</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术研发</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术研发</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与推广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与推广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辽宁荣 信防爆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井下防</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爆电气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防爆电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电气技</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设备的</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气设备</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产与销</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的研发 与制造</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56"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电机控</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制装 置、启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电气设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动装置 及其他</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信电机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备的设 计、销</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控制技</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电力电</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子装置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电气设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161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信众腾 科技有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备的设 计、销 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子技术 开发、 技术服</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务及技 术推广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辽宁荣 信光伏 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备的设 计与销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太阳能 光伏技 术应</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用、风 能技术 的研</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发、生 产、销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9,008,0</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1,642,9</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辽宁荣 信电气 传动技 术有限 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备的设 计与销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电气传 动与控 制系列 变频器 相关产 品的研 发、生 产、销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22,509,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8,342,0</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南京荣 信电力 自动化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备的设 计、销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输配电 及控制 设备研 发、制 造、销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3,500,0</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-799,09</w:t>
            </w:r>
          </w:p>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北京荣 信慧科 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 设备的 设计与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 发、技 术服 务、技 术推广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4,250,0</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343,809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北京荣 科博信 科技发 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备的设 计、销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 发、技 术服 务、技 术推广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6,800,0</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-2,126,1</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广州邦 建电力 技术有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电气设 备的设 计与销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电力技 术的研 究、开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6,800,0</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-441,52</w:t>
            </w:r>
          </w:p>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68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北京荣 信瑞科 科技发 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 设备的 设计与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 发、技 术服 务、技 术推广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6,800,0</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-2,415,5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荣西电 力传输 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备的设 计与销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312" w:lineRule="exact"/>
              <w:ind w:left="0" w:right="0" w:firstLine="0"/>
              <w:jc w:val="both"/>
            </w:pPr>
            <w:r>
              <w:rPr>
                <w:color w:val="000000"/>
                <w:spacing w:val="0"/>
                <w:w w:val="100"/>
                <w:position w:val="0"/>
              </w:rPr>
              <w:t>高压连 续电容 器</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(HVSC)</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、静态 无功补 偿器 </w:t>
            </w:r>
            <w:r>
              <w:rPr>
                <w:rFonts w:ascii="Times New Roman" w:eastAsia="Times New Roman" w:hAnsi="Times New Roman" w:cs="Times New Roman"/>
                <w:color w:val="000000"/>
                <w:spacing w:val="0"/>
                <w:w w:val="100"/>
                <w:position w:val="0"/>
              </w:rPr>
              <w:t>(FSC)</w:t>
            </w:r>
            <w:r>
              <w:rPr>
                <w:color w:val="000000"/>
                <w:spacing w:val="0"/>
                <w:w w:val="100"/>
                <w:position w:val="0"/>
              </w:rPr>
              <w:t>的 开发、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27,893,</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15,096,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新疆荣 信节能 电气有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备的设 计与销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电力电 子装置 的设 计、销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-178,27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荣信电 力工程 </w:t>
            </w:r>
            <w:r>
              <w:rPr>
                <w:rFonts w:ascii="Times New Roman" w:eastAsia="Times New Roman" w:hAnsi="Times New Roman" w:cs="Times New Roman"/>
                <w:color w:val="000000"/>
                <w:spacing w:val="0"/>
                <w:w w:val="100"/>
                <w:position w:val="0"/>
              </w:rPr>
              <w:t>JLT</w:t>
            </w:r>
            <w:r>
              <w:rPr>
                <w:color w:val="000000"/>
                <w:spacing w:val="0"/>
                <w:w w:val="100"/>
                <w:position w:val="0"/>
              </w:rPr>
              <w:t>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电子设 备贸易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沼气、 有机复 合肥生 产销 售；环 境污染 防治专 用设备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15,293,</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北京荣 信中科 电气设 备有限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备的设 计、销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备的设 计、销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5,100,0</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792,164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西安荣 信电气 有限责 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电气设 备的设 计、销 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输变电 设备销 售及安 装、技 术咨询 与技术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2,700,0</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183,468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商丘信 力新能 源科技 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控股子 公司的 控股子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专用设 备的销 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备的设 计、销 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8,500,0</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899,405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通过设立或投资等方式取得的子公司的其他说明</w:t>
      </w:r>
    </w:p>
    <w:p>
      <w:pPr>
        <w:pStyle w:val="Style1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根据协议，本公司有权控制荣西电力传输技术有限公司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以下简称荣西公司</w:t>
      </w:r>
      <w:r>
        <w:rPr>
          <w:rFonts w:ascii="Times New Roman" w:eastAsia="Times New Roman" w:hAnsi="Times New Roman" w:cs="Times New Roman"/>
          <w:color w:val="000000"/>
          <w:spacing w:val="0"/>
          <w:w w:val="100"/>
          <w:position w:val="0"/>
        </w:rPr>
        <w:t>)</w:t>
      </w:r>
      <w:r>
        <w:rPr>
          <w:color w:val="000000"/>
          <w:spacing w:val="0"/>
          <w:w w:val="100"/>
          <w:position w:val="0"/>
        </w:rPr>
        <w:t>的财务和经营政策，拥有对其 的实质控制权，故将其纳入合并财务报表范围。</w:t>
      </w:r>
    </w:p>
    <w:p>
      <w:pPr>
        <w:pStyle w:val="Style34"/>
        <w:keepNext/>
        <w:keepLines/>
        <w:widowControl w:val="0"/>
        <w:shd w:val="clear" w:color="auto" w:fill="auto"/>
        <w:bidi w:val="0"/>
        <w:spacing w:before="0" w:after="360" w:line="240" w:lineRule="auto"/>
        <w:ind w:left="0" w:right="0" w:firstLine="0"/>
        <w:jc w:val="left"/>
      </w:pPr>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)非同一控制下企业合并取得的子公司</w:t>
      </w:r>
      <w:bookmarkEnd w:id="736"/>
      <w:bookmarkEnd w:id="737"/>
      <w:bookmarkEnd w:id="7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 力筑正 新能源 技术股 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新能 源、节 能设 备、环 保设 备、余 热余压 发电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新能 源、节 能设 备、环 保设 备、余 热余压 发电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186,532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上海地 澳自动 化科技 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井下防 爆变频 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井下防 爆变频 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11,811,0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通过非同一控制下企业合并取得的子公司的其他说明</w:t>
      </w:r>
    </w:p>
    <w:p>
      <w:pPr>
        <w:pStyle w:val="Style16"/>
        <w:keepNext w:val="0"/>
        <w:keepLines w:val="0"/>
        <w:widowControl w:val="0"/>
        <w:shd w:val="clear" w:color="auto" w:fill="auto"/>
        <w:bidi w:val="0"/>
        <w:spacing w:before="0" w:after="340" w:line="322" w:lineRule="exact"/>
        <w:ind w:left="0" w:right="0" w:firstLine="0"/>
        <w:jc w:val="left"/>
      </w:pPr>
      <w:r>
        <w:rPr>
          <w:color w:val="000000"/>
          <w:spacing w:val="0"/>
          <w:w w:val="100"/>
          <w:position w:val="0"/>
        </w:rPr>
        <w:t>本公司拥有北京信力筑正新能源技术股份有限公司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以下简称信力筑正公司</w:t>
      </w:r>
      <w:r>
        <w:rPr>
          <w:rFonts w:ascii="Times New Roman" w:eastAsia="Times New Roman" w:hAnsi="Times New Roman" w:cs="Times New Roman"/>
          <w:color w:val="000000"/>
          <w:spacing w:val="0"/>
          <w:w w:val="100"/>
          <w:position w:val="0"/>
        </w:rPr>
        <w:t>）</w:t>
      </w:r>
      <w:r>
        <w:rPr>
          <w:color w:val="000000"/>
          <w:spacing w:val="0"/>
          <w:w w:val="100"/>
          <w:position w:val="0"/>
        </w:rPr>
        <w:t>董事会会议半数以上投票权， 拥有对其的实质控制权，故将其纳入合并财务报表范围。</w:t>
      </w:r>
    </w:p>
    <w:p>
      <w:pPr>
        <w:pStyle w:val="Style34"/>
        <w:keepNext/>
        <w:keepLines/>
        <w:widowControl w:val="0"/>
        <w:shd w:val="clear" w:color="auto" w:fill="auto"/>
        <w:bidi w:val="0"/>
        <w:spacing w:before="0" w:after="300" w:line="329" w:lineRule="auto"/>
        <w:ind w:left="0" w:right="0" w:firstLine="0"/>
        <w:jc w:val="left"/>
      </w:pPr>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r>
        <w:rPr>
          <w:color w:val="000000"/>
          <w:spacing w:val="0"/>
          <w:w w:val="100"/>
          <w:position w:val="0"/>
        </w:rPr>
        <w:t>、合并范围发生变更的说明</w:t>
      </w:r>
      <w:bookmarkEnd w:id="739"/>
      <w:bookmarkEnd w:id="740"/>
      <w:bookmarkEnd w:id="741"/>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合并报表范围发生变更说明</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2</w:t>
      </w:r>
      <w:r>
        <w:rPr>
          <w:color w:val="000000"/>
          <w:spacing w:val="0"/>
          <w:w w:val="100"/>
          <w:position w:val="0"/>
        </w:rPr>
        <w:t>家，原因为</w:t>
      </w:r>
    </w:p>
    <w:p>
      <w:pPr>
        <w:pStyle w:val="Style16"/>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本期公司与自然人赵珊珊、陈晓丽等</w:t>
      </w:r>
      <w:r>
        <w:rPr>
          <w:rFonts w:ascii="Times New Roman" w:eastAsia="Times New Roman" w:hAnsi="Times New Roman" w:cs="Times New Roman"/>
          <w:color w:val="000000"/>
          <w:spacing w:val="0"/>
          <w:w w:val="100"/>
          <w:position w:val="0"/>
        </w:rPr>
        <w:t>8</w:t>
      </w:r>
      <w:r>
        <w:rPr>
          <w:color w:val="000000"/>
          <w:spacing w:val="0"/>
          <w:w w:val="100"/>
          <w:position w:val="0"/>
        </w:rPr>
        <w:t>名自然人共同出资设立北京荣信中科电气设备有限公司</w:t>
      </w:r>
      <w:r>
        <w:rPr>
          <w:rFonts w:ascii="Times New Roman" w:eastAsia="Times New Roman" w:hAnsi="Times New Roman" w:cs="Times New Roman"/>
          <w:color w:val="000000"/>
          <w:spacing w:val="0"/>
          <w:w w:val="100"/>
          <w:position w:val="0"/>
        </w:rPr>
        <w:t>（</w:t>
      </w:r>
      <w:r>
        <w:rPr>
          <w:color w:val="000000"/>
          <w:spacing w:val="0"/>
          <w:w w:val="100"/>
          <w:position w:val="0"/>
        </w:rPr>
        <w:t>以下 简称荣信中科公司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日在北京市工商行政管理局登记注册，并取得注册号为</w:t>
      </w:r>
      <w:r>
        <w:rPr>
          <w:rFonts w:ascii="Times New Roman" w:eastAsia="Times New Roman" w:hAnsi="Times New Roman" w:cs="Times New Roman"/>
          <w:color w:val="000000"/>
          <w:spacing w:val="0"/>
          <w:w w:val="100"/>
          <w:position w:val="0"/>
        </w:rPr>
        <w:t xml:space="preserve">110108015505409 </w:t>
      </w:r>
      <w:r>
        <w:rPr>
          <w:color w:val="000000"/>
          <w:spacing w:val="0"/>
          <w:w w:val="100"/>
          <w:position w:val="0"/>
        </w:rPr>
        <w:t>的《企业法人营业执照》。该公司注册资本为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万元，公司应出资</w:t>
      </w:r>
      <w:r>
        <w:rPr>
          <w:rFonts w:ascii="Times New Roman" w:eastAsia="Times New Roman" w:hAnsi="Times New Roman" w:cs="Times New Roman"/>
          <w:color w:val="000000"/>
          <w:spacing w:val="0"/>
          <w:w w:val="100"/>
          <w:position w:val="0"/>
        </w:rPr>
        <w:t>510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51%</w:t>
      </w:r>
      <w:r>
        <w:rPr>
          <w:color w:val="000000"/>
          <w:spacing w:val="0"/>
          <w:w w:val="100"/>
          <w:position w:val="0"/>
        </w:rPr>
        <w:t>，拥 有对其的实质控制权，故自该公司成立之日起，将其纳入合并财务报表范围。</w:t>
      </w:r>
    </w:p>
    <w:p>
      <w:pPr>
        <w:pStyle w:val="Style16"/>
        <w:keepNext w:val="0"/>
        <w:keepLines w:val="0"/>
        <w:widowControl w:val="0"/>
        <w:shd w:val="clear" w:color="auto" w:fill="auto"/>
        <w:bidi w:val="0"/>
        <w:spacing w:before="0" w:after="400" w:line="315" w:lineRule="exact"/>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本期公司与自然人李岗、张碧桐共同出资设立西安荣信电气有限责任公司</w:t>
      </w:r>
      <w:r>
        <w:rPr>
          <w:rFonts w:ascii="Times New Roman" w:eastAsia="Times New Roman" w:hAnsi="Times New Roman" w:cs="Times New Roman"/>
          <w:color w:val="000000"/>
          <w:spacing w:val="0"/>
          <w:w w:val="100"/>
          <w:position w:val="0"/>
        </w:rPr>
        <w:t>（</w:t>
      </w:r>
      <w:r>
        <w:rPr>
          <w:color w:val="000000"/>
          <w:spacing w:val="0"/>
          <w:w w:val="100"/>
          <w:position w:val="0"/>
        </w:rPr>
        <w:t>以下简称西安荣信公司</w:t>
      </w:r>
      <w:r>
        <w:rPr>
          <w:rFonts w:ascii="Times New Roman" w:eastAsia="Times New Roman" w:hAnsi="Times New Roman" w:cs="Times New Roman"/>
          <w:color w:val="000000"/>
          <w:spacing w:val="0"/>
          <w:w w:val="100"/>
          <w:position w:val="0"/>
        </w:rPr>
        <w:t>）</w:t>
      </w:r>
      <w:r>
        <w:rPr>
          <w:color w:val="000000"/>
          <w:spacing w:val="0"/>
          <w:w w:val="100"/>
          <w:position w:val="0"/>
        </w:rPr>
        <w:t>， 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日在西安市工商行政管理局登记注册，并取得注册号为</w:t>
      </w:r>
      <w:r>
        <w:rPr>
          <w:rFonts w:ascii="Times New Roman" w:eastAsia="Times New Roman" w:hAnsi="Times New Roman" w:cs="Times New Roman"/>
          <w:color w:val="000000"/>
          <w:spacing w:val="0"/>
          <w:w w:val="100"/>
          <w:position w:val="0"/>
        </w:rPr>
        <w:t>610131100098859</w:t>
      </w:r>
      <w:r>
        <w:rPr>
          <w:color w:val="000000"/>
          <w:spacing w:val="0"/>
          <w:w w:val="100"/>
          <w:position w:val="0"/>
        </w:rPr>
        <w:t>的《企业法人营业 执照》。该公司注册资本为</w:t>
      </w:r>
      <w:r>
        <w:rPr>
          <w:rFonts w:ascii="Times New Roman" w:eastAsia="Times New Roman" w:hAnsi="Times New Roman" w:cs="Times New Roman"/>
          <w:color w:val="000000"/>
          <w:spacing w:val="0"/>
          <w:w w:val="100"/>
          <w:position w:val="0"/>
        </w:rPr>
        <w:t>300</w:t>
      </w:r>
      <w:r>
        <w:rPr>
          <w:color w:val="000000"/>
          <w:spacing w:val="0"/>
          <w:w w:val="100"/>
          <w:position w:val="0"/>
        </w:rPr>
        <w:t>万元，公司应出资</w:t>
      </w:r>
      <w:r>
        <w:rPr>
          <w:rFonts w:ascii="Times New Roman" w:eastAsia="Times New Roman" w:hAnsi="Times New Roman" w:cs="Times New Roman"/>
          <w:color w:val="000000"/>
          <w:spacing w:val="0"/>
          <w:w w:val="100"/>
          <w:position w:val="0"/>
        </w:rPr>
        <w:t>270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90%</w:t>
      </w:r>
      <w:r>
        <w:rPr>
          <w:color w:val="000000"/>
          <w:spacing w:val="0"/>
          <w:w w:val="100"/>
          <w:position w:val="0"/>
        </w:rPr>
        <w:t>,拥有对其的实质控制权, 故自该公司成立之日起，将其纳入合并财务报表范围。</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rPr>
        <w:t>2</w:t>
      </w:r>
      <w:r>
        <w:rPr>
          <w:color w:val="000000"/>
          <w:spacing w:val="0"/>
          <w:w w:val="100"/>
          <w:position w:val="0"/>
        </w:rPr>
        <w:t>家，原因为</w:t>
      </w:r>
    </w:p>
    <w:p>
      <w:pPr>
        <w:pStyle w:val="Style16"/>
        <w:keepNext w:val="0"/>
        <w:keepLines w:val="0"/>
        <w:widowControl w:val="0"/>
        <w:shd w:val="clear" w:color="auto" w:fill="auto"/>
        <w:tabs>
          <w:tab w:pos="773" w:val="left"/>
        </w:tabs>
        <w:bidi w:val="0"/>
        <w:spacing w:before="0" w:after="40" w:line="311" w:lineRule="exact"/>
        <w:ind w:left="0" w:right="0" w:firstLine="440"/>
        <w:jc w:val="both"/>
      </w:pPr>
      <w:bookmarkStart w:id="742" w:name="bookmark742"/>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w:t>
        <w:tab/>
      </w:r>
      <w:r>
        <w:rPr>
          <w:color w:val="000000"/>
          <w:spacing w:val="0"/>
          <w:w w:val="100"/>
          <w:position w:val="0"/>
        </w:rPr>
        <w:t>根据本公司与中国水电建设集团甘肃能源投资有限公司、中国水电建设集团新能源开发有限责任公 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日签订的《股权转让协议》，本公司以</w:t>
      </w:r>
      <w:r>
        <w:rPr>
          <w:rFonts w:ascii="Times New Roman" w:eastAsia="Times New Roman" w:hAnsi="Times New Roman" w:cs="Times New Roman"/>
          <w:color w:val="000000"/>
          <w:spacing w:val="0"/>
          <w:w w:val="100"/>
          <w:position w:val="0"/>
        </w:rPr>
        <w:t>495.32</w:t>
      </w:r>
      <w:r>
        <w:rPr>
          <w:color w:val="000000"/>
          <w:spacing w:val="0"/>
          <w:w w:val="100"/>
          <w:position w:val="0"/>
        </w:rPr>
        <w:t>万元将所持有的哈密荣信新能源有限公司（以 下简称哈密荣信公司）</w:t>
      </w:r>
      <w:r>
        <w:rPr>
          <w:rFonts w:ascii="Times New Roman" w:eastAsia="Times New Roman" w:hAnsi="Times New Roman" w:cs="Times New Roman"/>
          <w:color w:val="000000"/>
          <w:spacing w:val="0"/>
          <w:w w:val="100"/>
          <w:position w:val="0"/>
        </w:rPr>
        <w:t>70%</w:t>
      </w:r>
      <w:r>
        <w:rPr>
          <w:color w:val="000000"/>
          <w:spacing w:val="0"/>
          <w:w w:val="100"/>
          <w:position w:val="0"/>
        </w:rPr>
        <w:t>股权转让给该两家公司。本公司已于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日收到该项股权转让款</w:t>
      </w:r>
      <w:r>
        <w:rPr>
          <w:rFonts w:ascii="Times New Roman" w:eastAsia="Times New Roman" w:hAnsi="Times New Roman" w:cs="Times New Roman"/>
          <w:color w:val="000000"/>
          <w:spacing w:val="0"/>
          <w:w w:val="100"/>
          <w:position w:val="0"/>
        </w:rPr>
        <w:t xml:space="preserve">495.32 </w:t>
      </w:r>
      <w:r>
        <w:rPr>
          <w:color w:val="000000"/>
          <w:spacing w:val="0"/>
          <w:w w:val="100"/>
          <w:position w:val="0"/>
        </w:rPr>
        <w:t>万元，并办理了相应的财产权交接手续，故自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月起不再将其纳入合并财务报表范围。</w:t>
      </w:r>
    </w:p>
    <w:p>
      <w:pPr>
        <w:pStyle w:val="Style16"/>
        <w:keepNext w:val="0"/>
        <w:keepLines w:val="0"/>
        <w:widowControl w:val="0"/>
        <w:shd w:val="clear" w:color="auto" w:fill="auto"/>
        <w:tabs>
          <w:tab w:pos="773" w:val="left"/>
        </w:tabs>
        <w:bidi w:val="0"/>
        <w:spacing w:before="0" w:after="680" w:line="311" w:lineRule="exact"/>
        <w:ind w:left="0" w:right="0" w:firstLine="440"/>
        <w:jc w:val="both"/>
      </w:pPr>
      <w:bookmarkStart w:id="743" w:name="bookmark743"/>
      <w:r>
        <w:rPr>
          <w:rFonts w:ascii="Times New Roman" w:eastAsia="Times New Roman" w:hAnsi="Times New Roman" w:cs="Times New Roman"/>
          <w:color w:val="000000"/>
          <w:spacing w:val="0"/>
          <w:w w:val="100"/>
          <w:position w:val="0"/>
        </w:rPr>
        <w:t>2</w:t>
      </w:r>
      <w:bookmarkEnd w:id="743"/>
      <w:r>
        <w:rPr>
          <w:rFonts w:ascii="Times New Roman" w:eastAsia="Times New Roman" w:hAnsi="Times New Roman" w:cs="Times New Roman"/>
          <w:color w:val="000000"/>
          <w:spacing w:val="0"/>
          <w:w w:val="100"/>
          <w:position w:val="0"/>
        </w:rPr>
        <w:t>）</w:t>
        <w:tab/>
      </w:r>
      <w:r>
        <w:rPr>
          <w:color w:val="000000"/>
          <w:spacing w:val="0"/>
          <w:w w:val="100"/>
          <w:position w:val="0"/>
        </w:rPr>
        <w:t>根据本公司与江西顺风光电投资有限公司（以下简称江西顺风公司）于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日签订的《股权 转让协议》，本公司以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,026.60</w:t>
      </w:r>
      <w:r>
        <w:rPr>
          <w:color w:val="000000"/>
          <w:spacing w:val="0"/>
          <w:w w:val="100"/>
          <w:position w:val="0"/>
        </w:rPr>
        <w:t>万元将所持有的图木舒克市荣信新能源有限公司（以下简称图木舒克荣信 公司）</w:t>
      </w:r>
      <w:r>
        <w:rPr>
          <w:rFonts w:ascii="Times New Roman" w:eastAsia="Times New Roman" w:hAnsi="Times New Roman" w:cs="Times New Roman"/>
          <w:color w:val="000000"/>
          <w:spacing w:val="0"/>
          <w:w w:val="100"/>
          <w:position w:val="0"/>
        </w:rPr>
        <w:t>95%</w:t>
      </w:r>
      <w:r>
        <w:rPr>
          <w:color w:val="000000"/>
          <w:spacing w:val="0"/>
          <w:w w:val="100"/>
          <w:position w:val="0"/>
        </w:rPr>
        <w:t>股权转让给江西顺风公司。本公司已于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日收到该项股权转让款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,026.60</w:t>
      </w:r>
      <w:r>
        <w:rPr>
          <w:color w:val="000000"/>
          <w:spacing w:val="0"/>
          <w:w w:val="100"/>
          <w:position w:val="0"/>
        </w:rPr>
        <w:t>万元，并办 理了相应的财产权交接手续，故自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月起不再将其纳入合并财务报表范围。</w:t>
      </w:r>
    </w:p>
    <w:p>
      <w:pPr>
        <w:pStyle w:val="Style34"/>
        <w:keepNext/>
        <w:keepLines/>
        <w:widowControl w:val="0"/>
        <w:shd w:val="clear" w:color="auto" w:fill="auto"/>
        <w:bidi w:val="0"/>
        <w:spacing w:before="0" w:after="40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3</w:t>
      </w:r>
      <w:bookmarkEnd w:id="746"/>
      <w:r>
        <w:rPr>
          <w:color w:val="000000"/>
          <w:spacing w:val="0"/>
          <w:w w:val="100"/>
          <w:position w:val="0"/>
        </w:rPr>
        <w:t>、报告期内新纳入合并范围的主体和报告期内不再纳入合并范围的主体</w:t>
      </w:r>
      <w:bookmarkEnd w:id="744"/>
      <w:bookmarkEnd w:id="745"/>
      <w:bookmarkEnd w:id="74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西安荣信公司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1,834,686.84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-1,165,313.16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荣信中科公司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2,657,479.46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-6,342,520.54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哈密荣信公司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6,195,428.37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-3,000,166.89</w:t>
            </w:r>
          </w:p>
        </w:tc>
      </w:tr>
    </w:tbl>
    <w:p>
      <w:pPr>
        <w:widowControl w:val="0"/>
        <w:spacing w:line="1" w:lineRule="exact"/>
      </w:pPr>
      <w:r>
        <w:br w:type="page"/>
      </w:r>
    </w:p>
    <w:tbl>
      <w:tblPr>
        <w:tblOverlap w:val="never"/>
        <w:jc w:val="center"/>
        <w:tblLayout w:type="fixed"/>
      </w:tblPr>
      <w:tblGrid>
        <w:gridCol w:w="4075"/>
        <w:gridCol w:w="2851"/>
        <w:gridCol w:w="2654"/>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图木舒克荣信公司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10,265,979.83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384,317.24</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sz w:val="24"/>
          <w:szCs w:val="24"/>
        </w:rPr>
        <w:t>七</w:t>
      </w:r>
      <w:bookmarkEnd w:id="750"/>
      <w:r>
        <w:rPr>
          <w:color w:val="000000"/>
          <w:spacing w:val="0"/>
          <w:w w:val="100"/>
          <w:position w:val="0"/>
          <w:sz w:val="24"/>
          <w:szCs w:val="24"/>
        </w:rPr>
        <w:t>、合并财务报表主要项目注释</w:t>
      </w:r>
      <w:bookmarkEnd w:id="748"/>
      <w:bookmarkEnd w:id="749"/>
      <w:bookmarkEnd w:id="751"/>
    </w:p>
    <w:p>
      <w:pPr>
        <w:pStyle w:val="Style34"/>
        <w:keepNext/>
        <w:keepLines/>
        <w:widowControl w:val="0"/>
        <w:shd w:val="clear" w:color="auto" w:fill="auto"/>
        <w:bidi w:val="0"/>
        <w:spacing w:before="0" w:after="340" w:line="240" w:lineRule="auto"/>
        <w:ind w:left="0" w:right="0" w:firstLine="0"/>
        <w:jc w:val="left"/>
      </w:pPr>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52"/>
      <w:bookmarkEnd w:id="753"/>
      <w:bookmarkEnd w:id="7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509,254.02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980,465.33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509,254.02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980,465.33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666,178,100.15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643,156,705.90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658,923,497.17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638,065,027.59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355,823.82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2,995,645.19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698,544.80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4,258,957.79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5,091,559.20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109,341,478.18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158,566,375.10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109,341,478.18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158,566,375.10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776,028,832.35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802,703,546.33</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16"/>
        <w:keepNext w:val="0"/>
        <w:keepLines w:val="0"/>
        <w:widowControl w:val="0"/>
        <w:shd w:val="clear" w:color="auto" w:fill="auto"/>
        <w:bidi w:val="0"/>
        <w:spacing w:before="0" w:after="340" w:line="302" w:lineRule="exact"/>
        <w:ind w:left="0" w:right="0" w:firstLine="0"/>
        <w:jc w:val="left"/>
      </w:pPr>
      <w:r>
        <w:rPr>
          <w:color w:val="000000"/>
          <w:spacing w:val="0"/>
          <w:w w:val="100"/>
          <w:position w:val="0"/>
        </w:rPr>
        <w:t>银行存款包含已按照定期存款利率计提存款利息的定期存款</w:t>
      </w:r>
      <w:r>
        <w:rPr>
          <w:rFonts w:ascii="Times New Roman" w:eastAsia="Times New Roman" w:hAnsi="Times New Roman" w:cs="Times New Roman"/>
          <w:color w:val="000000"/>
          <w:spacing w:val="0"/>
          <w:w w:val="100"/>
          <w:position w:val="0"/>
        </w:rPr>
        <w:t>25,358,778.06</w:t>
      </w:r>
      <w:r>
        <w:rPr>
          <w:color w:val="000000"/>
          <w:spacing w:val="0"/>
          <w:w w:val="100"/>
          <w:position w:val="0"/>
        </w:rPr>
        <w:t>元，其他货币资金包含银行承兑 汇票保证金</w:t>
      </w:r>
      <w:r>
        <w:rPr>
          <w:rFonts w:ascii="Times New Roman" w:eastAsia="Times New Roman" w:hAnsi="Times New Roman" w:cs="Times New Roman"/>
          <w:color w:val="000000"/>
          <w:spacing w:val="0"/>
          <w:w w:val="100"/>
          <w:position w:val="0"/>
        </w:rPr>
        <w:t>109,341,478.18</w:t>
      </w:r>
      <w:r>
        <w:rPr>
          <w:color w:val="000000"/>
          <w:spacing w:val="0"/>
          <w:w w:val="100"/>
          <w:position w:val="0"/>
        </w:rPr>
        <w:t>元。</w:t>
      </w:r>
    </w:p>
    <w:p>
      <w:pPr>
        <w:pStyle w:val="Style34"/>
        <w:keepNext/>
        <w:keepLines/>
        <w:widowControl w:val="0"/>
        <w:shd w:val="clear" w:color="auto" w:fill="auto"/>
        <w:bidi w:val="0"/>
        <w:spacing w:before="0" w:after="220" w:line="317"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2</w:t>
      </w:r>
      <w:bookmarkEnd w:id="757"/>
      <w:r>
        <w:rPr>
          <w:color w:val="000000"/>
          <w:spacing w:val="0"/>
          <w:w w:val="100"/>
          <w:position w:val="0"/>
        </w:rPr>
        <w:t>、应收票据</w:t>
      </w:r>
      <w:bookmarkEnd w:id="755"/>
      <w:bookmarkEnd w:id="756"/>
      <w:bookmarkEnd w:id="758"/>
    </w:p>
    <w:p>
      <w:pPr>
        <w:pStyle w:val="Style34"/>
        <w:keepNext/>
        <w:keepLines/>
        <w:widowControl w:val="0"/>
        <w:shd w:val="clear" w:color="auto" w:fill="auto"/>
        <w:bidi w:val="0"/>
        <w:spacing w:before="0" w:after="340" w:line="302" w:lineRule="exact"/>
        <w:ind w:left="0" w:right="0" w:firstLine="0"/>
        <w:jc w:val="left"/>
      </w:pPr>
      <w:bookmarkStart w:id="755" w:name="bookmark755"/>
      <w:bookmarkStart w:id="756" w:name="bookmark756"/>
      <w:bookmarkStart w:id="759" w:name="bookmark7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755"/>
      <w:bookmarkEnd w:id="756"/>
      <w:bookmarkEnd w:id="7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89"/>
        <w:gridCol w:w="2659"/>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145,177,645.20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117,173,182.05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145,177,645.20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118,815,182.05</w:t>
            </w:r>
          </w:p>
        </w:tc>
      </w:tr>
    </w:tbl>
    <w:p>
      <w:pPr>
        <w:widowControl w:val="0"/>
        <w:spacing w:after="219" w:line="1" w:lineRule="exact"/>
      </w:pPr>
    </w:p>
    <w:p>
      <w:pPr>
        <w:pStyle w:val="Style34"/>
        <w:keepNext/>
        <w:keepLines/>
        <w:widowControl w:val="0"/>
        <w:shd w:val="clear" w:color="auto" w:fill="auto"/>
        <w:bidi w:val="0"/>
        <w:spacing w:before="0" w:after="340" w:line="341" w:lineRule="exact"/>
        <w:ind w:left="0" w:right="0" w:firstLine="0"/>
        <w:jc w:val="left"/>
      </w:pPr>
      <w:bookmarkStart w:id="760" w:name="bookmark760"/>
      <w:bookmarkStart w:id="761" w:name="bookmark761"/>
      <w:bookmarkStart w:id="762" w:name="bookmark7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)因出票人无力履约而将票据转为应收账款的票据，以及期末公司已经背书给他方但尚未到期的票据 情况</w:t>
      </w:r>
      <w:bookmarkEnd w:id="760"/>
      <w:bookmarkEnd w:id="761"/>
      <w:bookmarkEnd w:id="76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公司已经背书给其他方但尚未到期的票据</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1915"/>
        <w:gridCol w:w="1915"/>
        <w:gridCol w:w="1915"/>
        <w:gridCol w:w="1910"/>
        <w:gridCol w:w="1925"/>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铁法煤业(集团)有限 责任公司物资供应分公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茌平信发物资供应服务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福建鼎信镍业有限公司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国水集团化德风电有限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湖南京湘电气有限公司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4,410,000.00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3</w:t>
      </w:r>
      <w:bookmarkEnd w:id="765"/>
      <w:r>
        <w:rPr>
          <w:color w:val="000000"/>
          <w:spacing w:val="0"/>
          <w:w w:val="100"/>
          <w:position w:val="0"/>
        </w:rPr>
        <w:t>、应收利息</w:t>
      </w:r>
      <w:bookmarkEnd w:id="763"/>
      <w:bookmarkEnd w:id="764"/>
      <w:bookmarkEnd w:id="766"/>
    </w:p>
    <w:p>
      <w:pPr>
        <w:pStyle w:val="Style34"/>
        <w:keepNext/>
        <w:keepLines/>
        <w:widowControl w:val="0"/>
        <w:shd w:val="clear" w:color="auto" w:fill="auto"/>
        <w:bidi w:val="0"/>
        <w:spacing w:before="0" w:after="320" w:line="240" w:lineRule="auto"/>
        <w:ind w:left="0" w:right="0" w:firstLine="0"/>
        <w:jc w:val="left"/>
      </w:pPr>
      <w:bookmarkStart w:id="763" w:name="bookmark763"/>
      <w:bookmarkStart w:id="764" w:name="bookmark764"/>
      <w:bookmarkStart w:id="767" w:name="bookmark7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763"/>
      <w:bookmarkEnd w:id="764"/>
      <w:bookmarkEnd w:id="7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858"/>
        <w:gridCol w:w="1862"/>
        <w:gridCol w:w="1858"/>
        <w:gridCol w:w="213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1,225,284.72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1,225,284.72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1,225,284.72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1,225,284.72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4</w:t>
      </w:r>
      <w:bookmarkEnd w:id="770"/>
      <w:r>
        <w:rPr>
          <w:color w:val="000000"/>
          <w:spacing w:val="0"/>
          <w:w w:val="100"/>
          <w:position w:val="0"/>
        </w:rPr>
        <w:t>、应收账款</w:t>
      </w:r>
      <w:bookmarkEnd w:id="768"/>
      <w:bookmarkEnd w:id="769"/>
      <w:bookmarkEnd w:id="771"/>
    </w:p>
    <w:p>
      <w:pPr>
        <w:pStyle w:val="Style34"/>
        <w:keepNext/>
        <w:keepLines/>
        <w:widowControl w:val="0"/>
        <w:shd w:val="clear" w:color="auto" w:fill="auto"/>
        <w:bidi w:val="0"/>
        <w:spacing w:before="0" w:after="320" w:line="240" w:lineRule="auto"/>
        <w:ind w:left="0" w:right="0" w:firstLine="0"/>
        <w:jc w:val="left"/>
      </w:pPr>
      <w:bookmarkStart w:id="768" w:name="bookmark768"/>
      <w:bookmarkStart w:id="769" w:name="bookmark769"/>
      <w:bookmarkStart w:id="772" w:name="bookmark7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768"/>
      <w:bookmarkEnd w:id="769"/>
      <w:bookmarkEnd w:id="7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931"/>
        <w:gridCol w:w="926"/>
        <w:gridCol w:w="931"/>
        <w:gridCol w:w="931"/>
        <w:gridCol w:w="797"/>
        <w:gridCol w:w="926"/>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1,744,768,9</w:t>
            </w:r>
          </w:p>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179,417,67</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1,483,477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136,497,569.</w:t>
            </w:r>
          </w:p>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1,744,768,9</w:t>
            </w:r>
          </w:p>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179,417,67</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1,483,477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136,497,569.</w:t>
            </w:r>
          </w:p>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10,249,556.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10,249,556.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8,136,679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8,136,679.01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1,755,018,4</w:t>
            </w:r>
          </w:p>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68.22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189,667,22</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7.71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1,491,614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144,634,248.</w:t>
            </w:r>
          </w:p>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r>
        <w:br w:type="page"/>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1594"/>
        <w:gridCol w:w="931"/>
        <w:gridCol w:w="1723"/>
        <w:gridCol w:w="1464"/>
        <w:gridCol w:w="926"/>
        <w:gridCol w:w="147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884,396,009.67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44,215,104.21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824,164,838.62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41,047,851.83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884,396,009.67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44,215,104.21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824,164,838.62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41,047,851.83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488,697,727.00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48,869,772.70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459,518,237.06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45,951,823.71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251,697,582.05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50,339,516.40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104,405,216.40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20,881,043.28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119,977,593.01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35,993,277.91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95,389,501.79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28,616,850.54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62,292,113.03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18,687,633.91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63,997,318.10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19,199,195.43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33,166,625.26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9,949,987.58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24,820,524.93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7,446,157.48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24,518,854.72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7,355,656.42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6,571,658.76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1,971,497.63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1,744,768,911.73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179,417,671.22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1,483,477,793.87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136,497,569.36</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合计共</w:t>
            </w:r>
            <w:r>
              <w:rPr>
                <w:rFonts w:ascii="Times New Roman" w:eastAsia="Times New Roman" w:hAnsi="Times New Roman" w:cs="Times New Roman"/>
                <w:color w:val="000000"/>
                <w:spacing w:val="0"/>
                <w:w w:val="100"/>
                <w:position w:val="0"/>
              </w:rPr>
              <w:t>32</w:t>
            </w:r>
            <w:r>
              <w:rPr>
                <w:color w:val="000000"/>
                <w:spacing w:val="0"/>
                <w:w w:val="100"/>
                <w:position w:val="0"/>
              </w:rPr>
              <w:t>家客户应收账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10,249,556.49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10,249,556.49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账龄较长，预计无法收 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10,249,556.49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10,249,556.49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773" w:name="bookmark773"/>
      <w:bookmarkStart w:id="774" w:name="bookmark774"/>
      <w:bookmarkStart w:id="775" w:name="bookmark7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773"/>
      <w:bookmarkEnd w:id="774"/>
      <w:bookmarkEnd w:id="7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709"/>
        <w:gridCol w:w="1862"/>
        <w:gridCol w:w="1915"/>
        <w:gridCol w:w="189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山西海鑫国际钢铁有限公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催收回款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w:t>
            </w:r>
            <w:r>
              <w:rPr>
                <w:color w:val="000000"/>
                <w:spacing w:val="0"/>
                <w:w w:val="100"/>
                <w:position w:val="0"/>
              </w:rPr>
              <w:t>，</w:t>
            </w:r>
            <w:r>
              <w:rPr>
                <w:color w:val="000000"/>
                <w:spacing w:val="0"/>
                <w:w w:val="100"/>
                <w:position w:val="0"/>
              </w:rPr>
              <w:t>预计无法收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460,000.00</w:t>
            </w:r>
          </w:p>
        </w:tc>
      </w:tr>
    </w:tbl>
    <w:p>
      <w:pPr>
        <w:widowControl w:val="0"/>
        <w:spacing w:line="1" w:lineRule="exact"/>
      </w:pPr>
      <w:r>
        <w:br w:type="page"/>
      </w:r>
    </w:p>
    <w:tbl>
      <w:tblPr>
        <w:tblOverlap w:val="never"/>
        <w:jc w:val="center"/>
        <w:tblLayout w:type="fixed"/>
      </w:tblPr>
      <w:tblGrid>
        <w:gridCol w:w="2198"/>
        <w:gridCol w:w="1709"/>
        <w:gridCol w:w="1862"/>
        <w:gridCol w:w="1915"/>
        <w:gridCol w:w="1896"/>
      </w:tblGrid>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776" w:name="bookmark776"/>
      <w:bookmarkStart w:id="777" w:name="bookmark777"/>
      <w:bookmarkStart w:id="778" w:name="bookmark778"/>
      <w:bookmarkStart w:id="779" w:name="bookmark779"/>
      <w:bookmarkEnd w:id="778"/>
      <w:r>
        <w:rPr>
          <w:color w:val="000000"/>
          <w:spacing w:val="0"/>
          <w:w w:val="100"/>
          <w:position w:val="0"/>
        </w:rPr>
        <w:t>本报告期实际核销的应收账款情况</w:t>
      </w:r>
      <w:bookmarkEnd w:id="776"/>
      <w:bookmarkEnd w:id="777"/>
      <w:bookmarkEnd w:id="7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4"/>
        <w:gridCol w:w="161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合计共</w:t>
            </w:r>
            <w:r>
              <w:rPr>
                <w:rFonts w:ascii="Times New Roman" w:eastAsia="Times New Roman" w:hAnsi="Times New Roman" w:cs="Times New Roman"/>
                <w:color w:val="000000"/>
                <w:spacing w:val="0"/>
                <w:w w:val="100"/>
                <w:position w:val="0"/>
              </w:rPr>
              <w:t>9</w:t>
            </w:r>
            <w:r>
              <w:rPr>
                <w:color w:val="000000"/>
                <w:spacing w:val="0"/>
                <w:w w:val="100"/>
                <w:position w:val="0"/>
              </w:rPr>
              <w:t>家客户应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5,621,114.80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无法获取可收回的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相关证据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5,621,114.80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780" w:name="bookmark780"/>
      <w:bookmarkStart w:id="781" w:name="bookmark781"/>
      <w:bookmarkStart w:id="782" w:name="bookmark782"/>
      <w:bookmarkStart w:id="783" w:name="bookmark783"/>
      <w:bookmarkEnd w:id="782"/>
      <w:r>
        <w:rPr>
          <w:color w:val="000000"/>
          <w:spacing w:val="0"/>
          <w:w w:val="100"/>
          <w:position w:val="0"/>
        </w:rPr>
        <w:t>应收账款中金额前五名单位情况</w:t>
      </w:r>
      <w:bookmarkEnd w:id="780"/>
      <w:bookmarkEnd w:id="781"/>
      <w:bookmarkEnd w:id="7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宁夏申银焦化有限公司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沈阳透平机械股份有限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56,515,752.00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中国南方电风有限责任 公司超高压输电公司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44,497,146.00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沈阳鼓风机集团自动控 制系统工程有限公司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38,283,520.22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漂阳昌兴钢铁配套设施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34,030,000.00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298,826,418.22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w:t>
            </w:r>
          </w:p>
        </w:tc>
      </w:tr>
    </w:tbl>
    <w:p>
      <w:pPr>
        <w:widowControl w:val="0"/>
        <w:spacing w:after="299" w:line="1" w:lineRule="exact"/>
      </w:pP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784" w:name="bookmark784"/>
      <w:bookmarkStart w:id="785" w:name="bookmark785"/>
      <w:bookmarkStart w:id="786" w:name="bookmark786"/>
      <w:bookmarkStart w:id="787" w:name="bookmark787"/>
      <w:bookmarkEnd w:id="786"/>
      <w:r>
        <w:rPr>
          <w:color w:val="000000"/>
          <w:spacing w:val="0"/>
          <w:w w:val="100"/>
          <w:position w:val="0"/>
        </w:rPr>
        <w:t>应收关联方账款情况</w:t>
      </w:r>
      <w:bookmarkEnd w:id="784"/>
      <w:bookmarkEnd w:id="785"/>
      <w:bookmarkEnd w:id="7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38"/>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中煤科创节能技术有限公司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5,712,052.52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山东荣信汇盛机电科技有限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7,932,052.52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bl>
    <w:p>
      <w:pPr>
        <w:widowControl w:val="0"/>
        <w:spacing w:after="299" w:line="1" w:lineRule="exact"/>
      </w:pP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788" w:name="bookmark788"/>
      <w:bookmarkStart w:id="789" w:name="bookmark789"/>
      <w:bookmarkStart w:id="790" w:name="bookmark790"/>
      <w:bookmarkStart w:id="791" w:name="bookmark791"/>
      <w:bookmarkEnd w:id="790"/>
      <w:r>
        <w:rPr>
          <w:color w:val="000000"/>
          <w:spacing w:val="0"/>
          <w:w w:val="100"/>
          <w:position w:val="0"/>
        </w:rPr>
        <w:t>终止确认的应收款项情况</w:t>
      </w:r>
      <w:bookmarkEnd w:id="788"/>
      <w:bookmarkEnd w:id="789"/>
      <w:bookmarkEnd w:id="791"/>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90"/>
        <w:gridCol w:w="2990"/>
        <w:gridCol w:w="36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无追索权保理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128,758,500.00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128,758,500.00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5</w:t>
      </w:r>
      <w:bookmarkEnd w:id="794"/>
      <w:r>
        <w:rPr>
          <w:color w:val="000000"/>
          <w:spacing w:val="0"/>
          <w:w w:val="100"/>
          <w:position w:val="0"/>
        </w:rPr>
        <w:t>、其他应收款</w:t>
      </w:r>
      <w:bookmarkEnd w:id="792"/>
      <w:bookmarkEnd w:id="793"/>
      <w:bookmarkEnd w:id="795"/>
    </w:p>
    <w:p>
      <w:pPr>
        <w:pStyle w:val="Style34"/>
        <w:keepNext/>
        <w:keepLines/>
        <w:widowControl w:val="0"/>
        <w:shd w:val="clear" w:color="auto" w:fill="auto"/>
        <w:bidi w:val="0"/>
        <w:spacing w:before="0" w:after="320" w:line="240" w:lineRule="auto"/>
        <w:ind w:left="0" w:right="0" w:firstLine="0"/>
        <w:jc w:val="left"/>
      </w:pPr>
      <w:bookmarkStart w:id="792" w:name="bookmark792"/>
      <w:bookmarkStart w:id="793" w:name="bookmark793"/>
      <w:bookmarkStart w:id="796" w:name="bookmark7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792"/>
      <w:bookmarkEnd w:id="793"/>
      <w:bookmarkEnd w:id="7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56"/>
        <w:gridCol w:w="792"/>
        <w:gridCol w:w="1061"/>
        <w:gridCol w:w="792"/>
        <w:gridCol w:w="1061"/>
        <w:gridCol w:w="922"/>
        <w:gridCol w:w="1190"/>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76,381,148.6</w:t>
            </w:r>
          </w:p>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7,759,331.98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78,382,428.9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7,648,001.94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76,381,148.6</w:t>
            </w:r>
          </w:p>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7,759,331.98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78,382,428.9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7,648,001.94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76,381,148.6</w:t>
            </w:r>
          </w:p>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7,759,331.98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78,382,428.9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7,648,001.94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48"/>
        <w:gridCol w:w="1843"/>
        <w:gridCol w:w="658"/>
        <w:gridCol w:w="1450"/>
        <w:gridCol w:w="1450"/>
        <w:gridCol w:w="653"/>
        <w:gridCol w:w="168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45,346,889.80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2,267,344.49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39,926,861.88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1,994,843.09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45,346,889.80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2,267,344.49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39,926,861.88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1,994,843.09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12,188,111.30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1,218,811.12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26,901,112.00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2,690,111.20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13,806,678.98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2,761,335.80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5,032,888.77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1,006,577.75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5,039,468.56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1,511,840.57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6,521,566.29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1,956,469.90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1,274,520.56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382,356.17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2,960,103.29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888,031.00</w:t>
            </w:r>
          </w:p>
        </w:tc>
      </w:tr>
    </w:tbl>
    <w:p>
      <w:pPr>
        <w:widowControl w:val="0"/>
        <w:spacing w:line="1" w:lineRule="exact"/>
      </w:pPr>
      <w:r>
        <w:br w:type="page"/>
      </w:r>
    </w:p>
    <w:tbl>
      <w:tblPr>
        <w:tblOverlap w:val="never"/>
        <w:jc w:val="center"/>
        <w:tblLayout w:type="fixed"/>
      </w:tblPr>
      <w:tblGrid>
        <w:gridCol w:w="1848"/>
        <w:gridCol w:w="1843"/>
        <w:gridCol w:w="658"/>
        <w:gridCol w:w="1450"/>
        <w:gridCol w:w="1450"/>
        <w:gridCol w:w="653"/>
        <w:gridCol w:w="168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1,998,867.00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599,660.10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952,818.00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1,766,081.00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529,824.30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115,620.90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76,381,148.64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7,759,331.98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78,382,428.94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7,648,001.94</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797" w:name="bookmark797"/>
      <w:bookmarkStart w:id="798" w:name="bookmark798"/>
      <w:bookmarkStart w:id="799" w:name="bookmark7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797"/>
      <w:bookmarkEnd w:id="798"/>
      <w:bookmarkEnd w:id="7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民生金融租赁股份有限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29,650,000.00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福建增晟创新节能科技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中关村科技租赁(北京)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1,835,600.00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中国电能成套设备有限 公司北京分公司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42,961,900.00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56.25%</w:t>
            </w:r>
          </w:p>
        </w:tc>
      </w:tr>
    </w:tbl>
    <w:p>
      <w:pPr>
        <w:widowControl w:val="0"/>
        <w:spacing w:after="319" w:line="1" w:lineRule="exact"/>
      </w:pPr>
    </w:p>
    <w:p>
      <w:pPr>
        <w:pStyle w:val="Style34"/>
        <w:keepNext/>
        <w:keepLines/>
        <w:widowControl w:val="0"/>
        <w:numPr>
          <w:ilvl w:val="0"/>
          <w:numId w:val="13"/>
        </w:numPr>
        <w:shd w:val="clear" w:color="auto" w:fill="auto"/>
        <w:bidi w:val="0"/>
        <w:spacing w:before="0" w:after="360" w:line="240" w:lineRule="auto"/>
        <w:ind w:left="0" w:right="0" w:firstLine="140"/>
        <w:jc w:val="left"/>
      </w:pPr>
      <w:bookmarkStart w:id="800" w:name="bookmark800"/>
      <w:bookmarkStart w:id="801" w:name="bookmark801"/>
      <w:bookmarkStart w:id="802" w:name="bookmark802"/>
      <w:bookmarkStart w:id="803" w:name="bookmark803"/>
      <w:bookmarkEnd w:id="802"/>
      <w:r>
        <w:rPr>
          <w:color w:val="000000"/>
          <w:spacing w:val="0"/>
          <w:w w:val="100"/>
          <w:position w:val="0"/>
        </w:rPr>
        <w:t>其他应收关联方账款情况</w:t>
      </w:r>
      <w:bookmarkEnd w:id="800"/>
      <w:bookmarkEnd w:id="801"/>
      <w:bookmarkEnd w:id="8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38"/>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中煤科创节能技术有限公司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158,280.00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158,280.00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6</w:t>
      </w:r>
      <w:bookmarkEnd w:id="806"/>
      <w:r>
        <w:rPr>
          <w:color w:val="000000"/>
          <w:spacing w:val="0"/>
          <w:w w:val="100"/>
          <w:position w:val="0"/>
        </w:rPr>
        <w:t>、预付款项</w:t>
      </w:r>
      <w:bookmarkEnd w:id="804"/>
      <w:bookmarkEnd w:id="805"/>
      <w:bookmarkEnd w:id="807"/>
    </w:p>
    <w:p>
      <w:pPr>
        <w:pStyle w:val="Style34"/>
        <w:keepNext/>
        <w:keepLines/>
        <w:widowControl w:val="0"/>
        <w:shd w:val="clear" w:color="auto" w:fill="auto"/>
        <w:bidi w:val="0"/>
        <w:spacing w:before="0" w:after="360" w:line="240" w:lineRule="auto"/>
        <w:ind w:left="0" w:right="0" w:firstLine="0"/>
        <w:jc w:val="left"/>
      </w:pPr>
      <w:bookmarkStart w:id="804" w:name="bookmark804"/>
      <w:bookmarkStart w:id="805" w:name="bookmark805"/>
      <w:bookmarkStart w:id="808" w:name="bookmark8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04"/>
      <w:bookmarkEnd w:id="805"/>
      <w:bookmarkEnd w:id="808"/>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4248"/>
        <w:gridCol w:w="412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1205"/>
        <w:gridCol w:w="3187"/>
        <w:gridCol w:w="1061"/>
        <w:gridCol w:w="3058"/>
        <w:gridCol w:w="10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69,454,641.55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151,518,027.43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88.01%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28,169,053.27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18,123,743.48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9,785,214.43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2,474,810.84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1,416,038.34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108,824,947.59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172,165,401.75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809" w:name="bookmark809"/>
      <w:bookmarkStart w:id="810" w:name="bookmark810"/>
      <w:bookmarkStart w:id="811" w:name="bookmark8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09"/>
      <w:bookmarkEnd w:id="810"/>
      <w:bookmarkEnd w:id="8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烟台宝鑫矿山机械有限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北京中建海昊进出口有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3,965,306.40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烟台胜璇建材有限公司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上海中电罗莱电气有限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3,723,506.42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大庆中鼎电器有限公司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24,588,812.82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7</w:t>
      </w:r>
      <w:bookmarkEnd w:id="814"/>
      <w:r>
        <w:rPr>
          <w:color w:val="000000"/>
          <w:spacing w:val="0"/>
          <w:w w:val="100"/>
          <w:position w:val="0"/>
        </w:rPr>
        <w:t>、存货</w:t>
      </w:r>
      <w:bookmarkEnd w:id="812"/>
      <w:bookmarkEnd w:id="813"/>
      <w:bookmarkEnd w:id="815"/>
    </w:p>
    <w:p>
      <w:pPr>
        <w:pStyle w:val="Style34"/>
        <w:keepNext/>
        <w:keepLines/>
        <w:widowControl w:val="0"/>
        <w:shd w:val="clear" w:color="auto" w:fill="auto"/>
        <w:bidi w:val="0"/>
        <w:spacing w:before="0" w:after="360" w:line="240" w:lineRule="auto"/>
        <w:ind w:left="0" w:right="0" w:firstLine="0"/>
        <w:jc w:val="left"/>
      </w:pPr>
      <w:bookmarkStart w:id="812" w:name="bookmark812"/>
      <w:bookmarkStart w:id="813" w:name="bookmark813"/>
      <w:bookmarkStart w:id="816" w:name="bookmark8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12"/>
      <w:bookmarkEnd w:id="813"/>
      <w:bookmarkEnd w:id="8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199,499,262.84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199,499,262.84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238,917,408.97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238,917,408.97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381,502,664.66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381,502,664.66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284,257,153.34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284,257,153.34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112,902,724.25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112,902,724.25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39,917,942.21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39,917,942.21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2,452,010.59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2,452,010.59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3,060,362.74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3,060,362.74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696,356,662.34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696,356,662.34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566,152,867.26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566,152,867.26</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8</w:t>
      </w:r>
      <w:bookmarkEnd w:id="819"/>
      <w:r>
        <w:rPr>
          <w:color w:val="000000"/>
          <w:spacing w:val="0"/>
          <w:w w:val="100"/>
          <w:position w:val="0"/>
        </w:rPr>
        <w:t>、其他流动资产</w:t>
      </w:r>
      <w:bookmarkEnd w:id="817"/>
      <w:bookmarkEnd w:id="818"/>
      <w:bookmarkEnd w:id="8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增值税未抵扣金额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58,759,595.26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61,170,173.70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多交企业所得税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3,895,191.80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多交其他税费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67,726.61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58,764,026.92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65,133,092.11</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9</w:t>
      </w:r>
      <w:bookmarkEnd w:id="823"/>
      <w:r>
        <w:rPr>
          <w:color w:val="000000"/>
          <w:spacing w:val="0"/>
          <w:w w:val="100"/>
          <w:position w:val="0"/>
        </w:rPr>
        <w:t>、可供出售金融资产</w:t>
      </w:r>
      <w:bookmarkEnd w:id="821"/>
      <w:bookmarkEnd w:id="822"/>
      <w:bookmarkEnd w:id="824"/>
    </w:p>
    <w:p>
      <w:pPr>
        <w:pStyle w:val="Style34"/>
        <w:keepNext/>
        <w:keepLines/>
        <w:widowControl w:val="0"/>
        <w:shd w:val="clear" w:color="auto" w:fill="auto"/>
        <w:bidi w:val="0"/>
        <w:spacing w:before="0" w:after="320" w:line="240" w:lineRule="auto"/>
        <w:ind w:left="0" w:right="0" w:firstLine="0"/>
        <w:jc w:val="left"/>
      </w:pPr>
      <w:bookmarkStart w:id="821" w:name="bookmark821"/>
      <w:bookmarkStart w:id="822" w:name="bookmark822"/>
      <w:bookmarkStart w:id="825" w:name="bookmark8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821"/>
      <w:bookmarkEnd w:id="822"/>
      <w:bookmarkEnd w:id="8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207,900,000.00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207,900,000.00</w:t>
            </w:r>
          </w:p>
        </w:tc>
      </w:tr>
    </w:tbl>
    <w:p>
      <w:pPr>
        <w:pStyle w:val="Style16"/>
        <w:keepNext w:val="0"/>
        <w:keepLines w:val="0"/>
        <w:widowControl w:val="0"/>
        <w:shd w:val="clear" w:color="auto" w:fill="auto"/>
        <w:bidi w:val="0"/>
        <w:spacing w:before="0" w:after="320" w:line="317" w:lineRule="exact"/>
        <w:ind w:left="0" w:right="0" w:firstLine="440"/>
        <w:jc w:val="both"/>
      </w:pPr>
      <w:r>
        <w:rPr>
          <w:color w:val="000000"/>
          <w:spacing w:val="0"/>
          <w:w w:val="100"/>
          <w:position w:val="0"/>
        </w:rPr>
        <w:t>本期公司通过深圳证券交易所大宗交易系统分次减持青岛市恒顺电气股份有限公司共计</w:t>
      </w:r>
      <w:r>
        <w:rPr>
          <w:rFonts w:ascii="Times New Roman" w:eastAsia="Times New Roman" w:hAnsi="Times New Roman" w:cs="Times New Roman"/>
          <w:color w:val="000000"/>
          <w:spacing w:val="0"/>
          <w:w w:val="100"/>
          <w:position w:val="0"/>
        </w:rPr>
        <w:t>3,000</w:t>
      </w:r>
      <w:r>
        <w:rPr>
          <w:color w:val="000000"/>
          <w:spacing w:val="0"/>
          <w:w w:val="100"/>
          <w:position w:val="0"/>
        </w:rPr>
        <w:t>万股(占 其总股本的</w:t>
      </w:r>
      <w:r>
        <w:rPr>
          <w:rFonts w:ascii="Times New Roman" w:eastAsia="Times New Roman" w:hAnsi="Times New Roman" w:cs="Times New Roman"/>
          <w:color w:val="000000"/>
          <w:spacing w:val="0"/>
          <w:w w:val="100"/>
          <w:position w:val="0"/>
        </w:rPr>
        <w:t>10.71%</w:t>
      </w:r>
      <w:r>
        <w:rPr>
          <w:color w:val="000000"/>
          <w:spacing w:val="0"/>
          <w:w w:val="100"/>
          <w:position w:val="0"/>
        </w:rPr>
        <w:t>)，扣除成本</w:t>
      </w:r>
      <w:r>
        <w:rPr>
          <w:rFonts w:ascii="Times New Roman" w:eastAsia="Times New Roman" w:hAnsi="Times New Roman" w:cs="Times New Roman"/>
          <w:color w:val="000000"/>
          <w:spacing w:val="0"/>
          <w:w w:val="100"/>
          <w:position w:val="0"/>
        </w:rPr>
        <w:t>33,750,000.00</w:t>
      </w:r>
      <w:r>
        <w:rPr>
          <w:color w:val="000000"/>
          <w:spacing w:val="0"/>
          <w:w w:val="100"/>
          <w:position w:val="0"/>
        </w:rPr>
        <w:t>元和相关交易税费后获得的投资收益为</w:t>
      </w:r>
      <w:r>
        <w:rPr>
          <w:rFonts w:ascii="Times New Roman" w:eastAsia="Times New Roman" w:hAnsi="Times New Roman" w:cs="Times New Roman"/>
          <w:color w:val="000000"/>
          <w:spacing w:val="0"/>
          <w:w w:val="100"/>
          <w:position w:val="0"/>
        </w:rPr>
        <w:t>156,058,022.7</w:t>
      </w:r>
      <w:r>
        <w:rPr>
          <w:rFonts w:ascii="Times New Roman" w:eastAsia="Times New Roman" w:hAnsi="Times New Roman" w:cs="Times New Roman"/>
          <w:color w:val="000000"/>
          <w:spacing w:val="0"/>
          <w:w w:val="100"/>
          <w:position w:val="0"/>
        </w:rPr>
        <w:t>9</w:t>
      </w:r>
      <w:r>
        <w:rPr>
          <w:color w:val="000000"/>
          <w:spacing w:val="0"/>
          <w:w w:val="100"/>
          <w:position w:val="0"/>
        </w:rPr>
        <w:t>元。本 期减持后</w:t>
      </w:r>
      <w:r>
        <w:rPr>
          <w:color w:val="000000"/>
          <w:spacing w:val="0"/>
          <w:w w:val="100"/>
          <w:position w:val="0"/>
        </w:rPr>
        <w:t>，</w:t>
      </w:r>
      <w:r>
        <w:rPr>
          <w:color w:val="000000"/>
          <w:spacing w:val="0"/>
          <w:w w:val="100"/>
          <w:position w:val="0"/>
        </w:rPr>
        <w:t>公司不再持有恒顺电气股票。</w:t>
      </w:r>
    </w:p>
    <w:p>
      <w:pPr>
        <w:pStyle w:val="Style34"/>
        <w:keepNext/>
        <w:keepLines/>
        <w:widowControl w:val="0"/>
        <w:shd w:val="clear" w:color="auto" w:fill="auto"/>
        <w:bidi w:val="0"/>
        <w:spacing w:before="0" w:after="320" w:line="331"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0</w:t>
      </w:r>
      <w:r>
        <w:rPr>
          <w:color w:val="000000"/>
          <w:spacing w:val="0"/>
          <w:w w:val="100"/>
          <w:position w:val="0"/>
        </w:rPr>
        <w:t>、对合营企业投资和联营企业投资</w:t>
      </w:r>
      <w:bookmarkEnd w:id="826"/>
      <w:bookmarkEnd w:id="827"/>
      <w:bookmarkEnd w:id="8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0"/>
        <w:gridCol w:w="1195"/>
        <w:gridCol w:w="1195"/>
        <w:gridCol w:w="1195"/>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本企业持股比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本企业在被投 资单位表决权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山东荣信汇盛 机电科技有限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33,955,968.80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12,294,898.51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21,661,070.29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5,501,284.26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-4,448,446.65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中煤科创节能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62,759,418.84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13,983,403.64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48,776,015.20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14,008,022.29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99,228.15</w:t>
            </w:r>
          </w:p>
        </w:tc>
      </w:tr>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哈密荣信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354,729,441.63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277,268,032.57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77,461,409.06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1,455,761.53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-2,538,590.94</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830"/>
      <w:bookmarkEnd w:id="831"/>
      <w:bookmarkEnd w:id="833"/>
    </w:p>
    <w:p>
      <w:pPr>
        <w:pStyle w:val="Style34"/>
        <w:keepNext/>
        <w:keepLines/>
        <w:widowControl w:val="0"/>
        <w:shd w:val="clear" w:color="auto" w:fill="auto"/>
        <w:bidi w:val="0"/>
        <w:spacing w:before="0" w:after="320" w:line="240" w:lineRule="auto"/>
        <w:ind w:left="0" w:right="0" w:firstLine="0"/>
        <w:jc w:val="left"/>
      </w:pPr>
      <w:bookmarkStart w:id="830" w:name="bookmark830"/>
      <w:bookmarkStart w:id="831" w:name="bookmark831"/>
      <w:bookmarkStart w:id="834" w:name="bookmark8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830"/>
      <w:bookmarkEnd w:id="831"/>
      <w:bookmarkEnd w:id="8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单位表决 权比例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在被投资 单位持股 比例与表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bl>
    <w:p>
      <w:pPr>
        <w:widowControl w:val="0"/>
        <w:spacing w:line="1" w:lineRule="exact"/>
      </w:pPr>
      <w:r>
        <w:br w:type="page"/>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9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决权比例 不一致的 说明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山东荣信 汇盛机电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15,137,60</w:t>
            </w:r>
          </w:p>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13,570,91</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-2,740,37</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10,830,53</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中煤科创 节能技术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26,475,10</w:t>
            </w:r>
          </w:p>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25,750,99</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1,935,774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27,686,76</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广州高澜 节能技术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泰信新能 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2,954,195</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-2,954,19</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哈密荣信 新能源有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17,000,00</w:t>
            </w:r>
          </w:p>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15,715,30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15,715,30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66,612,70</w:t>
            </w:r>
          </w:p>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50,276,09</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11,956,50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62,232,60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835"/>
      <w:bookmarkEnd w:id="836"/>
      <w:bookmarkEnd w:id="838"/>
    </w:p>
    <w:p>
      <w:pPr>
        <w:pStyle w:val="Style34"/>
        <w:keepNext/>
        <w:keepLines/>
        <w:widowControl w:val="0"/>
        <w:shd w:val="clear" w:color="auto" w:fill="auto"/>
        <w:bidi w:val="0"/>
        <w:spacing w:before="0" w:after="340" w:line="240" w:lineRule="auto"/>
        <w:ind w:left="0" w:right="0" w:firstLine="0"/>
        <w:jc w:val="left"/>
      </w:pPr>
      <w:bookmarkStart w:id="835" w:name="bookmark835"/>
      <w:bookmarkStart w:id="836" w:name="bookmark836"/>
      <w:bookmarkStart w:id="839" w:name="bookmark83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35"/>
      <w:bookmarkEnd w:id="836"/>
      <w:bookmarkEnd w:id="8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64"/>
        <w:gridCol w:w="1325"/>
        <w:gridCol w:w="1594"/>
        <w:gridCol w:w="1594"/>
        <w:gridCol w:w="147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613,045,031.65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186,982,209.82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2,353,386.39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797,673,855.08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405,882,072.33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10,706,200.29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416,588,272.62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106,972,143.31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163,011,337.40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142,065.18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269,841,415.53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25,834,680.64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916,536.44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1,005,977.00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25,745,240.08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13,479,523.85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1,487,847.01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536,657.64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14,430,713.22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10,925,167.03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1,171,787.65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540,862.25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11,556,092.43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995,501.14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3,088,797.00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4,084,298.14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48,955,943.35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6,599,704.03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127,824.32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55,427,823.06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102,303,012.71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33,659,824.70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1,780,643.24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134,182,194.17</w:t>
            </w:r>
          </w:p>
        </w:tc>
      </w:tr>
    </w:tbl>
    <w:p>
      <w:pPr>
        <w:widowControl w:val="0"/>
        <w:spacing w:line="1" w:lineRule="exact"/>
      </w:pPr>
      <w:r>
        <w:br w:type="page"/>
      </w:r>
    </w:p>
    <w:tbl>
      <w:tblPr>
        <w:tblOverlap w:val="never"/>
        <w:jc w:val="center"/>
        <w:tblLayout w:type="fixed"/>
      </w:tblPr>
      <w:tblGrid>
        <w:gridCol w:w="2131"/>
        <w:gridCol w:w="1464"/>
        <w:gridCol w:w="1325"/>
        <w:gridCol w:w="1594"/>
        <w:gridCol w:w="1594"/>
        <w:gridCol w:w="147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26,189,652.13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9,232,538.82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35,422,190.95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22,945,071.52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4,946,974.45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27,873,150.41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13,917,097.52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3,587,825.48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722,395.23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16,782,527.77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7,056,045.33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1,571,548.96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472,177.05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8,155,417.24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仪器仪表设备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6,046,605.93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2,070,246.42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485,459.83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7,631,392.52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945,726.08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945,726.08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25,202,814.20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12,250,690.57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81,715.57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37,371,789.20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510,742,018.94</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663,491,660.91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379,692,420.20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381,166,081.67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84,027,071.79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241,968,265.12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11,917,583.12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8,962,712.31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6,423,478.52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6,275,295.98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仪器仪表设备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4,878,561.10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3,924,699.91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49,775.06</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3,138,572.06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23,753,129.15</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18,056,033.86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仪器仪表设备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房屋装修</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510,742,018.94</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663,491,660.91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379,692,420.20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381,166,081.67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84,027,071.79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241,968,265.12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11,917,583.12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8,962,712.31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6,423,478.52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6,275,295.98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仪器仪表设备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4,878,561.10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3,924,699.91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49,775.06</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3,138,572.06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23,753,129.15</w:t>
            </w:r>
          </w:p>
        </w:tc>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18,056,033.86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33,659,824.70</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14,117,333.93</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840"/>
      <w:bookmarkEnd w:id="841"/>
      <w:bookmarkEnd w:id="843"/>
    </w:p>
    <w:p>
      <w:pPr>
        <w:pStyle w:val="Style34"/>
        <w:keepNext/>
        <w:keepLines/>
        <w:widowControl w:val="0"/>
        <w:shd w:val="clear" w:color="auto" w:fill="auto"/>
        <w:bidi w:val="0"/>
        <w:spacing w:before="0" w:after="360" w:line="240" w:lineRule="auto"/>
        <w:ind w:left="0" w:right="0" w:firstLine="0"/>
        <w:jc w:val="left"/>
      </w:pPr>
      <w:bookmarkStart w:id="840" w:name="bookmark840"/>
      <w:bookmarkStart w:id="841" w:name="bookmark841"/>
      <w:bookmarkStart w:id="844" w:name="bookmark84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840"/>
      <w:bookmarkEnd w:id="841"/>
      <w:bookmarkEnd w:id="84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3581"/>
        <w:gridCol w:w="373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2270"/>
        <w:gridCol w:w="1195"/>
        <w:gridCol w:w="1195"/>
        <w:gridCol w:w="1190"/>
        <w:gridCol w:w="1195"/>
        <w:gridCol w:w="1195"/>
        <w:gridCol w:w="133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ITER</w:t>
            </w:r>
            <w:r>
              <w:rPr>
                <w:color w:val="000000"/>
                <w:spacing w:val="0"/>
                <w:w w:val="100"/>
                <w:position w:val="0"/>
              </w:rPr>
              <w:t>实验设备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15,632,947.80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15,632,947.80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13,632,947.80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13,632,947.80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5,338,011.78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5,338,011.78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6,971,778.55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6,971,778.55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西区</w:t>
            </w:r>
            <w:r>
              <w:rPr>
                <w:rFonts w:ascii="Times New Roman" w:eastAsia="Times New Roman" w:hAnsi="Times New Roman" w:cs="Times New Roman"/>
                <w:color w:val="000000"/>
                <w:spacing w:val="0"/>
                <w:w w:val="100"/>
                <w:position w:val="0"/>
              </w:rPr>
              <w:t>II</w:t>
            </w:r>
            <w:r>
              <w:rPr>
                <w:color w:val="000000"/>
                <w:spacing w:val="0"/>
                <w:w w:val="100"/>
                <w:position w:val="0"/>
              </w:rPr>
              <w:t>期厂房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26,765,146.64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26,765,146.64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18,058,946.35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18,058,946.35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SVG</w:t>
            </w:r>
            <w:r>
              <w:rPr>
                <w:color w:val="000000"/>
                <w:spacing w:val="0"/>
                <w:w w:val="100"/>
                <w:position w:val="0"/>
              </w:rPr>
              <w:t>玻璃房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1,152,400.00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1,152,400.00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办公大楼装修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3,035,109.00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3,035,109.00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干熄焦实验平台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22,407,233.52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22,407,233.52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煤气与矸石混烧发电工程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46,595,469.08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46,595,469.08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42,815,636.45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42,815,636.45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新疆厂房工程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16,780,998.79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16,780,998.79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9,390,000.00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哈密厂房工程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沼气工程办公楼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2,439,995.70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2,439,995.70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2,648,000.00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1,277,237.62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1,277,237.62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5,715,246.10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5,715,246.10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137,237,040.93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137,237,040.93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106,420,064.25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106,420,064.25</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845"/>
      <w:bookmarkEnd w:id="846"/>
      <w:bookmarkEnd w:id="8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4"/>
        <w:gridCol w:w="734"/>
        <w:gridCol w:w="734"/>
        <w:gridCol w:w="739"/>
        <w:gridCol w:w="739"/>
        <w:gridCol w:w="734"/>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2"/>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入占预 算比例</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ITER </w:t>
            </w:r>
            <w:r>
              <w:rPr>
                <w:color w:val="000000"/>
                <w:spacing w:val="0"/>
                <w:w w:val="100"/>
                <w:position w:val="0"/>
              </w:rPr>
              <w:t>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13,632,9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15,632,9</w:t>
            </w:r>
          </w:p>
        </w:tc>
      </w:tr>
      <w:tr>
        <w:trPr>
          <w:trHeight w:val="346"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验设备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47.80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47.80</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6,971,77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5,338,01</w:t>
            </w:r>
          </w:p>
        </w:tc>
      </w:tr>
      <w:tr>
        <w:trPr>
          <w:trHeight w:val="346"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西区</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18,058,9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26,765,1</w:t>
            </w:r>
          </w:p>
        </w:tc>
      </w:tr>
      <w:tr>
        <w:trPr>
          <w:trHeight w:val="346"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期厂房</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46.35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w:t>
            </w: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SVG</w:t>
            </w:r>
            <w:r>
              <w:rPr>
                <w:color w:val="000000"/>
                <w:spacing w:val="0"/>
                <w:w w:val="100"/>
                <w:position w:val="0"/>
              </w:rPr>
              <w:t>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1,152,40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99,110.6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璃房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53,688.0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楼装修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干熄焦 实验平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22,407,2</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22,407,2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w:t>
            </w: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煤气与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砰石混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42,815,6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3,779,83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46,595,4</w:t>
            </w:r>
          </w:p>
        </w:tc>
      </w:tr>
      <w:tr>
        <w:trPr>
          <w:trHeight w:val="29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烧发电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36.45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69.08</w:t>
            </w:r>
          </w:p>
        </w:tc>
      </w:tr>
      <w:tr>
        <w:trPr>
          <w:trHeight w:val="370"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4"/>
        <w:gridCol w:w="734"/>
        <w:gridCol w:w="734"/>
        <w:gridCol w:w="734"/>
        <w:gridCol w:w="734"/>
        <w:gridCol w:w="739"/>
        <w:gridCol w:w="739"/>
        <w:gridCol w:w="734"/>
        <w:gridCol w:w="734"/>
        <w:gridCol w:w="734"/>
        <w:gridCol w:w="739"/>
        <w:gridCol w:w="744"/>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新疆厂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9,390,00</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7,390,99</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16,780,9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哈密厂 房工程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沼气工 程办公 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2,648,00</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323,995.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532,000.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2,439,99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5,715,24</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3,173,25</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7,611,25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1,277,23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32,200,0</w:t>
            </w:r>
          </w:p>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106,420,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47,934,3</w:t>
            </w:r>
          </w:p>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14,117,3</w:t>
            </w:r>
          </w:p>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137,237,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040.93</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848"/>
      <w:bookmarkEnd w:id="849"/>
      <w:bookmarkEnd w:id="851"/>
    </w:p>
    <w:p>
      <w:pPr>
        <w:pStyle w:val="Style34"/>
        <w:keepNext/>
        <w:keepLines/>
        <w:widowControl w:val="0"/>
        <w:shd w:val="clear" w:color="auto" w:fill="auto"/>
        <w:bidi w:val="0"/>
        <w:spacing w:before="0" w:after="360" w:line="240" w:lineRule="auto"/>
        <w:ind w:left="0" w:right="0" w:firstLine="0"/>
        <w:jc w:val="left"/>
      </w:pPr>
      <w:bookmarkStart w:id="848" w:name="bookmark848"/>
      <w:bookmarkStart w:id="849" w:name="bookmark849"/>
      <w:bookmarkStart w:id="852" w:name="bookmark8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48"/>
      <w:bookmarkEnd w:id="849"/>
      <w:bookmarkEnd w:id="8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71,560,422.40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11,038,887.91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82,599,310.31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36,946,064.92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37,054,174.92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25,531,764.43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2,865,980.00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28,397,744.43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4,217,047.90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7,623,494.70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11,840,542.60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4,865,545.15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441,303.21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5,306,848.36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17,179,808.29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4,458,650.72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21,638,459.01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2,911,700.54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894,400.32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3,806,100.86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10,876,173.04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2,107,764.65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12,983,937.69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476,230.88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873,704.87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1,349,935.75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2,915,703.83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582,780.88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3,498,484.71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54,380,614.11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6,580,237.19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60,960,851.30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34,034,364.38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-786,290.32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33,248,074.06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14,655,591.39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758,215.35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15,413,806.74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3,740,817.02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6,749,789.83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10,490,606.85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1,949,841.32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-141,477.67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1,808,363.65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54,380,614.11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6,580,237.19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60,960,851.30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34,034,364.38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-786,290.32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33,248,074.06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14,655,591.39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758,215.35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15,413,806.74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3,740,817.02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6,749,789.83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10,490,606.85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1,949,841.32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-141,477.67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1,808,363.65</w:t>
            </w:r>
          </w:p>
        </w:tc>
      </w:tr>
    </w:tbl>
    <w:p>
      <w:pPr>
        <w:widowControl w:val="0"/>
        <w:spacing w:after="59" w:line="1" w:lineRule="exact"/>
      </w:pPr>
    </w:p>
    <w:p>
      <w:pPr>
        <w:pStyle w:val="Style86"/>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4,458,650.72</w:t>
      </w:r>
      <w:r>
        <w:rPr>
          <w:rFonts w:ascii="SimSun" w:eastAsia="SimSun" w:hAnsi="SimSun" w:cs="SimSun"/>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853" w:name="bookmark853"/>
      <w:bookmarkStart w:id="854" w:name="bookmark854"/>
      <w:bookmarkStart w:id="855" w:name="bookmark8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853"/>
      <w:bookmarkEnd w:id="854"/>
      <w:bookmarkEnd w:id="8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确认为无形资产或 固定资产</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特大变频项目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50,783,237.34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13,100,303.84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63,883,541.18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风电变流器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26,301,185.40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1,458,764.17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27,759,949.57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熔断器状态检测方 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412,444.00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601,155.00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1,013,599.00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铝型材水冷散热器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657,027.87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657,027.87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铝型材水冷散热母 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653,756.34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600,985.00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1,254,741.34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铝合金夹紧装置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634,464.75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634,464.75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整流器控制系统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705,409.00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706,214.00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晶闸管直通型散热 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600,805.00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一种四象限变流器 的旁路柜过压触发 装置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1,405,366.74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1,405,366.74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一种集中布置的变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流器阻容吸收装置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1,351,276.00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1,351,276.00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80,747,524.70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18,519,460.75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99,266,985.45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12.3%</w:t>
      </w:r>
      <w:r>
        <w:rPr>
          <w:color w:val="000000"/>
          <w:spacing w:val="0"/>
          <w:w w:val="100"/>
          <w:position w:val="0"/>
        </w:rPr>
        <w:t>。</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12.51%</w:t>
      </w:r>
      <w:r>
        <w:rPr>
          <w:color w:val="000000"/>
          <w:spacing w:val="0"/>
          <w:w w:val="100"/>
          <w:position w:val="0"/>
        </w:rPr>
        <w:t>。</w:t>
      </w:r>
    </w:p>
    <w:p>
      <w:pPr>
        <w:pStyle w:val="Style34"/>
        <w:keepNext/>
        <w:keepLines/>
        <w:widowControl w:val="0"/>
        <w:shd w:val="clear" w:color="auto" w:fill="auto"/>
        <w:bidi w:val="0"/>
        <w:spacing w:before="0" w:after="36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5</w:t>
      </w:r>
      <w:r>
        <w:rPr>
          <w:color w:val="000000"/>
          <w:spacing w:val="0"/>
          <w:w w:val="100"/>
          <w:position w:val="0"/>
        </w:rPr>
        <w:t>、商誉</w:t>
      </w:r>
      <w:bookmarkEnd w:id="856"/>
      <w:bookmarkEnd w:id="857"/>
      <w:bookmarkEnd w:id="8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459"/>
        <w:gridCol w:w="1464"/>
        <w:gridCol w:w="1459"/>
        <w:gridCol w:w="1459"/>
        <w:gridCol w:w="121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bl>
    <w:p>
      <w:pPr>
        <w:widowControl w:val="0"/>
        <w:spacing w:line="1" w:lineRule="exact"/>
      </w:pPr>
      <w:r>
        <w:br w:type="page"/>
      </w:r>
    </w:p>
    <w:tbl>
      <w:tblPr>
        <w:tblOverlap w:val="never"/>
        <w:jc w:val="center"/>
        <w:tblLayout w:type="fixed"/>
      </w:tblPr>
      <w:tblGrid>
        <w:gridCol w:w="2530"/>
        <w:gridCol w:w="1459"/>
        <w:gridCol w:w="1464"/>
        <w:gridCol w:w="1459"/>
        <w:gridCol w:w="1459"/>
        <w:gridCol w:w="121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信力筑正公司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4,733,906.33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4,733,906.33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上海地澳自动化科技有限公司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3,993,764.63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3,993,764.63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8,727,670.96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8,727,670.96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860"/>
      <w:bookmarkEnd w:id="861"/>
      <w:bookmarkEnd w:id="8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经营租入固定资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产改良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731,357.83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373,494.00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536,084.43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568,767.40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731,357.83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373,494.00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536,084.43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568,767.40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7</w:t>
      </w:r>
      <w:r>
        <w:rPr>
          <w:color w:val="000000"/>
          <w:spacing w:val="0"/>
          <w:w w:val="100"/>
          <w:position w:val="0"/>
        </w:rPr>
        <w:t>、递延所得税资产和递延所得税负债</w:t>
      </w:r>
      <w:bookmarkEnd w:id="864"/>
      <w:bookmarkEnd w:id="865"/>
      <w:bookmarkEnd w:id="867"/>
    </w:p>
    <w:p>
      <w:pPr>
        <w:pStyle w:val="Style34"/>
        <w:keepNext/>
        <w:keepLines/>
        <w:widowControl w:val="0"/>
        <w:shd w:val="clear" w:color="auto" w:fill="auto"/>
        <w:bidi w:val="0"/>
        <w:spacing w:before="0" w:after="360" w:line="240" w:lineRule="auto"/>
        <w:ind w:left="0" w:right="0" w:firstLine="0"/>
        <w:jc w:val="both"/>
      </w:pPr>
      <w:bookmarkStart w:id="864" w:name="bookmark864"/>
      <w:bookmarkStart w:id="865" w:name="bookmark865"/>
      <w:bookmarkStart w:id="868" w:name="bookmark8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）递延所得税资产和递延所得税负债以抵销后的净额列示</w:t>
      </w:r>
      <w:bookmarkEnd w:id="864"/>
      <w:bookmarkEnd w:id="865"/>
      <w:bookmarkEnd w:id="868"/>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互抵后的递延所得税资产及负债的组成项目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2"/>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28,702,722.46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191,687,323.99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2,222,675.23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13,461,736.28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6,244,433.50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41,629,556.63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572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24,602,052.80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递延所得税资产和递延所得税负债的说明</w:t>
      </w:r>
    </w:p>
    <w:p>
      <w:pPr>
        <w:pStyle w:val="Style16"/>
        <w:keepNext w:val="0"/>
        <w:keepLines w:val="0"/>
        <w:widowControl w:val="0"/>
        <w:shd w:val="clear" w:color="auto" w:fill="auto"/>
        <w:bidi w:val="0"/>
        <w:spacing w:before="0" w:after="320" w:line="240" w:lineRule="auto"/>
        <w:ind w:left="0" w:right="0" w:firstLine="0"/>
        <w:jc w:val="both"/>
      </w:pPr>
      <w:r>
        <w:rPr>
          <w:color w:val="000000"/>
          <w:spacing w:val="0"/>
          <w:w w:val="100"/>
          <w:position w:val="0"/>
        </w:rPr>
        <w:t>母公司递延所得税资产和递延所得税负债互抵。</w:t>
      </w:r>
    </w:p>
    <w:p>
      <w:pPr>
        <w:pStyle w:val="Style34"/>
        <w:keepNext/>
        <w:keepLines/>
        <w:widowControl w:val="0"/>
        <w:shd w:val="clear" w:color="auto" w:fill="auto"/>
        <w:bidi w:val="0"/>
        <w:spacing w:before="0" w:after="360" w:line="24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8</w:t>
      </w:r>
      <w:r>
        <w:rPr>
          <w:color w:val="000000"/>
          <w:spacing w:val="0"/>
          <w:w w:val="100"/>
          <w:position w:val="0"/>
        </w:rPr>
        <w:t>、资产减值准备明细</w:t>
      </w:r>
      <w:bookmarkEnd w:id="869"/>
      <w:bookmarkEnd w:id="870"/>
      <w:bookmarkEnd w:id="8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26"/>
        <w:gridCol w:w="1397"/>
        <w:gridCol w:w="1402"/>
        <w:gridCol w:w="145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156,397,302.64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51,385,560.10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5,621,114.80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201,701,747.94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156,397,302.64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51,385,560.10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5,621,114.80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201,701,747.94</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873"/>
      <w:bookmarkEnd w:id="874"/>
      <w:bookmarkEnd w:id="8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预付北京荣信中科电气设备有限公司设立投 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877"/>
      <w:bookmarkEnd w:id="878"/>
      <w:bookmarkEnd w:id="880"/>
    </w:p>
    <w:p>
      <w:pPr>
        <w:pStyle w:val="Style34"/>
        <w:keepNext/>
        <w:keepLines/>
        <w:widowControl w:val="0"/>
        <w:shd w:val="clear" w:color="auto" w:fill="auto"/>
        <w:bidi w:val="0"/>
        <w:spacing w:before="0" w:after="360" w:line="240" w:lineRule="auto"/>
        <w:ind w:left="0" w:right="0" w:firstLine="0"/>
        <w:jc w:val="left"/>
      </w:pPr>
      <w:bookmarkStart w:id="877" w:name="bookmark877"/>
      <w:bookmarkStart w:id="878" w:name="bookmark878"/>
      <w:bookmarkStart w:id="881" w:name="bookmark8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877"/>
      <w:bookmarkEnd w:id="878"/>
      <w:bookmarkEnd w:id="8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106,630,000.00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150,000,000.00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222,000,000.00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220,030,000.00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445,000,000.00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882"/>
      <w:bookmarkEnd w:id="883"/>
      <w:bookmarkEnd w:id="8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1,487,798.00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369,145,044.07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255,627,439.93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369,145,044.07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257,115,237.93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369,145,044.07</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886"/>
      <w:bookmarkEnd w:id="887"/>
      <w:bookmarkEnd w:id="889"/>
    </w:p>
    <w:p>
      <w:pPr>
        <w:pStyle w:val="Style34"/>
        <w:keepNext/>
        <w:keepLines/>
        <w:widowControl w:val="0"/>
        <w:shd w:val="clear" w:color="auto" w:fill="auto"/>
        <w:bidi w:val="0"/>
        <w:spacing w:before="0" w:after="360" w:line="240" w:lineRule="auto"/>
        <w:ind w:left="0" w:right="0" w:firstLine="140"/>
        <w:jc w:val="left"/>
      </w:pPr>
      <w:bookmarkStart w:id="886" w:name="bookmark886"/>
      <w:bookmarkStart w:id="887" w:name="bookmark887"/>
      <w:bookmarkStart w:id="890" w:name="bookmark890"/>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886"/>
      <w:bookmarkEnd w:id="887"/>
      <w:bookmarkEnd w:id="8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479,194,499.91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474,258,258.47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8,391,067.54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17,068,289.55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9,196,745.93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14,168,795.54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496,782,313.38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505,495,343.56</w:t>
            </w:r>
          </w:p>
        </w:tc>
      </w:tr>
    </w:tbl>
    <w:p>
      <w:pPr>
        <w:spacing w:lineRule="exact" w:line="1"/>
        <w:rPr>
          <w:sz w:val="2"/>
          <w:szCs w:val="2"/>
        </w:rPr>
      </w:pPr>
      <w:r>
        <w:br w:type="page"/>
      </w:r>
    </w:p>
    <w:p>
      <w:pPr>
        <w:pStyle w:val="Style34"/>
        <w:keepNext/>
        <w:keepLines/>
        <w:widowControl w:val="0"/>
        <w:shd w:val="clear" w:color="auto" w:fill="auto"/>
        <w:bidi w:val="0"/>
        <w:spacing w:before="0" w:after="340" w:line="240" w:lineRule="auto"/>
        <w:ind w:left="0" w:right="0" w:firstLine="0"/>
        <w:jc w:val="both"/>
      </w:pPr>
      <w:bookmarkStart w:id="891" w:name="bookmark891"/>
      <w:bookmarkStart w:id="892" w:name="bookmark892"/>
      <w:bookmarkStart w:id="893" w:name="bookmark8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891"/>
      <w:bookmarkEnd w:id="892"/>
      <w:bookmarkEnd w:id="893"/>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年的大额应付账款主要为未到约定付款期的款项。</w:t>
      </w:r>
    </w:p>
    <w:p>
      <w:pPr>
        <w:pStyle w:val="Style34"/>
        <w:keepNext/>
        <w:keepLines/>
        <w:widowControl w:val="0"/>
        <w:shd w:val="clear" w:color="auto" w:fill="auto"/>
        <w:bidi w:val="0"/>
        <w:spacing w:before="0" w:after="34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894"/>
      <w:bookmarkEnd w:id="895"/>
      <w:bookmarkEnd w:id="897"/>
    </w:p>
    <w:p>
      <w:pPr>
        <w:pStyle w:val="Style34"/>
        <w:keepNext/>
        <w:keepLines/>
        <w:widowControl w:val="0"/>
        <w:shd w:val="clear" w:color="auto" w:fill="auto"/>
        <w:bidi w:val="0"/>
        <w:spacing w:before="0" w:after="340" w:line="240" w:lineRule="auto"/>
        <w:ind w:left="0" w:right="0" w:firstLine="0"/>
        <w:jc w:val="both"/>
      </w:pPr>
      <w:bookmarkStart w:id="894" w:name="bookmark894"/>
      <w:bookmarkStart w:id="895" w:name="bookmark895"/>
      <w:bookmarkStart w:id="898" w:name="bookmark8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894"/>
      <w:bookmarkEnd w:id="895"/>
      <w:bookmarkEnd w:id="8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194,811,117.47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156,671,418.18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194,811,117.47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156,671,418.18</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899" w:name="bookmark899"/>
      <w:bookmarkStart w:id="900" w:name="bookmark900"/>
      <w:bookmarkStart w:id="901" w:name="bookmark9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)账龄超过一年的大额预收账款情况的说明</w:t>
      </w:r>
      <w:bookmarkEnd w:id="899"/>
      <w:bookmarkEnd w:id="900"/>
      <w:bookmarkEnd w:id="901"/>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年的预收款项为项目尚未完成，款项暂未结转。</w:t>
      </w:r>
    </w:p>
    <w:p>
      <w:pPr>
        <w:pStyle w:val="Style34"/>
        <w:keepNext/>
        <w:keepLines/>
        <w:widowControl w:val="0"/>
        <w:shd w:val="clear" w:color="auto" w:fill="auto"/>
        <w:bidi w:val="0"/>
        <w:spacing w:before="0" w:after="34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902"/>
      <w:bookmarkEnd w:id="903"/>
      <w:bookmarkEnd w:id="9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858"/>
        <w:gridCol w:w="1992"/>
        <w:gridCol w:w="2261"/>
        <w:gridCol w:w="18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1,433,170.56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94,365,361.21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94,072,151.21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1,726,380.56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1,084,513.72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27,306,699.67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27,246,273.95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1,144,939.44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194,222.30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13,428,955.43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13,444,281.91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178,895.82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776,526.41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9,045,177.51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8,984,159.49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837,544.43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69,383.27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648,551.76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643,091.62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74,843.41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15,174.06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487,100.20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494,297.22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7,977.04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29,207.68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3,696,914.77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3,680,443.71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45,678.74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378,427.00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9,550,057.00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9,252,599.00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675,885.00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1,326,656.95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3,602,502.32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3,609,924.02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1,319,235.25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4,222,768.23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134,824,620.20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134,180,948.18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4,866,440.25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1,319,235.25</w:t>
      </w:r>
      <w:r>
        <w:rPr>
          <w:color w:val="000000"/>
          <w:spacing w:val="0"/>
          <w:w w:val="100"/>
          <w:position w:val="0"/>
        </w:rPr>
        <w:t>元。</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应付职工薪酬预计发放时间、金额等安排</w:t>
      </w: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期末应付职工薪酬发放时间为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4"/>
        <w:keepNext/>
        <w:keepLines/>
        <w:widowControl w:val="0"/>
        <w:shd w:val="clear" w:color="auto" w:fill="auto"/>
        <w:bidi w:val="0"/>
        <w:spacing w:before="0" w:after="340" w:line="24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906"/>
      <w:bookmarkEnd w:id="907"/>
      <w:bookmarkEnd w:id="909"/>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1,503,024.20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3,879,180.71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2,610,905.35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2,312,489.34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8,462,843.67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2,752,965.54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263,758.66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217,157.22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1,075,867.73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612,368.30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134,158.74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175,488.24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189,076.60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189,076.60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466,048.66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272,870.58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294,837.84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176,043.39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183,024.48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464,515.85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15,183,545.93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11,052,155.77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910"/>
      <w:bookmarkEnd w:id="911"/>
      <w:bookmarkEnd w:id="9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33,751,232.88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1,014,904.11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24,315,573.77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34,766,136.99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24,315,573.77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914"/>
      <w:bookmarkEnd w:id="915"/>
      <w:bookmarkEnd w:id="917"/>
    </w:p>
    <w:p>
      <w:pPr>
        <w:pStyle w:val="Style34"/>
        <w:keepNext/>
        <w:keepLines/>
        <w:widowControl w:val="0"/>
        <w:shd w:val="clear" w:color="auto" w:fill="auto"/>
        <w:bidi w:val="0"/>
        <w:spacing w:before="0" w:after="380" w:line="240" w:lineRule="auto"/>
        <w:ind w:left="0" w:right="0" w:firstLine="0"/>
        <w:jc w:val="left"/>
      </w:pPr>
      <w:bookmarkStart w:id="914" w:name="bookmark914"/>
      <w:bookmarkStart w:id="915" w:name="bookmark915"/>
      <w:bookmarkStart w:id="918" w:name="bookmark9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14"/>
      <w:bookmarkEnd w:id="915"/>
      <w:bookmarkEnd w:id="9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6,255,275.00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6,638,000.00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1,828,877.00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1,906,780.00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1,310,819.30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1,387,623.27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9,394,971.30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9,932,403.27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919"/>
      <w:bookmarkEnd w:id="920"/>
      <w:bookmarkEnd w:id="922"/>
    </w:p>
    <w:p>
      <w:pPr>
        <w:pStyle w:val="Style34"/>
        <w:keepNext/>
        <w:keepLines/>
        <w:widowControl w:val="0"/>
        <w:shd w:val="clear" w:color="auto" w:fill="auto"/>
        <w:bidi w:val="0"/>
        <w:spacing w:before="0" w:after="380" w:line="240" w:lineRule="auto"/>
        <w:ind w:left="0" w:right="0" w:firstLine="0"/>
        <w:jc w:val="left"/>
      </w:pPr>
      <w:bookmarkStart w:id="919" w:name="bookmark919"/>
      <w:bookmarkStart w:id="920" w:name="bookmark920"/>
      <w:bookmarkStart w:id="923" w:name="bookmark9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919"/>
      <w:bookmarkEnd w:id="920"/>
      <w:bookmarkEnd w:id="923"/>
    </w:p>
    <w:p>
      <w:pPr>
        <w:pStyle w:val="Style2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595"/>
        <w:gridCol w:w="2789"/>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924" w:name="bookmark924"/>
      <w:bookmarkStart w:id="925" w:name="bookmark925"/>
      <w:bookmarkStart w:id="926" w:name="bookmark9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924"/>
      <w:bookmarkEnd w:id="925"/>
      <w:bookmarkEnd w:id="92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一年内到期的长期借款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789"/>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金额前五名的一年内到期的长期借款</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长安国际信 托股份有限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927"/>
      <w:bookmarkEnd w:id="928"/>
      <w:bookmarkEnd w:id="9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荣信 </w:t>
            </w:r>
            <w:r>
              <w:rPr>
                <w:rFonts w:ascii="Times New Roman" w:eastAsia="Times New Roman" w:hAnsi="Times New Roman" w:cs="Times New Roman"/>
                <w:color w:val="000000"/>
                <w:spacing w:val="0"/>
                <w:w w:val="100"/>
                <w:position w:val="0"/>
              </w:rPr>
              <w:t>CP001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300,000,000.00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300,000,000.00</w:t>
            </w:r>
          </w:p>
        </w:tc>
      </w:tr>
    </w:tbl>
    <w:p>
      <w:pPr>
        <w:widowControl w:val="0"/>
        <w:spacing w:after="59" w:line="1" w:lineRule="exact"/>
      </w:pP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其他流动负债说明</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年度第二期短期融资券于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日发行，债券简称</w:t>
      </w:r>
      <w:r>
        <w:rPr>
          <w:rFonts w:ascii="Times New Roman" w:eastAsia="Times New Roman" w:hAnsi="Times New Roman" w:cs="Times New Roman"/>
          <w:color w:val="000000"/>
          <w:spacing w:val="0"/>
          <w:w w:val="100"/>
          <w:position w:val="0"/>
        </w:rPr>
        <w:t>12</w:t>
      </w:r>
      <w:r>
        <w:rPr>
          <w:color w:val="000000"/>
          <w:spacing w:val="0"/>
          <w:w w:val="100"/>
          <w:position w:val="0"/>
        </w:rPr>
        <w:t>荣信</w:t>
      </w:r>
      <w:r>
        <w:rPr>
          <w:rFonts w:ascii="Times New Roman" w:eastAsia="Times New Roman" w:hAnsi="Times New Roman" w:cs="Times New Roman"/>
          <w:color w:val="000000"/>
          <w:spacing w:val="0"/>
          <w:w w:val="100"/>
          <w:position w:val="0"/>
        </w:rPr>
        <w:t>CP001</w:t>
      </w:r>
      <w:r>
        <w:rPr>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041262003</w:t>
      </w:r>
      <w:r>
        <w:rPr>
          <w:color w:val="000000"/>
          <w:spacing w:val="0"/>
          <w:w w:val="100"/>
          <w:position w:val="0"/>
        </w:rPr>
        <w:t>，发 行总额为</w:t>
      </w:r>
      <w:r>
        <w:rPr>
          <w:rFonts w:ascii="Times New Roman" w:eastAsia="Times New Roman" w:hAnsi="Times New Roman" w:cs="Times New Roman"/>
          <w:color w:val="000000"/>
          <w:spacing w:val="0"/>
          <w:w w:val="100"/>
          <w:position w:val="0"/>
        </w:rPr>
        <w:t>3</w:t>
      </w:r>
      <w:r>
        <w:rPr>
          <w:color w:val="000000"/>
          <w:spacing w:val="0"/>
          <w:w w:val="100"/>
          <w:position w:val="0"/>
        </w:rPr>
        <w:t>亿元人民币，债券期限为</w:t>
      </w:r>
      <w:r>
        <w:rPr>
          <w:rFonts w:ascii="Times New Roman" w:eastAsia="Times New Roman" w:hAnsi="Times New Roman" w:cs="Times New Roman"/>
          <w:color w:val="000000"/>
          <w:spacing w:val="0"/>
          <w:w w:val="100"/>
          <w:position w:val="0"/>
        </w:rPr>
        <w:t>366</w:t>
      </w:r>
      <w:r>
        <w:rPr>
          <w:color w:val="000000"/>
          <w:spacing w:val="0"/>
          <w:w w:val="100"/>
          <w:position w:val="0"/>
        </w:rPr>
        <w:t>0，</w:t>
      </w:r>
      <w:r>
        <w:rPr>
          <w:color w:val="000000"/>
          <w:spacing w:val="0"/>
          <w:w w:val="100"/>
          <w:position w:val="0"/>
        </w:rPr>
        <w:t>票面年利率为</w:t>
      </w:r>
      <w:r>
        <w:rPr>
          <w:rFonts w:ascii="Times New Roman" w:eastAsia="Times New Roman" w:hAnsi="Times New Roman" w:cs="Times New Roman"/>
          <w:color w:val="000000"/>
          <w:spacing w:val="0"/>
          <w:w w:val="100"/>
          <w:position w:val="0"/>
        </w:rPr>
        <w:t>8.50%</w:t>
      </w:r>
      <w:r>
        <w:rPr>
          <w:color w:val="000000"/>
          <w:spacing w:val="0"/>
          <w:w w:val="100"/>
          <w:position w:val="0"/>
        </w:rPr>
        <w:t>,计息方式为到期一次还本付息。截至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日，公司兑付短期融资券</w:t>
      </w:r>
      <w:r>
        <w:rPr>
          <w:rFonts w:ascii="Times New Roman" w:eastAsia="Times New Roman" w:hAnsi="Times New Roman" w:cs="Times New Roman"/>
          <w:color w:val="000000"/>
          <w:spacing w:val="0"/>
          <w:w w:val="100"/>
          <w:position w:val="0"/>
        </w:rPr>
        <w:t>3</w:t>
      </w:r>
      <w:r>
        <w:rPr>
          <w:color w:val="000000"/>
          <w:spacing w:val="0"/>
          <w:w w:val="100"/>
          <w:position w:val="0"/>
        </w:rPr>
        <w:t>亿元并支付利息</w:t>
      </w:r>
      <w:r>
        <w:rPr>
          <w:rFonts w:ascii="Times New Roman" w:eastAsia="Times New Roman" w:hAnsi="Times New Roman" w:cs="Times New Roman"/>
          <w:color w:val="000000"/>
          <w:spacing w:val="0"/>
          <w:w w:val="100"/>
          <w:position w:val="0"/>
        </w:rPr>
        <w:t>2,550</w:t>
      </w:r>
      <w:r>
        <w:rPr>
          <w:color w:val="000000"/>
          <w:spacing w:val="0"/>
          <w:w w:val="100"/>
          <w:position w:val="0"/>
        </w:rPr>
        <w:t>万元。</w:t>
      </w:r>
    </w:p>
    <w:p>
      <w:pPr>
        <w:pStyle w:val="Style34"/>
        <w:keepNext/>
        <w:keepLines/>
        <w:widowControl w:val="0"/>
        <w:shd w:val="clear" w:color="auto" w:fill="auto"/>
        <w:bidi w:val="0"/>
        <w:spacing w:before="0" w:after="200" w:line="326"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3</w:t>
      </w:r>
      <w:bookmarkEnd w:id="933"/>
      <w:r>
        <w:rPr>
          <w:rFonts w:ascii="Times New Roman" w:eastAsia="Times New Roman" w:hAnsi="Times New Roman" w:cs="Times New Roman"/>
          <w:color w:val="000000"/>
          <w:spacing w:val="0"/>
          <w:w w:val="100"/>
          <w:position w:val="0"/>
        </w:rPr>
        <w:t>0</w:t>
      </w:r>
      <w:r>
        <w:rPr>
          <w:color w:val="000000"/>
          <w:spacing w:val="0"/>
          <w:w w:val="100"/>
          <w:position w:val="0"/>
        </w:rPr>
        <w:t>、长期借款</w:t>
      </w:r>
      <w:bookmarkEnd w:id="931"/>
      <w:bookmarkEnd w:id="932"/>
      <w:bookmarkEnd w:id="934"/>
    </w:p>
    <w:p>
      <w:pPr>
        <w:pStyle w:val="Style34"/>
        <w:keepNext/>
        <w:keepLines/>
        <w:widowControl w:val="0"/>
        <w:shd w:val="clear" w:color="auto" w:fill="auto"/>
        <w:bidi w:val="0"/>
        <w:spacing w:before="0" w:after="360" w:line="312" w:lineRule="exact"/>
        <w:ind w:left="0" w:right="0" w:firstLine="0"/>
        <w:jc w:val="left"/>
      </w:pPr>
      <w:bookmarkStart w:id="931" w:name="bookmark931"/>
      <w:bookmarkStart w:id="932" w:name="bookmark932"/>
      <w:bookmarkStart w:id="935" w:name="bookmark9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931"/>
      <w:bookmarkEnd w:id="932"/>
      <w:bookmarkEnd w:id="9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100,000,000.00</w:t>
            </w:r>
          </w:p>
        </w:tc>
      </w:tr>
    </w:tbl>
    <w:p>
      <w:pPr>
        <w:widowControl w:val="0"/>
        <w:spacing w:line="1" w:lineRule="exact"/>
      </w:pPr>
      <w:r>
        <w:br w:type="page"/>
      </w:r>
    </w:p>
    <w:tbl>
      <w:tblPr>
        <w:tblOverlap w:val="never"/>
        <w:jc w:val="center"/>
        <w:tblLayout w:type="fixed"/>
      </w:tblPr>
      <w:tblGrid>
        <w:gridCol w:w="3595"/>
        <w:gridCol w:w="2918"/>
        <w:gridCol w:w="306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140"/>
        <w:jc w:val="left"/>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936"/>
      <w:bookmarkEnd w:id="937"/>
      <w:bookmarkEnd w:id="9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本币金额</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长安国际信 托股份有限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939"/>
      <w:bookmarkEnd w:id="940"/>
      <w:bookmarkEnd w:id="9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960"/>
        <w:gridCol w:w="955"/>
        <w:gridCol w:w="960"/>
        <w:gridCol w:w="955"/>
        <w:gridCol w:w="960"/>
        <w:gridCol w:w="955"/>
        <w:gridCol w:w="955"/>
        <w:gridCol w:w="960"/>
        <w:gridCol w:w="955"/>
        <w:gridCol w:w="96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荣信</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33,751,200.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33,751,200.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[2012]1736</w:t>
      </w:r>
      <w:r>
        <w:rPr>
          <w:color w:val="000000"/>
          <w:spacing w:val="0"/>
          <w:w w:val="100"/>
          <w:position w:val="0"/>
        </w:rPr>
        <w:t>号文核准，公司本期发行</w:t>
      </w:r>
      <w:r>
        <w:rPr>
          <w:rFonts w:ascii="Times New Roman" w:eastAsia="Times New Roman" w:hAnsi="Times New Roman" w:cs="Times New Roman"/>
          <w:color w:val="000000"/>
          <w:spacing w:val="0"/>
          <w:w w:val="100"/>
          <w:position w:val="0"/>
        </w:rPr>
        <w:t>60,000</w:t>
      </w:r>
      <w:r>
        <w:rPr>
          <w:color w:val="000000"/>
          <w:spacing w:val="0"/>
          <w:w w:val="100"/>
          <w:position w:val="0"/>
        </w:rPr>
        <w:t>万元公司债券，债券的期限为</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 末发行人上调票面利率选择权和投资者回售选择权，票面利率为</w:t>
      </w:r>
      <w:r>
        <w:rPr>
          <w:rFonts w:ascii="Times New Roman" w:eastAsia="Times New Roman" w:hAnsi="Times New Roman" w:cs="Times New Roman"/>
          <w:color w:val="000000"/>
          <w:spacing w:val="0"/>
          <w:w w:val="100"/>
          <w:position w:val="0"/>
        </w:rPr>
        <w:t>5.90%</w:t>
      </w:r>
      <w:r>
        <w:rPr>
          <w:color w:val="000000"/>
          <w:spacing w:val="0"/>
          <w:w w:val="100"/>
          <w:position w:val="0"/>
        </w:rPr>
        <w:t>。</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rFonts w:ascii="Times New Roman" w:eastAsia="Times New Roman" w:hAnsi="Times New Roman" w:cs="Times New Roman"/>
          <w:color w:val="000000"/>
          <w:spacing w:val="0"/>
          <w:w w:val="100"/>
          <w:position w:val="0"/>
        </w:rPr>
        <w:t>2</w:t>
      </w:r>
      <w:r>
        <w:rPr>
          <w:color w:val="000000"/>
          <w:spacing w:val="0"/>
          <w:w w:val="100"/>
          <w:position w:val="0"/>
        </w:rPr>
        <w:t>、长期应付款</w:t>
      </w:r>
      <w:bookmarkEnd w:id="943"/>
      <w:bookmarkEnd w:id="944"/>
      <w:bookmarkEnd w:id="946"/>
    </w:p>
    <w:p>
      <w:pPr>
        <w:pStyle w:val="Style34"/>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7" w:name="bookmark9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943"/>
      <w:bookmarkEnd w:id="944"/>
      <w:bookmarkEnd w:id="9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初始金额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应计利息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借款条件</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中关村科技租赁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（北京）有限公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25,570,000.00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355,139.32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22,585,577.00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140"/>
        <w:jc w:val="left"/>
      </w:pPr>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）长期应付款中的应付融资款明细</w:t>
      </w:r>
      <w:bookmarkEnd w:id="948"/>
      <w:bookmarkEnd w:id="949"/>
      <w:bookmarkEnd w:id="9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28"/>
        <w:gridCol w:w="1728"/>
        <w:gridCol w:w="1733"/>
        <w:gridCol w:w="1584"/>
        <w:gridCol w:w="160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中关村科技租赁（北京）有限公司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22,585,577.00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22,585,577.00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951"/>
      <w:bookmarkEnd w:id="952"/>
      <w:bookmarkEnd w:id="9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789"/>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大型煤矿</w:t>
            </w:r>
            <w:r>
              <w:rPr>
                <w:rFonts w:ascii="Times New Roman" w:eastAsia="Times New Roman" w:hAnsi="Times New Roman" w:cs="Times New Roman"/>
                <w:color w:val="000000"/>
                <w:spacing w:val="0"/>
                <w:w w:val="100"/>
                <w:position w:val="0"/>
              </w:rPr>
              <w:t>RGM</w:t>
            </w:r>
            <w:r>
              <w:rPr>
                <w:rFonts w:ascii="Times New Roman" w:eastAsia="Times New Roman" w:hAnsi="Times New Roman" w:cs="Times New Roman"/>
                <w:color w:val="000000"/>
                <w:spacing w:val="0"/>
                <w:w w:val="100"/>
                <w:position w:val="0"/>
              </w:rPr>
              <w:t>（</w:t>
            </w:r>
            <w:r>
              <w:rPr>
                <w:color w:val="000000"/>
                <w:spacing w:val="0"/>
                <w:w w:val="100"/>
                <w:position w:val="0"/>
              </w:rPr>
              <w:t>国家发改委</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9,879,185.99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10,563,396.51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10KV</w:t>
            </w:r>
            <w:r>
              <w:rPr>
                <w:color w:val="000000"/>
                <w:spacing w:val="0"/>
                <w:w w:val="100"/>
                <w:position w:val="0"/>
              </w:rPr>
              <w:t>大功率变频装置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16,820,175.47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17,486,842.14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大型煤矿</w:t>
            </w:r>
            <w:r>
              <w:rPr>
                <w:rFonts w:ascii="Times New Roman" w:eastAsia="Times New Roman" w:hAnsi="Times New Roman" w:cs="Times New Roman"/>
                <w:color w:val="000000"/>
                <w:spacing w:val="0"/>
                <w:w w:val="100"/>
                <w:position w:val="0"/>
              </w:rPr>
              <w:t>RGM</w:t>
            </w:r>
            <w:r>
              <w:rPr>
                <w:rFonts w:ascii="Times New Roman" w:eastAsia="Times New Roman" w:hAnsi="Times New Roman" w:cs="Times New Roman"/>
                <w:color w:val="000000"/>
                <w:spacing w:val="0"/>
                <w:w w:val="100"/>
                <w:position w:val="0"/>
              </w:rPr>
              <w:t>（</w:t>
            </w:r>
            <w:r>
              <w:rPr>
                <w:color w:val="000000"/>
                <w:spacing w:val="0"/>
                <w:w w:val="100"/>
                <w:position w:val="0"/>
              </w:rPr>
              <w:t>省信息产业厅</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1,519,905.52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1,625,168.68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SVC</w:t>
            </w:r>
            <w:r>
              <w:rPr>
                <w:color w:val="000000"/>
                <w:spacing w:val="0"/>
                <w:w w:val="100"/>
                <w:position w:val="0"/>
              </w:rPr>
              <w:t>升级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7,599,527.63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8,125,843.43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套新型电抗器项目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11,642,806.03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12,315,789.52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辽宁省电力电子节能装备工程实验室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特大功率变频装置产业升级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基于柔性直流的智能配电关键技术研究与应用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52,420,100.64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50,567,040.28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pStyle w:val="Style16"/>
        <w:keepNext w:val="0"/>
        <w:keepLines w:val="0"/>
        <w:widowControl w:val="0"/>
        <w:shd w:val="clear" w:color="auto" w:fill="auto"/>
        <w:tabs>
          <w:tab w:pos="774" w:val="left"/>
        </w:tabs>
        <w:bidi w:val="0"/>
        <w:spacing w:before="0" w:after="0" w:line="315" w:lineRule="exact"/>
        <w:ind w:left="0" w:right="0" w:firstLine="440"/>
        <w:jc w:val="both"/>
      </w:pPr>
      <w:bookmarkStart w:id="955" w:name="bookmark955"/>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w:t>
        <w:tab/>
      </w:r>
      <w:r>
        <w:rPr>
          <w:color w:val="000000"/>
          <w:spacing w:val="0"/>
          <w:w w:val="100"/>
          <w:position w:val="0"/>
        </w:rPr>
        <w:t>根据发改高技</w:t>
      </w:r>
      <w:r>
        <w:rPr>
          <w:rFonts w:ascii="Times New Roman" w:eastAsia="Times New Roman" w:hAnsi="Times New Roman" w:cs="Times New Roman"/>
          <w:color w:val="000000"/>
          <w:spacing w:val="0"/>
          <w:w w:val="100"/>
          <w:position w:val="0"/>
        </w:rPr>
        <w:t>[2004]2653</w:t>
      </w:r>
      <w:r>
        <w:rPr>
          <w:color w:val="000000"/>
          <w:spacing w:val="0"/>
          <w:w w:val="100"/>
          <w:position w:val="0"/>
        </w:rPr>
        <w:t>号文及发改高技</w:t>
      </w:r>
      <w:r>
        <w:rPr>
          <w:rFonts w:ascii="Times New Roman" w:eastAsia="Times New Roman" w:hAnsi="Times New Roman" w:cs="Times New Roman"/>
          <w:color w:val="000000"/>
          <w:spacing w:val="0"/>
          <w:w w:val="100"/>
          <w:position w:val="0"/>
        </w:rPr>
        <w:t>[2005]912</w:t>
      </w:r>
      <w:r>
        <w:rPr>
          <w:color w:val="000000"/>
          <w:spacing w:val="0"/>
          <w:w w:val="100"/>
          <w:position w:val="0"/>
        </w:rPr>
        <w:t>号文，公司研发的大型煤矿瓦斯安全监控与排放 自动化成套系统产业化项目获得国家发改委立项的第一批国家高科技产业发展项目和产业技术研究与开 发资金支持，取得拨款共计</w:t>
      </w:r>
      <w:r>
        <w:rPr>
          <w:rFonts w:ascii="Times New Roman" w:eastAsia="Times New Roman" w:hAnsi="Times New Roman" w:cs="Times New Roman"/>
          <w:color w:val="000000"/>
          <w:spacing w:val="0"/>
          <w:w w:val="100"/>
          <w:position w:val="0"/>
        </w:rPr>
        <w:t>1,300</w:t>
      </w:r>
      <w:r>
        <w:rPr>
          <w:color w:val="000000"/>
          <w:spacing w:val="0"/>
          <w:w w:val="100"/>
          <w:position w:val="0"/>
        </w:rPr>
        <w:t>万元。</w:t>
      </w:r>
    </w:p>
    <w:p>
      <w:pPr>
        <w:pStyle w:val="Style16"/>
        <w:keepNext w:val="0"/>
        <w:keepLines w:val="0"/>
        <w:widowControl w:val="0"/>
        <w:shd w:val="clear" w:color="auto" w:fill="auto"/>
        <w:tabs>
          <w:tab w:pos="774" w:val="left"/>
        </w:tabs>
        <w:bidi w:val="0"/>
        <w:spacing w:before="0" w:after="0" w:line="315" w:lineRule="exact"/>
        <w:ind w:left="0" w:right="0" w:firstLine="440"/>
        <w:jc w:val="both"/>
      </w:pPr>
      <w:bookmarkStart w:id="956" w:name="bookmark956"/>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w:t>
        <w:tab/>
      </w:r>
      <w:r>
        <w:rPr>
          <w:color w:val="000000"/>
          <w:spacing w:val="0"/>
          <w:w w:val="100"/>
          <w:position w:val="0"/>
        </w:rPr>
        <w:t>根据发改办能源〔</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1126</w:t>
      </w:r>
      <w:r>
        <w:rPr>
          <w:color w:val="000000"/>
          <w:spacing w:val="0"/>
          <w:w w:val="100"/>
          <w:position w:val="0"/>
        </w:rPr>
        <w:t>号文及发改投资〔</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1416</w:t>
      </w:r>
      <w:r>
        <w:rPr>
          <w:color w:val="000000"/>
          <w:spacing w:val="0"/>
          <w:w w:val="100"/>
          <w:position w:val="0"/>
        </w:rPr>
        <w:t>号文，公司</w:t>
      </w:r>
      <w:r>
        <w:rPr>
          <w:rFonts w:ascii="Times New Roman" w:eastAsia="Times New Roman" w:hAnsi="Times New Roman" w:cs="Times New Roman"/>
          <w:color w:val="000000"/>
          <w:spacing w:val="0"/>
          <w:w w:val="100"/>
          <w:position w:val="0"/>
        </w:rPr>
        <w:t>10KV</w:t>
      </w:r>
      <w:r>
        <w:rPr>
          <w:color w:val="000000"/>
          <w:spacing w:val="0"/>
          <w:w w:val="100"/>
          <w:position w:val="0"/>
        </w:rPr>
        <w:t>大功率变频装置项目被 列入</w:t>
      </w:r>
      <w:r>
        <w:rPr>
          <w:rFonts w:ascii="Times New Roman" w:eastAsia="Times New Roman" w:hAnsi="Times New Roman" w:cs="Times New Roman"/>
          <w:color w:val="000000"/>
          <w:spacing w:val="0"/>
          <w:w w:val="100"/>
          <w:position w:val="0"/>
        </w:rPr>
        <w:t>2009</w:t>
      </w:r>
      <w:r>
        <w:rPr>
          <w:color w:val="000000"/>
          <w:spacing w:val="0"/>
          <w:w w:val="100"/>
          <w:position w:val="0"/>
        </w:rPr>
        <w:t>年核电风电装备自主化和能源装备专项，并获得中央项目预算内投资补助拨款</w:t>
      </w:r>
      <w:r>
        <w:rPr>
          <w:rFonts w:ascii="Times New Roman" w:eastAsia="Times New Roman" w:hAnsi="Times New Roman" w:cs="Times New Roman"/>
          <w:color w:val="000000"/>
          <w:spacing w:val="0"/>
          <w:w w:val="100"/>
          <w:position w:val="0"/>
        </w:rPr>
        <w:t>1,800</w:t>
      </w:r>
      <w:r>
        <w:rPr>
          <w:color w:val="000000"/>
          <w:spacing w:val="0"/>
          <w:w w:val="100"/>
          <w:position w:val="0"/>
        </w:rPr>
        <w:t>万元；</w:t>
      </w:r>
    </w:p>
    <w:p>
      <w:pPr>
        <w:pStyle w:val="Style16"/>
        <w:keepNext w:val="0"/>
        <w:keepLines w:val="0"/>
        <w:widowControl w:val="0"/>
        <w:shd w:val="clear" w:color="auto" w:fill="auto"/>
        <w:tabs>
          <w:tab w:pos="769" w:val="left"/>
        </w:tabs>
        <w:bidi w:val="0"/>
        <w:spacing w:before="0" w:after="0" w:line="315" w:lineRule="exact"/>
        <w:ind w:left="0" w:right="0" w:firstLine="440"/>
        <w:jc w:val="both"/>
      </w:pPr>
      <w:bookmarkStart w:id="957" w:name="bookmark957"/>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w:t>
        <w:tab/>
      </w:r>
      <w:r>
        <w:rPr>
          <w:color w:val="000000"/>
          <w:spacing w:val="0"/>
          <w:w w:val="100"/>
          <w:position w:val="0"/>
        </w:rPr>
        <w:t>根据辽信息产字</w:t>
      </w:r>
      <w:r>
        <w:rPr>
          <w:rFonts w:ascii="Times New Roman" w:eastAsia="Times New Roman" w:hAnsi="Times New Roman" w:cs="Times New Roman"/>
          <w:color w:val="000000"/>
          <w:spacing w:val="0"/>
          <w:w w:val="100"/>
          <w:position w:val="0"/>
        </w:rPr>
        <w:t>[2004]62</w:t>
      </w:r>
      <w:r>
        <w:rPr>
          <w:color w:val="000000"/>
          <w:spacing w:val="0"/>
          <w:w w:val="100"/>
          <w:position w:val="0"/>
        </w:rPr>
        <w:t>号文，公司的大型煤矿瓦斯安全监控与排放自动化成套系统获得辽宁省信 息产业厅立项的</w:t>
      </w:r>
      <w:r>
        <w:rPr>
          <w:rFonts w:ascii="Times New Roman" w:eastAsia="Times New Roman" w:hAnsi="Times New Roman" w:cs="Times New Roman"/>
          <w:color w:val="000000"/>
          <w:spacing w:val="0"/>
          <w:w w:val="100"/>
          <w:position w:val="0"/>
        </w:rPr>
        <w:t>2004</w:t>
      </w:r>
      <w:r>
        <w:rPr>
          <w:color w:val="000000"/>
          <w:spacing w:val="0"/>
          <w:w w:val="100"/>
          <w:position w:val="0"/>
        </w:rPr>
        <w:t>年度省信息产品制造专业专项资金支持，取得拨款</w:t>
      </w:r>
      <w:r>
        <w:rPr>
          <w:rFonts w:ascii="Times New Roman" w:eastAsia="Times New Roman" w:hAnsi="Times New Roman" w:cs="Times New Roman"/>
          <w:color w:val="000000"/>
          <w:spacing w:val="0"/>
          <w:w w:val="100"/>
          <w:position w:val="0"/>
        </w:rPr>
        <w:t>200</w:t>
      </w:r>
      <w:r>
        <w:rPr>
          <w:color w:val="000000"/>
          <w:spacing w:val="0"/>
          <w:w w:val="100"/>
          <w:position w:val="0"/>
        </w:rPr>
        <w:t>万元。</w:t>
      </w:r>
    </w:p>
    <w:p>
      <w:pPr>
        <w:pStyle w:val="Style16"/>
        <w:keepNext w:val="0"/>
        <w:keepLines w:val="0"/>
        <w:widowControl w:val="0"/>
        <w:shd w:val="clear" w:color="auto" w:fill="auto"/>
        <w:tabs>
          <w:tab w:pos="769" w:val="left"/>
        </w:tabs>
        <w:bidi w:val="0"/>
        <w:spacing w:before="0" w:after="0" w:line="315" w:lineRule="exact"/>
        <w:ind w:left="0" w:right="0" w:firstLine="440"/>
        <w:jc w:val="both"/>
      </w:pPr>
      <w:bookmarkStart w:id="958" w:name="bookmark958"/>
      <w:r>
        <w:rPr>
          <w:rFonts w:ascii="Times New Roman" w:eastAsia="Times New Roman" w:hAnsi="Times New Roman" w:cs="Times New Roman"/>
          <w:color w:val="000000"/>
          <w:spacing w:val="0"/>
          <w:w w:val="100"/>
          <w:position w:val="0"/>
        </w:rPr>
        <w:t>4</w:t>
      </w:r>
      <w:bookmarkEnd w:id="958"/>
      <w:r>
        <w:rPr>
          <w:rFonts w:ascii="Times New Roman" w:eastAsia="Times New Roman" w:hAnsi="Times New Roman" w:cs="Times New Roman"/>
          <w:color w:val="000000"/>
          <w:spacing w:val="0"/>
          <w:w w:val="100"/>
          <w:position w:val="0"/>
        </w:rPr>
        <w:t>）</w:t>
        <w:tab/>
      </w:r>
      <w:r>
        <w:rPr>
          <w:color w:val="000000"/>
          <w:spacing w:val="0"/>
          <w:w w:val="100"/>
          <w:position w:val="0"/>
        </w:rPr>
        <w:t>根据鞍山市财政局鞍发改发</w:t>
      </w:r>
      <w:r>
        <w:rPr>
          <w:rFonts w:ascii="Times New Roman" w:eastAsia="Times New Roman" w:hAnsi="Times New Roman" w:cs="Times New Roman"/>
          <w:color w:val="000000"/>
          <w:spacing w:val="0"/>
          <w:w w:val="100"/>
          <w:position w:val="0"/>
        </w:rPr>
        <w:t>[2008]3</w:t>
      </w:r>
      <w:r>
        <w:rPr>
          <w:color w:val="000000"/>
          <w:spacing w:val="0"/>
          <w:w w:val="100"/>
          <w:position w:val="0"/>
        </w:rPr>
        <w:t>号文及鞍山市财政局鞍财指经</w:t>
      </w:r>
      <w:r>
        <w:rPr>
          <w:rFonts w:ascii="Times New Roman" w:eastAsia="Times New Roman" w:hAnsi="Times New Roman" w:cs="Times New Roman"/>
          <w:color w:val="000000"/>
          <w:spacing w:val="0"/>
          <w:w w:val="100"/>
          <w:position w:val="0"/>
        </w:rPr>
        <w:t>（2007）597</w:t>
      </w:r>
      <w:r>
        <w:rPr>
          <w:color w:val="000000"/>
          <w:spacing w:val="0"/>
          <w:w w:val="100"/>
          <w:position w:val="0"/>
        </w:rPr>
        <w:t>号文，本公司取得拨款共 计</w:t>
      </w:r>
      <w:r>
        <w:rPr>
          <w:rFonts w:ascii="Times New Roman" w:eastAsia="Times New Roman" w:hAnsi="Times New Roman" w:cs="Times New Roman"/>
          <w:color w:val="000000"/>
          <w:spacing w:val="0"/>
          <w:w w:val="100"/>
          <w:position w:val="0"/>
        </w:rPr>
        <w:t>1,000</w:t>
      </w:r>
      <w:r>
        <w:rPr>
          <w:color w:val="000000"/>
          <w:spacing w:val="0"/>
          <w:w w:val="100"/>
          <w:position w:val="0"/>
        </w:rPr>
        <w:t>万元，专项用于提高自主创新能力及高技术产业发展项目建设。</w:t>
      </w:r>
    </w:p>
    <w:p>
      <w:pPr>
        <w:pStyle w:val="Style16"/>
        <w:keepNext w:val="0"/>
        <w:keepLines w:val="0"/>
        <w:widowControl w:val="0"/>
        <w:shd w:val="clear" w:color="auto" w:fill="auto"/>
        <w:tabs>
          <w:tab w:pos="778" w:val="left"/>
        </w:tabs>
        <w:bidi w:val="0"/>
        <w:spacing w:before="0" w:after="0" w:line="315" w:lineRule="exact"/>
        <w:ind w:left="0" w:right="0" w:firstLine="440"/>
        <w:jc w:val="both"/>
      </w:pPr>
      <w:bookmarkStart w:id="959" w:name="bookmark959"/>
      <w:r>
        <w:rPr>
          <w:rFonts w:ascii="Times New Roman" w:eastAsia="Times New Roman" w:hAnsi="Times New Roman" w:cs="Times New Roman"/>
          <w:color w:val="000000"/>
          <w:spacing w:val="0"/>
          <w:w w:val="100"/>
          <w:position w:val="0"/>
        </w:rPr>
        <w:t>5</w:t>
      </w:r>
      <w:bookmarkEnd w:id="959"/>
      <w:r>
        <w:rPr>
          <w:rFonts w:ascii="Times New Roman" w:eastAsia="Times New Roman" w:hAnsi="Times New Roman" w:cs="Times New Roman"/>
          <w:color w:val="000000"/>
          <w:spacing w:val="0"/>
          <w:w w:val="100"/>
          <w:position w:val="0"/>
        </w:rPr>
        <w:t>）</w:t>
        <w:tab/>
      </w:r>
      <w:r>
        <w:rPr>
          <w:color w:val="000000"/>
          <w:spacing w:val="0"/>
          <w:w w:val="100"/>
          <w:position w:val="0"/>
        </w:rPr>
        <w:t>根据辽宁省财政厅辽财指经〔</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8051</w:t>
      </w:r>
      <w:r>
        <w:rPr>
          <w:color w:val="000000"/>
          <w:spacing w:val="0"/>
          <w:w w:val="100"/>
          <w:position w:val="0"/>
        </w:rPr>
        <w:t>号文、辽宁省发改委辽发改投资〔</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1141</w:t>
      </w:r>
      <w:r>
        <w:rPr>
          <w:color w:val="000000"/>
          <w:spacing w:val="0"/>
          <w:w w:val="100"/>
          <w:position w:val="0"/>
        </w:rPr>
        <w:t>号文及鞍山 市发改委鞍发改发〔</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204</w:t>
      </w:r>
      <w:r>
        <w:rPr>
          <w:color w:val="000000"/>
          <w:spacing w:val="0"/>
          <w:w w:val="100"/>
          <w:position w:val="0"/>
        </w:rPr>
        <w:t>号文，本公司取得拨款</w:t>
      </w:r>
      <w:r>
        <w:rPr>
          <w:rFonts w:ascii="Times New Roman" w:eastAsia="Times New Roman" w:hAnsi="Times New Roman" w:cs="Times New Roman"/>
          <w:color w:val="000000"/>
          <w:spacing w:val="0"/>
          <w:w w:val="100"/>
          <w:position w:val="0"/>
        </w:rPr>
        <w:t>1,300</w:t>
      </w:r>
      <w:r>
        <w:rPr>
          <w:color w:val="000000"/>
          <w:spacing w:val="0"/>
          <w:w w:val="100"/>
          <w:position w:val="0"/>
        </w:rPr>
        <w:t>万元，专项用于年产</w:t>
      </w:r>
      <w:r>
        <w:rPr>
          <w:rFonts w:ascii="Times New Roman" w:eastAsia="Times New Roman" w:hAnsi="Times New Roman" w:cs="Times New Roman"/>
          <w:color w:val="000000"/>
          <w:spacing w:val="0"/>
          <w:w w:val="100"/>
          <w:position w:val="0"/>
        </w:rPr>
        <w:t>5000</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套新型电抗器产业 化项目建设。</w:t>
      </w:r>
    </w:p>
    <w:p>
      <w:pPr>
        <w:pStyle w:val="Style16"/>
        <w:keepNext w:val="0"/>
        <w:keepLines w:val="0"/>
        <w:widowControl w:val="0"/>
        <w:shd w:val="clear" w:color="auto" w:fill="auto"/>
        <w:tabs>
          <w:tab w:pos="769" w:val="left"/>
        </w:tabs>
        <w:bidi w:val="0"/>
        <w:spacing w:before="0" w:after="0" w:line="317" w:lineRule="exact"/>
        <w:ind w:left="0" w:right="0" w:firstLine="440"/>
        <w:jc w:val="both"/>
      </w:pPr>
      <w:bookmarkStart w:id="960" w:name="bookmark960"/>
      <w:r>
        <w:rPr>
          <w:rFonts w:ascii="Times New Roman" w:eastAsia="Times New Roman" w:hAnsi="Times New Roman" w:cs="Times New Roman"/>
          <w:color w:val="000000"/>
          <w:spacing w:val="0"/>
          <w:w w:val="100"/>
          <w:position w:val="0"/>
        </w:rPr>
        <w:t>6</w:t>
      </w:r>
      <w:bookmarkEnd w:id="960"/>
      <w:r>
        <w:rPr>
          <w:rFonts w:ascii="Times New Roman" w:eastAsia="Times New Roman" w:hAnsi="Times New Roman" w:cs="Times New Roman"/>
          <w:color w:val="000000"/>
          <w:spacing w:val="0"/>
          <w:w w:val="100"/>
          <w:position w:val="0"/>
        </w:rPr>
        <w:t>）</w:t>
        <w:tab/>
      </w:r>
      <w:r>
        <w:rPr>
          <w:color w:val="000000"/>
          <w:spacing w:val="0"/>
          <w:w w:val="100"/>
          <w:position w:val="0"/>
        </w:rPr>
        <w:t>根据鞍财指经</w:t>
      </w:r>
      <w:r>
        <w:rPr>
          <w:rFonts w:ascii="Times New Roman" w:eastAsia="Times New Roman" w:hAnsi="Times New Roman" w:cs="Times New Roman"/>
          <w:color w:val="000000"/>
          <w:spacing w:val="0"/>
          <w:w w:val="100"/>
          <w:position w:val="0"/>
        </w:rPr>
        <w:t>[2011]374</w:t>
      </w:r>
      <w:r>
        <w:rPr>
          <w:color w:val="000000"/>
          <w:spacing w:val="0"/>
          <w:w w:val="100"/>
          <w:position w:val="0"/>
        </w:rPr>
        <w:t>号文，本公司取得拨款</w:t>
      </w:r>
      <w:r>
        <w:rPr>
          <w:rFonts w:ascii="Times New Roman" w:eastAsia="Times New Roman" w:hAnsi="Times New Roman" w:cs="Times New Roman"/>
          <w:color w:val="000000"/>
          <w:spacing w:val="0"/>
          <w:w w:val="100"/>
          <w:position w:val="0"/>
        </w:rPr>
        <w:t>50</w:t>
      </w:r>
      <w:r>
        <w:rPr>
          <w:color w:val="000000"/>
          <w:spacing w:val="0"/>
          <w:w w:val="100"/>
          <w:position w:val="0"/>
        </w:rPr>
        <w:t>万元，专项用于辽宁省电力电子节能装备工程实验 室的建设。</w:t>
      </w:r>
    </w:p>
    <w:p>
      <w:pPr>
        <w:pStyle w:val="Style16"/>
        <w:keepNext w:val="0"/>
        <w:keepLines w:val="0"/>
        <w:widowControl w:val="0"/>
        <w:shd w:val="clear" w:color="auto" w:fill="auto"/>
        <w:tabs>
          <w:tab w:pos="774" w:val="left"/>
        </w:tabs>
        <w:bidi w:val="0"/>
        <w:spacing w:before="0" w:after="0" w:line="317" w:lineRule="exact"/>
        <w:ind w:left="0" w:right="0" w:firstLine="440"/>
        <w:jc w:val="both"/>
      </w:pPr>
      <w:bookmarkStart w:id="961" w:name="bookmark961"/>
      <w:r>
        <w:rPr>
          <w:rFonts w:ascii="Times New Roman" w:eastAsia="Times New Roman" w:hAnsi="Times New Roman" w:cs="Times New Roman"/>
          <w:color w:val="000000"/>
          <w:spacing w:val="0"/>
          <w:w w:val="100"/>
          <w:position w:val="0"/>
        </w:rPr>
        <w:t>7</w:t>
      </w:r>
      <w:bookmarkEnd w:id="961"/>
      <w:r>
        <w:rPr>
          <w:rFonts w:ascii="Times New Roman" w:eastAsia="Times New Roman" w:hAnsi="Times New Roman" w:cs="Times New Roman"/>
          <w:color w:val="000000"/>
          <w:spacing w:val="0"/>
          <w:w w:val="100"/>
          <w:position w:val="0"/>
        </w:rPr>
        <w:t>）</w:t>
        <w:tab/>
      </w:r>
      <w:r>
        <w:rPr>
          <w:color w:val="000000"/>
          <w:spacing w:val="0"/>
          <w:w w:val="100"/>
          <w:position w:val="0"/>
        </w:rPr>
        <w:t>根据辽宁省财政厅辽财指经</w:t>
      </w:r>
      <w:r>
        <w:rPr>
          <w:rFonts w:ascii="Times New Roman" w:eastAsia="Times New Roman" w:hAnsi="Times New Roman" w:cs="Times New Roman"/>
          <w:color w:val="000000"/>
          <w:spacing w:val="0"/>
          <w:w w:val="100"/>
          <w:position w:val="0"/>
        </w:rPr>
        <w:t>[2013]8026</w:t>
      </w:r>
      <w:r>
        <w:rPr>
          <w:color w:val="000000"/>
          <w:spacing w:val="0"/>
          <w:w w:val="100"/>
          <w:position w:val="0"/>
        </w:rPr>
        <w:t>号文、鞍山市财政局鞍财指经〔</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611</w:t>
      </w:r>
      <w:r>
        <w:rPr>
          <w:color w:val="000000"/>
          <w:spacing w:val="0"/>
          <w:w w:val="100"/>
          <w:position w:val="0"/>
        </w:rPr>
        <w:t>号文，本公司取 得拨款</w:t>
      </w:r>
      <w:r>
        <w:rPr>
          <w:rFonts w:ascii="Times New Roman" w:eastAsia="Times New Roman" w:hAnsi="Times New Roman" w:cs="Times New Roman"/>
          <w:color w:val="000000"/>
          <w:spacing w:val="0"/>
          <w:w w:val="100"/>
          <w:position w:val="0"/>
        </w:rPr>
        <w:t>428</w:t>
      </w:r>
      <w:r>
        <w:rPr>
          <w:color w:val="000000"/>
          <w:spacing w:val="0"/>
          <w:w w:val="100"/>
          <w:position w:val="0"/>
        </w:rPr>
        <w:t>万元，专项用于大功率变频装置产业升级项目的资金支出。</w:t>
      </w:r>
    </w:p>
    <w:p>
      <w:pPr>
        <w:pStyle w:val="Style16"/>
        <w:keepNext w:val="0"/>
        <w:keepLines w:val="0"/>
        <w:widowControl w:val="0"/>
        <w:shd w:val="clear" w:color="auto" w:fill="auto"/>
        <w:bidi w:val="0"/>
        <w:spacing w:before="0" w:after="460" w:line="317" w:lineRule="exact"/>
        <w:ind w:left="0" w:right="0" w:firstLine="360"/>
        <w:jc w:val="both"/>
      </w:pPr>
      <w:bookmarkStart w:id="962" w:name="bookmark962"/>
      <w:r>
        <w:rPr>
          <w:rFonts w:ascii="Times New Roman" w:eastAsia="Times New Roman" w:hAnsi="Times New Roman" w:cs="Times New Roman"/>
          <w:color w:val="000000"/>
          <w:spacing w:val="0"/>
          <w:w w:val="100"/>
          <w:position w:val="0"/>
        </w:rPr>
        <w:t>8</w:t>
      </w:r>
      <w:bookmarkEnd w:id="962"/>
      <w:r>
        <w:rPr>
          <w:rFonts w:ascii="Times New Roman" w:eastAsia="Times New Roman" w:hAnsi="Times New Roman" w:cs="Times New Roman"/>
          <w:color w:val="000000"/>
          <w:spacing w:val="0"/>
          <w:w w:val="100"/>
          <w:position w:val="0"/>
        </w:rPr>
        <w:t>）</w:t>
      </w:r>
      <w:r>
        <w:rPr>
          <w:color w:val="000000"/>
          <w:spacing w:val="0"/>
          <w:w w:val="100"/>
          <w:position w:val="0"/>
        </w:rPr>
        <w:t>根据深圳供电局有限公司（以下简称深圳供电局）与本公司签订的技术开发合同，深圳供电局委托 本公司承担</w:t>
      </w:r>
      <w:r>
        <w:rPr>
          <w:rFonts w:ascii="Times New Roman" w:eastAsia="Times New Roman" w:hAnsi="Times New Roman" w:cs="Times New Roman"/>
          <w:color w:val="000000"/>
          <w:spacing w:val="0"/>
          <w:w w:val="100"/>
          <w:position w:val="0"/>
        </w:rPr>
        <w:t>863</w:t>
      </w:r>
      <w:r>
        <w:rPr>
          <w:color w:val="000000"/>
          <w:spacing w:val="0"/>
          <w:w w:val="100"/>
          <w:position w:val="0"/>
        </w:rPr>
        <w:t>项目课题</w:t>
      </w:r>
      <w:r>
        <w:rPr>
          <w:rFonts w:ascii="Times New Roman" w:eastAsia="Times New Roman" w:hAnsi="Times New Roman" w:cs="Times New Roman"/>
          <w:color w:val="000000"/>
          <w:spacing w:val="0"/>
          <w:w w:val="100"/>
          <w:position w:val="0"/>
        </w:rPr>
        <w:t>4</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直流断路器和直流变压器理论研究和工程样机研制</w:t>
      </w:r>
      <w:r>
        <w:rPr>
          <w:rFonts w:ascii="Times New Roman" w:eastAsia="Times New Roman" w:hAnsi="Times New Roman" w:cs="Times New Roman"/>
          <w:color w:val="000000"/>
          <w:spacing w:val="0"/>
          <w:w w:val="100"/>
          <w:position w:val="0"/>
        </w:rPr>
        <w:t>”</w:t>
      </w:r>
      <w:r>
        <w:rPr>
          <w:color w:val="000000"/>
          <w:spacing w:val="0"/>
          <w:w w:val="100"/>
          <w:position w:val="0"/>
        </w:rPr>
        <w:t>任务，转拨给本公司专 项资金</w:t>
      </w:r>
      <w:r>
        <w:rPr>
          <w:rFonts w:ascii="Times New Roman" w:eastAsia="Times New Roman" w:hAnsi="Times New Roman" w:cs="Times New Roman"/>
          <w:color w:val="000000"/>
          <w:spacing w:val="0"/>
          <w:w w:val="100"/>
          <w:position w:val="0"/>
        </w:rPr>
        <w:t>27.85</w:t>
      </w:r>
      <w:r>
        <w:rPr>
          <w:color w:val="000000"/>
          <w:spacing w:val="0"/>
          <w:w w:val="100"/>
          <w:position w:val="0"/>
        </w:rPr>
        <w:t>万元。</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涉及政府补助的负债项目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56"/>
        <w:gridCol w:w="1411"/>
        <w:gridCol w:w="1238"/>
        <w:gridCol w:w="1430"/>
        <w:gridCol w:w="1152"/>
        <w:gridCol w:w="1118"/>
        <w:gridCol w:w="157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大型煤矿</w:t>
            </w:r>
            <w:r>
              <w:rPr>
                <w:rFonts w:ascii="Times New Roman" w:eastAsia="Times New Roman" w:hAnsi="Times New Roman" w:cs="Times New Roman"/>
                <w:color w:val="000000"/>
                <w:spacing w:val="0"/>
                <w:w w:val="100"/>
                <w:position w:val="0"/>
              </w:rPr>
              <w:t>RGM</w:t>
            </w:r>
            <w:r>
              <w:rPr>
                <w:rFonts w:ascii="Times New Roman" w:eastAsia="Times New Roman" w:hAnsi="Times New Roman" w:cs="Times New Roman"/>
                <w:color w:val="000000"/>
                <w:spacing w:val="0"/>
                <w:w w:val="100"/>
                <w:position w:val="0"/>
              </w:rPr>
              <w:t>（</w:t>
            </w:r>
            <w:r>
              <w:rPr>
                <w:color w:val="000000"/>
                <w:spacing w:val="0"/>
                <w:w w:val="100"/>
                <w:position w:val="0"/>
              </w:rPr>
              <w:t>国家 发改委</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10,563,396.51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684,210.52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9,879,185.99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656"/>
        <w:gridCol w:w="1411"/>
        <w:gridCol w:w="1238"/>
        <w:gridCol w:w="1430"/>
        <w:gridCol w:w="1152"/>
        <w:gridCol w:w="1118"/>
        <w:gridCol w:w="1574"/>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10KV</w:t>
            </w:r>
            <w:r>
              <w:rPr>
                <w:color w:val="000000"/>
                <w:spacing w:val="0"/>
                <w:w w:val="100"/>
                <w:position w:val="0"/>
              </w:rPr>
              <w:t>大功率变频装 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17,486,842.14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16,820,175.47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大型煤矿</w:t>
            </w:r>
            <w:r>
              <w:rPr>
                <w:rFonts w:ascii="Times New Roman" w:eastAsia="Times New Roman" w:hAnsi="Times New Roman" w:cs="Times New Roman"/>
                <w:color w:val="000000"/>
                <w:spacing w:val="0"/>
                <w:w w:val="100"/>
                <w:position w:val="0"/>
              </w:rPr>
              <w:t>RGM</w:t>
            </w:r>
            <w:r>
              <w:rPr>
                <w:rFonts w:ascii="Times New Roman" w:eastAsia="Times New Roman" w:hAnsi="Times New Roman" w:cs="Times New Roman"/>
                <w:color w:val="000000"/>
                <w:spacing w:val="0"/>
                <w:w w:val="100"/>
                <w:position w:val="0"/>
              </w:rPr>
              <w:t>（</w:t>
            </w:r>
            <w:r>
              <w:rPr>
                <w:color w:val="000000"/>
                <w:spacing w:val="0"/>
                <w:w w:val="100"/>
                <w:position w:val="0"/>
              </w:rPr>
              <w:t>省信 息产业厅</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1,625,168.68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105,263.16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1,519,905.52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SVC</w:t>
            </w:r>
            <w:r>
              <w:rPr>
                <w:color w:val="000000"/>
                <w:spacing w:val="0"/>
                <w:w w:val="100"/>
                <w:position w:val="0"/>
              </w:rPr>
              <w:t>升级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8,125,843.43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526,315.80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7,599,527.63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套新型电抗</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12,315,789.52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672,983.49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11,642,806.03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辽宁省电力电子节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能装备工程实验室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特大功率变频装置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产业升级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基于柔性直流的智 能配电关键技术研 究与应用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50,567,040.28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4,558,500.00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2,705,439.64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52,420,100.64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rFonts w:ascii="Times New Roman" w:eastAsia="Times New Roman" w:hAnsi="Times New Roman" w:cs="Times New Roman"/>
          <w:color w:val="000000"/>
          <w:spacing w:val="0"/>
          <w:w w:val="100"/>
          <w:position w:val="0"/>
        </w:rPr>
        <w:t>4</w:t>
      </w:r>
      <w:r>
        <w:rPr>
          <w:color w:val="000000"/>
          <w:spacing w:val="0"/>
          <w:w w:val="100"/>
          <w:position w:val="0"/>
        </w:rPr>
        <w:t>、股本</w:t>
      </w:r>
      <w:bookmarkEnd w:id="963"/>
      <w:bookmarkEnd w:id="964"/>
      <w:bookmarkEnd w:id="96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504,000,000.00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967"/>
      <w:bookmarkEnd w:id="968"/>
      <w:bookmarkEnd w:id="9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357,782,924.14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8,813,445.06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366,596,369.20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149,190,807.14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148,027,500.00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1,163,307.14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506,973,731.28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8,813,445.06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148,027,500.00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367,759,676.34</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资本公积说明</w:t>
      </w:r>
    </w:p>
    <w:p>
      <w:pPr>
        <w:pStyle w:val="Style16"/>
        <w:keepNext w:val="0"/>
        <w:keepLines w:val="0"/>
        <w:widowControl w:val="0"/>
        <w:shd w:val="clear" w:color="auto" w:fill="auto"/>
        <w:tabs>
          <w:tab w:pos="764" w:val="left"/>
        </w:tabs>
        <w:bidi w:val="0"/>
        <w:spacing w:before="0" w:after="0" w:line="240" w:lineRule="auto"/>
        <w:ind w:left="0" w:right="0" w:firstLine="420"/>
        <w:jc w:val="left"/>
      </w:pPr>
      <w:bookmarkStart w:id="971" w:name="bookmark971"/>
      <w:r>
        <w:rPr>
          <w:rFonts w:ascii="Times New Roman" w:eastAsia="Times New Roman" w:hAnsi="Times New Roman" w:cs="Times New Roman"/>
          <w:color w:val="000000"/>
          <w:spacing w:val="0"/>
          <w:w w:val="100"/>
          <w:position w:val="0"/>
        </w:rPr>
        <w:t>1</w:t>
      </w:r>
      <w:bookmarkEnd w:id="971"/>
      <w:r>
        <w:rPr>
          <w:rFonts w:ascii="Times New Roman" w:eastAsia="Times New Roman" w:hAnsi="Times New Roman" w:cs="Times New Roman"/>
          <w:color w:val="000000"/>
          <w:spacing w:val="0"/>
          <w:w w:val="100"/>
          <w:position w:val="0"/>
        </w:rPr>
        <w:t>）</w:t>
        <w:tab/>
      </w:r>
      <w:r>
        <w:rPr>
          <w:color w:val="000000"/>
          <w:spacing w:val="0"/>
          <w:w w:val="100"/>
          <w:position w:val="0"/>
        </w:rPr>
        <w:t>本期资本溢价（股本溢价）增加系本公司之子公司的少数股东单方增资引起的资本公积变动。</w:t>
      </w:r>
    </w:p>
    <w:p>
      <w:pPr>
        <w:pStyle w:val="Style16"/>
        <w:keepNext w:val="0"/>
        <w:keepLines w:val="0"/>
        <w:widowControl w:val="0"/>
        <w:shd w:val="clear" w:color="auto" w:fill="auto"/>
        <w:tabs>
          <w:tab w:pos="783" w:val="left"/>
        </w:tabs>
        <w:bidi w:val="0"/>
        <w:spacing w:before="0" w:after="320" w:line="240" w:lineRule="auto"/>
        <w:ind w:left="0" w:right="0" w:firstLine="420"/>
        <w:jc w:val="left"/>
      </w:pPr>
      <w:bookmarkStart w:id="972" w:name="bookmark972"/>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w:t>
        <w:tab/>
      </w:r>
      <w:r>
        <w:rPr>
          <w:color w:val="000000"/>
          <w:spacing w:val="0"/>
          <w:w w:val="100"/>
          <w:position w:val="0"/>
        </w:rPr>
        <w:t>本期其他资本公积的减少系处置全部可供出售金融资产所致。</w:t>
      </w:r>
    </w:p>
    <w:p>
      <w:pPr>
        <w:pStyle w:val="Style34"/>
        <w:keepNext/>
        <w:keepLines/>
        <w:widowControl w:val="0"/>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973"/>
      <w:bookmarkEnd w:id="974"/>
      <w:bookmarkEnd w:id="9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115,009,478.98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13,083,485.04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128,092,964.02</w:t>
            </w:r>
          </w:p>
        </w:tc>
      </w:tr>
    </w:tbl>
    <w:p>
      <w:pPr>
        <w:widowControl w:val="0"/>
        <w:spacing w:line="1" w:lineRule="exact"/>
      </w:pPr>
      <w:r>
        <w:br w:type="page"/>
      </w:r>
    </w:p>
    <w:tbl>
      <w:tblPr>
        <w:tblOverlap w:val="never"/>
        <w:jc w:val="center"/>
        <w:tblLayout w:type="fixed"/>
      </w:tblPr>
      <w:tblGrid>
        <w:gridCol w:w="2395"/>
        <w:gridCol w:w="1862"/>
        <w:gridCol w:w="1992"/>
        <w:gridCol w:w="1728"/>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115,009,478.98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13,083,485.04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128,092,964.02</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盈余公积说明，用盈余公积转增股本、弥补亏损、分派股利的，应说明有关决议</w:t>
      </w:r>
    </w:p>
    <w:p>
      <w:pPr>
        <w:pStyle w:val="Style16"/>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法定盈余公积增加系按母公司实现净利润的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计算计提。</w:t>
      </w:r>
    </w:p>
    <w:p>
      <w:pPr>
        <w:pStyle w:val="Style34"/>
        <w:keepNext/>
        <w:keepLines/>
        <w:widowControl w:val="0"/>
        <w:shd w:val="clear" w:color="auto" w:fill="auto"/>
        <w:bidi w:val="0"/>
        <w:spacing w:before="0" w:after="36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977"/>
      <w:bookmarkEnd w:id="978"/>
      <w:bookmarkEnd w:id="9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0"/>
        <w:gridCol w:w="3730"/>
        <w:gridCol w:w="213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994,158,841.42</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994,158,841.42</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75,843,521.47</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13,083,485.04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160,893.15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1,056,757,984.70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8</w:t>
      </w:r>
      <w:r>
        <w:rPr>
          <w:color w:val="000000"/>
          <w:spacing w:val="0"/>
          <w:w w:val="100"/>
          <w:position w:val="0"/>
        </w:rPr>
        <w:t>、营业收入、营业成本</w:t>
      </w:r>
      <w:bookmarkEnd w:id="981"/>
      <w:bookmarkEnd w:id="982"/>
      <w:bookmarkEnd w:id="984"/>
    </w:p>
    <w:p>
      <w:pPr>
        <w:pStyle w:val="Style34"/>
        <w:keepNext/>
        <w:keepLines/>
        <w:widowControl w:val="0"/>
        <w:shd w:val="clear" w:color="auto" w:fill="auto"/>
        <w:bidi w:val="0"/>
        <w:spacing w:before="0" w:after="360" w:line="240" w:lineRule="auto"/>
        <w:ind w:left="0" w:right="0" w:firstLine="0"/>
        <w:jc w:val="left"/>
      </w:pPr>
      <w:bookmarkStart w:id="981" w:name="bookmark981"/>
      <w:bookmarkStart w:id="982" w:name="bookmark982"/>
      <w:bookmarkStart w:id="985" w:name="bookmark9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981"/>
      <w:bookmarkEnd w:id="982"/>
      <w:bookmarkEnd w:id="9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1,497,530,910.47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1,287,133,495.51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894,371,870.05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661,675,739.70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140"/>
        <w:jc w:val="left"/>
      </w:pPr>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986"/>
      <w:bookmarkEnd w:id="987"/>
      <w:bookmarkEnd w:id="9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节能大功率电力电子设备制造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1,497,530,910.47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894,371,870.05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1,287,133,495.51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661,675,739.70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1,497,530,910.47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894,371,870.05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1,287,133,495.51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661,675,739.70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14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w:t>
      </w:r>
      <w:bookmarkEnd w:id="991"/>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989"/>
      <w:bookmarkEnd w:id="990"/>
      <w:bookmarkEnd w:id="9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bl>
    <w:p>
      <w:pPr>
        <w:widowControl w:val="0"/>
        <w:spacing w:line="1" w:lineRule="exact"/>
      </w:pPr>
      <w:r>
        <w:br w:type="page"/>
      </w:r>
    </w:p>
    <w:tbl>
      <w:tblPr>
        <w:tblOverlap w:val="never"/>
        <w:jc w:val="center"/>
        <w:tblLayout w:type="fixed"/>
      </w:tblPr>
      <w:tblGrid>
        <w:gridCol w:w="2530"/>
        <w:gridCol w:w="1728"/>
        <w:gridCol w:w="1858"/>
        <w:gridCol w:w="1728"/>
        <w:gridCol w:w="1738"/>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电能质量与电力安全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687,145,710.02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403,690,728.42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725,506,096.44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364,434,628.18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变频传动与新能源控制系统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466,785,959.37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285,388,448.50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330,682,641.63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179,170,883.02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余热余压节能发电系统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177,209,178.25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135,100,792.27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88,111,777.83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59,968,671.08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166,390,062.83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70,191,900.86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142,832,979.61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58,101,557.42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1,497,530,910.47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894,371,870.05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1,287,133,495.51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661,675,739.70</w:t>
            </w:r>
          </w:p>
        </w:tc>
      </w:tr>
    </w:tbl>
    <w:p>
      <w:pPr>
        <w:widowControl w:val="0"/>
        <w:spacing w:after="299" w:line="1" w:lineRule="exact"/>
      </w:pPr>
    </w:p>
    <w:p>
      <w:pPr>
        <w:pStyle w:val="Style34"/>
        <w:keepNext/>
        <w:keepLines/>
        <w:widowControl w:val="0"/>
        <w:numPr>
          <w:ilvl w:val="0"/>
          <w:numId w:val="25"/>
        </w:numPr>
        <w:shd w:val="clear" w:color="auto" w:fill="auto"/>
        <w:bidi w:val="0"/>
        <w:spacing w:before="0" w:after="38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主营业务(分地区)</w:t>
      </w:r>
      <w:bookmarkEnd w:id="993"/>
      <w:bookmarkEnd w:id="994"/>
      <w:bookmarkEnd w:id="9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1,422,297,201.86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841,250,152.11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1,221,651,013.92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632,318,844.96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75,233,708.61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53,121,717.94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65,482,481.59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29,356,894.74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1,497,530,910.47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894,371,870.05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1,287,133,495.51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661,675,739.70</w:t>
            </w:r>
          </w:p>
        </w:tc>
      </w:tr>
    </w:tbl>
    <w:p>
      <w:pPr>
        <w:widowControl w:val="0"/>
        <w:spacing w:after="299" w:line="1" w:lineRule="exact"/>
      </w:pPr>
    </w:p>
    <w:p>
      <w:pPr>
        <w:pStyle w:val="Style34"/>
        <w:keepNext/>
        <w:keepLines/>
        <w:widowControl w:val="0"/>
        <w:numPr>
          <w:ilvl w:val="0"/>
          <w:numId w:val="25"/>
        </w:numPr>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公司来自前五名客户的营业收入情况</w:t>
      </w:r>
      <w:bookmarkEnd w:id="1000"/>
      <w:bookmarkEnd w:id="997"/>
      <w:bookmarkEnd w:id="9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846"/>
        <w:gridCol w:w="41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中国能源建设集团广东省电力设 计研究院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157,997,435.93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宁夏申银焦化有限公司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119,555,555.56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广州供电局有限公司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116,733,333.30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沈阳透平机械股份有限公司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72,661,389.72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广东电网公司东莞供电局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60,487,197.65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527,434,912.16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9</w:t>
      </w:r>
      <w:r>
        <w:rPr>
          <w:color w:val="000000"/>
          <w:spacing w:val="0"/>
          <w:w w:val="100"/>
          <w:position w:val="0"/>
        </w:rPr>
        <w:t>、营业税金及附加</w:t>
      </w:r>
      <w:bookmarkEnd w:id="1001"/>
      <w:bookmarkEnd w:id="1002"/>
      <w:bookmarkEnd w:id="10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3,086,806.86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4,718,537.32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3,114,444.67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7,145,590.14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4,521,024.04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3,101,454.13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1,936,443.92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2,063,516.91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12,660,604.31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17,029,098.50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4</w:t>
      </w:r>
      <w:bookmarkEnd w:id="1007"/>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005"/>
      <w:bookmarkEnd w:id="1006"/>
      <w:bookmarkEnd w:id="10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15,639,144.02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13,046,641.31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4,976,958.31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4,049,333.53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14,889,469.20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14,248,962.09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66,979,378.00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44,550,152.17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85,511,233.12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68,192,753.71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运费及包装费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36,171,242.74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26,534,674.61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30,749,670.56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22,084,380.87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254,917,095.95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192,706,898.29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009"/>
      <w:bookmarkEnd w:id="1010"/>
      <w:bookmarkEnd w:id="10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56,530,993.35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56,659,491.65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6,265,217.82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6,731,488.31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5,296,167.62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4,487,213.44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24,569,076.82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9,952,260.84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2,078,932.29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2,444,689.21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51,154,064.29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24,583,960.53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13,786,728.50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12,979,616.39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132,030,909.96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122,116,899.17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9,503,583.02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8,232,550.58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25,129,421.27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12,430,236.57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326,345,094.94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260,618,406.69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4</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013"/>
      <w:bookmarkEnd w:id="1014"/>
      <w:bookmarkEnd w:id="10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58,274,915.56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51,387,747.22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7,929,929.61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8,624,905.77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3,309,164.71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-4,749,891.05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银行手续费等其他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26,965,561.31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29,962,958.08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80,619,711.97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67,975,908.48</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bookmarkEnd w:id="1019"/>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017"/>
      <w:bookmarkEnd w:id="1018"/>
      <w:bookmarkEnd w:id="1020"/>
    </w:p>
    <w:p>
      <w:pPr>
        <w:pStyle w:val="Style34"/>
        <w:keepNext/>
        <w:keepLines/>
        <w:widowControl w:val="0"/>
        <w:shd w:val="clear" w:color="auto" w:fill="auto"/>
        <w:bidi w:val="0"/>
        <w:spacing w:before="0" w:after="360" w:line="240" w:lineRule="auto"/>
        <w:ind w:left="0" w:right="0" w:firstLine="0"/>
        <w:jc w:val="left"/>
      </w:pPr>
      <w:bookmarkStart w:id="1017" w:name="bookmark1017"/>
      <w:bookmarkStart w:id="1018" w:name="bookmark1018"/>
      <w:bookmarkStart w:id="1021" w:name="bookmark10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017"/>
      <w:bookmarkEnd w:id="1018"/>
      <w:bookmarkEnd w:id="10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-4,025,895.18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-611,972.09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-1,737,065.43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156,058,022.79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153,295,062.18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5,788,027.91</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140"/>
        <w:jc w:val="left"/>
      </w:pPr>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r>
        <w:rPr>
          <w:color w:val="000000"/>
          <w:spacing w:val="0"/>
          <w:w w:val="100"/>
          <w:position w:val="0"/>
        </w:rPr>
        <w:t>）按权益法核算的长期股权投资收益</w:t>
      </w:r>
      <w:bookmarkEnd w:id="1022"/>
      <w:bookmarkEnd w:id="1023"/>
      <w:bookmarkEnd w:id="10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8"/>
        <w:gridCol w:w="1997"/>
        <w:gridCol w:w="1723"/>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中煤科创节能技术有限公司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-1,539,527.43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235,932.55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山东荣信汇盛机电科技有限公司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-2,740,376.09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-847,904.64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哈密荣信公司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-4,025,895.18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-611,972.09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投资收益的说明，若投资收益汇回有重大限制的，应予以说明。若不存在此类重大限制，也应做出说明</w:t>
      </w:r>
    </w:p>
    <w:p>
      <w:pPr>
        <w:pStyle w:val="Style16"/>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本公司不存在投资收益汇回的重大限制。</w:t>
      </w:r>
    </w:p>
    <w:p>
      <w:pPr>
        <w:pStyle w:val="Style34"/>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4</w:t>
      </w:r>
      <w:bookmarkEnd w:id="1027"/>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025"/>
      <w:bookmarkEnd w:id="1026"/>
      <w:bookmarkEnd w:id="10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58"/>
        <w:gridCol w:w="2525"/>
        <w:gridCol w:w="279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50,925,560.10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39,899,152.19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50,925,560.10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39,899,152.19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4</w:t>
      </w:r>
      <w:bookmarkEnd w:id="1031"/>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029"/>
      <w:bookmarkEnd w:id="1030"/>
      <w:bookmarkEnd w:id="1032"/>
    </w:p>
    <w:p>
      <w:pPr>
        <w:pStyle w:val="Style34"/>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3" w:name="bookmark1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29"/>
      <w:bookmarkEnd w:id="1030"/>
      <w:bookmarkEnd w:id="103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298"/>
        <w:gridCol w:w="1954"/>
        <w:gridCol w:w="2160"/>
        <w:gridCol w:w="217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w:t>
            </w:r>
          </w:p>
        </w:tc>
      </w:tr>
    </w:tbl>
    <w:p>
      <w:pPr>
        <w:widowControl w:val="0"/>
        <w:spacing w:line="1" w:lineRule="exact"/>
      </w:pPr>
      <w:r>
        <w:br w:type="page"/>
      </w:r>
    </w:p>
    <w:tbl>
      <w:tblPr>
        <w:tblOverlap w:val="never"/>
        <w:jc w:val="center"/>
        <w:tblLayout w:type="fixed"/>
      </w:tblPr>
      <w:tblGrid>
        <w:gridCol w:w="3298"/>
        <w:gridCol w:w="1954"/>
        <w:gridCol w:w="2160"/>
        <w:gridCol w:w="2170"/>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371,413.89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532,688.60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371,413.89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371,413.89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532,688.60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371,413.89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66,063,176.68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76,119,440.87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21,930,439.64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2,170,193.07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869,207.31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2,170,193.07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68,604,783.64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77,521,336.78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24,472,046.60</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034"/>
      <w:bookmarkEnd w:id="1035"/>
      <w:bookmarkEnd w:id="10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pPr>
            <w:r>
              <w:rPr>
                <w:color w:val="000000"/>
                <w:spacing w:val="0"/>
                <w:w w:val="100"/>
                <w:position w:val="0"/>
              </w:rPr>
              <w:t>鞍山市财政局</w:t>
            </w:r>
            <w:r>
              <w:rPr>
                <w:rFonts w:ascii="Times New Roman" w:eastAsia="Times New Roman" w:hAnsi="Times New Roman" w:cs="Times New Roman"/>
                <w:color w:val="000000"/>
                <w:spacing w:val="0"/>
                <w:w w:val="100"/>
                <w:position w:val="0"/>
              </w:rPr>
              <w:t>2012</w:t>
            </w:r>
            <w:r>
              <w:rPr>
                <w:color w:val="000000"/>
                <w:spacing w:val="0"/>
                <w:w w:val="100"/>
                <w:position w:val="0"/>
              </w:rPr>
              <w:t>年首 台(套)重大技术装备 首次销售价格专项补助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鞍山市财政局</w:t>
            </w: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进口产品贴息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鞍山市财政局高压轻型 直流输电装置海外研发 结题项目配套资金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鞍山市财政局外贸出口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增长奖励资金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鞍山市财政局柔性直流 输电关键技术联合研发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鞍山市财政局涉外发展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北京市科学技术委员会 钢铁企业综合节能工程 设计与产业化经费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石景山管委会</w:t>
            </w:r>
            <w:r>
              <w:rPr>
                <w:rFonts w:ascii="Times New Roman" w:eastAsia="Times New Roman" w:hAnsi="Times New Roman" w:cs="Times New Roman"/>
                <w:color w:val="000000"/>
                <w:spacing w:val="0"/>
                <w:w w:val="100"/>
                <w:position w:val="0"/>
              </w:rPr>
              <w:t>2012</w:t>
            </w:r>
            <w:r>
              <w:rPr>
                <w:color w:val="000000"/>
                <w:spacing w:val="0"/>
                <w:w w:val="100"/>
                <w:position w:val="0"/>
              </w:rPr>
              <w:t>年度 企业技术改造和技术创 新资金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辽宁省外经贸厅</w:t>
            </w:r>
            <w:r>
              <w:rPr>
                <w:rFonts w:ascii="Times New Roman" w:eastAsia="Times New Roman" w:hAnsi="Times New Roman" w:cs="Times New Roman"/>
                <w:color w:val="000000"/>
                <w:spacing w:val="0"/>
                <w:w w:val="100"/>
                <w:position w:val="0"/>
              </w:rPr>
              <w:t>2012</w:t>
            </w:r>
            <w:r>
              <w:rPr>
                <w:color w:val="000000"/>
                <w:spacing w:val="0"/>
                <w:w w:val="100"/>
                <w:position w:val="0"/>
              </w:rPr>
              <w:t>年 德国汉诺威工业博览会 展位费补贴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上海市科学技术委员会 研究平台及环境建设款 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上海市科技企业中心国 家创新基金项目经费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44,132,737.04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66,623,400.91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2,705,439.64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2,050,199.96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辽宁省财政厅</w:t>
            </w:r>
            <w:r>
              <w:rPr>
                <w:rFonts w:ascii="Times New Roman" w:eastAsia="Times New Roman" w:hAnsi="Times New Roman" w:cs="Times New Roman"/>
                <w:color w:val="000000"/>
                <w:spacing w:val="0"/>
                <w:w w:val="100"/>
                <w:position w:val="0"/>
              </w:rPr>
              <w:t>2012</w:t>
            </w:r>
            <w:r>
              <w:rPr>
                <w:color w:val="000000"/>
                <w:spacing w:val="0"/>
                <w:w w:val="100"/>
                <w:position w:val="0"/>
              </w:rPr>
              <w:t>年工 程技术研究中心专项资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国家高技术研究发展计 划</w:t>
            </w:r>
            <w:r>
              <w:rPr>
                <w:rFonts w:ascii="Times New Roman" w:eastAsia="Times New Roman" w:hAnsi="Times New Roman" w:cs="Times New Roman"/>
                <w:color w:val="000000"/>
                <w:spacing w:val="0"/>
                <w:w w:val="100"/>
                <w:position w:val="0"/>
              </w:rPr>
              <w:t>（863</w:t>
            </w:r>
            <w:r>
              <w:rPr>
                <w:color w:val="000000"/>
                <w:spacing w:val="0"/>
                <w:w w:val="100"/>
                <w:position w:val="0"/>
              </w:rPr>
              <w:t>计划</w:t>
            </w:r>
            <w:r>
              <w:rPr>
                <w:rFonts w:ascii="Times New Roman" w:eastAsia="Times New Roman" w:hAnsi="Times New Roman" w:cs="Times New Roman"/>
                <w:color w:val="000000"/>
                <w:spacing w:val="0"/>
                <w:w w:val="100"/>
                <w:position w:val="0"/>
              </w:rPr>
              <w:t>）</w:t>
            </w:r>
            <w:r>
              <w:rPr>
                <w:color w:val="000000"/>
                <w:spacing w:val="0"/>
                <w:w w:val="100"/>
                <w:position w:val="0"/>
              </w:rPr>
              <w:t>专项经费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鞍山市财政局</w:t>
            </w:r>
            <w:r>
              <w:rPr>
                <w:rFonts w:ascii="Times New Roman" w:eastAsia="Times New Roman" w:hAnsi="Times New Roman" w:cs="Times New Roman"/>
                <w:color w:val="000000"/>
                <w:spacing w:val="0"/>
                <w:w w:val="100"/>
                <w:position w:val="0"/>
              </w:rPr>
              <w:t xml:space="preserve">25WVA </w:t>
            </w:r>
            <w:r>
              <w:rPr>
                <w:color w:val="000000"/>
                <w:spacing w:val="0"/>
                <w:w w:val="100"/>
                <w:position w:val="0"/>
              </w:rPr>
              <w:t>级高压变频调速装置研 发经费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辽宁省知识产权局第二 届辽宁省专利金奖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鞍山市财政局</w:t>
            </w:r>
            <w:r>
              <w:rPr>
                <w:rFonts w:ascii="Times New Roman" w:eastAsia="Times New Roman" w:hAnsi="Times New Roman" w:cs="Times New Roman"/>
                <w:color w:val="000000"/>
                <w:spacing w:val="0"/>
                <w:w w:val="100"/>
                <w:position w:val="0"/>
              </w:rPr>
              <w:t>2011</w:t>
            </w:r>
            <w:r>
              <w:rPr>
                <w:color w:val="000000"/>
                <w:spacing w:val="0"/>
                <w:w w:val="100"/>
                <w:position w:val="0"/>
              </w:rPr>
              <w:t>年度 省''十百千高端人才引 进工程</w:t>
            </w:r>
            <w:r>
              <w:rPr>
                <w:rFonts w:ascii="Times New Roman" w:eastAsia="Times New Roman" w:hAnsi="Times New Roman" w:cs="Times New Roman"/>
                <w:color w:val="000000"/>
                <w:spacing w:val="0"/>
                <w:w w:val="100"/>
                <w:position w:val="0"/>
              </w:rPr>
              <w:t>"</w:t>
            </w:r>
            <w:r>
              <w:rPr>
                <w:color w:val="000000"/>
                <w:spacing w:val="0"/>
                <w:w w:val="100"/>
                <w:position w:val="0"/>
              </w:rPr>
              <w:t>启动资金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鞍山市财政局</w:t>
            </w:r>
            <w:r>
              <w:rPr>
                <w:rFonts w:ascii="Times New Roman" w:eastAsia="Times New Roman" w:hAnsi="Times New Roman" w:cs="Times New Roman"/>
                <w:color w:val="000000"/>
                <w:spacing w:val="0"/>
                <w:w w:val="100"/>
                <w:position w:val="0"/>
              </w:rPr>
              <w:t>2012</w:t>
            </w:r>
            <w:r>
              <w:rPr>
                <w:color w:val="000000"/>
                <w:spacing w:val="0"/>
                <w:w w:val="100"/>
                <w:position w:val="0"/>
              </w:rPr>
              <w:t>年度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进口产品贴息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335,840.00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哈密市工业经济发展协 调领导小组中小企业发 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鞍山市科技局光伏逆变 器研究与产业化资金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鞍山市财政局储能逆变 器研发经费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辽宁省科技型中小企业 技术创新专项资金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中关村科技园区石景山 园区企业贷款贴息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中关村科技园区石景山 园区中小企业发展专项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北京市经信委工业保增 长奖励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年度企业技术改造 和技术创新资金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8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鞍山市财政局柔性直流 输电关键技术联合研发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3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辽宁省技术监督局名牌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66,063,176.68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76,119,440.87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4</w:t>
      </w:r>
      <w:bookmarkEnd w:id="1039"/>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037"/>
      <w:bookmarkEnd w:id="1038"/>
      <w:bookmarkEnd w:id="10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0"/>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244,680.37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513,822.76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244,680.37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244,680.37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513,822.76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244,680.37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713,370.00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294,493.22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172,285.10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294,493.22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639,173.59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1,449,477.86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639,173.59</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4</w:t>
      </w:r>
      <w:bookmarkEnd w:id="1043"/>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041"/>
      <w:bookmarkEnd w:id="1042"/>
      <w:bookmarkEnd w:id="10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39,381,960.33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23,004,049.53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-6,702,187.81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-2,193,253.36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32,679,772.52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20,810,796.17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4</w:t>
      </w:r>
      <w:bookmarkEnd w:id="1047"/>
      <w:r>
        <w:rPr>
          <w:rFonts w:ascii="Times New Roman" w:eastAsia="Times New Roman" w:hAnsi="Times New Roman" w:cs="Times New Roman"/>
          <w:color w:val="000000"/>
          <w:spacing w:val="0"/>
          <w:w w:val="100"/>
          <w:position w:val="0"/>
        </w:rPr>
        <w:t>8</w:t>
      </w:r>
      <w:r>
        <w:rPr>
          <w:color w:val="000000"/>
          <w:spacing w:val="0"/>
          <w:w w:val="100"/>
          <w:position w:val="0"/>
        </w:rPr>
        <w:t>、基本每股收益和稀释每股收益的计算过程</w:t>
      </w:r>
      <w:bookmarkEnd w:id="1045"/>
      <w:bookmarkEnd w:id="1046"/>
      <w:bookmarkEnd w:id="1048"/>
    </w:p>
    <w:p>
      <w:pPr>
        <w:pStyle w:val="Style22"/>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基本每股收益的计算过程</w:t>
      </w:r>
    </w:p>
    <w:tbl>
      <w:tblPr>
        <w:tblOverlap w:val="never"/>
        <w:jc w:val="left"/>
        <w:tblLayout w:type="fixed"/>
      </w:tblPr>
      <w:tblGrid>
        <w:gridCol w:w="5774"/>
        <w:gridCol w:w="850"/>
        <w:gridCol w:w="1718"/>
      </w:tblGrid>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75,843,521.47</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151,357,698.88</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扣除非经营性损益后的归属于公司普通股股东的净利润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C=A-B</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-75,514,177.41</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504,000,000.00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因公积金转增股本或股票股利分配等增加股份数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发行新股或债转股等增加股份数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因回购等减少股份数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5774"/>
        <w:gridCol w:w="850"/>
        <w:gridCol w:w="171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J</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w:t>
            </w:r>
          </w:p>
        </w:tc>
      </w:tr>
      <w:tr>
        <w:trPr>
          <w:trHeight w:val="97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auto"/>
              <w:ind w:left="0" w:right="0" w:firstLine="0"/>
              <w:jc w:val="left"/>
            </w:pPr>
            <w:r>
              <w:rPr>
                <w:rFonts w:ascii="Times New Roman" w:eastAsia="Times New Roman" w:hAnsi="Times New Roman" w:cs="Times New Roman"/>
                <w:color w:val="000000"/>
                <w:spacing w:val="0"/>
                <w:w w:val="100"/>
                <w:position w:val="0"/>
              </w:rPr>
              <w:t>L=D+E+F xG/K-HxI/</w:t>
            </w:r>
          </w:p>
          <w:p>
            <w:pPr>
              <w:pStyle w:val="Style22"/>
              <w:keepNext w:val="0"/>
              <w:keepLines w:val="0"/>
              <w:widowControl w:val="0"/>
              <w:shd w:val="clear" w:color="auto" w:fill="auto"/>
              <w:bidi w:val="0"/>
              <w:spacing w:before="0" w:after="0" w:line="341" w:lineRule="auto"/>
              <w:ind w:left="0" w:right="0" w:firstLine="0"/>
              <w:jc w:val="center"/>
            </w:pPr>
            <w:r>
              <w:rPr>
                <w:rFonts w:ascii="Times New Roman" w:eastAsia="Times New Roman" w:hAnsi="Times New Roman" w:cs="Times New Roman"/>
                <w:color w:val="000000"/>
                <w:spacing w:val="0"/>
                <w:w w:val="100"/>
                <w:position w:val="0"/>
              </w:rPr>
              <w:t>K-J</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504,000,000.00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M=A/L</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0.15</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N=C/L</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-0.15</w:t>
            </w:r>
          </w:p>
        </w:tc>
      </w:tr>
    </w:tbl>
    <w:p>
      <w:pPr>
        <w:pStyle w:val="Style16"/>
        <w:keepNext w:val="0"/>
        <w:keepLines w:val="0"/>
        <w:widowControl w:val="0"/>
        <w:shd w:val="clear" w:color="auto" w:fill="auto"/>
        <w:bidi w:val="0"/>
        <w:spacing w:before="0" w:after="66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稀释每股收益的计算过程与基本每股收益的计算过程相同。</w:t>
      </w:r>
    </w:p>
    <w:p>
      <w:pPr>
        <w:pStyle w:val="Style34"/>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4</w:t>
      </w:r>
      <w:bookmarkEnd w:id="1051"/>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049"/>
      <w:bookmarkEnd w:id="1050"/>
      <w:bookmarkEnd w:id="10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w:t>
            </w:r>
            <w:r>
              <w:rPr>
                <w:color w:val="000000"/>
                <w:spacing w:val="0"/>
                <w:w w:val="100"/>
                <w:position w:val="0"/>
              </w:rPr>
              <w:t>可供出售金融资产产生的利得（损失）金额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-99,150,000.00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75,000,000.00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减：可供出售金融资产产生的所得税影响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-14,872,500.00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11,250,000.00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-148,027,500.00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63,750,000.00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-148,027,500.00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63,750,000.00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5</w:t>
      </w:r>
      <w:bookmarkEnd w:id="1055"/>
      <w:r>
        <w:rPr>
          <w:rFonts w:ascii="Times New Roman" w:eastAsia="Times New Roman" w:hAnsi="Times New Roman" w:cs="Times New Roman"/>
          <w:color w:val="000000"/>
          <w:spacing w:val="0"/>
          <w:w w:val="100"/>
          <w:position w:val="0"/>
        </w:rPr>
        <w:t>0</w:t>
      </w:r>
      <w:r>
        <w:rPr>
          <w:color w:val="000000"/>
          <w:spacing w:val="0"/>
          <w:w w:val="100"/>
          <w:position w:val="0"/>
        </w:rPr>
        <w:t>、现金流量表附注</w:t>
      </w:r>
      <w:bookmarkEnd w:id="1053"/>
      <w:bookmarkEnd w:id="1054"/>
      <w:bookmarkEnd w:id="1056"/>
    </w:p>
    <w:p>
      <w:pPr>
        <w:pStyle w:val="Style34"/>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7" w:name="bookmark10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053"/>
      <w:bookmarkEnd w:id="1054"/>
      <w:bookmarkEnd w:id="10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7,929,929.61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934,995.38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28,089,924.99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140"/>
        <w:jc w:val="left"/>
      </w:pPr>
      <w:bookmarkStart w:id="1058" w:name="bookmark1058"/>
      <w:bookmarkStart w:id="1059" w:name="bookmark1059"/>
      <w:bookmarkStart w:id="1060" w:name="bookmark10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58"/>
      <w:bookmarkEnd w:id="1059"/>
      <w:bookmarkEnd w:id="10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支付销售费用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213,831,871.09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支付管理费用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114,459,185.74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支付票据保证金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109,341,478.18</w:t>
            </w:r>
          </w:p>
        </w:tc>
      </w:tr>
    </w:tbl>
    <w:p>
      <w:pPr>
        <w:widowControl w:val="0"/>
        <w:spacing w:line="1" w:lineRule="exact"/>
      </w:pPr>
      <w:r>
        <w:br w:type="page"/>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1,244,725.00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438,877,260.01</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）支付的其他与投资活动有关的现金</w:t>
      </w:r>
      <w:bookmarkEnd w:id="1061"/>
      <w:bookmarkEnd w:id="1062"/>
      <w:bookmarkEnd w:id="10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初存目的为投资的定期存款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25,358,778.06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25,358,778.06</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065"/>
      <w:bookmarkEnd w:id="1066"/>
      <w:bookmarkEnd w:id="10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1,297,000.00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25,570,000.00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解除用作质押的定期存款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126,278,456.00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153,145,456.00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w:t>
      </w:r>
      <w:bookmarkEnd w:id="1071"/>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069"/>
      <w:bookmarkEnd w:id="1070"/>
      <w:bookmarkEnd w:id="10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融资利息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13,902,860.01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7,500,000.00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21,402,860.01</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5</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73"/>
      <w:bookmarkEnd w:id="1074"/>
      <w:bookmarkEnd w:id="1076"/>
    </w:p>
    <w:p>
      <w:pPr>
        <w:pStyle w:val="Style34"/>
        <w:keepNext/>
        <w:keepLines/>
        <w:widowControl w:val="0"/>
        <w:shd w:val="clear" w:color="auto" w:fill="auto"/>
        <w:bidi w:val="0"/>
        <w:spacing w:before="0" w:after="360" w:line="240" w:lineRule="auto"/>
        <w:ind w:left="0" w:right="0" w:firstLine="0"/>
        <w:jc w:val="left"/>
      </w:pPr>
      <w:bookmarkStart w:id="1073" w:name="bookmark1073"/>
      <w:bookmarkStart w:id="1074" w:name="bookmark1074"/>
      <w:bookmarkStart w:id="1077" w:name="bookmark10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73"/>
      <w:bookmarkEnd w:id="1074"/>
      <w:bookmarkEnd w:id="10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66,271,872.86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108,277,382.32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50,925,560.10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39,899,152.19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33,659,824.70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29,229,056.92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4,458,650.72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3,562,094.26</w:t>
            </w:r>
          </w:p>
        </w:tc>
      </w:tr>
    </w:tbl>
    <w:p>
      <w:pPr>
        <w:widowControl w:val="0"/>
        <w:spacing w:line="1" w:lineRule="exact"/>
      </w:pPr>
      <w:r>
        <w:br w:type="page"/>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536,084.43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529,368.33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0"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-126,733.52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-330,461.30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311,595.46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58,279,463.23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50,605,948.83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-153,295,062.18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-5,788,027.91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-6,601,980.73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2,812,071.34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6,244,433.50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-130,203,795.08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-127,803,518.79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-65,646,468.61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-310,070,501.23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-18,625,723.73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26,157,886.82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-160,368,307.81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-176,363,519.26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641,328,576.11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500,650,658.27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500,650,658.27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505,740,486.60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140,677,917.84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-5,089,828.33</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078"/>
      <w:bookmarkEnd w:id="1079"/>
      <w:bookmarkEnd w:id="10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.处置子公司及其他营业单位的价格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15,219,179.83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5,219,179.83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1,440,630.39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3,778,549.44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处置子公司的净资产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16,461,408.20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11,444,630.39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5,454,362.81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437,585.00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w:t>
      </w:r>
      <w:bookmarkEnd w:id="1083"/>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081"/>
      <w:bookmarkEnd w:id="1082"/>
      <w:bookmarkEnd w:id="1084"/>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392"/>
        <w:gridCol w:w="2520"/>
        <w:gridCol w:w="266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641,328,576.11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500,650,658.27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509,254.02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980,465.33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640,819,322.09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449,894,492.53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49,775,700.41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641,328,576.11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500,650,658.27</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sz w:val="24"/>
          <w:szCs w:val="24"/>
        </w:rPr>
        <w:t>八</w:t>
      </w:r>
      <w:bookmarkEnd w:id="1087"/>
      <w:r>
        <w:rPr>
          <w:color w:val="000000"/>
          <w:spacing w:val="0"/>
          <w:w w:val="100"/>
          <w:position w:val="0"/>
          <w:sz w:val="24"/>
          <w:szCs w:val="24"/>
        </w:rPr>
        <w:t>、关联方及关联交易</w:t>
      </w:r>
      <w:bookmarkEnd w:id="1085"/>
      <w:bookmarkEnd w:id="1086"/>
      <w:bookmarkEnd w:id="1088"/>
    </w:p>
    <w:p>
      <w:pPr>
        <w:pStyle w:val="Style34"/>
        <w:keepNext/>
        <w:keepLines/>
        <w:widowControl w:val="0"/>
        <w:shd w:val="clear" w:color="auto" w:fill="auto"/>
        <w:bidi w:val="0"/>
        <w:spacing w:before="0" w:after="320" w:line="240" w:lineRule="auto"/>
        <w:ind w:left="0" w:right="0" w:firstLine="0"/>
        <w:jc w:val="left"/>
      </w:pPr>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1</w:t>
      </w:r>
      <w:r>
        <w:rPr>
          <w:color w:val="000000"/>
          <w:spacing w:val="0"/>
          <w:w w:val="100"/>
          <w:position w:val="0"/>
        </w:rPr>
        <w:t>、本企业的子公司情况</w:t>
      </w:r>
      <w:bookmarkEnd w:id="1089"/>
      <w:bookmarkEnd w:id="1090"/>
      <w:bookmarkEnd w:id="1091"/>
    </w:p>
    <w:tbl>
      <w:tblPr>
        <w:tblOverlap w:val="never"/>
        <w:jc w:val="center"/>
        <w:tblLayout w:type="fixed"/>
      </w:tblPr>
      <w:tblGrid>
        <w:gridCol w:w="960"/>
        <w:gridCol w:w="955"/>
        <w:gridCol w:w="960"/>
        <w:gridCol w:w="960"/>
        <w:gridCol w:w="955"/>
        <w:gridCol w:w="955"/>
        <w:gridCol w:w="960"/>
        <w:gridCol w:w="955"/>
        <w:gridCol w:w="955"/>
        <w:gridCol w:w="96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表决权比例</w:t>
            </w:r>
          </w:p>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码</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诚和伟业 </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 发展有限责 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75332402-6</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荣信嘉时 </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 发展有限公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66629499</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荣信电气传 动系统（上 海）有限公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66604364-8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北京诚和龙 盛工程技术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电力设备器 件代理销售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68575973</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北京荣科恒 阳整流技术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黎军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整流设备、</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变流设备等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55851779-7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北京荣华恒 信开关技术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赵彩宏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开关技术研 发与推广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56366745-8</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辽宁荣信防 爆电气技术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赵殿波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井下防爆电 气设备的研 发生产与销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56464854</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辽宁荣信电 机控制技术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贾明革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56758022-9</w:t>
            </w:r>
          </w:p>
        </w:tc>
      </w:tr>
    </w:tbl>
    <w:p>
      <w:pPr>
        <w:widowControl w:val="0"/>
        <w:spacing w:line="1" w:lineRule="exact"/>
      </w:pPr>
      <w:r>
        <w:br w:type="page"/>
      </w:r>
    </w:p>
    <w:tbl>
      <w:tblPr>
        <w:tblOverlap w:val="never"/>
        <w:jc w:val="center"/>
        <w:tblLayout w:type="fixed"/>
      </w:tblPr>
      <w:tblGrid>
        <w:gridCol w:w="960"/>
        <w:gridCol w:w="955"/>
        <w:gridCol w:w="960"/>
        <w:gridCol w:w="960"/>
        <w:gridCol w:w="955"/>
        <w:gridCol w:w="955"/>
        <w:gridCol w:w="960"/>
        <w:gridCol w:w="955"/>
        <w:gridCol w:w="955"/>
        <w:gridCol w:w="965"/>
      </w:tblGrid>
      <w:tr>
        <w:trPr>
          <w:trHeight w:val="3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辽宁荣信众 腾科技有限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郭自勇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56758126-4</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辽宁荣信光 伏技术有限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设计与销售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56758026-1</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辽宁荣信电 气传动技术 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郭自勇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设计与销售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56758411-5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南京荣信电 力自动化有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张加康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56722971-1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北京荣信慧 科科技有限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软件、设备 的设计与销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56949242-5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北京荣科博 信科技发展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车千里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57122066-4</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广州邦建电 力技术有限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设计与销售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57401292-4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北京荣信瑞 科科技发展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软件、设备 的设计与销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57317621-4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荣西电力传 输技术有限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路维奇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设计与销售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6000000 </w:t>
            </w:r>
            <w:r>
              <w:rPr>
                <w:color w:val="000000"/>
                <w:spacing w:val="0"/>
                <w:w w:val="100"/>
                <w:position w:val="0"/>
              </w:rPr>
              <w:t>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56138332-0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新疆荣信节 能电气有限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张臣堂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设计与销售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59592004-0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荣信电力工 程</w:t>
            </w:r>
            <w:r>
              <w:rPr>
                <w:rFonts w:ascii="Times New Roman" w:eastAsia="Times New Roman" w:hAnsi="Times New Roman" w:cs="Times New Roman"/>
                <w:color w:val="000000"/>
                <w:spacing w:val="0"/>
                <w:w w:val="100"/>
                <w:position w:val="0"/>
              </w:rPr>
              <w:t>JLT</w:t>
            </w: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迪拜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电子设备贸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2480000 </w:t>
            </w:r>
            <w:r>
              <w:rPr>
                <w:color w:val="000000"/>
                <w:spacing w:val="0"/>
                <w:w w:val="100"/>
                <w:position w:val="0"/>
              </w:rPr>
              <w:t>美</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商丘信力新 能源科技有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杨昭平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专用设备的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58173380</w:t>
              <w:softHyphen/>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X</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西安荣信电 气有限责任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05713771-0</w:t>
            </w:r>
          </w:p>
        </w:tc>
      </w:tr>
    </w:tbl>
    <w:p>
      <w:pPr>
        <w:widowControl w:val="0"/>
        <w:spacing w:line="1" w:lineRule="exact"/>
      </w:pPr>
      <w:r>
        <w:br w:type="page"/>
      </w:r>
    </w:p>
    <w:tbl>
      <w:tblPr>
        <w:tblOverlap w:val="never"/>
        <w:jc w:val="center"/>
        <w:tblLayout w:type="fixed"/>
      </w:tblPr>
      <w:tblGrid>
        <w:gridCol w:w="960"/>
        <w:gridCol w:w="955"/>
        <w:gridCol w:w="960"/>
        <w:gridCol w:w="960"/>
        <w:gridCol w:w="955"/>
        <w:gridCol w:w="955"/>
        <w:gridCol w:w="960"/>
        <w:gridCol w:w="955"/>
        <w:gridCol w:w="955"/>
        <w:gridCol w:w="965"/>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北京荣信中 科电气设备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电气设备的 设计、销售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06134744-6</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北京信力筑 正新能源技 术股份有限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杨昭平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新能源、节 能设备、环 保设备、余 热余压发电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66990243-6</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上海地澳自 动化科技有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韩菊娣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井下防爆变 频设备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66439345</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bookmarkEnd w:id="1094"/>
      <w:r>
        <w:rPr>
          <w:color w:val="000000"/>
          <w:spacing w:val="0"/>
          <w:w w:val="100"/>
          <w:position w:val="0"/>
        </w:rPr>
        <w:t>、本企业的合营和联营企业情况</w:t>
      </w:r>
      <w:bookmarkEnd w:id="1092"/>
      <w:bookmarkEnd w:id="1093"/>
      <w:bookmarkEnd w:id="1095"/>
    </w:p>
    <w:tbl>
      <w:tblPr>
        <w:tblOverlap w:val="never"/>
        <w:jc w:val="center"/>
        <w:tblLayout w:type="fixed"/>
      </w:tblPr>
      <w:tblGrid>
        <w:gridCol w:w="955"/>
        <w:gridCol w:w="955"/>
        <w:gridCol w:w="960"/>
        <w:gridCol w:w="955"/>
        <w:gridCol w:w="955"/>
        <w:gridCol w:w="960"/>
        <w:gridCol w:w="960"/>
        <w:gridCol w:w="955"/>
        <w:gridCol w:w="960"/>
        <w:gridCol w:w="965"/>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本企业在被 投资单位表 决权比例</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398"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山东荣信 汇盛机电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设备制造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773369258</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中煤科创 节能技术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鄂尔多斯市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56690500-1</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哈密荣信 新能源有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梁小成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设备制造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59592003-2</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color w:val="000000"/>
          <w:spacing w:val="0"/>
          <w:w w:val="100"/>
          <w:position w:val="0"/>
        </w:rPr>
        <w:t>、本企业的其他关联方情况</w:t>
      </w:r>
      <w:bookmarkEnd w:id="1096"/>
      <w:bookmarkEnd w:id="1097"/>
      <w:bookmarkEnd w:id="1099"/>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组织机构代码</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青岛市恒顺电气股份有限公司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70646049-8</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本企业的其他关联方情况的说明</w:t>
      </w:r>
    </w:p>
    <w:p>
      <w:pPr>
        <w:pStyle w:val="Style34"/>
        <w:keepNext/>
        <w:keepLines/>
        <w:widowControl w:val="0"/>
        <w:shd w:val="clear" w:color="auto" w:fill="auto"/>
        <w:bidi w:val="0"/>
        <w:spacing w:before="0" w:after="320" w:line="240"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4</w:t>
      </w:r>
      <w:bookmarkEnd w:id="1102"/>
      <w:r>
        <w:rPr>
          <w:color w:val="000000"/>
          <w:spacing w:val="0"/>
          <w:w w:val="100"/>
          <w:position w:val="0"/>
        </w:rPr>
        <w:t>、关联方交易</w:t>
      </w:r>
      <w:bookmarkEnd w:id="1100"/>
      <w:bookmarkEnd w:id="1101"/>
      <w:bookmarkEnd w:id="1103"/>
    </w:p>
    <w:p>
      <w:pPr>
        <w:pStyle w:val="Style34"/>
        <w:keepNext/>
        <w:keepLines/>
        <w:widowControl w:val="0"/>
        <w:shd w:val="clear" w:color="auto" w:fill="auto"/>
        <w:bidi w:val="0"/>
        <w:spacing w:before="0" w:after="360" w:line="240" w:lineRule="auto"/>
        <w:ind w:left="0" w:right="0" w:firstLine="140"/>
        <w:jc w:val="left"/>
      </w:pPr>
      <w:bookmarkStart w:id="1100" w:name="bookmark1100"/>
      <w:bookmarkStart w:id="1101" w:name="bookmark1101"/>
      <w:bookmarkStart w:id="1104" w:name="bookmark1104"/>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100"/>
      <w:bookmarkEnd w:id="1101"/>
      <w:bookmarkEnd w:id="1104"/>
    </w:p>
    <w:p>
      <w:pPr>
        <w:pStyle w:val="Style2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723"/>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中煤科创节能技术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电能质量与电力安全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3,586,800.00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青岛市恒顺电气股 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电能质量与电力安全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10,422,471.20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3"/>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中煤科创节能技术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电能质量与电力安全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7,380,598.29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14,337,742.74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山东荣信汇盛机电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电能质量与电力安全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564,102.56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青岛市恒顺电气股 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电能质量与电力安全 产品配件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1,675,213.68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5</w:t>
      </w:r>
      <w:bookmarkEnd w:id="1107"/>
      <w:r>
        <w:rPr>
          <w:color w:val="000000"/>
          <w:spacing w:val="0"/>
          <w:w w:val="100"/>
          <w:position w:val="0"/>
        </w:rPr>
        <w:t>、关联方应收应付款项</w:t>
      </w:r>
      <w:bookmarkEnd w:id="1105"/>
      <w:bookmarkEnd w:id="1106"/>
      <w:bookmarkEnd w:id="110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59"/>
        <w:gridCol w:w="1670"/>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山东荣信汇盛机电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中煤科创节能技术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5,712,052.52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285,602.63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13,386,448.86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669,322.44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山东荣信汇盛机电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中煤科创节能技术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158,280.00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7,914.00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2256"/>
        <w:gridCol w:w="2261"/>
        <w:gridCol w:w="226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line="1" w:lineRule="exact"/>
      </w:pPr>
    </w:p>
    <w:tbl>
      <w:tblPr>
        <w:tblOverlap w:val="never"/>
        <w:jc w:val="center"/>
        <w:tblLayout w:type="fixed"/>
      </w:tblPr>
      <w:tblGrid>
        <w:gridCol w:w="2798"/>
        <w:gridCol w:w="2256"/>
        <w:gridCol w:w="2261"/>
        <w:gridCol w:w="2266"/>
      </w:tblGrid>
      <w:tr>
        <w:trPr>
          <w:trHeight w:val="7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青岛市恒顺电气股份有限公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7,374,641.40</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sz w:val="24"/>
          <w:szCs w:val="24"/>
        </w:rPr>
        <w:t>九</w:t>
      </w:r>
      <w:bookmarkEnd w:id="1111"/>
      <w:r>
        <w:rPr>
          <w:color w:val="000000"/>
          <w:spacing w:val="0"/>
          <w:w w:val="100"/>
          <w:position w:val="0"/>
          <w:sz w:val="24"/>
          <w:szCs w:val="24"/>
        </w:rPr>
        <w:t>、或有事项</w:t>
      </w:r>
      <w:bookmarkEnd w:id="1109"/>
      <w:bookmarkEnd w:id="1110"/>
      <w:bookmarkEnd w:id="1112"/>
    </w:p>
    <w:p>
      <w:pPr>
        <w:pStyle w:val="Style34"/>
        <w:keepNext/>
        <w:keepLines/>
        <w:widowControl w:val="0"/>
        <w:shd w:val="clear" w:color="auto" w:fill="auto"/>
        <w:bidi w:val="0"/>
        <w:spacing w:before="0" w:after="300" w:line="313" w:lineRule="exact"/>
        <w:ind w:left="0" w:right="0" w:firstLine="0"/>
        <w:jc w:val="left"/>
      </w:pPr>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r>
        <w:rPr>
          <w:color w:val="000000"/>
          <w:spacing w:val="0"/>
          <w:w w:val="100"/>
          <w:position w:val="0"/>
        </w:rPr>
        <w:t>、为其他单位提供债务担保形成的或有负债及其财务影响</w:t>
      </w:r>
      <w:bookmarkEnd w:id="1113"/>
      <w:bookmarkEnd w:id="1114"/>
      <w:bookmarkEnd w:id="1115"/>
    </w:p>
    <w:p>
      <w:pPr>
        <w:pStyle w:val="Style16"/>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日，经公司第四届董事会第二十一次会议审议批准，公司为贵州登峰能源集团有限公司、 威宁县洁净煤有限公司与民生金融租赁股份有限公司签订的《融资租赁合同》项下全部债务提供连带责任 保证，担保金额人民币</w:t>
      </w:r>
      <w:r>
        <w:rPr>
          <w:rFonts w:ascii="Times New Roman" w:eastAsia="Times New Roman" w:hAnsi="Times New Roman" w:cs="Times New Roman"/>
          <w:color w:val="000000"/>
          <w:spacing w:val="0"/>
          <w:w w:val="100"/>
          <w:position w:val="0"/>
        </w:rPr>
        <w:t>5,400</w:t>
      </w:r>
      <w:r>
        <w:rPr>
          <w:color w:val="000000"/>
          <w:spacing w:val="0"/>
          <w:w w:val="100"/>
          <w:position w:val="0"/>
        </w:rPr>
        <w:t>万元。</w:t>
      </w:r>
    </w:p>
    <w:p>
      <w:pPr>
        <w:pStyle w:val="Style16"/>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日，经公司第四届董事会第二十四次会议审议批准，公司为贵州登峰能源集团有限公司 与民生金融租赁股份有限公司签订的《融资租赁合同》项下全部债务提供连带责任保证，担保金额人民币 </w:t>
      </w:r>
      <w:r>
        <w:rPr>
          <w:rFonts w:ascii="Times New Roman" w:eastAsia="Times New Roman" w:hAnsi="Times New Roman" w:cs="Times New Roman"/>
          <w:color w:val="000000"/>
          <w:spacing w:val="0"/>
          <w:w w:val="100"/>
          <w:position w:val="0"/>
        </w:rPr>
        <w:t>17,600</w:t>
      </w:r>
      <w:r>
        <w:rPr>
          <w:color w:val="000000"/>
          <w:spacing w:val="0"/>
          <w:w w:val="100"/>
          <w:position w:val="0"/>
        </w:rPr>
        <w:t>万元。</w:t>
      </w:r>
    </w:p>
    <w:p>
      <w:pPr>
        <w:pStyle w:val="Style16"/>
        <w:keepNext w:val="0"/>
        <w:keepLines w:val="0"/>
        <w:widowControl w:val="0"/>
        <w:shd w:val="clear" w:color="auto" w:fill="auto"/>
        <w:bidi w:val="0"/>
        <w:spacing w:before="0" w:after="360" w:line="31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日，经公司第五届董事会第四次会议审议批准，公司以</w:t>
      </w:r>
      <w:r>
        <w:rPr>
          <w:rFonts w:ascii="Times New Roman" w:eastAsia="Times New Roman" w:hAnsi="Times New Roman" w:cs="Times New Roman"/>
          <w:color w:val="000000"/>
          <w:spacing w:val="0"/>
          <w:w w:val="100"/>
          <w:position w:val="0"/>
        </w:rPr>
        <w:t>20%</w:t>
      </w:r>
      <w:r>
        <w:rPr>
          <w:color w:val="000000"/>
          <w:spacing w:val="0"/>
          <w:w w:val="100"/>
          <w:position w:val="0"/>
        </w:rPr>
        <w:t>的持股比例占《人民币委托 贷款合同》的金额，为中国水电建设集团甘肃能源投资有限公司与哈密荣信新能源有限公司签署的</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万元《人民币委托贷款合同》中的</w:t>
      </w:r>
      <w:r>
        <w:rPr>
          <w:rFonts w:ascii="Times New Roman" w:eastAsia="Times New Roman" w:hAnsi="Times New Roman" w:cs="Times New Roman"/>
          <w:color w:val="000000"/>
          <w:spacing w:val="0"/>
          <w:w w:val="100"/>
          <w:position w:val="0"/>
        </w:rPr>
        <w:t>4,000</w:t>
      </w:r>
      <w:r>
        <w:rPr>
          <w:color w:val="000000"/>
          <w:spacing w:val="0"/>
          <w:w w:val="100"/>
          <w:position w:val="0"/>
        </w:rPr>
        <w:t>万元委托贷款提供连带责任保证。</w:t>
      </w:r>
    </w:p>
    <w:p>
      <w:pPr>
        <w:pStyle w:val="Style25"/>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r>
        <w:rPr>
          <w:color w:val="000000"/>
          <w:spacing w:val="0"/>
          <w:w w:val="100"/>
          <w:position w:val="0"/>
          <w:sz w:val="24"/>
          <w:szCs w:val="24"/>
        </w:rPr>
        <w:t>十、资产负债表日后事项</w:t>
      </w:r>
      <w:bookmarkEnd w:id="1116"/>
      <w:bookmarkEnd w:id="1117"/>
      <w:bookmarkEnd w:id="1118"/>
    </w:p>
    <w:p>
      <w:pPr>
        <w:pStyle w:val="Style34"/>
        <w:keepNext/>
        <w:keepLines/>
        <w:widowControl w:val="0"/>
        <w:shd w:val="clear" w:color="auto" w:fill="auto"/>
        <w:bidi w:val="0"/>
        <w:spacing w:before="0" w:after="360" w:line="313" w:lineRule="exact"/>
        <w:ind w:left="0" w:right="0" w:firstLine="0"/>
        <w:jc w:val="left"/>
      </w:pPr>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119"/>
      <w:bookmarkEnd w:id="1120"/>
      <w:bookmarkEnd w:id="11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10,080,000.00</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r>
        <w:rPr>
          <w:color w:val="000000"/>
          <w:spacing w:val="0"/>
          <w:w w:val="100"/>
          <w:position w:val="0"/>
          <w:sz w:val="24"/>
          <w:szCs w:val="24"/>
        </w:rPr>
        <w:t>十一、其他重要事项</w:t>
      </w:r>
      <w:bookmarkEnd w:id="1122"/>
      <w:bookmarkEnd w:id="1123"/>
      <w:bookmarkEnd w:id="1124"/>
    </w:p>
    <w:p>
      <w:pPr>
        <w:pStyle w:val="Style34"/>
        <w:keepNext/>
        <w:keepLines/>
        <w:widowControl w:val="0"/>
        <w:shd w:val="clear" w:color="auto" w:fill="auto"/>
        <w:tabs>
          <w:tab w:pos="373" w:val="left"/>
        </w:tabs>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color w:val="000000"/>
          <w:spacing w:val="0"/>
          <w:w w:val="100"/>
          <w:position w:val="0"/>
        </w:rPr>
        <w:t>、</w:t>
        <w:tab/>
        <w:t>企业合并</w:t>
      </w:r>
      <w:bookmarkEnd w:id="1125"/>
      <w:bookmarkEnd w:id="1126"/>
      <w:bookmarkEnd w:id="112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企业合并情况详见本财务报表附注企业合并及合并财务报表之说明。</w:t>
      </w:r>
    </w:p>
    <w:p>
      <w:pPr>
        <w:pStyle w:val="Style34"/>
        <w:keepNext/>
        <w:keepLines/>
        <w:widowControl w:val="0"/>
        <w:shd w:val="clear" w:color="auto" w:fill="auto"/>
        <w:tabs>
          <w:tab w:pos="382" w:val="left"/>
        </w:tabs>
        <w:bidi w:val="0"/>
        <w:spacing w:before="0" w:after="36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color w:val="000000"/>
          <w:spacing w:val="0"/>
          <w:w w:val="100"/>
          <w:position w:val="0"/>
        </w:rPr>
        <w:t>、</w:t>
        <w:tab/>
        <w:t>以公允价值计量的资产和负债</w:t>
      </w:r>
      <w:bookmarkEnd w:id="1129"/>
      <w:bookmarkEnd w:id="1130"/>
      <w:bookmarkEnd w:id="11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3"/>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left"/>
      </w:pPr>
      <w:bookmarkStart w:id="1133" w:name="bookmark1133"/>
      <w:bookmarkStart w:id="1134" w:name="bookmark1134"/>
      <w:bookmarkStart w:id="1135" w:name="bookmark1135"/>
      <w:r>
        <w:rPr>
          <w:color w:val="000000"/>
          <w:spacing w:val="0"/>
          <w:w w:val="100"/>
          <w:position w:val="0"/>
          <w:sz w:val="24"/>
          <w:szCs w:val="24"/>
        </w:rPr>
        <w:t>十二、母公司财务报表主要项目注释</w:t>
      </w:r>
      <w:bookmarkEnd w:id="1133"/>
      <w:bookmarkEnd w:id="1134"/>
      <w:bookmarkEnd w:id="1135"/>
    </w:p>
    <w:p>
      <w:pPr>
        <w:pStyle w:val="Style34"/>
        <w:keepNext/>
        <w:keepLines/>
        <w:widowControl w:val="0"/>
        <w:shd w:val="clear" w:color="auto" w:fill="auto"/>
        <w:bidi w:val="0"/>
        <w:spacing w:before="0" w:after="340" w:line="240" w:lineRule="auto"/>
        <w:ind w:left="0" w:right="0" w:firstLine="0"/>
        <w:jc w:val="left"/>
      </w:pPr>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36"/>
      <w:bookmarkEnd w:id="1137"/>
      <w:bookmarkEnd w:id="1138"/>
    </w:p>
    <w:p>
      <w:pPr>
        <w:pStyle w:val="Style34"/>
        <w:keepNext/>
        <w:keepLines/>
        <w:widowControl w:val="0"/>
        <w:shd w:val="clear" w:color="auto" w:fill="auto"/>
        <w:bidi w:val="0"/>
        <w:spacing w:before="0" w:after="340" w:line="240" w:lineRule="auto"/>
        <w:ind w:left="0" w:right="0" w:firstLine="0"/>
        <w:jc w:val="left"/>
      </w:pPr>
      <w:bookmarkStart w:id="1136" w:name="bookmark1136"/>
      <w:bookmarkStart w:id="1137" w:name="bookmark1137"/>
      <w:bookmarkStart w:id="1139" w:name="bookmark11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36"/>
      <w:bookmarkEnd w:id="1137"/>
      <w:bookmarkEnd w:id="11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528"/>
        <w:gridCol w:w="1330"/>
        <w:gridCol w:w="667"/>
        <w:gridCol w:w="1190"/>
        <w:gridCol w:w="667"/>
        <w:gridCol w:w="1330"/>
        <w:gridCol w:w="67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1,364,226,123.</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86.74</w:t>
            </w:r>
          </w:p>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149,503,940.56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1,279,031,533.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120,268,712.02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198,306,581.82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12.61</w:t>
            </w:r>
          </w:p>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13,013,674.25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1,562,532,705.</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99.35</w:t>
            </w:r>
          </w:p>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149,503,940.56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1,292,045,207.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120,268,712.02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10,249,556.49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10,249,556.49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8,136,679.01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8,136,679.01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1,572,782,261.</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159,753,497.05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1,300,181,886.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128,405,391.03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346" w:lineRule="exact"/>
        <w:ind w:left="0" w:right="0" w:firstLine="0"/>
        <w:jc w:val="left"/>
      </w:pPr>
      <w:r>
        <w:rPr>
          <w:color w:val="000000"/>
          <w:spacing w:val="0"/>
          <w:w w:val="100"/>
          <w:position w:val="0"/>
        </w:rPr>
        <w:t>组合中，采用账龄分析法计提坏账准备的应收账款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597,693,701.93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29,884,685.08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734,171,133.18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36,708,556.66</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597,693,701.93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29,884,685.08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734,171,133.18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36,708,556.66</w:t>
            </w:r>
          </w:p>
        </w:tc>
      </w:tr>
    </w:tbl>
    <w:p>
      <w:pPr>
        <w:widowControl w:val="0"/>
        <w:spacing w:line="1" w:lineRule="exact"/>
      </w:pPr>
      <w:r>
        <w:br w:type="page"/>
      </w:r>
    </w:p>
    <w:tbl>
      <w:tblPr>
        <w:tblOverlap w:val="never"/>
        <w:jc w:val="center"/>
        <w:tblLayout w:type="fixed"/>
      </w:tblPr>
      <w:tblGrid>
        <w:gridCol w:w="1070"/>
        <w:gridCol w:w="1992"/>
        <w:gridCol w:w="662"/>
        <w:gridCol w:w="1464"/>
        <w:gridCol w:w="2126"/>
        <w:gridCol w:w="662"/>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454,683,242.83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45,468,324.28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348,066,965.16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34,806,696.52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194,038,223.83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38,807,644.77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102,845,716.40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20,569,143.28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117,810,954.73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35,343,286.43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93,947,718.51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28,184,315.56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61,050,474.75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18,315,142.43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62,555,534.82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18,766,660.45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32,241,625.26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9,672,487.58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24,820,524.93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7,446,157.48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24,518,854.72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7,355,656.42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6,571,658.76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1,971,497.63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1,364,226,123.32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149,503,940.56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1,279,031,533.25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120,268,712.02</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合计共</w:t>
            </w:r>
            <w:r>
              <w:rPr>
                <w:rFonts w:ascii="Times New Roman" w:eastAsia="Times New Roman" w:hAnsi="Times New Roman" w:cs="Times New Roman"/>
                <w:color w:val="000000"/>
                <w:spacing w:val="0"/>
                <w:w w:val="100"/>
                <w:position w:val="0"/>
              </w:rPr>
              <w:t>32</w:t>
            </w:r>
            <w:r>
              <w:rPr>
                <w:color w:val="000000"/>
                <w:spacing w:val="0"/>
                <w:w w:val="100"/>
                <w:position w:val="0"/>
              </w:rPr>
              <w:t>家客户应收账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10,249,556.49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10,249,556.49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账龄较长预计，无法收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10,249,556.49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10,249,556.49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40" w:name="bookmark1140"/>
      <w:bookmarkStart w:id="1141" w:name="bookmark1141"/>
      <w:bookmarkStart w:id="1142" w:name="bookmark11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140"/>
      <w:bookmarkEnd w:id="1141"/>
      <w:bookmarkEnd w:id="11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09"/>
        <w:gridCol w:w="1862"/>
        <w:gridCol w:w="1915"/>
        <w:gridCol w:w="189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转回或收回金额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山西海鑫国际钢铁有限公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催收回款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账龄较长预计无法收回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143"/>
      <w:bookmarkEnd w:id="1144"/>
      <w:bookmarkEnd w:id="11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603"/>
        <w:gridCol w:w="1574"/>
        <w:gridCol w:w="161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合计共</w:t>
            </w:r>
            <w:r>
              <w:rPr>
                <w:rFonts w:ascii="Times New Roman" w:eastAsia="Times New Roman" w:hAnsi="Times New Roman" w:cs="Times New Roman"/>
                <w:color w:val="000000"/>
                <w:spacing w:val="0"/>
                <w:w w:val="100"/>
                <w:position w:val="0"/>
              </w:rPr>
              <w:t>9</w:t>
            </w:r>
            <w:r>
              <w:rPr>
                <w:color w:val="000000"/>
                <w:spacing w:val="0"/>
                <w:w w:val="100"/>
                <w:position w:val="0"/>
              </w:rPr>
              <w:t>家客户应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5,621,114.80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无法获取可收回的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相关证据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5,621,114.80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4"/>
        <w:keepNext/>
        <w:keepLines/>
        <w:widowControl w:val="0"/>
        <w:numPr>
          <w:ilvl w:val="0"/>
          <w:numId w:val="27"/>
        </w:numPr>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应收账款中金额前五名单位情况</w:t>
      </w:r>
      <w:bookmarkEnd w:id="1147"/>
      <w:bookmarkEnd w:id="1148"/>
      <w:bookmarkEnd w:id="11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沈阳透平机械股份有限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56,515,752.00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中国南方电风有限责任 公司超高压输电公司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44,497,146.00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沈阳鼓风机集团自动控 制系统工程有限公司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38,283,520.22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北京能高自动化技术股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大唐</w:t>
            </w:r>
            <w:r>
              <w:rPr>
                <w:rFonts w:ascii="Times New Roman" w:eastAsia="Times New Roman" w:hAnsi="Times New Roman" w:cs="Times New Roman"/>
                <w:color w:val="000000"/>
                <w:spacing w:val="0"/>
                <w:w w:val="100"/>
                <w:position w:val="0"/>
              </w:rPr>
              <w:t>(</w:t>
            </w:r>
            <w:r>
              <w:rPr>
                <w:color w:val="000000"/>
                <w:spacing w:val="0"/>
                <w:w w:val="100"/>
                <w:position w:val="0"/>
              </w:rPr>
              <w:t>通辽</w:t>
            </w:r>
            <w:r>
              <w:rPr>
                <w:rFonts w:ascii="Times New Roman" w:eastAsia="Times New Roman" w:hAnsi="Times New Roman" w:cs="Times New Roman"/>
                <w:color w:val="000000"/>
                <w:spacing w:val="0"/>
                <w:w w:val="100"/>
                <w:position w:val="0"/>
              </w:rPr>
              <w:t>)</w:t>
            </w:r>
            <w:r>
              <w:rPr>
                <w:color w:val="000000"/>
                <w:spacing w:val="0"/>
                <w:w w:val="100"/>
                <w:position w:val="0"/>
              </w:rPr>
              <w:t>霍林河新能</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205,496,418.22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w:t>
            </w:r>
          </w:p>
        </w:tc>
      </w:tr>
    </w:tbl>
    <w:p>
      <w:pPr>
        <w:widowControl w:val="0"/>
        <w:spacing w:after="319" w:line="1" w:lineRule="exact"/>
      </w:pPr>
    </w:p>
    <w:p>
      <w:pPr>
        <w:pStyle w:val="Style34"/>
        <w:keepNext/>
        <w:keepLines/>
        <w:widowControl w:val="0"/>
        <w:numPr>
          <w:ilvl w:val="0"/>
          <w:numId w:val="27"/>
        </w:numPr>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应收关联方账款情况</w:t>
      </w:r>
      <w:bookmarkEnd w:id="1151"/>
      <w:bookmarkEnd w:id="1152"/>
      <w:bookmarkEnd w:id="11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38"/>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中煤科创节能技术有限公司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3,663,684.00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3,663,684.00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55"/>
      <w:bookmarkEnd w:id="1156"/>
      <w:bookmarkEnd w:id="1157"/>
    </w:p>
    <w:p>
      <w:pPr>
        <w:pStyle w:val="Style34"/>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8" w:name="bookmark11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55"/>
      <w:bookmarkEnd w:id="1156"/>
      <w:bookmarkEnd w:id="11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33"/>
        <w:gridCol w:w="1315"/>
        <w:gridCol w:w="523"/>
        <w:gridCol w:w="1195"/>
        <w:gridCol w:w="5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25,745,560.15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3,118,943.10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35,365,281.32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3,906,600.38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25,745,560.15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3,118,943.10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35,365,281.32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3,906,600.38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25,745,560.15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3,118,943.10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35,365,281.32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3,906,600.38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r>
        <w:br w:type="page"/>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组合中，采用账龄分析法计提坏账准备的其他应收款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14,354,397.53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717,719.88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21,976,418.09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1,098,820.90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14,354,397.53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717,719.88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21,976,418.09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1,098,820.90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3,635,568.04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363,556.80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5,191,211.73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519,121.17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2,890,119.58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578,023.92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1,706,371.50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341,274.30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4,865,475.00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1,459,642.50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6,491,280.00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1,947,384.01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1,100,527.00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330,158.10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2,929,817.00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878,945.11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1,998,867.00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599,660.10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3,176,060.00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952,818.00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1,766,081.00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529,824.30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115,620.90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25,745,560.15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3,118,943.10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35,365,281.32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3,906,600.38</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159"/>
      <w:bookmarkEnd w:id="1160"/>
      <w:bookmarkEnd w:id="11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中国电能成套设备有限 公司北京分公司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916,300.00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广铁集团焦柳铁路洛张 电改工程建设指挥部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899,000.00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中招国际招标公司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赛维</w:t>
            </w:r>
            <w:r>
              <w:rPr>
                <w:rFonts w:ascii="Times New Roman" w:eastAsia="Times New Roman" w:hAnsi="Times New Roman" w:cs="Times New Roman"/>
                <w:color w:val="000000"/>
                <w:spacing w:val="0"/>
                <w:w w:val="100"/>
                <w:position w:val="0"/>
              </w:rPr>
              <w:t>LDK</w:t>
            </w:r>
            <w:r>
              <w:rPr>
                <w:color w:val="000000"/>
                <w:spacing w:val="0"/>
                <w:w w:val="100"/>
                <w:position w:val="0"/>
              </w:rPr>
              <w:t>光伏科技</w:t>
            </w:r>
            <w:r>
              <w:rPr>
                <w:rFonts w:ascii="Times New Roman" w:eastAsia="Times New Roman" w:hAnsi="Times New Roman" w:cs="Times New Roman"/>
                <w:color w:val="000000"/>
                <w:spacing w:val="0"/>
                <w:w w:val="100"/>
                <w:position w:val="0"/>
              </w:rPr>
              <w:t>(</w:t>
            </w:r>
            <w:r>
              <w:rPr>
                <w:color w:val="000000"/>
                <w:spacing w:val="0"/>
                <w:w w:val="100"/>
                <w:position w:val="0"/>
              </w:rPr>
              <w:t>合 肥</w:t>
            </w:r>
            <w:r>
              <w:rPr>
                <w:rFonts w:ascii="Times New Roman" w:eastAsia="Times New Roman" w:hAnsi="Times New Roman" w:cs="Times New Roman"/>
                <w:color w:val="000000"/>
                <w:spacing w:val="0"/>
                <w:w w:val="100"/>
                <w:position w:val="0"/>
              </w:rPr>
              <w:t>)</w:t>
            </w:r>
            <w:r>
              <w:rPr>
                <w:color w:val="000000"/>
                <w:spacing w:val="0"/>
                <w:w w:val="100"/>
                <w:position w:val="0"/>
              </w:rPr>
              <w:t>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4,821,300.00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color w:val="000000"/>
          <w:spacing w:val="0"/>
          <w:w w:val="100"/>
          <w:position w:val="0"/>
        </w:rPr>
        <w:t>、长期股权投资</w:t>
      </w:r>
      <w:bookmarkEnd w:id="1162"/>
      <w:bookmarkEnd w:id="1163"/>
      <w:bookmarkEnd w:id="11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36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诚和伟业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荣信嘉时</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电气传动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信力筑正</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诚和龙盛</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上海地澳</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荣科恒阳</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荣华恒信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荣信防爆</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18,092,86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18,092,86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18,092,86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荣信电机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荣信众腾</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荣信光伏 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9,008,004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5,808,004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9,008,004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荣信电气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22,509,73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22,509,73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22,509,73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南京荣信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荣信慧科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荣科博信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荣西电力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27,893,70</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27,893,70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27,893,70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广州邦建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荣信瑞科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广州高澜 节能技术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图木舒克 荣信公司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12,000,00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哈密荣信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17,000,00</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5,715,304</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15,715,30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新疆荣信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40,000,00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电力工程</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JLT</w:t>
            </w: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15,293,93</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5,091,559</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10,202,37</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15,293,93</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西安荣信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泰信新能 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2,954,195</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-2,954,19</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山东荣信 汇盛机电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15,137,60</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13,570,91</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-2,740,37</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10,830,53</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中煤科创 节能技术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26,475,10</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25,750,99</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-1,836,54</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23,914,44</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荣信中科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337,260,9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267,921,9</w:t>
            </w:r>
          </w:p>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61,186,55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329,108,5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4</w:t>
      </w:r>
      <w:bookmarkEnd w:id="1168"/>
      <w:r>
        <w:rPr>
          <w:color w:val="000000"/>
          <w:spacing w:val="0"/>
          <w:w w:val="100"/>
          <w:position w:val="0"/>
        </w:rPr>
        <w:t>、营业收入和营业成本</w:t>
      </w:r>
      <w:bookmarkEnd w:id="1166"/>
      <w:bookmarkEnd w:id="1167"/>
      <w:bookmarkEnd w:id="1169"/>
    </w:p>
    <w:p>
      <w:pPr>
        <w:pStyle w:val="Style34"/>
        <w:keepNext/>
        <w:keepLines/>
        <w:widowControl w:val="0"/>
        <w:shd w:val="clear" w:color="auto" w:fill="auto"/>
        <w:bidi w:val="0"/>
        <w:spacing w:before="0" w:after="360" w:line="240" w:lineRule="auto"/>
        <w:ind w:left="0" w:right="0" w:firstLine="0"/>
        <w:jc w:val="left"/>
      </w:pPr>
      <w:bookmarkStart w:id="1166" w:name="bookmark1166"/>
      <w:bookmarkStart w:id="1167" w:name="bookmark1167"/>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166"/>
      <w:bookmarkEnd w:id="1167"/>
      <w:bookmarkEnd w:id="11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1"/>
        <w:gridCol w:w="36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1,144,141,834.47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1,083,731,360.13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1,144,141,834.47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1,083,731,360.13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735,142,459.00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638,465,653.85</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71"/>
      <w:bookmarkEnd w:id="1172"/>
      <w:bookmarkEnd w:id="11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节能大功率电力电子设备制 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1,144,141,834.47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735,142,459.00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1,083,731,360.13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638,465,653.85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1,144,141,834.47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735,142,459.00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1,083,731,360.13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638,465,653.85</w:t>
            </w:r>
          </w:p>
        </w:tc>
      </w:tr>
    </w:tbl>
    <w:p>
      <w:pPr>
        <w:widowControl w:val="0"/>
        <w:spacing w:after="299" w:line="1" w:lineRule="exact"/>
      </w:pPr>
    </w:p>
    <w:p>
      <w:pPr>
        <w:pStyle w:val="Style34"/>
        <w:keepNext/>
        <w:keepLines/>
        <w:widowControl w:val="0"/>
        <w:numPr>
          <w:ilvl w:val="0"/>
          <w:numId w:val="29"/>
        </w:numPr>
        <w:shd w:val="clear" w:color="auto" w:fill="auto"/>
        <w:bidi w:val="0"/>
        <w:spacing w:before="0" w:after="36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主营业务(分产品)</w:t>
      </w:r>
      <w:bookmarkEnd w:id="1174"/>
      <w:bookmarkEnd w:id="1175"/>
      <w:bookmarkEnd w:id="11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电能质量与电力安全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675,751,832.22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402,058,265.33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722,181,310.11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366,643,338.05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变频传动与新能源控制系统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377,985,085.53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283,509,670.85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244,381,559.17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203,090,621.87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90,404,916.72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49,574,522.82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117,168,490.85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68,731,693.93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1,144,141,834.47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735,142,459.00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1,083,731,360.13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638,465,653.85</w:t>
            </w:r>
          </w:p>
        </w:tc>
      </w:tr>
    </w:tbl>
    <w:p>
      <w:pPr>
        <w:widowControl w:val="0"/>
        <w:spacing w:after="299" w:line="1" w:lineRule="exact"/>
      </w:pPr>
    </w:p>
    <w:p>
      <w:pPr>
        <w:pStyle w:val="Style34"/>
        <w:keepNext/>
        <w:keepLines/>
        <w:widowControl w:val="0"/>
        <w:numPr>
          <w:ilvl w:val="0"/>
          <w:numId w:val="29"/>
        </w:numPr>
        <w:shd w:val="clear" w:color="auto" w:fill="auto"/>
        <w:bidi w:val="0"/>
        <w:spacing w:before="0" w:after="360" w:line="240" w:lineRule="auto"/>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主营业务(分地区)</w:t>
      </w:r>
      <w:bookmarkEnd w:id="1178"/>
      <w:bookmarkEnd w:id="1179"/>
      <w:bookmarkEnd w:id="11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1,104,708,176.66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713,211,431.11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1,018,248,878.54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609,108,759.11</w:t>
            </w:r>
          </w:p>
        </w:tc>
      </w:tr>
    </w:tbl>
    <w:p>
      <w:pPr>
        <w:widowControl w:val="0"/>
        <w:spacing w:line="1" w:lineRule="exact"/>
      </w:pPr>
      <w:r>
        <w:br w:type="page"/>
      </w:r>
    </w:p>
    <w:tbl>
      <w:tblPr>
        <w:tblOverlap w:val="never"/>
        <w:jc w:val="center"/>
        <w:tblLayout w:type="fixed"/>
      </w:tblPr>
      <w:tblGrid>
        <w:gridCol w:w="2266"/>
        <w:gridCol w:w="1858"/>
        <w:gridCol w:w="1862"/>
        <w:gridCol w:w="1862"/>
        <w:gridCol w:w="1733"/>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39,433,657.81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21,931,027.89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65,482,481.59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29,356,894.74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1,144,141,834.47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735,142,459.00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1,083,731,360.13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638,465,653.85</w:t>
            </w:r>
          </w:p>
        </w:tc>
      </w:tr>
    </w:tbl>
    <w:p>
      <w:pPr>
        <w:widowControl w:val="0"/>
        <w:spacing w:after="319" w:line="1" w:lineRule="exact"/>
      </w:pPr>
    </w:p>
    <w:p>
      <w:pPr>
        <w:pStyle w:val="Style34"/>
        <w:keepNext/>
        <w:keepLines/>
        <w:widowControl w:val="0"/>
        <w:numPr>
          <w:ilvl w:val="0"/>
          <w:numId w:val="29"/>
        </w:numPr>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公司来自前五名客户的营业收入情况</w:t>
      </w:r>
      <w:bookmarkEnd w:id="1182"/>
      <w:bookmarkEnd w:id="1183"/>
      <w:bookmarkEnd w:id="11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2923"/>
        <w:gridCol w:w="187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中国能源建设集团广东省电力设计研究院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157,997,435.93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广州供电局有限公司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116,733,333.30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沈阳透平机械股份有限公司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72,661,389.72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广东电网公司东莞供电局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60,487,197.65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北京能高自动化技术股份有限公司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48,376,068.39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456,255,424.99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39.88%</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5</w:t>
      </w:r>
      <w:bookmarkEnd w:id="1188"/>
      <w:r>
        <w:rPr>
          <w:color w:val="000000"/>
          <w:spacing w:val="0"/>
          <w:w w:val="100"/>
          <w:position w:val="0"/>
        </w:rPr>
        <w:t>、投资收益</w:t>
      </w:r>
      <w:bookmarkEnd w:id="1186"/>
      <w:bookmarkEnd w:id="1187"/>
      <w:bookmarkEnd w:id="1189"/>
    </w:p>
    <w:p>
      <w:pPr>
        <w:pStyle w:val="Style34"/>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90" w:name="bookmark11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186"/>
      <w:bookmarkEnd w:id="1187"/>
      <w:bookmarkEnd w:id="11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6"/>
        <w:gridCol w:w="2520"/>
        <w:gridCol w:w="25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2,313,000.00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-4,322,914.36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-611,972.09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-6,895,696.76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4,900,000.00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156,058,022.79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150,152,411.67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5,788,027.91</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191" w:name="bookmark1191"/>
      <w:bookmarkStart w:id="1192" w:name="bookmark1192"/>
      <w:bookmarkStart w:id="1193" w:name="bookmark11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191"/>
      <w:bookmarkEnd w:id="1192"/>
      <w:bookmarkEnd w:id="11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荣信防爆公司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子公司上交利润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荣信电机公司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子公司上交利润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2,313,000.00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194"/>
      <w:bookmarkEnd w:id="1195"/>
      <w:bookmarkEnd w:id="11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中煤科创节能技术有限公司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-1,836,546.61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235,932.55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山东荣信汇盛机电科技有限公司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-2,740,376.09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-847,904.64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哈密荣信公司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-4,322,914.36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-611,972.09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投资收益的说明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本公司不存在投资收益汇回的重大限制。</w:t>
      </w:r>
    </w:p>
    <w:p>
      <w:pPr>
        <w:pStyle w:val="Style34"/>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6</w:t>
      </w:r>
      <w:bookmarkEnd w:id="1200"/>
      <w:r>
        <w:rPr>
          <w:color w:val="000000"/>
          <w:spacing w:val="0"/>
          <w:w w:val="100"/>
          <w:position w:val="0"/>
        </w:rPr>
        <w:t>、现金流量表补充资料</w:t>
      </w:r>
      <w:bookmarkEnd w:id="1198"/>
      <w:bookmarkEnd w:id="1199"/>
      <w:bookmarkEnd w:id="12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4"/>
        <w:gridCol w:w="2261"/>
        <w:gridCol w:w="22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130,834,850.44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134,450,619.23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36,341,699.45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31,400,185.51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29,365,400.40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25,450,165.51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798,409.56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1,178,573.12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-207,776.85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311,595.46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46,041,758.06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38,338,158.57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-150,152,411.67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-5,788,027.91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-4,723,986.30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551,279.64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6,244,433.50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-52,338,886.65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-82,196,770.53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-392,157,355.95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-378,865,626.39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300,203,881.78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159,216,818.17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-55,994,417.73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-69,712,946.61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556,302,886.47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354,008,604.61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354,008,604.61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345,871,248.76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202,294,281.86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8,137,355.85</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r>
        <w:rPr>
          <w:color w:val="000000"/>
          <w:spacing w:val="0"/>
          <w:w w:val="100"/>
          <w:position w:val="0"/>
          <w:sz w:val="24"/>
          <w:szCs w:val="24"/>
        </w:rPr>
        <w:t>十三、补充资料</w:t>
      </w:r>
      <w:bookmarkEnd w:id="1202"/>
      <w:bookmarkEnd w:id="1203"/>
      <w:bookmarkEnd w:id="1204"/>
    </w:p>
    <w:p>
      <w:pPr>
        <w:pStyle w:val="Style34"/>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205"/>
      <w:bookmarkEnd w:id="1206"/>
      <w:bookmarkEnd w:id="12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-1,610,331.91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固定资产、长期股权投资处置净 损益</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21,930,439.64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156,058,022.79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处置可供出售金融资产取得的 投资收益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1,775,699.85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26,804,539.65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451,591.84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151,357,698.88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66"/>
        <w:gridCol w:w="2126"/>
        <w:gridCol w:w="51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59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44,132,737.04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根据财政部《关于软件产品增值税政策的通知》（财税〔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号），增值税一般纳税人销售其自行开发生产的软件产品，按</w:t>
            </w:r>
            <w:r>
              <w:rPr>
                <w:rFonts w:ascii="Times New Roman" w:eastAsia="Times New Roman" w:hAnsi="Times New Roman" w:cs="Times New Roman"/>
                <w:color w:val="000000"/>
                <w:spacing w:val="0"/>
                <w:w w:val="100"/>
                <w:position w:val="0"/>
              </w:rPr>
              <w:t xml:space="preserve">17% </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 即退政策。本公司及部分子公司于以前年度被认定为软件企业， 销售自行开发生产的软件产品享受增值税实际税负超过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 分即征即退政策，增值税软件产品退税政策是国家制定的软件企 业长期享有的税收优惠政策，该项政策与公司正常的经营业务密 切相关，为经常性损益。</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208"/>
      <w:bookmarkEnd w:id="1209"/>
      <w:bookmarkEnd w:id="121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84"/>
        <w:gridCol w:w="1901"/>
        <w:gridCol w:w="195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、公司主要会计报表项目的异常情况及原因的说明</w:t>
      </w:r>
    </w:p>
    <w:tbl>
      <w:tblPr>
        <w:tblOverlap w:val="never"/>
        <w:jc w:val="left"/>
        <w:tblLayout w:type="fixed"/>
      </w:tblPr>
      <w:tblGrid>
        <w:gridCol w:w="1714"/>
        <w:gridCol w:w="1555"/>
        <w:gridCol w:w="1560"/>
        <w:gridCol w:w="850"/>
        <w:gridCol w:w="2674"/>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变动幅</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变动原因说明</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207,900,000.00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本期将恒顺电气公司股票全 部减持所致。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80,747,524.70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本期开发支出项目完工转入 固定资产和无形资产所致。</w:t>
            </w:r>
          </w:p>
        </w:tc>
      </w:tr>
      <w:tr>
        <w:trPr>
          <w:trHeight w:val="9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28,702,722.46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2,222,675.23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1,191.36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上期母公司递延所得税资产 和递延所得税负债互抵所 致。</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5,100,000.00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本期北京中科公司办理完毕 工商登记所致。</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220,030,000.00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445,000,000.00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本期归还借款所致。</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369,145,044.07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257,115,237.93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本期票据结算增加所致。</w:t>
            </w:r>
          </w:p>
        </w:tc>
      </w:tr>
      <w:tr>
        <w:trPr>
          <w:trHeight w:val="9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15,183,545.93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11,052,155.77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本期应纳税所得额增加及子 公司税收优惠减少导致企业 所得税增加所致。</w:t>
            </w: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34,766,136.99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24,315,573.77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本期公司债券利息增加所致</w:t>
            </w:r>
          </w:p>
        </w:tc>
      </w:tr>
      <w:tr>
        <w:trPr>
          <w:trHeight w:val="65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一年内到期的非流</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本期将于一年内到期的长期 借款重分类所致。</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本期归还短期债券所致。</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本期将于一年内到期的长期 借款重分类所致。</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本期新发行公司债券所致。</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22,585,577.00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本期新增融资款所致。</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6,244,433.50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上期母公司递延所得税资产 和递延所得税负债互抵所致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利润表项目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变动幅</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变动原因说明</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894,371,870.05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661,675,739.70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本期单位产品成本增加所 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254,917,095.95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192,706,898.29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本期维修调试费、市场开拓 费用增加所致。</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153,295,062.18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5,788,027.91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2,548.49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本期将恒顺电气公司股票全 部减持所致。</w:t>
            </w:r>
          </w:p>
        </w:tc>
      </w:tr>
      <w:tr>
        <w:trPr>
          <w:trHeight w:val="66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32,679,772.52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20,810,796.17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57.03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本期应纳税所得额增加及子 公司税收优惠减少所致。</w:t>
            </w:r>
          </w:p>
        </w:tc>
      </w:tr>
    </w:tbl>
    <w:p>
      <w:pPr>
        <w:pStyle w:val="Style14"/>
        <w:keepNext/>
        <w:keepLines/>
        <w:widowControl w:val="0"/>
        <w:shd w:val="clear" w:color="auto" w:fill="auto"/>
        <w:bidi w:val="0"/>
        <w:spacing w:before="0" w:after="380" w:line="240" w:lineRule="auto"/>
        <w:ind w:left="0" w:right="0" w:firstLine="0"/>
        <w:jc w:val="center"/>
      </w:pPr>
      <w:bookmarkStart w:id="1211" w:name="bookmark1211"/>
      <w:bookmarkStart w:id="1212" w:name="bookmark1212"/>
      <w:bookmarkStart w:id="1213" w:name="bookmark1213"/>
      <w:r>
        <w:rPr>
          <w:color w:val="000000"/>
          <w:spacing w:val="0"/>
          <w:w w:val="100"/>
          <w:position w:val="0"/>
        </w:rPr>
        <w:t>第十一节备查文件目录</w:t>
      </w:r>
      <w:bookmarkEnd w:id="1211"/>
      <w:bookmarkEnd w:id="1212"/>
      <w:bookmarkEnd w:id="1213"/>
    </w:p>
    <w:p>
      <w:pPr>
        <w:pStyle w:val="Style16"/>
        <w:keepNext w:val="0"/>
        <w:keepLines w:val="0"/>
        <w:widowControl w:val="0"/>
        <w:shd w:val="clear" w:color="auto" w:fill="auto"/>
        <w:tabs>
          <w:tab w:pos="944" w:val="left"/>
        </w:tabs>
        <w:bidi w:val="0"/>
        <w:spacing w:before="0" w:after="0" w:line="470" w:lineRule="exact"/>
        <w:ind w:left="0" w:right="0" w:firstLine="480"/>
        <w:jc w:val="left"/>
      </w:pPr>
      <w:bookmarkStart w:id="1214" w:name="bookmark1214"/>
      <w:r>
        <w:rPr>
          <w:color w:val="000000"/>
          <w:spacing w:val="0"/>
          <w:w w:val="100"/>
          <w:position w:val="0"/>
        </w:rPr>
        <w:t>一</w:t>
      </w:r>
      <w:bookmarkEnd w:id="1214"/>
      <w:r>
        <w:rPr>
          <w:color w:val="000000"/>
          <w:spacing w:val="0"/>
          <w:w w:val="100"/>
          <w:position w:val="0"/>
        </w:rPr>
        <w:t>、</w:t>
        <w:tab/>
        <w:t>载有公司董事、高管人员签名并加盖公司公章的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年年度报告全文及摘要。</w:t>
      </w:r>
    </w:p>
    <w:p>
      <w:pPr>
        <w:pStyle w:val="Style16"/>
        <w:keepNext w:val="0"/>
        <w:keepLines w:val="0"/>
        <w:widowControl w:val="0"/>
        <w:shd w:val="clear" w:color="auto" w:fill="auto"/>
        <w:tabs>
          <w:tab w:pos="954" w:val="left"/>
        </w:tabs>
        <w:bidi w:val="0"/>
        <w:spacing w:before="0" w:after="0" w:line="470" w:lineRule="exact"/>
        <w:ind w:left="0" w:right="0" w:firstLine="480"/>
        <w:jc w:val="both"/>
      </w:pPr>
      <w:bookmarkStart w:id="1215" w:name="bookmark1215"/>
      <w:r>
        <w:rPr>
          <w:color w:val="000000"/>
          <w:spacing w:val="0"/>
          <w:w w:val="100"/>
          <w:position w:val="0"/>
        </w:rPr>
        <w:t>二</w:t>
      </w:r>
      <w:bookmarkEnd w:id="1215"/>
      <w:r>
        <w:rPr>
          <w:color w:val="000000"/>
          <w:spacing w:val="0"/>
          <w:w w:val="100"/>
          <w:position w:val="0"/>
        </w:rPr>
        <w:t>、</w:t>
        <w:tab/>
        <w:t>载有法定代表人左强先生、主管会计工作的负责人戴东先生、会计机构负责人陈宏先生签名并盖 章的财务报告文本。</w:t>
      </w:r>
    </w:p>
    <w:p>
      <w:pPr>
        <w:pStyle w:val="Style16"/>
        <w:keepNext w:val="0"/>
        <w:keepLines w:val="0"/>
        <w:widowControl w:val="0"/>
        <w:shd w:val="clear" w:color="auto" w:fill="auto"/>
        <w:tabs>
          <w:tab w:pos="954" w:val="left"/>
        </w:tabs>
        <w:bidi w:val="0"/>
        <w:spacing w:before="0" w:after="0" w:line="470" w:lineRule="exact"/>
        <w:ind w:left="0" w:right="0" w:firstLine="480"/>
        <w:jc w:val="left"/>
      </w:pPr>
      <w:bookmarkStart w:id="1216" w:name="bookmark1216"/>
      <w:r>
        <w:rPr>
          <w:color w:val="000000"/>
          <w:spacing w:val="0"/>
          <w:w w:val="100"/>
          <w:position w:val="0"/>
        </w:rPr>
        <w:t>三</w:t>
      </w:r>
      <w:bookmarkEnd w:id="1216"/>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968" w:val="left"/>
        </w:tabs>
        <w:bidi w:val="0"/>
        <w:spacing w:before="0" w:after="0" w:line="470" w:lineRule="exact"/>
        <w:ind w:left="0" w:right="0" w:firstLine="480"/>
        <w:jc w:val="both"/>
      </w:pPr>
      <w:bookmarkStart w:id="1217" w:name="bookmark1217"/>
      <w:r>
        <w:rPr>
          <w:color w:val="000000"/>
          <w:spacing w:val="0"/>
          <w:w w:val="100"/>
          <w:position w:val="0"/>
        </w:rPr>
        <w:t>四</w:t>
      </w:r>
      <w:bookmarkEnd w:id="1217"/>
      <w:r>
        <w:rPr>
          <w:color w:val="000000"/>
          <w:spacing w:val="0"/>
          <w:w w:val="100"/>
          <w:position w:val="0"/>
        </w:rPr>
        <w:t>、</w:t>
        <w:tab/>
        <w:t>报告期内在《证券时报》、《中国证券报》及巨潮资讯网上公开披露过的所有公司文件的正本及 公告的原稿。</w:t>
      </w:r>
    </w:p>
    <w:p>
      <w:pPr>
        <w:pStyle w:val="Style16"/>
        <w:keepNext w:val="0"/>
        <w:keepLines w:val="0"/>
        <w:widowControl w:val="0"/>
        <w:shd w:val="clear" w:color="auto" w:fill="auto"/>
        <w:tabs>
          <w:tab w:pos="954" w:val="left"/>
        </w:tabs>
        <w:bidi w:val="0"/>
        <w:spacing w:before="0" w:after="0" w:line="470" w:lineRule="exact"/>
        <w:ind w:left="0" w:right="0" w:firstLine="480"/>
        <w:jc w:val="left"/>
      </w:pPr>
      <w:bookmarkStart w:id="1218" w:name="bookmark1218"/>
      <w:r>
        <w:rPr>
          <w:color w:val="000000"/>
          <w:spacing w:val="0"/>
          <w:w w:val="100"/>
          <w:position w:val="0"/>
        </w:rPr>
        <w:t>五</w:t>
      </w:r>
      <w:bookmarkEnd w:id="1218"/>
      <w:r>
        <w:rPr>
          <w:color w:val="000000"/>
          <w:spacing w:val="0"/>
          <w:w w:val="100"/>
          <w:position w:val="0"/>
        </w:rPr>
        <w:t>、</w:t>
        <w:tab/>
        <w:t>其他相关资料。</w:t>
      </w:r>
    </w:p>
    <w:p>
      <w:pPr>
        <w:pStyle w:val="Style16"/>
        <w:keepNext w:val="0"/>
        <w:keepLines w:val="0"/>
        <w:widowControl w:val="0"/>
        <w:shd w:val="clear" w:color="auto" w:fill="auto"/>
        <w:bidi w:val="0"/>
        <w:spacing w:before="0" w:after="3040" w:line="470" w:lineRule="exact"/>
        <w:ind w:left="0" w:right="0" w:firstLine="480"/>
        <w:jc w:val="left"/>
      </w:pPr>
      <w:r>
        <w:rPr>
          <w:color w:val="000000"/>
          <w:spacing w:val="0"/>
          <w:w w:val="100"/>
          <w:position w:val="0"/>
        </w:rPr>
        <w:t>以上备查文件的备置地点：公司证券事务部</w:t>
      </w:r>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荣信电力电子股份有限公司</w:t>
      </w:r>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法定代表人：左强</w:t>
      </w:r>
    </w:p>
    <w:p>
      <w:pPr>
        <w:pStyle w:val="Style75"/>
        <w:keepNext w:val="0"/>
        <w:keepLines w:val="0"/>
        <w:widowControl w:val="0"/>
        <w:shd w:val="clear" w:color="auto" w:fill="auto"/>
        <w:bidi w:val="0"/>
        <w:spacing w:before="0" w:after="220" w:line="240" w:lineRule="auto"/>
        <w:ind w:left="0" w:right="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335" w:right="1055" w:bottom="1450" w:left="105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6791960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999999999999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6751320</wp:posOffset>
              </wp:positionH>
              <wp:positionV relativeFrom="page">
                <wp:posOffset>9955530</wp:posOffset>
              </wp:positionV>
              <wp:extent cx="106680" cy="79375"/>
              <wp:wrapNone/>
              <wp:docPr id="9" name="Shape 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60000000000002pt;margin-top:783.89999999999998pt;width:8.4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4505960</wp:posOffset>
              </wp:positionH>
              <wp:positionV relativeFrom="page">
                <wp:posOffset>478790</wp:posOffset>
              </wp:positionV>
              <wp:extent cx="2328545" cy="106680"/>
              <wp:wrapNone/>
              <wp:docPr id="1" name="Shape 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荣信电力电子股份有限公司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80000000000001pt;margin-top:37.700000000000003pt;width:183.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荣信电力电子股份有限公司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4531995</wp:posOffset>
              </wp:positionH>
              <wp:positionV relativeFrom="page">
                <wp:posOffset>561340</wp:posOffset>
              </wp:positionV>
              <wp:extent cx="2328545" cy="106680"/>
              <wp:wrapNone/>
              <wp:docPr id="6" name="Shape 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荣信电力电子股份有限公司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56.85000000000002pt;margin-top:44.200000000000003pt;width:183.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荣信电力电子股份有限公司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50000000000001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val="0"/>
      <w:bCs w:val="0"/>
      <w:i w:val="0"/>
      <w:iCs w:val="0"/>
      <w:smallCaps w:val="0"/>
      <w:strike w:val="0"/>
      <w:sz w:val="36"/>
      <w:szCs w:val="36"/>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63">
    <w:name w:val="图片标题_"/>
    <w:basedOn w:val="DefaultParagraphFont"/>
    <w:link w:val="Style62"/>
    <w:rPr>
      <w:rFonts w:ascii="SimHei" w:eastAsia="SimHei" w:hAnsi="SimHei" w:cs="SimHei"/>
      <w:b w:val="0"/>
      <w:bCs w:val="0"/>
      <w:i w:val="0"/>
      <w:iCs w:val="0"/>
      <w:smallCaps w:val="0"/>
      <w:strike w:val="0"/>
      <w:sz w:val="20"/>
      <w:szCs w:val="20"/>
      <w:u w:val="none"/>
      <w:shd w:val="clear" w:color="auto" w:fill="auto"/>
    </w:rPr>
  </w:style>
  <w:style w:type="character" w:customStyle="1" w:styleId="CharStyle76">
    <w:name w:val="正文文本 (7)_"/>
    <w:basedOn w:val="DefaultParagraphFont"/>
    <w:link w:val="Style7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7">
    <w:name w:val="正文文本 (8)_"/>
    <w:basedOn w:val="DefaultParagraphFont"/>
    <w:link w:val="Style86"/>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380" w:after="790"/>
      <w:jc w:val="center"/>
      <w:outlineLvl w:val="0"/>
    </w:pPr>
    <w:rPr>
      <w:rFonts w:ascii="SimSun" w:eastAsia="SimSun" w:hAnsi="SimSun" w:cs="SimSun"/>
      <w:b w:val="0"/>
      <w:bCs w:val="0"/>
      <w:i w:val="0"/>
      <w:iCs w:val="0"/>
      <w:smallCaps w:val="0"/>
      <w:strike w:val="0"/>
      <w:sz w:val="36"/>
      <w:szCs w:val="36"/>
      <w:u w:val="none"/>
      <w:shd w:val="clear" w:color="auto" w:fill="auto"/>
    </w:rPr>
  </w:style>
  <w:style w:type="paragraph" w:customStyle="1" w:styleId="Style8">
    <w:name w:val="正文文本 (3)"/>
    <w:basedOn w:val="Normal"/>
    <w:link w:val="CharStyle9"/>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before="23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w:basedOn w:val="Normal"/>
    <w:link w:val="CharStyle17"/>
    <w:pPr>
      <w:widowControl w:val="0"/>
      <w:shd w:val="clear" w:color="auto" w:fill="auto"/>
      <w:spacing w:after="8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标题 #3"/>
    <w:basedOn w:val="Normal"/>
    <w:link w:val="CharStyle26"/>
    <w:pPr>
      <w:widowControl w:val="0"/>
      <w:shd w:val="clear" w:color="auto" w:fill="auto"/>
      <w:spacing w:after="300"/>
      <w:outlineLvl w:val="2"/>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正文文本 (2)"/>
    <w:basedOn w:val="Normal"/>
    <w:link w:val="CharStyle30"/>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标题 #4"/>
    <w:basedOn w:val="Normal"/>
    <w:link w:val="CharStyle35"/>
    <w:pPr>
      <w:widowControl w:val="0"/>
      <w:shd w:val="clear" w:color="auto" w:fill="auto"/>
      <w:spacing w:after="250" w:line="461"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图片标题"/>
    <w:basedOn w:val="Normal"/>
    <w:link w:val="CharStyle63"/>
    <w:pPr>
      <w:widowControl w:val="0"/>
      <w:shd w:val="clear" w:color="auto" w:fill="auto"/>
    </w:pPr>
    <w:rPr>
      <w:rFonts w:ascii="SimHei" w:eastAsia="SimHei" w:hAnsi="SimHei" w:cs="SimHei"/>
      <w:b w:val="0"/>
      <w:bCs w:val="0"/>
      <w:i w:val="0"/>
      <w:iCs w:val="0"/>
      <w:smallCaps w:val="0"/>
      <w:strike w:val="0"/>
      <w:sz w:val="20"/>
      <w:szCs w:val="20"/>
      <w:u w:val="none"/>
      <w:shd w:val="clear" w:color="auto" w:fill="auto"/>
    </w:rPr>
  </w:style>
  <w:style w:type="paragraph" w:customStyle="1" w:styleId="Style75">
    <w:name w:val="正文文本 (7)"/>
    <w:basedOn w:val="Normal"/>
    <w:link w:val="CharStyle76"/>
    <w:pPr>
      <w:widowControl w:val="0"/>
      <w:shd w:val="clear" w:color="auto" w:fill="auto"/>
      <w:spacing w:line="329" w:lineRule="auto"/>
      <w:ind w:firstLine="4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6">
    <w:name w:val="正文文本 (8)"/>
    <w:basedOn w:val="Normal"/>
    <w:link w:val="CharStyle87"/>
    <w:pPr>
      <w:widowControl w:val="0"/>
      <w:shd w:val="clear" w:color="auto" w:fill="auto"/>
      <w:spacing w:after="36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&lt;4D6963726F736F667420576F7264202D2032303133C4EAB6C8B1A8B8E6C8ABCEC4&gt;</dc:title>
  <dc:subject/>
  <dc:creator>Administrator</dc:creator>
  <cp:keywords/>
</cp:coreProperties>
</file>