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375" w:right="374" w:firstLine="0"/>
        <w:jc w:val="center"/>
        <w:rPr>
          <w:rFonts w:ascii="宋体" w:hAnsi="宋体" w:cs="宋体" w:eastAsia="宋体" w:hint="default"/>
          <w:sz w:val="36"/>
          <w:szCs w:val="36"/>
        </w:rPr>
      </w:pPr>
      <w:r>
        <w:rPr/>
        <w:pict>
          <v:group style="position:absolute;margin-left:55.200001pt;margin-top:-84.77627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2pt" strokecolor="#000000">
              <v:path arrowok="t"/>
            </v:shape>
            <w10:wrap type="none"/>
          </v:group>
        </w:pict>
      </w:r>
      <w:r>
        <w:rPr>
          <w:rFonts w:ascii="宋体" w:hAnsi="宋体" w:cs="宋体" w:eastAsia="宋体" w:hint="default"/>
          <w:b/>
          <w:bCs/>
          <w:sz w:val="36"/>
          <w:szCs w:val="36"/>
        </w:rPr>
        <w:t>荣信电力电子股份有限公司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75" w:right="3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75" w:right="3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7"/>
        <w:rPr>
          <w:rFonts w:ascii="宋体" w:hAnsi="宋体" w:cs="宋体" w:eastAsia="宋体" w:hint="default"/>
          <w:b/>
          <w:bCs/>
          <w:sz w:val="46"/>
          <w:szCs w:val="46"/>
        </w:rPr>
      </w:pPr>
    </w:p>
    <w:p>
      <w:pPr>
        <w:pStyle w:val="BodyText"/>
        <w:spacing w:line="410" w:lineRule="auto"/>
        <w:ind w:left="154" w:right="0" w:firstLine="420"/>
        <w:jc w:val="left"/>
      </w:pPr>
      <w:r>
        <w:rPr>
          <w:spacing w:val="-1"/>
        </w:rPr>
        <w:t>本公司董事会、监事会及董事、监事、高级管理人员保证年度报告内容的真实、准确、完整，不存在</w:t>
      </w:r>
      <w:r>
        <w:rPr/>
        <w:t> 虚假记载、误导性陈述或重大遗漏，并承担个别和连带的法律责任。</w:t>
      </w:r>
    </w:p>
    <w:p>
      <w:pPr>
        <w:pStyle w:val="BodyText"/>
        <w:spacing w:line="240" w:lineRule="auto" w:before="145"/>
        <w:ind w:left="574" w:right="0"/>
        <w:jc w:val="left"/>
      </w:pPr>
      <w:r>
        <w:rPr/>
        <w:t>所有董事均已出席了审议本报告的董事会会议。</w:t>
      </w:r>
    </w:p>
    <w:p>
      <w:pPr>
        <w:pStyle w:val="BodyText"/>
        <w:spacing w:line="566" w:lineRule="exact" w:before="85"/>
        <w:ind w:left="574" w:right="0"/>
        <w:jc w:val="left"/>
      </w:pPr>
      <w:r>
        <w:rPr/>
        <w:t>公司计划不派发现金红利，不送红股，不以公积金转增股本。 公司负责人左强、主管会计工作负责人戴东及会计机构负责人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陈宏声明：保证年度报</w:t>
      </w:r>
    </w:p>
    <w:p>
      <w:pPr>
        <w:pStyle w:val="BodyText"/>
        <w:spacing w:line="240" w:lineRule="auto" w:before="110"/>
        <w:ind w:right="0"/>
        <w:jc w:val="left"/>
      </w:pPr>
      <w:r>
        <w:rPr/>
        <w:t>告中财务报告的真实、准确、完整。</w:t>
      </w:r>
    </w:p>
    <w:p>
      <w:pPr>
        <w:spacing w:after="0" w:line="240" w:lineRule="auto"/>
        <w:jc w:val="left"/>
        <w:sectPr>
          <w:footerReference w:type="default" r:id="rId7"/>
          <w:pgSz w:w="11910" w:h="16840"/>
          <w:pgMar w:footer="982" w:header="747" w:top="1060" w:bottom="1180" w:left="980" w:right="98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375" w:right="37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年度报告</w:t>
          </w:r>
          <w:r>
            <w:rPr>
              <w:rFonts w:ascii="Times New Roman" w:hAnsi="Times New Roman" w:cs="Times New Roman" w:eastAsia="Times New Roman" w:hint="default"/>
            </w:rPr>
            <w:tab/>
            <w:t>1</w:t>
          </w:r>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11">
            <w:r>
              <w:rPr/>
              <w:t>第一节</w:t>
            </w:r>
            <w:r>
              <w:rPr>
                <w:spacing w:val="-24"/>
              </w:rPr>
              <w:t> </w:t>
            </w:r>
            <w:r>
              <w:rPr/>
              <w:t>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10">
            <w:r>
              <w:rPr/>
              <w:t>第二节</w:t>
            </w:r>
            <w:r>
              <w:rPr>
                <w:spacing w:val="-24"/>
              </w:rPr>
              <w:t> </w:t>
            </w:r>
            <w:r>
              <w:rPr/>
              <w:t>公司简介</w:t>
            </w:r>
            <w:r>
              <w:rPr>
                <w:rFonts w:ascii="Times New Roman" w:hAnsi="Times New Roman" w:cs="Times New Roman" w:eastAsia="Times New Roman" w:hint="default"/>
              </w:rPr>
              <w:tab/>
              <w:t>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9">
            <w:r>
              <w:rPr/>
              <w:t>第三节</w:t>
            </w:r>
            <w:r>
              <w:rPr>
                <w:spacing w:val="-24"/>
              </w:rPr>
              <w:t> </w:t>
            </w:r>
            <w:r>
              <w:rPr/>
              <w:t>会计数据和财务指标摘要</w:t>
            </w:r>
            <w:r>
              <w:rPr>
                <w:rFonts w:ascii="Times New Roman" w:hAnsi="Times New Roman" w:cs="Times New Roman" w:eastAsia="Times New Roman" w:hint="default"/>
              </w:rPr>
              <w:tab/>
              <w:t>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24"/>
              </w:rPr>
              <w:t> </w:t>
            </w:r>
            <w:r>
              <w:rPr/>
              <w:t>董事会报告</w:t>
            </w:r>
            <w:r>
              <w:rPr>
                <w:rFonts w:ascii="Times New Roman" w:hAnsi="Times New Roman" w:cs="Times New Roman" w:eastAsia="Times New Roman" w:hint="default"/>
              </w:rPr>
              <w:tab/>
              <w:t>10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24"/>
              </w:rPr>
              <w:t> </w:t>
            </w:r>
            <w:r>
              <w:rPr/>
              <w:t>重要事项</w:t>
            </w:r>
            <w:r>
              <w:rPr>
                <w:rFonts w:ascii="Times New Roman" w:hAnsi="Times New Roman" w:cs="Times New Roman" w:eastAsia="Times New Roman" w:hint="default"/>
              </w:rPr>
              <w:tab/>
              <w:t>27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第六节</w:t>
            </w:r>
            <w:r>
              <w:rPr>
                <w:spacing w:val="-24"/>
              </w:rPr>
              <w:t> </w:t>
            </w:r>
            <w:r>
              <w:rPr/>
              <w:t>股份变动及股东情况</w:t>
            </w:r>
            <w:r>
              <w:rPr>
                <w:rFonts w:ascii="Times New Roman" w:hAnsi="Times New Roman" w:cs="Times New Roman" w:eastAsia="Times New Roman" w:hint="default"/>
              </w:rPr>
              <w:tab/>
              <w:t>3</w:t>
            </w:r>
            <w:r>
              <w:rPr>
                <w:rFonts w:ascii="Times New Roman" w:hAnsi="Times New Roman" w:cs="Times New Roman" w:eastAsia="Times New Roman" w:hint="default"/>
              </w:rPr>
              <w:t>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24"/>
              </w:rPr>
              <w:t> </w:t>
            </w:r>
            <w:r>
              <w:rPr/>
              <w:t>优先股相关情况</w:t>
            </w:r>
            <w:r>
              <w:rPr>
                <w:rFonts w:ascii="Times New Roman" w:hAnsi="Times New Roman" w:cs="Times New Roman" w:eastAsia="Times New Roman" w:hint="default"/>
              </w:rPr>
              <w:tab/>
              <w:t>37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w:t>
            </w:r>
            <w:r>
              <w:rPr>
                <w:spacing w:val="-24"/>
              </w:rPr>
              <w:t> </w:t>
            </w:r>
            <w:r>
              <w:rPr/>
              <w:t>董事、监事、高级管理人员和员工情况</w:t>
            </w:r>
            <w:r>
              <w:rPr>
                <w:rFonts w:ascii="Times New Roman" w:hAnsi="Times New Roman" w:cs="Times New Roman" w:eastAsia="Times New Roman" w:hint="default"/>
              </w:rPr>
              <w:tab/>
              <w:t>38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第九节</w:t>
            </w:r>
            <w:r>
              <w:rPr>
                <w:spacing w:val="-24"/>
              </w:rPr>
              <w:t> </w:t>
            </w:r>
            <w:r>
              <w:rPr/>
              <w:t>公司治理</w:t>
            </w:r>
            <w:r>
              <w:rPr>
                <w:rFonts w:ascii="Times New Roman" w:hAnsi="Times New Roman" w:cs="Times New Roman" w:eastAsia="Times New Roman" w:hint="default"/>
              </w:rPr>
              <w:tab/>
              <w:t>45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24"/>
              </w:rPr>
              <w:t> </w:t>
            </w:r>
            <w:r>
              <w:rPr/>
              <w:t>内部控制</w:t>
            </w:r>
            <w:r>
              <w:rPr>
                <w:rFonts w:ascii="Times New Roman" w:hAnsi="Times New Roman" w:cs="Times New Roman" w:eastAsia="Times New Roman" w:hint="default"/>
              </w:rPr>
              <w:tab/>
              <w:t>50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24"/>
              </w:rPr>
              <w:t> </w:t>
            </w:r>
            <w:r>
              <w:rPr/>
              <w:t>财务报告</w:t>
            </w:r>
            <w:r>
              <w:rPr>
                <w:rFonts w:ascii="Times New Roman" w:hAnsi="Times New Roman" w:cs="Times New Roman" w:eastAsia="Times New Roman" w:hint="default"/>
              </w:rPr>
              <w:tab/>
              <w:t>52</w:t>
            </w:r>
          </w:hyperlink>
        </w:p>
        <w:p>
          <w:pPr>
            <w:pStyle w:val="TOC1"/>
            <w:tabs>
              <w:tab w:pos="9781" w:val="right" w:leader="dot"/>
            </w:tabs>
            <w:spacing w:line="240" w:lineRule="auto"/>
            <w:ind w:left="153" w:right="0"/>
            <w:jc w:val="left"/>
            <w:rPr>
              <w:rFonts w:ascii="Times New Roman" w:hAnsi="Times New Roman" w:cs="Times New Roman" w:eastAsia="Times New Roman" w:hint="default"/>
            </w:rPr>
          </w:pPr>
          <w:hyperlink w:history="true" w:anchor="_TOC_250000">
            <w:r>
              <w:rPr/>
              <w:t>第十二节</w:t>
            </w:r>
            <w:r>
              <w:rPr>
                <w:spacing w:val="-24"/>
              </w:rPr>
              <w:t> </w:t>
            </w:r>
            <w:r>
              <w:rPr/>
              <w:t>备查文件目录</w:t>
            </w:r>
            <w:r>
              <w:rPr>
                <w:rFonts w:ascii="Times New Roman" w:hAnsi="Times New Roman" w:cs="Times New Roman" w:eastAsia="Times New Roman" w:hint="default"/>
              </w:rPr>
              <w:tab/>
              <w:t>133</w:t>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946"/>
        <w:ind w:left="375" w:right="3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公司、荣信股份、本公司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Static </w:t>
            </w:r>
            <w:r>
              <w:rPr>
                <w:rFonts w:ascii="Times New Roman" w:hAnsi="Times New Roman" w:cs="Times New Roman" w:eastAsia="Times New Roman" w:hint="default"/>
                <w:spacing w:val="-7"/>
                <w:sz w:val="18"/>
                <w:szCs w:val="18"/>
              </w:rPr>
              <w:t>Var</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Compensator</w:t>
            </w:r>
            <w:r>
              <w:rPr>
                <w:rFonts w:ascii="宋体" w:hAnsi="宋体" w:cs="宋体" w:eastAsia="宋体" w:hint="default"/>
                <w:sz w:val="18"/>
                <w:szCs w:val="18"/>
              </w:rPr>
              <w:t>，高压动态无功补偿装置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MABZ</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智能瓦斯排放装置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电力滤波装置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High </w:t>
            </w:r>
            <w:r>
              <w:rPr>
                <w:rFonts w:ascii="Times New Roman" w:hAnsi="Times New Roman" w:cs="Times New Roman" w:eastAsia="Times New Roman" w:hint="default"/>
                <w:spacing w:val="-4"/>
                <w:sz w:val="18"/>
                <w:szCs w:val="18"/>
              </w:rPr>
              <w:t>Voltage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Converter</w:t>
            </w:r>
            <w:r>
              <w:rPr>
                <w:rFonts w:ascii="宋体" w:hAnsi="宋体" w:cs="宋体" w:eastAsia="宋体" w:hint="default"/>
                <w:sz w:val="18"/>
                <w:szCs w:val="18"/>
              </w:rPr>
              <w:t>，高压变频装置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VFS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Variable </w:t>
            </w:r>
            <w:r>
              <w:rPr>
                <w:rFonts w:ascii="Times New Roman" w:hAnsi="Times New Roman" w:cs="Times New Roman" w:eastAsia="Times New Roman" w:hint="default"/>
                <w:sz w:val="18"/>
                <w:szCs w:val="18"/>
              </w:rPr>
              <w:t>Frequency Starter</w:t>
            </w:r>
            <w:r>
              <w:rPr>
                <w:rFonts w:ascii="宋体" w:hAnsi="宋体" w:cs="宋体" w:eastAsia="宋体" w:hint="default"/>
                <w:sz w:val="18"/>
                <w:szCs w:val="18"/>
              </w:rPr>
              <w:t>，高压软起动装置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SVG</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STATCOM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高压大功率静止无功发生器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HVDC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轻型直流输电系统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FSC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串补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FCL</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高压固态开关</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HPR</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整流器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PVVC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APF</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有源滤波装置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HCR</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电抗器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75" w:right="372"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24"/>
          <w:szCs w:val="24"/>
        </w:rPr>
      </w:pPr>
    </w:p>
    <w:p>
      <w:pPr>
        <w:pStyle w:val="BodyText"/>
        <w:spacing w:line="398" w:lineRule="auto"/>
        <w:ind w:right="150" w:firstLine="420"/>
        <w:jc w:val="both"/>
      </w:pPr>
      <w:r>
        <w:rPr/>
        <w:t>（</w:t>
      </w:r>
      <w:r>
        <w:rPr>
          <w:rFonts w:ascii="Times New Roman" w:hAnsi="Times New Roman" w:cs="Times New Roman" w:eastAsia="Times New Roman" w:hint="default"/>
        </w:rPr>
        <w:t>1</w:t>
      </w:r>
      <w:r>
        <w:rPr/>
        <w:t>）应收账款发生坏账的风险。截至</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日，公司应收账款余额为</w:t>
      </w:r>
      <w:r>
        <w:rPr>
          <w:spacing w:val="-56"/>
        </w:rPr>
        <w:t> </w:t>
      </w:r>
      <w:r>
        <w:rPr>
          <w:rFonts w:ascii="Times New Roman" w:hAnsi="Times New Roman" w:cs="Times New Roman" w:eastAsia="Times New Roman" w:hint="default"/>
        </w:rPr>
        <w:t>107,796.64</w:t>
      </w:r>
      <w:r>
        <w:rPr>
          <w:rFonts w:ascii="Times New Roman" w:hAnsi="Times New Roman" w:cs="Times New Roman" w:eastAsia="Times New Roman" w:hint="default"/>
          <w:spacing w:val="-3"/>
        </w:rPr>
        <w:t> </w:t>
      </w:r>
      <w:r>
        <w:rPr>
          <w:spacing w:val="-3"/>
        </w:rPr>
        <w:t>万元，占</w:t>
      </w:r>
      <w:r>
        <w:rPr/>
        <w:t> 流动资产的 </w:t>
      </w:r>
      <w:r>
        <w:rPr>
          <w:rFonts w:ascii="Times New Roman" w:hAnsi="Times New Roman" w:cs="Times New Roman" w:eastAsia="Times New Roman" w:hint="default"/>
        </w:rPr>
        <w:t>42.39%</w:t>
      </w:r>
      <w:r>
        <w:rPr/>
        <w:t>，占总资产的</w:t>
      </w:r>
      <w:r>
        <w:rPr>
          <w:spacing w:val="-65"/>
        </w:rPr>
        <w:t> </w:t>
      </w:r>
      <w:r>
        <w:rPr>
          <w:rFonts w:ascii="Times New Roman" w:hAnsi="Times New Roman" w:cs="Times New Roman" w:eastAsia="Times New Roman" w:hint="default"/>
        </w:rPr>
        <w:t>30.66%</w:t>
      </w:r>
      <w:r>
        <w:rPr/>
        <w:t>。公司应收账款债务人主要是冶金、煤炭、电力等行业内的大中 </w:t>
      </w:r>
      <w:r>
        <w:rPr>
          <w:spacing w:val="-1"/>
        </w:rPr>
        <w:t>型企业，部分客户受宏观经济环境等因素影响导致付款周期有所延长。若宏观经济环境、客户经营状况等</w:t>
      </w:r>
      <w:r>
        <w:rPr>
          <w:spacing w:val="-83"/>
        </w:rPr>
        <w:t> </w:t>
      </w:r>
      <w:r>
        <w:rPr>
          <w:spacing w:val="-83"/>
        </w:rPr>
      </w:r>
      <w:r>
        <w:rPr>
          <w:spacing w:val="-1"/>
        </w:rPr>
        <w:t>发生不利变化，将导致公司面临坏账的风险。公司采取加大应收账款催收力度、将应收账款投保及足额计</w:t>
      </w:r>
      <w:r>
        <w:rPr>
          <w:spacing w:val="-83"/>
        </w:rPr>
        <w:t> </w:t>
      </w:r>
      <w:r>
        <w:rPr>
          <w:spacing w:val="-83"/>
        </w:rPr>
      </w:r>
      <w:r>
        <w:rPr/>
        <w:t>提减值准备等措施防范经营风险。</w:t>
      </w:r>
    </w:p>
    <w:p>
      <w:pPr>
        <w:pStyle w:val="BodyText"/>
        <w:spacing w:line="398" w:lineRule="auto" w:before="154"/>
        <w:ind w:right="149" w:firstLine="420"/>
        <w:jc w:val="both"/>
      </w:pPr>
      <w:r>
        <w:rPr/>
        <w:t>（</w:t>
      </w:r>
      <w:r>
        <w:rPr>
          <w:rFonts w:ascii="Times New Roman" w:hAnsi="Times New Roman" w:cs="Times New Roman" w:eastAsia="Times New Roman" w:hint="default"/>
        </w:rPr>
        <w:t>2</w:t>
      </w:r>
      <w:r>
        <w:rPr/>
        <w:t>）毛利下降风险。随着公司产品市场需求的迅速增长，参与竞争的企业将逐步增加及人力成本的</w:t>
      </w:r>
      <w:r>
        <w:rPr>
          <w:spacing w:val="2"/>
        </w:rPr>
        <w:t> </w:t>
      </w:r>
      <w:r>
        <w:rPr>
          <w:spacing w:val="-1"/>
        </w:rPr>
        <w:t>提高使公司产品的毛利有下降的趋势。公司将通过增加研发投入，走高端路线保持产品高技术含量、推进</w:t>
      </w:r>
      <w:r>
        <w:rPr>
          <w:spacing w:val="-83"/>
        </w:rPr>
        <w:t> </w:t>
      </w:r>
      <w:r>
        <w:rPr>
          <w:spacing w:val="-83"/>
        </w:rPr>
      </w:r>
      <w:r>
        <w:rPr/>
        <w:t>产业技术升级、提高订单的整体质量等方式来稳定产品的利润水平。</w:t>
      </w:r>
    </w:p>
    <w:p>
      <w:pPr>
        <w:pStyle w:val="BodyText"/>
        <w:spacing w:line="400" w:lineRule="auto" w:before="153"/>
        <w:ind w:right="149" w:firstLine="420"/>
        <w:jc w:val="both"/>
      </w:pPr>
      <w:r>
        <w:rPr/>
        <w:t>（</w:t>
      </w:r>
      <w:r>
        <w:rPr>
          <w:rFonts w:ascii="Times New Roman" w:hAnsi="Times New Roman" w:cs="Times New Roman" w:eastAsia="Times New Roman" w:hint="default"/>
        </w:rPr>
        <w:t>3</w:t>
      </w:r>
      <w:r>
        <w:rPr/>
        <w:t>）市场风险。由于本行业在国家政策支持和在节能减排的宏观背景下，市场空间广阔，市场参与</w:t>
      </w:r>
      <w:r>
        <w:rPr>
          <w:spacing w:val="2"/>
        </w:rPr>
        <w:t> </w:t>
      </w:r>
      <w:r>
        <w:rPr>
          <w:spacing w:val="-1"/>
        </w:rPr>
        <w:t>者逐渐增加，市场竞争逐渐加剧，导致市场份额下降及销售规模放缓的市场风险。公司将通过开拓新的市</w:t>
      </w:r>
      <w:r>
        <w:rPr>
          <w:spacing w:val="-83"/>
        </w:rPr>
        <w:t> </w:t>
      </w:r>
      <w:r>
        <w:rPr>
          <w:spacing w:val="-83"/>
        </w:rPr>
      </w:r>
      <w:r>
        <w:rPr>
          <w:spacing w:val="-1"/>
        </w:rPr>
        <w:t>场领域，加快产品国际化进程、加快技术升级速度和新产品产业化进程保证市场竞争力，实现销售规模稳</w:t>
      </w:r>
      <w:r>
        <w:rPr>
          <w:spacing w:val="-83"/>
        </w:rPr>
        <w:t> </w:t>
      </w:r>
      <w:r>
        <w:rPr>
          <w:spacing w:val="-83"/>
        </w:rPr>
      </w:r>
      <w:r>
        <w:rPr/>
        <w:t>定增长。</w:t>
      </w:r>
    </w:p>
    <w:p>
      <w:pPr>
        <w:pStyle w:val="BodyText"/>
        <w:spacing w:line="400" w:lineRule="auto" w:before="151"/>
        <w:ind w:right="149" w:firstLine="420"/>
        <w:jc w:val="both"/>
      </w:pPr>
      <w:r>
        <w:rPr/>
        <w:t>（</w:t>
      </w:r>
      <w:r>
        <w:rPr>
          <w:rFonts w:ascii="Times New Roman" w:hAnsi="Times New Roman" w:cs="Times New Roman" w:eastAsia="Times New Roman" w:hint="default"/>
        </w:rPr>
        <w:t>4</w:t>
      </w:r>
      <w:r>
        <w:rPr/>
        <w:t>）管理风险。企业经营规模的扩张，将对公司管理团队的管理和协调能力提出较高的要求，为此</w:t>
      </w:r>
      <w:r>
        <w:rPr>
          <w:spacing w:val="2"/>
        </w:rPr>
        <w:t> </w:t>
      </w:r>
      <w:r>
        <w:rPr>
          <w:spacing w:val="-1"/>
        </w:rPr>
        <w:t>公司将进一步加强管理队伍建设，通过加强对现有管理人员的培训，不断提高其管理水平和协调能力。完</w:t>
      </w:r>
      <w:r>
        <w:rPr>
          <w:spacing w:val="-83"/>
        </w:rPr>
        <w:t> </w:t>
      </w:r>
      <w:r>
        <w:rPr>
          <w:spacing w:val="-83"/>
        </w:rPr>
      </w:r>
      <w:r>
        <w:rPr>
          <w:spacing w:val="-1"/>
        </w:rPr>
        <w:t>善公司治理的经营管理机制，形成更加科学有效的决策机制，同时不断完善绩效考核机制，形成更加有效</w:t>
      </w:r>
      <w:r>
        <w:rPr>
          <w:spacing w:val="-83"/>
        </w:rPr>
        <w:t> </w:t>
      </w:r>
      <w:r>
        <w:rPr>
          <w:spacing w:val="-83"/>
        </w:rPr>
      </w:r>
      <w:r>
        <w:rPr/>
        <w:t>的激励约束机制，使公司的经营模式和管理机制能够更加符合公司发展需要。</w:t>
      </w:r>
    </w:p>
    <w:p>
      <w:pPr>
        <w:pStyle w:val="BodyText"/>
        <w:spacing w:line="393" w:lineRule="auto" w:before="152"/>
        <w:ind w:right="149" w:firstLine="420"/>
        <w:jc w:val="both"/>
      </w:pPr>
      <w:r>
        <w:rPr/>
        <w:t>（</w:t>
      </w:r>
      <w:r>
        <w:rPr>
          <w:rFonts w:ascii="Times New Roman" w:hAnsi="Times New Roman" w:cs="Times New Roman" w:eastAsia="Times New Roman" w:hint="default"/>
        </w:rPr>
        <w:t>5</w:t>
      </w:r>
      <w:r>
        <w:rPr/>
        <w:t>）订单取消风险。公司主导产品为定制化的产品，实行订单生产，由于公司订单执行期较长，报</w:t>
      </w:r>
      <w:r>
        <w:rPr>
          <w:spacing w:val="2"/>
        </w:rPr>
        <w:t> </w:t>
      </w:r>
      <w:r>
        <w:rPr/>
        <w:t>告期末，公司及控股子公司未执行合同</w:t>
      </w:r>
      <w:r>
        <w:rPr>
          <w:spacing w:val="-35"/>
        </w:rPr>
        <w:t> </w:t>
      </w:r>
      <w:r>
        <w:rPr>
          <w:rFonts w:ascii="Times New Roman" w:hAnsi="Times New Roman" w:cs="Times New Roman" w:eastAsia="Times New Roman" w:hint="default"/>
        </w:rPr>
        <w:t>178,085.89</w:t>
      </w:r>
      <w:r>
        <w:rPr>
          <w:rFonts w:ascii="Times New Roman" w:hAnsi="Times New Roman" w:cs="Times New Roman" w:eastAsia="Times New Roman" w:hint="default"/>
          <w:spacing w:val="18"/>
        </w:rPr>
        <w:t> </w:t>
      </w:r>
      <w:r>
        <w:rPr/>
        <w:t>万元（含税）结转至</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年执行。未执行订单在履行 </w:t>
      </w:r>
      <w:r>
        <w:rPr>
          <w:spacing w:val="-1"/>
        </w:rPr>
        <w:t>过程中如果遇到宏观经济环境、客户经营状况发生不利变化等不可预计的或不可抗力等因素的影响，有可</w:t>
      </w:r>
      <w:r>
        <w:rPr>
          <w:spacing w:val="-81"/>
        </w:rPr>
        <w:t> </w:t>
      </w:r>
      <w:r>
        <w:rPr>
          <w:spacing w:val="-81"/>
        </w:rPr>
      </w:r>
      <w:r>
        <w:rPr/>
        <w:t>能会导致订单无法全部履行或终止的风险。</w:t>
      </w:r>
    </w:p>
    <w:p>
      <w:pPr>
        <w:pStyle w:val="BodyText"/>
        <w:spacing w:line="393" w:lineRule="auto" w:before="157"/>
        <w:ind w:right="149" w:firstLine="420"/>
        <w:jc w:val="both"/>
      </w:pPr>
      <w:r>
        <w:rPr/>
        <w:t>（</w:t>
      </w:r>
      <w:r>
        <w:rPr>
          <w:rFonts w:ascii="Times New Roman" w:hAnsi="Times New Roman" w:cs="Times New Roman" w:eastAsia="Times New Roman" w:hint="default"/>
        </w:rPr>
        <w:t>6</w:t>
      </w:r>
      <w:r>
        <w:rPr/>
        <w:t>）重大资产重组风险。公司正在进行的重大资产重组将受到多方因素的影响，请投资者关注公司</w:t>
      </w:r>
      <w:r>
        <w:rPr>
          <w:spacing w:val="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日披露的《荣信电力电子股份有限公司发行股份及支付现金购买资产并募集配套资金暨关 </w:t>
      </w:r>
      <w:r>
        <w:rPr>
          <w:spacing w:val="-1"/>
        </w:rPr>
        <w:t>联交易报告书（草案）》中的重大风险提示以及第十三节所披露的本次重大资产重组的风险因素，具体内</w:t>
      </w:r>
      <w:r>
        <w:rPr>
          <w:spacing w:val="-94"/>
        </w:rPr>
        <w:t> </w:t>
      </w:r>
      <w:r>
        <w:rPr>
          <w:spacing w:val="-94"/>
        </w:rPr>
      </w:r>
      <w:r>
        <w:rPr/>
        <w:t>容详见巨潮资讯网。</w:t>
      </w:r>
    </w:p>
    <w:p>
      <w:pPr>
        <w:spacing w:after="0" w:line="393"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138pt;margin-top:269.760010pt;width:396.9pt;height:19.6pt;mso-position-horizontal-relative:page;mso-position-vertical-relative:page;z-index:-7987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right="374"/>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002123</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RONGXIN POWER ELECTRONIC  </w:t>
            </w:r>
            <w:r>
              <w:rPr>
                <w:rFonts w:ascii="Times New Roman"/>
                <w:spacing w:val="42"/>
                <w:sz w:val="18"/>
              </w:rPr>
              <w:t> </w:t>
            </w:r>
            <w:r>
              <w:rPr>
                <w:rFonts w:ascii="Times New Roman"/>
                <w:spacing w:val="-3"/>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RXPE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左强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鞍山高新区鞍千路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114051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114051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www.rxpe.com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zqb@rxpe.com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公绍壮</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zdb@rxpe.com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sz@rxpe.com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辽宁省工商行政管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2100001050674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210301118887313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11888731-3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辽宁省工商行政管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210000004920217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210301118887313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11888731-3</w:t>
            </w: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5020 </w:t>
            </w:r>
            <w:r>
              <w:rPr>
                <w:rFonts w:ascii="宋体" w:hAnsi="宋体" w:cs="宋体" w:eastAsia="宋体" w:hint="default"/>
                <w:sz w:val="18"/>
                <w:szCs w:val="18"/>
              </w:rPr>
              <w:t>号证券大厦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宋体" w:hAnsi="宋体" w:cs="宋体" w:eastAsia="宋体" w:hint="default"/>
                <w:sz w:val="18"/>
                <w:szCs w:val="18"/>
              </w:rPr>
              <w:t>、十六层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朱伟峰  许治平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60"/>
        <w:gridCol w:w="1200"/>
        <w:gridCol w:w="1201"/>
        <w:gridCol w:w="1200"/>
        <w:gridCol w:w="1201"/>
        <w:gridCol w:w="1202"/>
        <w:gridCol w:w="1202"/>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1" w:type="dxa"/>
            <w:vMerge/>
            <w:tcBorders>
              <w:left w:val="single" w:sz="4" w:space="0" w:color="000000"/>
              <w:right w:val="single" w:sz="4" w:space="0" w:color="000000"/>
            </w:tcBorders>
            <w:shd w:val="clear" w:color="auto" w:fill="D3D3D3"/>
          </w:tcPr>
          <w:p>
            <w:pPr/>
          </w:p>
        </w:tc>
        <w:tc>
          <w:tcPr>
            <w:tcW w:w="240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60" w:type="dxa"/>
            <w:vMerge w:val="restart"/>
            <w:tcBorders>
              <w:top w:val="nil" w:sz="6" w:space="0" w:color="auto"/>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1" w:type="dxa"/>
            <w:gridSpan w:val="2"/>
            <w:vMerge/>
            <w:tcBorders>
              <w:left w:val="single" w:sz="4" w:space="0" w:color="000000"/>
              <w:bottom w:val="nil" w:sz="6" w:space="0" w:color="auto"/>
              <w:right w:val="single" w:sz="4" w:space="0" w:color="000000"/>
            </w:tcBorders>
            <w:shd w:val="clear" w:color="auto" w:fill="D3D3D3"/>
          </w:tcPr>
          <w:p>
            <w:pPr/>
          </w:p>
        </w:tc>
        <w:tc>
          <w:tcPr>
            <w:tcW w:w="1201" w:type="dxa"/>
            <w:vMerge/>
            <w:tcBorders>
              <w:left w:val="single" w:sz="4" w:space="0" w:color="000000"/>
              <w:right w:val="single" w:sz="4" w:space="0" w:color="000000"/>
            </w:tcBorders>
            <w:shd w:val="clear" w:color="auto" w:fill="D3D3D3"/>
          </w:tcPr>
          <w:p>
            <w:pPr/>
          </w:p>
        </w:tc>
        <w:tc>
          <w:tcPr>
            <w:tcW w:w="2405" w:type="dxa"/>
            <w:gridSpan w:val="2"/>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236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82" w:hRule="exact"/>
        </w:trPr>
        <w:tc>
          <w:tcPr>
            <w:tcW w:w="23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shd w:val="clear" w:color="auto" w:fill="D3D3D3"/>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927,799,821.68</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1,497,530,910.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1,320,321,732.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-29.73%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1,287,133,495.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1,199,191,529.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-257,683,938.8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75,843,521.47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75,843,521.47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115,326,193.41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115,326,193.41</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-272,062,365.3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-75,514,177.41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-75,168,779.98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104,376,211.64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106,013,998.70</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-112,482,507.3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-160,368,307.8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-90,688,303.70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-176,363,519.2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-151,715,387.8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1" w:type="dxa"/>
            <w:vMerge/>
            <w:tcBorders>
              <w:left w:val="single" w:sz="4" w:space="0" w:color="000000"/>
              <w:right w:val="single" w:sz="4" w:space="0" w:color="000000"/>
            </w:tcBorders>
            <w:shd w:val="clear" w:color="auto" w:fill="D3D3D3"/>
          </w:tcPr>
          <w:p>
            <w:pPr/>
          </w:p>
        </w:tc>
        <w:tc>
          <w:tcPr>
            <w:tcW w:w="240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60" w:type="dxa"/>
            <w:vMerge w:val="restart"/>
            <w:tcBorders>
              <w:top w:val="nil" w:sz="6" w:space="0" w:color="auto"/>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1" w:type="dxa"/>
            <w:gridSpan w:val="2"/>
            <w:vMerge/>
            <w:tcBorders>
              <w:left w:val="single" w:sz="4" w:space="0" w:color="000000"/>
              <w:bottom w:val="nil" w:sz="6" w:space="0" w:color="auto"/>
              <w:right w:val="single" w:sz="4" w:space="0" w:color="000000"/>
            </w:tcBorders>
            <w:shd w:val="clear" w:color="auto" w:fill="D3D3D3"/>
          </w:tcPr>
          <w:p>
            <w:pPr/>
          </w:p>
        </w:tc>
        <w:tc>
          <w:tcPr>
            <w:tcW w:w="1201" w:type="dxa"/>
            <w:vMerge/>
            <w:tcBorders>
              <w:left w:val="single" w:sz="4" w:space="0" w:color="000000"/>
              <w:right w:val="single" w:sz="4" w:space="0" w:color="000000"/>
            </w:tcBorders>
            <w:shd w:val="clear" w:color="auto" w:fill="D3D3D3"/>
          </w:tcPr>
          <w:p>
            <w:pPr/>
          </w:p>
        </w:tc>
        <w:tc>
          <w:tcPr>
            <w:tcW w:w="2405" w:type="dxa"/>
            <w:gridSpan w:val="2"/>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236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82" w:hRule="exact"/>
        </w:trPr>
        <w:tc>
          <w:tcPr>
            <w:tcW w:w="23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shd w:val="clear" w:color="auto" w:fill="D3D3D3"/>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3,515,678,848.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49</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4,414,479,701.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4,079,589,319.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-13.82%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4,214,032,344.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3,939,595,068.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392" w:hRule="exact"/>
        </w:trPr>
        <w:tc>
          <w:tcPr>
            <w:tcW w:w="23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1,788,690,402.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2,056,610,625.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2,056,610,625.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2,120,142,051.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2,120,142,051.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58" w:firstLine="0"/>
        <w:jc w:val="right"/>
        <w:rPr>
          <w:rFonts w:ascii="宋体" w:hAnsi="宋体" w:cs="宋体" w:eastAsia="宋体" w:hint="default"/>
          <w:sz w:val="18"/>
          <w:szCs w:val="18"/>
        </w:rPr>
      </w:pPr>
      <w:r>
        <w:rPr/>
        <w:pict>
          <v:shape style="position:absolute;margin-left:56.459999pt;margin-top:-20.947973pt;width:479.1pt;height:9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-6,368,906.61</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-1,610,331.91</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4,660,607.00</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4" w:right="54"/>
                          <w:jc w:val="both"/>
                          <w:rPr>
                            <w:rFonts w:ascii="宋体" w:hAnsi="宋体" w:cs="宋体" w:eastAsia="宋体" w:hint="default"/>
                            <w:sz w:val="18"/>
                            <w:szCs w:val="18"/>
                          </w:rPr>
                        </w:pPr>
                        <w:r>
                          <w:rPr>
                            <w:rFonts w:ascii="宋体" w:hAnsi="宋体" w:cs="宋体" w:eastAsia="宋体" w:hint="default"/>
                            <w:spacing w:val="-7"/>
                            <w:sz w:val="18"/>
                            <w:szCs w:val="18"/>
                          </w:rPr>
                          <w:t>固定资产、无形资产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长期股权投资处置净 损益</w:t>
                        </w:r>
                      </w:p>
                    </w:tc>
                  </w:tr>
                  <w:tr>
                    <w:trPr>
                      <w:trHeight w:val="704"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16,085,904.64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21,469,439.64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7,662,876.68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center"/>
                          <w:rPr>
                            <w:rFonts w:ascii="宋体" w:hAnsi="宋体" w:cs="宋体" w:eastAsia="宋体" w:hint="default"/>
                            <w:sz w:val="18"/>
                            <w:szCs w:val="18"/>
                          </w:rPr>
                        </w:pPr>
                        <w:r>
                          <w:rPr>
                            <w:rFonts w:ascii="宋体" w:hAnsi="宋体" w:cs="宋体" w:eastAsia="宋体" w:hint="default"/>
                            <w:sz w:val="18"/>
                            <w:szCs w:val="18"/>
                          </w:rPr>
                          <w:t>除软件产品即征即退</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6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4"/>
              <w:jc w:val="left"/>
              <w:rPr>
                <w:rFonts w:ascii="宋体" w:hAnsi="宋体" w:cs="宋体" w:eastAsia="宋体" w:hint="default"/>
                <w:sz w:val="18"/>
                <w:szCs w:val="18"/>
              </w:rPr>
            </w:pPr>
            <w:r>
              <w:rPr>
                <w:rFonts w:ascii="宋体" w:hAnsi="宋体" w:cs="宋体" w:eastAsia="宋体" w:hint="default"/>
                <w:sz w:val="18"/>
                <w:szCs w:val="18"/>
              </w:rPr>
              <w:t>增值税返还外的政府 补助</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-713,370.00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-1,721,740.92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156,058,022.79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1,565,166.80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3,035,980.90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1,780,066.55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573,104.95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465,139.76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26,736,044.66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1,636,655.09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-2,247,161.52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408,850.96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1,234,368.83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14,378,426.57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151,012,301.45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9,312,194.71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8" w:hanging="1"/>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02"/>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02" w:firstLine="480"/>
        <w:jc w:val="left"/>
      </w:pPr>
      <w:r>
        <w:rPr>
          <w:spacing w:val="-5"/>
        </w:rPr>
        <w:t>报告期，公司经营业绩不符合预期，新签订单、销售收入及归属于上市公司股东的净利润均有所下降，</w:t>
      </w:r>
      <w:r>
        <w:rPr/>
        <w:t> 公司自上市以来首次出现经营业绩亏损，影响公司业绩主要原因有以下几点：</w:t>
      </w:r>
    </w:p>
    <w:p>
      <w:pPr>
        <w:pStyle w:val="BodyText"/>
        <w:spacing w:line="484" w:lineRule="auto" w:before="147"/>
        <w:ind w:left="634" w:right="198"/>
        <w:jc w:val="left"/>
      </w:pPr>
      <w:r>
        <w:rPr/>
        <w:t>（</w:t>
      </w:r>
      <w:r>
        <w:rPr>
          <w:rFonts w:ascii="Times New Roman" w:hAnsi="Times New Roman" w:cs="Times New Roman" w:eastAsia="Times New Roman" w:hint="default"/>
        </w:rPr>
        <w:t>1</w:t>
      </w:r>
      <w:r>
        <w:rPr/>
        <w:t>）宏观经济不稳定，下游行业投资放缓 </w:t>
      </w:r>
      <w:r>
        <w:rPr>
          <w:spacing w:val="-2"/>
        </w:rPr>
        <w:t>报告期内，国内经济增速持续低迷，国内各行业深受其影响，尤其装备制造业，公司重要下游行业如</w:t>
      </w:r>
    </w:p>
    <w:p>
      <w:pPr>
        <w:pStyle w:val="BodyText"/>
        <w:spacing w:line="254" w:lineRule="exact"/>
        <w:ind w:right="102"/>
        <w:jc w:val="left"/>
      </w:pPr>
      <w:r>
        <w:rPr/>
        <w:t>煤炭、冶金、有色金属等行业需求萎缩，公司面临着新签订单下降及部分合同延后执行等问题。</w:t>
      </w:r>
    </w:p>
    <w:p>
      <w:pPr>
        <w:spacing w:line="240" w:lineRule="auto" w:before="12"/>
        <w:rPr>
          <w:rFonts w:ascii="宋体" w:hAnsi="宋体" w:cs="宋体" w:eastAsia="宋体" w:hint="default"/>
          <w:sz w:val="23"/>
          <w:szCs w:val="23"/>
        </w:rPr>
      </w:pPr>
    </w:p>
    <w:p>
      <w:pPr>
        <w:pStyle w:val="BodyText"/>
        <w:spacing w:line="484" w:lineRule="auto"/>
        <w:ind w:left="634" w:right="198"/>
        <w:jc w:val="left"/>
      </w:pPr>
      <w:r>
        <w:rPr/>
        <w:t>（</w:t>
      </w:r>
      <w:r>
        <w:rPr>
          <w:rFonts w:ascii="Times New Roman" w:hAnsi="Times New Roman" w:cs="Times New Roman" w:eastAsia="Times New Roman" w:hint="default"/>
        </w:rPr>
        <w:t>2</w:t>
      </w:r>
      <w:r>
        <w:rPr/>
        <w:t>）行业竞争加剧，主导产品市场份额下降、毛利率下滑 </w:t>
      </w:r>
      <w:r>
        <w:rPr>
          <w:spacing w:val="-2"/>
        </w:rPr>
        <w:t>节能大功率电力电子设备制造业在节能减排的宏观背景下，受国家政策支持，成为国内外公司重点研</w:t>
      </w:r>
    </w:p>
    <w:p>
      <w:pPr>
        <w:pStyle w:val="BodyText"/>
        <w:spacing w:line="254" w:lineRule="exact"/>
        <w:ind w:right="102"/>
        <w:jc w:val="left"/>
      </w:pPr>
      <w:r>
        <w:rPr/>
        <w:t>发和投资的领域，导致包括许多上市公司在内的企业加入到电力电子高端设备生产制造中来，市场竞争逐</w:t>
      </w:r>
    </w:p>
    <w:p>
      <w:pPr>
        <w:spacing w:line="240" w:lineRule="auto" w:before="10"/>
        <w:rPr>
          <w:rFonts w:ascii="宋体" w:hAnsi="宋体" w:cs="宋体" w:eastAsia="宋体" w:hint="default"/>
          <w:sz w:val="14"/>
          <w:szCs w:val="14"/>
        </w:rPr>
      </w:pPr>
    </w:p>
    <w:p>
      <w:pPr>
        <w:pStyle w:val="BodyText"/>
        <w:spacing w:line="240" w:lineRule="auto"/>
        <w:ind w:right="102"/>
        <w:jc w:val="left"/>
      </w:pPr>
      <w:r>
        <w:rPr/>
        <w:t>渐加剧，产能急剧增加，受此影响，公司主导产品市场份额和毛利均有所下降。</w:t>
      </w:r>
    </w:p>
    <w:p>
      <w:pPr>
        <w:spacing w:line="240" w:lineRule="auto" w:before="6"/>
        <w:rPr>
          <w:rFonts w:ascii="宋体" w:hAnsi="宋体" w:cs="宋体" w:eastAsia="宋体" w:hint="default"/>
          <w:sz w:val="22"/>
          <w:szCs w:val="22"/>
        </w:rPr>
      </w:pPr>
    </w:p>
    <w:p>
      <w:pPr>
        <w:pStyle w:val="BodyText"/>
        <w:spacing w:line="484" w:lineRule="auto"/>
        <w:ind w:left="634" w:right="102"/>
        <w:jc w:val="left"/>
      </w:pPr>
      <w:r>
        <w:rPr/>
        <w:t>（</w:t>
      </w:r>
      <w:r>
        <w:rPr>
          <w:rFonts w:ascii="Times New Roman" w:hAnsi="Times New Roman" w:cs="Times New Roman" w:eastAsia="Times New Roman" w:hint="default"/>
        </w:rPr>
        <w:t>3</w:t>
      </w:r>
      <w:r>
        <w:rPr/>
        <w:t>）扩张速度过快，营运成本居高不下 </w:t>
      </w:r>
      <w:r>
        <w:rPr>
          <w:spacing w:val="-5"/>
        </w:rPr>
        <w:t>近年来，公司规模持续扩张而积累的管理上的弊端开始显现，影响了公司经营业绩。新设子公司较多，</w:t>
      </w:r>
    </w:p>
    <w:p>
      <w:pPr>
        <w:pStyle w:val="BodyText"/>
        <w:spacing w:line="254" w:lineRule="exact"/>
        <w:ind w:right="102"/>
        <w:jc w:val="left"/>
      </w:pPr>
      <w:r>
        <w:rPr/>
        <w:t>产品研发投入较大，部分产品尚未体现出效益，反而加大了公司的管理成本，导致公司营业费用、管理费</w:t>
      </w:r>
    </w:p>
    <w:p>
      <w:pPr>
        <w:spacing w:line="240" w:lineRule="auto" w:before="10"/>
        <w:rPr>
          <w:rFonts w:ascii="宋体" w:hAnsi="宋体" w:cs="宋体" w:eastAsia="宋体" w:hint="default"/>
          <w:sz w:val="14"/>
          <w:szCs w:val="14"/>
        </w:rPr>
      </w:pPr>
    </w:p>
    <w:p>
      <w:pPr>
        <w:pStyle w:val="BodyText"/>
        <w:spacing w:line="240" w:lineRule="auto"/>
        <w:ind w:right="102"/>
        <w:jc w:val="left"/>
      </w:pPr>
      <w:r>
        <w:rPr/>
        <w:t>用和财务费用居高不下，极大拖累了公司的业绩。</w:t>
      </w:r>
    </w:p>
    <w:p>
      <w:pPr>
        <w:spacing w:line="240" w:lineRule="auto" w:before="12"/>
        <w:rPr>
          <w:rFonts w:ascii="宋体" w:hAnsi="宋体" w:cs="宋体" w:eastAsia="宋体" w:hint="default"/>
          <w:sz w:val="23"/>
          <w:szCs w:val="23"/>
        </w:rPr>
      </w:pPr>
    </w:p>
    <w:p>
      <w:pPr>
        <w:pStyle w:val="BodyText"/>
        <w:spacing w:line="408" w:lineRule="auto"/>
        <w:ind w:right="102" w:firstLine="480"/>
        <w:jc w:val="left"/>
      </w:pPr>
      <w:r>
        <w:rPr>
          <w:spacing w:val="-2"/>
        </w:rPr>
        <w:t>公司传统业务以制造业和国内市场为主，在国家经济结构转型和电力电子设备制造业日趋成熟、竞争</w:t>
      </w:r>
      <w:r>
        <w:rPr/>
        <w:t> 日趋激烈的背景下，面临着增长放缓的压力，公司业绩受到较大影响，促使公司下决心从传统制造业向现 </w:t>
      </w:r>
      <w:r>
        <w:rPr>
          <w:spacing w:val="-3"/>
        </w:rPr>
        <w:t>代智能制造业的转型和融合，即节能大功率电力电子设备、设施和系统网络与互联网革命带来的智能设备、</w:t>
      </w:r>
      <w:r>
        <w:rPr>
          <w:spacing w:val="-92"/>
        </w:rPr>
        <w:t> </w:t>
      </w:r>
      <w:r>
        <w:rPr>
          <w:spacing w:val="-92"/>
        </w:rPr>
      </w:r>
      <w:r>
        <w:rPr/>
        <w:t>智能网络和智能决策间的融合，是数据流、硬件、软件和智能的交互。</w:t>
      </w:r>
    </w:p>
    <w:p>
      <w:pPr>
        <w:pStyle w:val="BodyText"/>
        <w:spacing w:line="398" w:lineRule="auto" w:before="166"/>
        <w:ind w:right="207" w:firstLine="420"/>
        <w:jc w:val="both"/>
      </w:pPr>
      <w:r>
        <w:rPr>
          <w:spacing w:val="3"/>
        </w:rPr>
        <w:t>公司目前已启动重大资产重组工作，拟通过发行股份及支付现金购买深圳市梦网科技股份有限公司</w:t>
      </w:r>
      <w:r>
        <w:rPr/>
        <w:t> </w:t>
      </w:r>
      <w:r>
        <w:rPr>
          <w:rFonts w:ascii="Times New Roman" w:hAnsi="Times New Roman" w:cs="Times New Roman" w:eastAsia="Times New Roman" w:hint="default"/>
          <w:spacing w:val="-2"/>
        </w:rPr>
        <w:t>100%</w:t>
      </w:r>
      <w:r>
        <w:rPr>
          <w:spacing w:val="-2"/>
        </w:rPr>
        <w:t>股权，希望通过并购重组方式加快战略新兴产业布局的步伐，实现原有传统产业和新兴产业的双轮驱</w:t>
      </w:r>
      <w:r>
        <w:rPr>
          <w:spacing w:val="-103"/>
        </w:rPr>
        <w:t> </w:t>
      </w:r>
      <w:r>
        <w:rPr>
          <w:spacing w:val="-103"/>
        </w:rPr>
      </w:r>
      <w:r>
        <w:rPr/>
        <w:t>动发展，为公司未来的可持续快速发展奠定坚实的基础。</w:t>
      </w:r>
    </w:p>
    <w:p>
      <w:pPr>
        <w:spacing w:after="0" w:line="398" w:lineRule="auto"/>
        <w:jc w:val="both"/>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102"/>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636" w:right="102" w:hanging="3"/>
        <w:jc w:val="left"/>
      </w:pPr>
      <w:r>
        <w:rPr/>
        <w:t>本公司及控股子公司主要从事节能大功率电力电子设备的设计和制造业务，产品包括： </w:t>
      </w:r>
      <w:r>
        <w:rPr>
          <w:rFonts w:ascii="宋体" w:hAnsi="宋体" w:cs="宋体" w:eastAsia="宋体" w:hint="default"/>
          <w:b/>
          <w:bCs/>
          <w:spacing w:val="-2"/>
        </w:rPr>
        <w:t>电能质量与电力安全：</w:t>
      </w:r>
      <w:r>
        <w:rPr>
          <w:spacing w:val="-2"/>
        </w:rPr>
        <w:t>高压动态无功补偿装置（</w:t>
      </w:r>
      <w:r>
        <w:rPr>
          <w:rFonts w:ascii="Times New Roman" w:hAnsi="Times New Roman" w:cs="Times New Roman" w:eastAsia="Times New Roman" w:hint="default"/>
          <w:spacing w:val="-2"/>
        </w:rPr>
        <w:t>SVC</w:t>
      </w:r>
      <w:r>
        <w:rPr>
          <w:spacing w:val="-2"/>
        </w:rPr>
        <w:t>）、高压静止无功发生器（</w:t>
      </w:r>
      <w:r>
        <w:rPr>
          <w:rFonts w:ascii="Times New Roman" w:hAnsi="Times New Roman" w:cs="Times New Roman" w:eastAsia="Times New Roman" w:hint="default"/>
          <w:spacing w:val="-2"/>
        </w:rPr>
        <w:t>SVG</w:t>
      </w:r>
      <w:r>
        <w:rPr>
          <w:spacing w:val="-2"/>
        </w:rPr>
        <w:t>）、串补</w:t>
      </w:r>
      <w:r>
        <w:rPr>
          <w:rFonts w:ascii="Times New Roman" w:hAnsi="Times New Roman" w:cs="Times New Roman" w:eastAsia="Times New Roman" w:hint="default"/>
          <w:spacing w:val="-2"/>
        </w:rPr>
        <w:t>(FSC)</w:t>
      </w:r>
      <w:r>
        <w:rPr>
          <w:spacing w:val="-2"/>
        </w:rPr>
        <w:t>、</w:t>
      </w:r>
    </w:p>
    <w:p>
      <w:pPr>
        <w:pStyle w:val="BodyText"/>
        <w:spacing w:line="386" w:lineRule="auto" w:before="14"/>
        <w:ind w:left="636" w:right="201" w:hanging="483"/>
        <w:jc w:val="left"/>
      </w:pPr>
      <w:r>
        <w:rPr/>
        <w:t>电力滤波装置（</w:t>
      </w:r>
      <w:r>
        <w:rPr>
          <w:rFonts w:ascii="Times New Roman" w:hAnsi="Times New Roman" w:cs="Times New Roman" w:eastAsia="Times New Roman" w:hint="default"/>
        </w:rPr>
        <w:t>FC</w:t>
      </w:r>
      <w:r>
        <w:rPr/>
        <w:t>）、有源滤波装置（</w:t>
      </w:r>
      <w:r>
        <w:rPr>
          <w:rFonts w:ascii="Times New Roman" w:hAnsi="Times New Roman" w:cs="Times New Roman" w:eastAsia="Times New Roman" w:hint="default"/>
        </w:rPr>
        <w:t>APF</w:t>
      </w:r>
      <w:r>
        <w:rPr/>
        <w:t>）、高压固态开关（</w:t>
      </w:r>
      <w:r>
        <w:rPr>
          <w:rFonts w:ascii="Times New Roman" w:hAnsi="Times New Roman" w:cs="Times New Roman" w:eastAsia="Times New Roman" w:hint="default"/>
        </w:rPr>
        <w:t>FCL</w:t>
      </w:r>
      <w:r>
        <w:rPr/>
        <w:t>）、电抗器（</w:t>
      </w:r>
      <w:r>
        <w:rPr>
          <w:rFonts w:ascii="Times New Roman" w:hAnsi="Times New Roman" w:cs="Times New Roman" w:eastAsia="Times New Roman" w:hint="default"/>
        </w:rPr>
        <w:t>HCR</w:t>
      </w:r>
      <w:r>
        <w:rPr/>
        <w:t>）。 </w:t>
      </w:r>
      <w:r>
        <w:rPr>
          <w:rFonts w:ascii="宋体" w:hAnsi="宋体" w:cs="宋体" w:eastAsia="宋体" w:hint="default"/>
          <w:b/>
          <w:bCs/>
          <w:spacing w:val="-2"/>
        </w:rPr>
        <w:t>变频传动与新能源控制系统：</w:t>
      </w:r>
      <w:r>
        <w:rPr>
          <w:spacing w:val="-2"/>
        </w:rPr>
        <w:t>高压变频装置（</w:t>
      </w:r>
      <w:r>
        <w:rPr>
          <w:rFonts w:ascii="Times New Roman" w:hAnsi="Times New Roman" w:cs="Times New Roman" w:eastAsia="Times New Roman" w:hint="default"/>
          <w:spacing w:val="-2"/>
        </w:rPr>
        <w:t>HVC</w:t>
      </w:r>
      <w:r>
        <w:rPr>
          <w:spacing w:val="-2"/>
        </w:rPr>
        <w:t>）、高压软启动装置（</w:t>
      </w:r>
      <w:r>
        <w:rPr>
          <w:rFonts w:ascii="Times New Roman" w:hAnsi="Times New Roman" w:cs="Times New Roman" w:eastAsia="Times New Roman" w:hint="default"/>
          <w:spacing w:val="-2"/>
        </w:rPr>
        <w:t>VFS</w:t>
      </w:r>
      <w:r>
        <w:rPr>
          <w:spacing w:val="-2"/>
        </w:rPr>
        <w:t>）、智能瓦斯排放装置</w:t>
      </w:r>
    </w:p>
    <w:p>
      <w:pPr>
        <w:pStyle w:val="BodyText"/>
        <w:spacing w:line="386" w:lineRule="auto" w:before="35"/>
        <w:ind w:right="102"/>
        <w:jc w:val="left"/>
      </w:pPr>
      <w:r>
        <w:rPr/>
        <w:t>（</w:t>
      </w:r>
      <w:r>
        <w:rPr>
          <w:rFonts w:ascii="Times New Roman" w:hAnsi="Times New Roman" w:cs="Times New Roman" w:eastAsia="Times New Roman" w:hint="default"/>
        </w:rPr>
        <w:t>MABZ</w:t>
      </w:r>
      <w:r>
        <w:rPr/>
        <w:t>）、轻型直流输电系统（</w:t>
      </w:r>
      <w:r>
        <w:rPr>
          <w:rFonts w:ascii="Times New Roman" w:hAnsi="Times New Roman" w:cs="Times New Roman" w:eastAsia="Times New Roman" w:hint="default"/>
        </w:rPr>
        <w:t>HVDC</w:t>
      </w:r>
      <w:r>
        <w:rPr/>
        <w:t>）、整流器（</w:t>
      </w:r>
      <w:r>
        <w:rPr>
          <w:rFonts w:ascii="Times New Roman" w:hAnsi="Times New Roman" w:cs="Times New Roman" w:eastAsia="Times New Roman" w:hint="default"/>
        </w:rPr>
        <w:t>HPR</w:t>
      </w:r>
      <w:r>
        <w:rPr/>
        <w:t>）、新能源控制装置及矿井传动和自动化控制</w:t>
      </w:r>
      <w:r>
        <w:rPr>
          <w:spacing w:val="-70"/>
        </w:rPr>
        <w:t> </w:t>
      </w:r>
      <w:r>
        <w:rPr/>
        <w:t>设备。</w:t>
      </w:r>
    </w:p>
    <w:p>
      <w:pPr>
        <w:pStyle w:val="BodyText"/>
        <w:spacing w:line="386" w:lineRule="auto" w:before="65"/>
        <w:ind w:right="238" w:firstLine="510"/>
        <w:jc w:val="left"/>
      </w:pPr>
      <w:r>
        <w:rPr/>
        <w:t>报告期内，公司实现营业收入</w:t>
      </w:r>
      <w:r>
        <w:rPr>
          <w:rFonts w:ascii="Times New Roman" w:hAnsi="Times New Roman" w:cs="Times New Roman" w:eastAsia="Times New Roman" w:hint="default"/>
        </w:rPr>
        <w:t>92,779.98</w:t>
      </w:r>
      <w:r>
        <w:rPr/>
        <w:t>万元，实现营业利润</w:t>
      </w:r>
      <w:r>
        <w:rPr>
          <w:rFonts w:ascii="Times New Roman" w:hAnsi="Times New Roman" w:cs="Times New Roman" w:eastAsia="Times New Roman" w:hint="default"/>
        </w:rPr>
        <w:t>-31,582.33</w:t>
      </w:r>
      <w:r>
        <w:rPr/>
        <w:t>万元，实现归属于母公司所有 者净利润</w:t>
      </w:r>
      <w:r>
        <w:rPr>
          <w:rFonts w:ascii="Times New Roman" w:hAnsi="Times New Roman" w:cs="Times New Roman" w:eastAsia="Times New Roman" w:hint="default"/>
        </w:rPr>
        <w:t>-25,768.39</w:t>
      </w:r>
      <w:r>
        <w:rPr/>
        <w:t>万元，经营活动产生的现金流量净额为</w:t>
      </w:r>
      <w:r>
        <w:rPr>
          <w:rFonts w:ascii="Times New Roman" w:hAnsi="Times New Roman" w:cs="Times New Roman" w:eastAsia="Times New Roman" w:hint="default"/>
        </w:rPr>
        <w:t>-11,248.25</w:t>
      </w:r>
      <w:r>
        <w:rPr/>
        <w:t>万元。</w:t>
      </w:r>
    </w:p>
    <w:p>
      <w:pPr>
        <w:pStyle w:val="BodyText"/>
        <w:spacing w:line="386" w:lineRule="auto" w:before="76"/>
        <w:ind w:right="279" w:firstLine="504"/>
        <w:jc w:val="left"/>
      </w:pPr>
      <w:r>
        <w:rPr/>
        <w:t>报告期，公司销售收入同比下降</w:t>
      </w:r>
      <w:r>
        <w:rPr>
          <w:rFonts w:ascii="Times New Roman" w:hAnsi="Times New Roman" w:cs="Times New Roman" w:eastAsia="Times New Roman" w:hint="default"/>
        </w:rPr>
        <w:t>29.73%</w:t>
      </w:r>
      <w:r>
        <w:rPr/>
        <w:t>，主要是由于</w:t>
      </w:r>
      <w:r>
        <w:rPr>
          <w:rFonts w:ascii="Times New Roman" w:hAnsi="Times New Roman" w:cs="Times New Roman" w:eastAsia="Times New Roman" w:hint="default"/>
        </w:rPr>
        <w:t>2014</w:t>
      </w:r>
      <w:r>
        <w:rPr/>
        <w:t>年公司新签合同同比下降，同时，</w:t>
      </w:r>
      <w:r>
        <w:rPr>
          <w:rFonts w:ascii="Times New Roman" w:hAnsi="Times New Roman" w:cs="Times New Roman" w:eastAsia="Times New Roman" w:hint="default"/>
        </w:rPr>
        <w:t>2013</w:t>
      </w:r>
      <w:r>
        <w:rPr/>
        <w:t>年 结转的部分国内及海外未执行合同受项目进展影响延迟交货，导致收入确认减少。</w:t>
      </w:r>
    </w:p>
    <w:p>
      <w:pPr>
        <w:pStyle w:val="BodyText"/>
        <w:spacing w:line="386" w:lineRule="auto" w:before="104"/>
        <w:ind w:right="102" w:firstLine="504"/>
        <w:jc w:val="left"/>
      </w:pPr>
      <w:r>
        <w:rPr>
          <w:spacing w:val="-1"/>
        </w:rPr>
        <w:t>报告期，归属于上市公司股东的净利润同比下降</w:t>
      </w:r>
      <w:r>
        <w:rPr>
          <w:rFonts w:ascii="Times New Roman" w:hAnsi="Times New Roman" w:cs="Times New Roman" w:eastAsia="Times New Roman" w:hint="default"/>
          <w:spacing w:val="-1"/>
        </w:rPr>
        <w:t>439.76%</w:t>
      </w:r>
      <w:r>
        <w:rPr>
          <w:spacing w:val="-1"/>
        </w:rPr>
        <w:t>，主要是由于上年同期公司减持恒顺电气股</w:t>
      </w:r>
      <w:r>
        <w:rPr/>
        <w:t> 票，取得投资收益较多，报告期投资收益大幅减少及公司销售收入下降，且期间费用较高的原因。</w:t>
      </w:r>
    </w:p>
    <w:p>
      <w:pPr>
        <w:pStyle w:val="BodyText"/>
        <w:spacing w:line="417" w:lineRule="auto" w:before="104"/>
        <w:ind w:left="573" w:right="102"/>
        <w:jc w:val="left"/>
      </w:pPr>
      <w:r>
        <w:rPr/>
        <w:t>报告期，公司综合毛利同比下降</w:t>
      </w:r>
      <w:r>
        <w:rPr>
          <w:rFonts w:ascii="Times New Roman" w:hAnsi="Times New Roman" w:cs="Times New Roman" w:eastAsia="Times New Roman" w:hint="default"/>
        </w:rPr>
        <w:t>3.38%</w:t>
      </w:r>
      <w:r>
        <w:rPr/>
        <w:t>，主要是由于行业竞争加剧，产品价格下降的原因。 报告期，公司期间费用较高，其中：管理费用同比增长</w:t>
      </w:r>
      <w:r>
        <w:rPr>
          <w:rFonts w:ascii="Times New Roman" w:hAnsi="Times New Roman" w:cs="Times New Roman" w:eastAsia="Times New Roman" w:hint="default"/>
        </w:rPr>
        <w:t>1.96%</w:t>
      </w:r>
      <w:r>
        <w:rPr/>
        <w:t>，主要是公司子公司较多，管理成本增</w:t>
      </w:r>
    </w:p>
    <w:p>
      <w:pPr>
        <w:pStyle w:val="BodyText"/>
        <w:spacing w:line="386" w:lineRule="auto" w:before="5"/>
        <w:ind w:right="102"/>
        <w:jc w:val="left"/>
      </w:pPr>
      <w:r>
        <w:rPr>
          <w:spacing w:val="-2"/>
        </w:rPr>
        <w:t>加；销售费用同比增长</w:t>
      </w:r>
      <w:r>
        <w:rPr>
          <w:rFonts w:ascii="Times New Roman" w:hAnsi="Times New Roman" w:cs="Times New Roman" w:eastAsia="Times New Roman" w:hint="default"/>
          <w:spacing w:val="-2"/>
        </w:rPr>
        <w:t>2.08%</w:t>
      </w:r>
      <w:r>
        <w:rPr>
          <w:spacing w:val="-2"/>
        </w:rPr>
        <w:t>，主要是行业竞争加剧，市场开拓费用增加所致；财务费用同比下降</w:t>
      </w:r>
      <w:r>
        <w:rPr>
          <w:rFonts w:ascii="Times New Roman" w:hAnsi="Times New Roman" w:cs="Times New Roman" w:eastAsia="Times New Roman" w:hint="default"/>
          <w:spacing w:val="-2"/>
        </w:rPr>
        <w:t>16.98%</w:t>
      </w:r>
      <w:r>
        <w:rPr>
          <w:spacing w:val="-2"/>
        </w:rPr>
        <w:t>，</w:t>
      </w:r>
      <w:r>
        <w:rPr>
          <w:spacing w:val="-66"/>
        </w:rPr>
        <w:t> </w:t>
      </w:r>
      <w:r>
        <w:rPr/>
        <w:t>主要是利息收入增加及银行手续费减少的原因。公司期间费用率仍维持在较高的水平。</w:t>
      </w:r>
    </w:p>
    <w:p>
      <w:pPr>
        <w:pStyle w:val="BodyText"/>
        <w:spacing w:line="386" w:lineRule="auto" w:before="104"/>
        <w:ind w:right="102" w:firstLine="420"/>
        <w:jc w:val="left"/>
      </w:pPr>
      <w:r>
        <w:rPr/>
        <w:t>报告期，经营活动产生的现金流量净额为</w:t>
      </w:r>
      <w:r>
        <w:rPr>
          <w:rFonts w:ascii="Times New Roman" w:hAnsi="Times New Roman" w:cs="Times New Roman" w:eastAsia="Times New Roman" w:hint="default"/>
        </w:rPr>
        <w:t>-11,248.25</w:t>
      </w:r>
      <w:r>
        <w:rPr/>
        <w:t>万元，同比下降</w:t>
      </w:r>
      <w:r>
        <w:rPr>
          <w:rFonts w:ascii="Times New Roman" w:hAnsi="Times New Roman" w:cs="Times New Roman" w:eastAsia="Times New Roman" w:hint="default"/>
        </w:rPr>
        <w:t>24.03%</w:t>
      </w:r>
      <w:r>
        <w:rPr/>
        <w:t>，主要是公司为执行订单 而支付的现金增长，但回款增速放缓所致。</w:t>
      </w:r>
    </w:p>
    <w:p>
      <w:pPr>
        <w:spacing w:line="441" w:lineRule="auto" w:before="104"/>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公司回顾总结前期披露的发展战略和经营计划在报告期内的进展情况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报告期，公司以节能大功率电力电子设备制造为主营业务方向，不断优化现有业务经营管理，并通过</w:t>
      </w:r>
    </w:p>
    <w:p>
      <w:pPr>
        <w:pStyle w:val="BodyText"/>
        <w:spacing w:line="398" w:lineRule="auto" w:before="17"/>
        <w:ind w:right="209"/>
        <w:jc w:val="both"/>
      </w:pPr>
      <w:r>
        <w:rPr/>
        <w:t>新产品研制开发、自主创新、积极开拓国内国际市场等手段，保持公司</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w:t>
      </w:r>
      <w:r>
        <w:rPr>
          <w:rFonts w:ascii="Times New Roman" w:hAnsi="Times New Roman" w:cs="Times New Roman" w:eastAsia="Times New Roman" w:hint="default"/>
        </w:rPr>
        <w:t>HVDC</w:t>
      </w:r>
      <w:r>
        <w:rPr/>
        <w:t>等主导 </w:t>
      </w:r>
      <w:r>
        <w:rPr>
          <w:spacing w:val="-1"/>
        </w:rPr>
        <w:t>产品优势并不断拓宽产品线与产品业务，巩固公司在节能大功率电力电子设备制造业的领先地位。但由于</w:t>
      </w:r>
      <w:r>
        <w:rPr>
          <w:spacing w:val="-81"/>
        </w:rPr>
        <w:t> </w:t>
      </w:r>
      <w:r>
        <w:rPr>
          <w:spacing w:val="-81"/>
        </w:rPr>
      </w:r>
      <w:r>
        <w:rPr/>
        <w:t>市场竞争加剧，公司新签订单及产品毛利下降，且期间费用居高不下，导致经营业绩不符合预期。</w:t>
      </w:r>
    </w:p>
    <w:p>
      <w:pPr>
        <w:pStyle w:val="Heading3"/>
        <w:spacing w:line="240" w:lineRule="auto" w:before="95"/>
        <w:ind w:left="153" w:right="102"/>
        <w:jc w:val="left"/>
        <w:rPr>
          <w:b w:val="0"/>
          <w:bCs w:val="0"/>
        </w:rPr>
      </w:pPr>
      <w:r>
        <w:rPr/>
        <w:t>公司实际经营业绩较曾公开披露过的本年度盈利预测低于或高于</w:t>
      </w:r>
      <w:r>
        <w:rPr>
          <w:spacing w:val="-73"/>
        </w:rPr>
        <w:t> </w:t>
      </w:r>
      <w:r>
        <w:rPr>
          <w:rFonts w:ascii="Times New Roman" w:hAnsi="Times New Roman" w:cs="Times New Roman" w:eastAsia="Times New Roman" w:hint="default"/>
        </w:rPr>
        <w:t>20%</w:t>
      </w:r>
      <w:r>
        <w:rPr/>
        <w:t>以上的差异原因</w:t>
      </w:r>
      <w:r>
        <w:rPr>
          <w:b w:val="0"/>
          <w:bCs w:val="0"/>
        </w:rPr>
      </w:r>
    </w:p>
    <w:p>
      <w:pPr>
        <w:spacing w:before="164"/>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ind w:right="32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30"/>
          <w:szCs w:val="30"/>
        </w:rPr>
      </w:pPr>
    </w:p>
    <w:p>
      <w:pPr>
        <w:pStyle w:val="BodyText"/>
        <w:spacing w:line="441" w:lineRule="auto"/>
        <w:ind w:left="622" w:right="322" w:hanging="49"/>
        <w:jc w:val="left"/>
      </w:pPr>
      <w:r>
        <w:rPr/>
        <w:t>公司主导产品为定制化的产品，订单生产，量身定制，实行以销定产。 </w:t>
      </w:r>
      <w:r>
        <w:rPr>
          <w:spacing w:val="-2"/>
        </w:rPr>
        <w:t>报告期，公司销售收入同比下降</w:t>
      </w:r>
      <w:r>
        <w:rPr>
          <w:rFonts w:ascii="Times New Roman" w:hAnsi="Times New Roman" w:cs="Times New Roman" w:eastAsia="Times New Roman" w:hint="default"/>
          <w:spacing w:val="-2"/>
        </w:rPr>
        <w:t>29.73%</w:t>
      </w:r>
      <w:r>
        <w:rPr>
          <w:spacing w:val="-2"/>
        </w:rPr>
        <w:t>，主要是由于公司新签合同同比下降，同时，</w:t>
      </w:r>
      <w:r>
        <w:rPr>
          <w:rFonts w:ascii="Times New Roman" w:hAnsi="Times New Roman" w:cs="Times New Roman" w:eastAsia="Times New Roman" w:hint="default"/>
          <w:spacing w:val="-2"/>
        </w:rPr>
        <w:t>2013</w:t>
      </w:r>
      <w:r>
        <w:rPr>
          <w:spacing w:val="-2"/>
        </w:rPr>
        <w:t>年结转的部</w:t>
      </w:r>
    </w:p>
    <w:p>
      <w:pPr>
        <w:pStyle w:val="BodyText"/>
        <w:spacing w:line="258" w:lineRule="exact"/>
        <w:ind w:left="154" w:right="322"/>
        <w:jc w:val="left"/>
      </w:pPr>
      <w:r>
        <w:rPr/>
        <w:t>分国内及海外未执行合同受项目进展影响延迟交货，导致收入确认减少。</w:t>
      </w:r>
    </w:p>
    <w:p>
      <w:pPr>
        <w:spacing w:line="240" w:lineRule="auto" w:before="10"/>
        <w:rPr>
          <w:rFonts w:ascii="宋体" w:hAnsi="宋体" w:cs="宋体" w:eastAsia="宋体" w:hint="default"/>
          <w:sz w:val="17"/>
          <w:szCs w:val="17"/>
        </w:rPr>
      </w:pPr>
    </w:p>
    <w:p>
      <w:pPr>
        <w:pStyle w:val="BodyText"/>
        <w:spacing w:line="386" w:lineRule="auto"/>
        <w:ind w:left="154" w:right="221" w:firstLine="299"/>
        <w:jc w:val="left"/>
      </w:pPr>
      <w:r>
        <w:rPr>
          <w:rFonts w:ascii="Times New Roman" w:hAnsi="Times New Roman" w:cs="Times New Roman" w:eastAsia="Times New Roman" w:hint="default"/>
          <w:spacing w:val="-6"/>
        </w:rPr>
        <w:t>2014</w:t>
      </w:r>
      <w:r>
        <w:rPr>
          <w:spacing w:val="-6"/>
        </w:rPr>
        <w:t>年，公司本部及控股子公司新签订订单</w:t>
      </w:r>
      <w:r>
        <w:rPr>
          <w:rFonts w:ascii="Times New Roman" w:hAnsi="Times New Roman" w:cs="Times New Roman" w:eastAsia="Times New Roman" w:hint="default"/>
          <w:spacing w:val="-6"/>
        </w:rPr>
        <w:t>139,238.61</w:t>
      </w:r>
      <w:r>
        <w:rPr>
          <w:spacing w:val="-6"/>
        </w:rPr>
        <w:t>万元（含税），同比下降</w:t>
      </w:r>
      <w:r>
        <w:rPr>
          <w:rFonts w:ascii="Times New Roman" w:hAnsi="Times New Roman" w:cs="Times New Roman" w:eastAsia="Times New Roman" w:hint="default"/>
          <w:spacing w:val="-6"/>
        </w:rPr>
        <w:t>13.99%</w:t>
      </w:r>
      <w:r>
        <w:rPr>
          <w:spacing w:val="-6"/>
        </w:rPr>
        <w:t>。主要是公司</w:t>
      </w:r>
      <w:r>
        <w:rPr>
          <w:rFonts w:ascii="Times New Roman" w:hAnsi="Times New Roman" w:cs="Times New Roman" w:eastAsia="Times New Roman" w:hint="default"/>
          <w:spacing w:val="-6"/>
        </w:rPr>
        <w:t>SVC</w:t>
      </w:r>
      <w:r>
        <w:rPr>
          <w:spacing w:val="-6"/>
        </w:rPr>
        <w:t>、</w:t>
      </w:r>
      <w:r>
        <w:rPr/>
        <w:t> </w:t>
      </w:r>
      <w:r>
        <w:rPr>
          <w:rFonts w:ascii="Times New Roman" w:hAnsi="Times New Roman" w:cs="Times New Roman" w:eastAsia="Times New Roman" w:hint="default"/>
        </w:rPr>
        <w:t>SVG</w:t>
      </w:r>
      <w:r>
        <w:rPr/>
        <w:t>及海外业务同比减少所致。</w:t>
      </w:r>
    </w:p>
    <w:p>
      <w:pPr>
        <w:pStyle w:val="BodyText"/>
        <w:spacing w:line="386" w:lineRule="auto" w:before="35"/>
        <w:ind w:left="154" w:right="322" w:firstLine="300"/>
        <w:jc w:val="left"/>
      </w:pPr>
      <w:r>
        <w:rPr/>
        <w:t>因北京信力筑正新能源股份有限公司报告期不再纳入合并报表，因此</w:t>
      </w:r>
      <w:r>
        <w:rPr>
          <w:rFonts w:ascii="Times New Roman" w:hAnsi="Times New Roman" w:cs="Times New Roman" w:eastAsia="Times New Roman" w:hint="default"/>
        </w:rPr>
        <w:t>2014</w:t>
      </w:r>
      <w:r>
        <w:rPr/>
        <w:t>年订单额不再包含信力筑正</w:t>
      </w:r>
      <w:r>
        <w:rPr>
          <w:spacing w:val="2"/>
        </w:rPr>
        <w:t> </w:t>
      </w:r>
      <w:r>
        <w:rPr/>
        <w:t>公司合同额。</w:t>
      </w:r>
    </w:p>
    <w:p>
      <w:pPr>
        <w:pStyle w:val="BodyText"/>
        <w:tabs>
          <w:tab w:pos="7661" w:val="left" w:leader="none"/>
        </w:tabs>
        <w:spacing w:line="240" w:lineRule="auto" w:before="28"/>
        <w:ind w:left="574" w:right="322"/>
        <w:jc w:val="left"/>
      </w:pPr>
      <w:r>
        <w:rPr>
          <w:spacing w:val="-1"/>
        </w:rPr>
        <w:t>（</w:t>
      </w:r>
      <w:r>
        <w:rPr>
          <w:rFonts w:ascii="Times New Roman" w:hAnsi="Times New Roman" w:cs="Times New Roman" w:eastAsia="Times New Roman" w:hint="default"/>
          <w:spacing w:val="-1"/>
        </w:rPr>
        <w:t>1</w:t>
      </w:r>
      <w:r>
        <w:rPr>
          <w:spacing w:val="-1"/>
        </w:rPr>
        <w:t>）订单行业分布</w:t>
        <w:tab/>
      </w:r>
      <w:r>
        <w:rPr/>
        <w:t>单位</w:t>
      </w:r>
      <w:r>
        <w:rPr>
          <w:rFonts w:ascii="Times New Roman" w:hAnsi="Times New Roman" w:cs="Times New Roman" w:eastAsia="Times New Roman" w:hint="default"/>
        </w:rPr>
        <w:t>:</w:t>
      </w:r>
      <w:r>
        <w:rPr/>
        <w:t>万元</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62"/>
        <w:gridCol w:w="1160"/>
        <w:gridCol w:w="1162"/>
        <w:gridCol w:w="1160"/>
        <w:gridCol w:w="1061"/>
        <w:gridCol w:w="1162"/>
        <w:gridCol w:w="1160"/>
        <w:gridCol w:w="1162"/>
        <w:gridCol w:w="1266"/>
      </w:tblGrid>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行业</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冶金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发电</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石油石化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电网</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有色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10,633.55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34,499.73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10,150.95</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7,434.10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46,889.40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4,603.92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25,026.96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139,238.61</w:t>
            </w:r>
          </w:p>
        </w:tc>
      </w:tr>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7.64%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24.78%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7.29%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5.34%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33.68%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3.31%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17.97%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tabs>
          <w:tab w:pos="7766" w:val="left" w:leader="none"/>
        </w:tabs>
        <w:spacing w:line="240" w:lineRule="auto" w:before="26"/>
        <w:ind w:left="636" w:right="322"/>
        <w:jc w:val="left"/>
      </w:pPr>
      <w:r>
        <w:rPr>
          <w:spacing w:val="-1"/>
        </w:rPr>
        <w:t>（</w:t>
      </w:r>
      <w:r>
        <w:rPr>
          <w:rFonts w:ascii="Times New Roman" w:hAnsi="Times New Roman" w:cs="Times New Roman" w:eastAsia="Times New Roman" w:hint="default"/>
          <w:spacing w:val="-1"/>
        </w:rPr>
        <w:t>2</w:t>
      </w:r>
      <w:r>
        <w:rPr>
          <w:spacing w:val="-1"/>
        </w:rPr>
        <w:t>）订单分产品情况</w:t>
        <w:tab/>
      </w:r>
      <w:r>
        <w:rPr/>
        <w:t>单位：万元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50"/>
        <w:gridCol w:w="1160"/>
        <w:gridCol w:w="1145"/>
        <w:gridCol w:w="1122"/>
        <w:gridCol w:w="1162"/>
        <w:gridCol w:w="1160"/>
        <w:gridCol w:w="1152"/>
        <w:gridCol w:w="1152"/>
        <w:gridCol w:w="1151"/>
      </w:tblGrid>
      <w:tr>
        <w:trPr>
          <w:trHeight w:val="369" w:hRule="exact"/>
        </w:trPr>
        <w:tc>
          <w:tcPr>
            <w:tcW w:w="650" w:type="dxa"/>
            <w:vMerge w:val="restart"/>
            <w:tcBorders>
              <w:top w:val="single" w:sz="6" w:space="0" w:color="000000"/>
              <w:left w:val="single" w:sz="6" w:space="0" w:color="000000"/>
              <w:right w:val="single" w:sz="6" w:space="0" w:color="000000"/>
            </w:tcBorders>
          </w:tcPr>
          <w:p>
            <w:pPr>
              <w:pStyle w:val="TableParagraph"/>
              <w:spacing w:line="307" w:lineRule="auto" w:before="37"/>
              <w:ind w:left="212" w:right="211"/>
              <w:jc w:val="center"/>
              <w:rPr>
                <w:rFonts w:ascii="宋体" w:hAnsi="宋体" w:cs="宋体" w:eastAsia="宋体" w:hint="default"/>
                <w:sz w:val="21"/>
                <w:szCs w:val="21"/>
              </w:rPr>
            </w:pPr>
            <w:r>
              <w:rPr>
                <w:rFonts w:ascii="宋体" w:hAnsi="宋体" w:cs="宋体" w:eastAsia="宋体" w:hint="default"/>
                <w:sz w:val="21"/>
                <w:szCs w:val="21"/>
              </w:rPr>
              <w:t>产 品</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高压动态无</w:t>
            </w:r>
          </w:p>
        </w:tc>
        <w:tc>
          <w:tcPr>
            <w:tcW w:w="11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串补</w:t>
            </w:r>
          </w:p>
        </w:tc>
        <w:tc>
          <w:tcPr>
            <w:tcW w:w="11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轻型直流输</w:t>
            </w:r>
          </w:p>
        </w:tc>
        <w:tc>
          <w:tcPr>
            <w:tcW w:w="11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静止无功发</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高压变频调</w:t>
            </w:r>
          </w:p>
        </w:tc>
        <w:tc>
          <w:tcPr>
            <w:tcW w:w="11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智能瓦斯排</w:t>
            </w:r>
          </w:p>
        </w:tc>
        <w:tc>
          <w:tcPr>
            <w:tcW w:w="11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电力滤波</w:t>
            </w:r>
          </w:p>
        </w:tc>
        <w:tc>
          <w:tcPr>
            <w:tcW w:w="11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备件及其他</w:t>
            </w:r>
          </w:p>
        </w:tc>
      </w:tr>
      <w:tr>
        <w:trPr>
          <w:trHeight w:val="338" w:hRule="exact"/>
        </w:trPr>
        <w:tc>
          <w:tcPr>
            <w:tcW w:w="650"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功补偿装置</w:t>
            </w:r>
          </w:p>
        </w:tc>
        <w:tc>
          <w:tcPr>
            <w:tcW w:w="1145" w:type="dxa"/>
            <w:tcBorders>
              <w:top w:val="nil" w:sz="6" w:space="0" w:color="auto"/>
              <w:left w:val="single" w:sz="6" w:space="0" w:color="000000"/>
              <w:bottom w:val="nil" w:sz="6" w:space="0" w:color="auto"/>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FSC</w:t>
            </w:r>
          </w:p>
        </w:tc>
        <w:tc>
          <w:tcPr>
            <w:tcW w:w="112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电系统</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78"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生器</w:t>
            </w:r>
            <w:r>
              <w:rPr>
                <w:rFonts w:ascii="Times New Roman" w:hAnsi="Times New Roman" w:cs="Times New Roman" w:eastAsia="Times New Roman" w:hint="default"/>
                <w:sz w:val="21"/>
                <w:szCs w:val="21"/>
              </w:rPr>
              <w:t>SVG</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速装置及高</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放装置</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FC</w:t>
            </w:r>
          </w:p>
        </w:tc>
        <w:tc>
          <w:tcPr>
            <w:tcW w:w="1151"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50"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SVC</w:t>
            </w:r>
          </w:p>
        </w:tc>
        <w:tc>
          <w:tcPr>
            <w:tcW w:w="1145" w:type="dxa"/>
            <w:tcBorders>
              <w:top w:val="nil" w:sz="6" w:space="0" w:color="auto"/>
              <w:left w:val="single" w:sz="6" w:space="0" w:color="000000"/>
              <w:bottom w:val="nil" w:sz="6" w:space="0" w:color="auto"/>
              <w:right w:val="single" w:sz="6" w:space="0" w:color="000000"/>
            </w:tcBorders>
          </w:tcPr>
          <w:p>
            <w:pPr/>
          </w:p>
        </w:tc>
        <w:tc>
          <w:tcPr>
            <w:tcW w:w="1122"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HVDC</w:t>
            </w:r>
          </w:p>
        </w:tc>
        <w:tc>
          <w:tcPr>
            <w:tcW w:w="116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压软启动装</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MABZ</w:t>
            </w:r>
          </w:p>
        </w:tc>
        <w:tc>
          <w:tcPr>
            <w:tcW w:w="1152"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r>
      <w:tr>
        <w:trPr>
          <w:trHeight w:val="343" w:hRule="exact"/>
        </w:trPr>
        <w:tc>
          <w:tcPr>
            <w:tcW w:w="650"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45" w:type="dxa"/>
            <w:tcBorders>
              <w:top w:val="nil" w:sz="6" w:space="0" w:color="auto"/>
              <w:left w:val="single" w:sz="6" w:space="0" w:color="000000"/>
              <w:bottom w:val="single" w:sz="6" w:space="0" w:color="000000"/>
              <w:right w:val="single" w:sz="6" w:space="0" w:color="000000"/>
            </w:tcBorders>
          </w:tcPr>
          <w:p>
            <w:pPr/>
          </w:p>
        </w:tc>
        <w:tc>
          <w:tcPr>
            <w:tcW w:w="1122"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置</w:t>
            </w:r>
            <w:r>
              <w:rPr>
                <w:rFonts w:ascii="Times New Roman" w:hAnsi="Times New Roman" w:cs="Times New Roman" w:eastAsia="Times New Roman" w:hint="default"/>
                <w:sz w:val="21"/>
                <w:szCs w:val="21"/>
              </w:rPr>
              <w:t>HVC/VFS</w:t>
            </w:r>
          </w:p>
        </w:tc>
        <w:tc>
          <w:tcPr>
            <w:tcW w:w="1152" w:type="dxa"/>
            <w:tcBorders>
              <w:top w:val="nil" w:sz="6" w:space="0" w:color="auto"/>
              <w:left w:val="single" w:sz="6" w:space="0" w:color="000000"/>
              <w:bottom w:val="single" w:sz="6" w:space="0" w:color="000000"/>
              <w:right w:val="single" w:sz="6" w:space="0" w:color="000000"/>
            </w:tcBorders>
          </w:tcPr>
          <w:p>
            <w:pPr/>
          </w:p>
        </w:tc>
        <w:tc>
          <w:tcPr>
            <w:tcW w:w="1152"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9,460.33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4,504.50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35,990.91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39,323.77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35,988.28</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2,589.87</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1,395.29</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9,985.66</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6.79%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3.24%</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25.85%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28.24%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25.85%</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1.86%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7.17%</w:t>
            </w:r>
          </w:p>
        </w:tc>
      </w:tr>
    </w:tbl>
    <w:p>
      <w:pPr>
        <w:spacing w:line="240" w:lineRule="auto" w:before="3"/>
        <w:rPr>
          <w:rFonts w:ascii="宋体" w:hAnsi="宋体" w:cs="宋体" w:eastAsia="宋体" w:hint="default"/>
          <w:sz w:val="5"/>
          <w:szCs w:val="5"/>
        </w:rPr>
      </w:pPr>
    </w:p>
    <w:p>
      <w:pPr>
        <w:pStyle w:val="BodyText"/>
        <w:spacing w:line="240" w:lineRule="auto" w:before="35"/>
        <w:ind w:left="574" w:right="322"/>
        <w:jc w:val="left"/>
      </w:pPr>
      <w:r>
        <w:rPr/>
        <w:t>公司订单分布与上年相比未发生重大变化。</w:t>
      </w:r>
    </w:p>
    <w:p>
      <w:pPr>
        <w:spacing w:line="240" w:lineRule="auto" w:before="10"/>
        <w:rPr>
          <w:rFonts w:ascii="宋体" w:hAnsi="宋体" w:cs="宋体" w:eastAsia="宋体" w:hint="default"/>
          <w:sz w:val="17"/>
          <w:szCs w:val="17"/>
        </w:rPr>
      </w:pPr>
    </w:p>
    <w:p>
      <w:pPr>
        <w:pStyle w:val="BodyText"/>
        <w:spacing w:line="240" w:lineRule="auto"/>
        <w:ind w:left="574" w:right="322"/>
        <w:jc w:val="left"/>
      </w:pPr>
      <w:r>
        <w:rPr>
          <w:rFonts w:ascii="Times New Roman" w:hAnsi="Times New Roman" w:cs="Times New Roman" w:eastAsia="Times New Roman" w:hint="default"/>
        </w:rPr>
        <w:t>2014</w:t>
      </w:r>
      <w:r>
        <w:rPr/>
        <w:t>年，公司新签海外订单</w:t>
      </w:r>
      <w:r>
        <w:rPr>
          <w:rFonts w:ascii="Times New Roman" w:hAnsi="Times New Roman" w:cs="Times New Roman" w:eastAsia="Times New Roman" w:hint="default"/>
        </w:rPr>
        <w:t>9,113.88</w:t>
      </w:r>
      <w:r>
        <w:rPr/>
        <w:t>万元，同比下降</w:t>
      </w:r>
      <w:r>
        <w:rPr>
          <w:rFonts w:ascii="Times New Roman" w:hAnsi="Times New Roman" w:cs="Times New Roman" w:eastAsia="Times New Roman" w:hint="default"/>
        </w:rPr>
        <w:t>21.40%</w:t>
      </w:r>
      <w:r>
        <w:rPr/>
        <w:t>。</w:t>
      </w:r>
    </w:p>
    <w:p>
      <w:pPr>
        <w:spacing w:line="240" w:lineRule="auto" w:before="0"/>
        <w:rPr>
          <w:rFonts w:ascii="宋体" w:hAnsi="宋体" w:cs="宋体" w:eastAsia="宋体" w:hint="default"/>
          <w:sz w:val="22"/>
          <w:szCs w:val="22"/>
        </w:rPr>
      </w:pPr>
    </w:p>
    <w:p>
      <w:pPr>
        <w:pStyle w:val="BodyText"/>
        <w:spacing w:line="240" w:lineRule="auto" w:before="164"/>
        <w:ind w:right="322"/>
        <w:jc w:val="left"/>
      </w:pPr>
      <w:r>
        <w:rPr/>
        <w:t>公司实物销售收入是否大于劳务收入</w:t>
      </w:r>
    </w:p>
    <w:p>
      <w:pPr>
        <w:spacing w:before="102"/>
        <w:ind w:left="154" w:right="3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319" w:lineRule="auto" w:before="95"/>
              <w:ind w:left="22" w:right="121"/>
              <w:jc w:val="left"/>
              <w:rPr>
                <w:rFonts w:ascii="宋体" w:hAnsi="宋体" w:cs="宋体" w:eastAsia="宋体" w:hint="default"/>
                <w:sz w:val="18"/>
                <w:szCs w:val="18"/>
              </w:rPr>
            </w:pPr>
            <w:r>
              <w:rPr>
                <w:rFonts w:ascii="宋体" w:hAnsi="宋体" w:cs="宋体" w:eastAsia="宋体" w:hint="default"/>
                <w:sz w:val="18"/>
                <w:szCs w:val="18"/>
              </w:rPr>
              <w:t>节能大功率电力电 子装备制造业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销售量（订单额）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139,238.61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161,886.89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生产量（销售收入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613" w:val="left" w:leader="none"/>
              </w:tabs>
              <w:spacing w:line="240" w:lineRule="auto" w:before="51"/>
              <w:ind w:left="-131" w:right="611"/>
              <w:jc w:val="right"/>
              <w:rPr>
                <w:rFonts w:ascii="宋体" w:hAnsi="宋体" w:cs="宋体" w:eastAsia="宋体" w:hint="default"/>
                <w:sz w:val="18"/>
                <w:szCs w:val="18"/>
              </w:rPr>
            </w:pPr>
            <w:r>
              <w:rPr>
                <w:rFonts w:ascii="宋体" w:hAnsi="宋体" w:cs="宋体" w:eastAsia="宋体" w:hint="default"/>
                <w:sz w:val="18"/>
                <w:szCs w:val="18"/>
              </w:rPr>
              <w:t>）</w:t>
              <w:tab/>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92,779.98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132,032.17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-29.73%</w:t>
            </w:r>
          </w:p>
        </w:tc>
      </w:tr>
    </w:tbl>
    <w:p>
      <w:pPr>
        <w:pStyle w:val="BodyText"/>
        <w:spacing w:line="240" w:lineRule="auto" w:before="26"/>
        <w:ind w:left="154" w:right="322"/>
        <w:jc w:val="left"/>
      </w:pPr>
      <w:r>
        <w:rPr/>
        <w:pict>
          <v:group style="position:absolute;margin-left:216.419998pt;margin-top:-20.096027pt;width:79.2pt;height:19.650pt;mso-position-horizontal-relative:page;mso-position-vertical-relative:paragraph;z-index:-798688" coordorigin="4328,-402" coordsize="1584,393">
            <v:group style="position:absolute;left:5890;top:-402;width:23;height:393" coordorigin="5890,-402" coordsize="23,393">
              <v:shape style="position:absolute;left:5890;top:-402;width:23;height:393" coordorigin="5890,-402" coordsize="23,393" path="m5890,-10l5912,-10,5912,-402,5890,-402,5890,-10xe" filled="true" fillcolor="#ffffff" stroked="false">
                <v:path arrowok="t"/>
                <v:fill type="solid"/>
              </v:shape>
            </v:group>
            <v:group style="position:absolute;left:4328;top:-402;width:24;height:393" coordorigin="4328,-402" coordsize="24,393">
              <v:shape style="position:absolute;left:4328;top:-402;width:24;height:393" coordorigin="4328,-402" coordsize="24,393" path="m4328,-10l4352,-10,4352,-402,4328,-402,4328,-10xe" filled="true" fillcolor="#ffffff" stroked="false">
                <v:path arrowok="t"/>
                <v:fill type="solid"/>
              </v:shape>
            </v:group>
            <v:group style="position:absolute;left:4352;top:-402;width:1538;height:393" coordorigin="4352,-402" coordsize="1538,393">
              <v:shape style="position:absolute;left:4352;top:-402;width:1538;height:393" coordorigin="4352,-402" coordsize="1538,393" path="m4352,-10l5890,-10,5890,-402,4352,-402,4352,-10xe" filled="true" fillcolor="#ffffff" stroked="false">
                <v:path arrowok="t"/>
                <v:fill type="solid"/>
              </v:shape>
            </v:group>
            <w10:wrap type="none"/>
          </v:group>
        </w:pict>
      </w:r>
      <w:r>
        <w:rPr/>
        <w:t>公司重大的在手订单情况</w:t>
      </w:r>
    </w:p>
    <w:p>
      <w:pPr>
        <w:spacing w:before="103"/>
        <w:ind w:left="154" w:right="3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538" w:right="326" w:firstLine="35"/>
        <w:jc w:val="left"/>
      </w:pPr>
      <w:r>
        <w:rPr/>
        <w:t>报告期末，公司及控股子公司未执行合同</w:t>
      </w:r>
      <w:r>
        <w:rPr>
          <w:rFonts w:ascii="Times New Roman" w:hAnsi="Times New Roman" w:cs="Times New Roman" w:eastAsia="Times New Roman" w:hint="default"/>
        </w:rPr>
        <w:t>178,085.89</w:t>
      </w:r>
      <w:r>
        <w:rPr/>
        <w:t>万元（含税），转入</w:t>
      </w:r>
      <w:r>
        <w:rPr>
          <w:rFonts w:ascii="Times New Roman" w:hAnsi="Times New Roman" w:cs="Times New Roman" w:eastAsia="Times New Roman" w:hint="default"/>
        </w:rPr>
        <w:t>2015</w:t>
      </w:r>
      <w:r>
        <w:rPr/>
        <w:t>年执行。 公司主导产品为定制化的产品，实行订单生产，由于公司订单执行期较长，报告期末，公司及控股子</w:t>
      </w:r>
    </w:p>
    <w:p>
      <w:pPr>
        <w:pStyle w:val="BodyText"/>
        <w:spacing w:line="240" w:lineRule="auto" w:before="65"/>
        <w:ind w:left="154" w:right="221"/>
        <w:jc w:val="left"/>
      </w:pPr>
      <w:r>
        <w:rPr/>
        <w:t>公司未执行合同结转至</w:t>
      </w:r>
      <w:r>
        <w:rPr>
          <w:rFonts w:ascii="Times New Roman" w:hAnsi="Times New Roman" w:cs="Times New Roman" w:eastAsia="Times New Roman" w:hint="default"/>
        </w:rPr>
        <w:t>2015</w:t>
      </w:r>
      <w:r>
        <w:rPr/>
        <w:t>年执行。未执行订单在履行过程中如果遇到宏观经济环境、客户经营状况发生</w:t>
      </w:r>
    </w:p>
    <w:p>
      <w:pPr>
        <w:spacing w:after="0" w:line="240" w:lineRule="auto"/>
        <w:jc w:val="left"/>
        <w:sectPr>
          <w:pgSz w:w="11910" w:h="16840"/>
          <w:pgMar w:header="747" w:footer="982" w:top="1060" w:bottom="1180" w:left="980" w:right="800"/>
        </w:sectPr>
      </w:pPr>
    </w:p>
    <w:p>
      <w:pPr>
        <w:spacing w:line="240" w:lineRule="auto" w:before="0"/>
        <w:rPr>
          <w:rFonts w:ascii="宋体" w:hAnsi="宋体" w:cs="宋体" w:eastAsia="宋体" w:hint="default"/>
          <w:sz w:val="20"/>
          <w:szCs w:val="20"/>
        </w:rPr>
      </w:pPr>
    </w:p>
    <w:p>
      <w:pPr>
        <w:pStyle w:val="BodyText"/>
        <w:spacing w:line="376" w:lineRule="auto" w:before="174"/>
        <w:ind w:left="154" w:right="740"/>
        <w:jc w:val="left"/>
      </w:pPr>
      <w:r>
        <w:rPr/>
        <w:pict>
          <v:shape style="position:absolute;margin-left:56.459999pt;margin-top:48.563995pt;width:479.1pt;height:40.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174,335,762.08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18.79%</w:t>
                        </w:r>
                      </w:p>
                    </w:tc>
                  </w:tr>
                </w:tbl>
                <w:p>
                  <w:pPr/>
                </w:p>
              </w:txbxContent>
            </v:textbox>
            <w10:wrap type="none"/>
          </v:shape>
        </w:pict>
      </w:r>
      <w:r>
        <w:rPr/>
        <w:t>不利变化等不可预计的或不可抗力等因素的影响，有可能会导致订单无法全部履行或终止的风险。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沈阳透平机械股份有限公司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58,239,316.24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莫桑比克</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55,761,873.19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北京华电天仁电力控制技术有限公司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20,512,820.51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振发新能源科技有限公司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19,948,717.95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 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19,873,034.19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174,335,762.08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520,114,505.59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711,892,562.53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14,292,274.35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14,350,223.37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30,505,249.59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33,028,291.89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140,608,370.63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20.76%</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新华都特种电气股份有限公司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35,065,955.06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上海吉电电子技术有限公司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27,841,214.27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东芝电子（中国）有限公司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26,886,465.60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北京晶川电子技术发展有限责任公司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26,805,172.76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来恩伟业</w:t>
            </w:r>
            <w:r>
              <w:rPr>
                <w:rFonts w:ascii="Times New Roman" w:hAnsi="Times New Roman" w:cs="Times New Roman" w:eastAsia="Times New Roman" w:hint="default"/>
                <w:sz w:val="18"/>
                <w:szCs w:val="18"/>
              </w:rPr>
              <w:t>(</w:t>
            </w:r>
            <w:r>
              <w:rPr>
                <w:rFonts w:ascii="宋体" w:hAnsi="宋体" w:cs="宋体" w:eastAsia="宋体" w:hint="default"/>
                <w:sz w:val="18"/>
                <w:szCs w:val="18"/>
              </w:rPr>
              <w:t>鹤壁</w:t>
            </w:r>
            <w:r>
              <w:rPr>
                <w:rFonts w:ascii="Times New Roman" w:hAnsi="Times New Roman" w:cs="Times New Roman" w:eastAsia="Times New Roman" w:hint="default"/>
                <w:sz w:val="18"/>
                <w:szCs w:val="18"/>
              </w:rPr>
              <w:t>)</w:t>
            </w:r>
            <w:r>
              <w:rPr>
                <w:rFonts w:ascii="宋体" w:hAnsi="宋体" w:cs="宋体" w:eastAsia="宋体" w:hint="default"/>
                <w:sz w:val="18"/>
                <w:szCs w:val="18"/>
              </w:rPr>
              <w:t>电子科技有限责任公司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24,009,562.94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140,608,370.63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20.76%</w:t>
            </w:r>
          </w:p>
        </w:tc>
      </w:tr>
    </w:tbl>
    <w:p>
      <w:pPr>
        <w:spacing w:line="240" w:lineRule="auto" w:before="2"/>
        <w:rPr>
          <w:rFonts w:ascii="宋体" w:hAnsi="宋体" w:cs="宋体" w:eastAsia="宋体" w:hint="default"/>
          <w:sz w:val="19"/>
          <w:szCs w:val="19"/>
        </w:rPr>
      </w:pPr>
    </w:p>
    <w:p>
      <w:pPr>
        <w:pStyle w:val="Heading3"/>
        <w:spacing w:line="240" w:lineRule="auto"/>
        <w:ind w:right="322"/>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221" w:firstLine="420"/>
        <w:jc w:val="left"/>
      </w:pPr>
      <w:r>
        <w:rPr/>
        <w:t>报告期，公司期间费用较高，其中：管理费用同比增长</w:t>
      </w:r>
      <w:r>
        <w:rPr>
          <w:rFonts w:ascii="Times New Roman" w:hAnsi="Times New Roman" w:cs="Times New Roman" w:eastAsia="Times New Roman" w:hint="default"/>
        </w:rPr>
        <w:t>1.96%</w:t>
      </w:r>
      <w:r>
        <w:rPr/>
        <w:t>，主要是公司子公司较多，管理成本增 </w:t>
      </w:r>
      <w:r>
        <w:rPr>
          <w:spacing w:val="-2"/>
        </w:rPr>
        <w:t>加；销售费用同比增长</w:t>
      </w:r>
      <w:r>
        <w:rPr>
          <w:rFonts w:ascii="Times New Roman" w:hAnsi="Times New Roman" w:cs="Times New Roman" w:eastAsia="Times New Roman" w:hint="default"/>
          <w:spacing w:val="-2"/>
        </w:rPr>
        <w:t>2.08%</w:t>
      </w:r>
      <w:r>
        <w:rPr>
          <w:spacing w:val="-2"/>
        </w:rPr>
        <w:t>，主要是行业竞争加剧，市场开拓费用增加所致；财务费用同比下降</w:t>
      </w:r>
      <w:r>
        <w:rPr>
          <w:rFonts w:ascii="Times New Roman" w:hAnsi="Times New Roman" w:cs="Times New Roman" w:eastAsia="Times New Roman" w:hint="default"/>
          <w:spacing w:val="-2"/>
        </w:rPr>
        <w:t>16.98%</w:t>
      </w:r>
      <w:r>
        <w:rPr>
          <w:spacing w:val="-2"/>
        </w:rPr>
        <w:t>，</w:t>
      </w:r>
      <w:r>
        <w:rPr>
          <w:spacing w:val="-66"/>
        </w:rPr>
        <w:t> </w:t>
      </w:r>
      <w:r>
        <w:rPr/>
        <w:t>主要是利息收入增加及银行手续费减少的原因。公司期间费用率仍维持在较高的水平。</w:t>
      </w:r>
    </w:p>
    <w:p>
      <w:pPr>
        <w:spacing w:line="240" w:lineRule="auto" w:before="0"/>
        <w:rPr>
          <w:rFonts w:ascii="宋体" w:hAnsi="宋体" w:cs="宋体" w:eastAsia="宋体" w:hint="default"/>
          <w:sz w:val="22"/>
          <w:szCs w:val="22"/>
        </w:rPr>
      </w:pPr>
    </w:p>
    <w:p>
      <w:pPr>
        <w:pStyle w:val="Heading3"/>
        <w:spacing w:line="240" w:lineRule="auto" w:before="0"/>
        <w:ind w:left="153" w:right="322"/>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329" w:firstLine="420"/>
        <w:jc w:val="both"/>
      </w:pPr>
      <w:r>
        <w:rPr>
          <w:spacing w:val="-1"/>
        </w:rPr>
        <w:t>报告期，公司根据国际上节能大功率电力电子设备制造业发展趋势和国内市场需要，有针对性地进行</w:t>
      </w:r>
      <w:r>
        <w:rPr/>
        <w:t> </w:t>
      </w:r>
      <w:r>
        <w:rPr>
          <w:spacing w:val="-1"/>
        </w:rPr>
        <w:t>电力电子等技术领域的基础研究和专项技术开发，保证公司产品的技术水平保持国内领先，并开发行业前</w:t>
      </w:r>
      <w:r>
        <w:rPr>
          <w:spacing w:val="-81"/>
        </w:rPr>
        <w:t> </w:t>
      </w:r>
      <w:r>
        <w:rPr>
          <w:spacing w:val="-81"/>
        </w:rPr>
      </w:r>
      <w:r>
        <w:rPr/>
        <w:t>沿技术，力争与国际先进技术水平同步。</w:t>
      </w:r>
    </w:p>
    <w:p>
      <w:pPr>
        <w:pStyle w:val="BodyText"/>
        <w:tabs>
          <w:tab w:pos="9007" w:val="left" w:leader="none"/>
        </w:tabs>
        <w:spacing w:line="240" w:lineRule="auto" w:before="46"/>
        <w:ind w:left="573" w:right="221"/>
        <w:jc w:val="left"/>
        <w:rPr>
          <w:rFonts w:ascii="宋体" w:hAnsi="宋体" w:cs="宋体" w:eastAsia="宋体" w:hint="default"/>
          <w:sz w:val="18"/>
          <w:szCs w:val="18"/>
        </w:rPr>
      </w:pPr>
      <w:r>
        <w:rPr>
          <w:spacing w:val="-2"/>
        </w:rPr>
        <w:t>报告期，公司共计投入研发资金</w:t>
      </w:r>
      <w:r>
        <w:rPr>
          <w:rFonts w:ascii="Times New Roman" w:hAnsi="Times New Roman" w:cs="Times New Roman" w:eastAsia="Times New Roman" w:hint="default"/>
          <w:spacing w:val="-2"/>
        </w:rPr>
        <w:t>12,532.21</w:t>
      </w:r>
      <w:r>
        <w:rPr>
          <w:spacing w:val="-2"/>
        </w:rPr>
        <w:t>万元，占</w:t>
      </w:r>
      <w:r>
        <w:rPr>
          <w:rFonts w:ascii="Times New Roman" w:hAnsi="Times New Roman" w:cs="Times New Roman" w:eastAsia="Times New Roman" w:hint="default"/>
          <w:spacing w:val="-2"/>
        </w:rPr>
        <w:t>2014</w:t>
      </w:r>
      <w:r>
        <w:rPr>
          <w:spacing w:val="-2"/>
        </w:rPr>
        <w:t>年销售收入</w:t>
      </w:r>
      <w:r>
        <w:rPr>
          <w:rFonts w:ascii="Times New Roman" w:hAnsi="Times New Roman" w:cs="Times New Roman" w:eastAsia="Times New Roman" w:hint="default"/>
          <w:spacing w:val="-2"/>
        </w:rPr>
        <w:t>13.51%</w:t>
      </w:r>
      <w:r>
        <w:rPr>
          <w:spacing w:val="-2"/>
        </w:rPr>
        <w:t>。</w:t>
        <w:tab/>
      </w:r>
      <w:r>
        <w:rPr>
          <w:rFonts w:ascii="宋体" w:hAnsi="宋体" w:cs="宋体" w:eastAsia="宋体" w:hint="default"/>
          <w:b/>
          <w:bCs/>
          <w:sz w:val="18"/>
          <w:szCs w:val="18"/>
        </w:rPr>
        <w:t>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宋体" w:hAnsi="宋体" w:cs="宋体" w:eastAsia="宋体" w:hint="default"/>
          <w:sz w:val="18"/>
          <w:szCs w:val="18"/>
        </w:rPr>
      </w:r>
    </w:p>
    <w:p>
      <w:pPr>
        <w:spacing w:line="240" w:lineRule="auto" w:before="9"/>
        <w:rPr>
          <w:rFonts w:ascii="宋体" w:hAnsi="宋体" w:cs="宋体" w:eastAsia="宋体" w:hint="default"/>
          <w:b/>
          <w:bCs/>
          <w:sz w:val="8"/>
          <w:szCs w:val="8"/>
        </w:rPr>
      </w:pPr>
    </w:p>
    <w:tbl>
      <w:tblPr>
        <w:tblW w:w="0" w:type="auto"/>
        <w:jc w:val="left"/>
        <w:tblInd w:w="146" w:type="dxa"/>
        <w:tblLayout w:type="fixed"/>
        <w:tblCellMar>
          <w:top w:w="0" w:type="dxa"/>
          <w:left w:w="0" w:type="dxa"/>
          <w:bottom w:w="0" w:type="dxa"/>
          <w:right w:w="0" w:type="dxa"/>
        </w:tblCellMar>
        <w:tblLook w:val="01E0"/>
      </w:tblPr>
      <w:tblGrid>
        <w:gridCol w:w="2971"/>
        <w:gridCol w:w="2458"/>
        <w:gridCol w:w="2178"/>
        <w:gridCol w:w="2248"/>
      </w:tblGrid>
      <w:tr>
        <w:trPr>
          <w:trHeight w:val="347" w:hRule="exact"/>
        </w:trPr>
        <w:tc>
          <w:tcPr>
            <w:tcW w:w="2971"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58"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30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p>
        </w:tc>
        <w:tc>
          <w:tcPr>
            <w:tcW w:w="2178"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304" w:lineRule="exact"/>
              <w:ind w:left="7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p>
        </w:tc>
        <w:tc>
          <w:tcPr>
            <w:tcW w:w="2248"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304" w:lineRule="exact"/>
              <w:ind w:left="1"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12,533.21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14,272.51</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16,353.78</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占销售收入比重</w:t>
            </w:r>
            <w:r>
              <w:rPr>
                <w:rFonts w:ascii="Times New Roman" w:hAnsi="Times New Roman" w:cs="Times New Roman" w:eastAsia="Times New Roman" w:hint="default"/>
                <w:sz w:val="18"/>
                <w:szCs w:val="18"/>
              </w:rPr>
              <w:t>%</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13.51%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10.81%</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13.64%</w:t>
            </w:r>
          </w:p>
        </w:tc>
      </w:tr>
      <w:tr>
        <w:trPr>
          <w:trHeight w:val="42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占净资产比重</w:t>
            </w:r>
            <w:r>
              <w:rPr>
                <w:rFonts w:ascii="Times New Roman" w:hAnsi="Times New Roman" w:cs="Times New Roman" w:eastAsia="Times New Roman" w:hint="default"/>
                <w:sz w:val="18"/>
                <w:szCs w:val="18"/>
              </w:rPr>
              <w:t>%</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6.94%</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7.71%</w:t>
            </w:r>
          </w:p>
        </w:tc>
      </w:tr>
    </w:tbl>
    <w:p>
      <w:pPr>
        <w:spacing w:line="240" w:lineRule="auto" w:before="13"/>
        <w:rPr>
          <w:rFonts w:ascii="宋体" w:hAnsi="宋体" w:cs="宋体" w:eastAsia="宋体" w:hint="default"/>
          <w:b/>
          <w:bCs/>
          <w:sz w:val="25"/>
          <w:szCs w:val="25"/>
        </w:rPr>
      </w:pPr>
    </w:p>
    <w:p>
      <w:pPr>
        <w:pStyle w:val="BodyText"/>
        <w:spacing w:line="386" w:lineRule="auto" w:before="35"/>
        <w:ind w:left="154" w:right="333" w:firstLine="482"/>
        <w:jc w:val="left"/>
      </w:pPr>
      <w:r>
        <w:rPr/>
        <w:t>报告期，公司及控股子公司有</w:t>
      </w:r>
      <w:r>
        <w:rPr>
          <w:rFonts w:ascii="Times New Roman" w:hAnsi="Times New Roman" w:cs="Times New Roman" w:eastAsia="Times New Roman" w:hint="default"/>
        </w:rPr>
        <w:t>52</w:t>
      </w:r>
      <w:r>
        <w:rPr/>
        <w:t>项专利获得授权，其中：发明专利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46</w:t>
      </w:r>
      <w:r>
        <w:rPr/>
        <w:t>项；申请并 已受理的专利</w:t>
      </w:r>
      <w:r>
        <w:rPr>
          <w:rFonts w:ascii="Times New Roman" w:hAnsi="Times New Roman" w:cs="Times New Roman" w:eastAsia="Times New Roman" w:hint="default"/>
        </w:rPr>
        <w:t>43</w:t>
      </w:r>
      <w:r>
        <w:rPr/>
        <w:t>项，其中：发明专利</w:t>
      </w:r>
      <w:r>
        <w:rPr>
          <w:rFonts w:ascii="Times New Roman" w:hAnsi="Times New Roman" w:cs="Times New Roman" w:eastAsia="Times New Roman" w:hint="default"/>
        </w:rPr>
        <w:t>17</w:t>
      </w:r>
      <w:r>
        <w:rPr/>
        <w:t>项，实用新型</w:t>
      </w:r>
      <w:r>
        <w:rPr>
          <w:rFonts w:ascii="Times New Roman" w:hAnsi="Times New Roman" w:cs="Times New Roman" w:eastAsia="Times New Roman" w:hint="default"/>
        </w:rPr>
        <w:t>26</w:t>
      </w:r>
      <w:r>
        <w:rPr/>
        <w:t>项；取得软件著作权</w:t>
      </w:r>
      <w:r>
        <w:rPr>
          <w:rFonts w:ascii="Times New Roman" w:hAnsi="Times New Roman" w:cs="Times New Roman" w:eastAsia="Times New Roman" w:hint="default"/>
        </w:rPr>
        <w:t>2</w:t>
      </w:r>
      <w:r>
        <w:rPr/>
        <w:t>项。</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3"/>
        <w:spacing w:line="240" w:lineRule="auto" w:before="0"/>
        <w:ind w:right="322"/>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spacing w:before="0"/>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1,371,668,942.30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1,312,605,712.18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1,484,151,449.60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1,403,294,015.88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-112,482,507.30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-90,688,303.70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2,452,636.51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198,071,478.65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112,939,245.22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70,644,977.50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-110,486,608.71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127,426,501.15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357,521,888.70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1,079,323,956.00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383,666,199.23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924,164,739.02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-26,144,310.53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155,159,216.98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-116.85%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-250,234,759.60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191,892,866.76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-230.40%</w:t>
            </w:r>
          </w:p>
        </w:tc>
      </w:tr>
    </w:tbl>
    <w:p>
      <w:pPr>
        <w:spacing w:line="240" w:lineRule="auto" w:before="3"/>
        <w:rPr>
          <w:rFonts w:ascii="宋体" w:hAnsi="宋体" w:cs="宋体" w:eastAsia="宋体" w:hint="default"/>
          <w:sz w:val="5"/>
          <w:szCs w:val="5"/>
        </w:rPr>
      </w:pPr>
    </w:p>
    <w:p>
      <w:pPr>
        <w:pStyle w:val="BodyText"/>
        <w:spacing w:line="240" w:lineRule="auto" w:before="35"/>
        <w:ind w:left="154" w:right="102"/>
        <w:jc w:val="left"/>
      </w:pPr>
      <w:r>
        <w:rPr/>
        <w:t>相关数据同比发生变动</w:t>
      </w:r>
      <w:r>
        <w:rPr>
          <w:spacing w:val="-56"/>
        </w:rPr>
        <w:t> </w:t>
      </w:r>
      <w:r>
        <w:rPr>
          <w:rFonts w:ascii="Times New Roman" w:hAnsi="Times New Roman" w:cs="Times New Roman" w:eastAsia="Times New Roman" w:hint="default"/>
        </w:rPr>
        <w:t>30%</w:t>
      </w:r>
      <w:r>
        <w:rPr/>
        <w:t>以上的原因说明</w:t>
      </w:r>
    </w:p>
    <w:p>
      <w:pPr>
        <w:spacing w:line="240" w:lineRule="auto" w:before="9"/>
        <w:rPr>
          <w:rFonts w:ascii="宋体" w:hAnsi="宋体" w:cs="宋体" w:eastAsia="宋体" w:hint="default"/>
          <w:sz w:val="16"/>
          <w:szCs w:val="16"/>
        </w:rPr>
      </w:pPr>
    </w:p>
    <w:p>
      <w:pPr>
        <w:pStyle w:val="BodyText"/>
        <w:spacing w:line="240" w:lineRule="auto"/>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16"/>
          <w:szCs w:val="16"/>
        </w:rPr>
      </w:pPr>
    </w:p>
    <w:p>
      <w:pPr>
        <w:pStyle w:val="BodyText"/>
        <w:spacing w:line="386" w:lineRule="auto"/>
        <w:ind w:right="226" w:firstLine="504"/>
        <w:jc w:val="both"/>
      </w:pPr>
      <w:r>
        <w:rPr/>
        <w:t>报告期，经营活动产生的现金流量净额为</w:t>
      </w:r>
      <w:r>
        <w:rPr>
          <w:rFonts w:ascii="Times New Roman" w:hAnsi="Times New Roman" w:cs="Times New Roman" w:eastAsia="Times New Roman" w:hint="default"/>
        </w:rPr>
        <w:t>-11,248.25</w:t>
      </w:r>
      <w:r>
        <w:rPr/>
        <w:t>万元，同比下降</w:t>
      </w:r>
      <w:r>
        <w:rPr>
          <w:rFonts w:ascii="Times New Roman" w:hAnsi="Times New Roman" w:cs="Times New Roman" w:eastAsia="Times New Roman" w:hint="default"/>
        </w:rPr>
        <w:t>24.03%</w:t>
      </w:r>
      <w:r>
        <w:rPr/>
        <w:t>，主要是公司为执行订单 而支付的现金增长，但回款增速放缓所致。</w:t>
      </w:r>
    </w:p>
    <w:p>
      <w:pPr>
        <w:pStyle w:val="BodyText"/>
        <w:spacing w:line="240" w:lineRule="auto" w:before="65"/>
        <w:ind w:left="636" w:right="102"/>
        <w:jc w:val="left"/>
      </w:pPr>
      <w:r>
        <w:rPr/>
        <w:t>本公司为改善经营活动现金流状况，采取了以下措施：</w:t>
      </w:r>
    </w:p>
    <w:p>
      <w:pPr>
        <w:spacing w:line="240" w:lineRule="auto" w:before="10"/>
        <w:rPr>
          <w:rFonts w:ascii="宋体" w:hAnsi="宋体" w:cs="宋体" w:eastAsia="宋体" w:hint="default"/>
          <w:sz w:val="14"/>
          <w:szCs w:val="14"/>
        </w:rPr>
      </w:pPr>
    </w:p>
    <w:p>
      <w:pPr>
        <w:pStyle w:val="BodyText"/>
        <w:spacing w:line="408" w:lineRule="auto"/>
        <w:ind w:right="210" w:firstLine="482"/>
        <w:jc w:val="both"/>
      </w:pPr>
      <w:r>
        <w:rPr>
          <w:spacing w:val="-2"/>
        </w:rPr>
        <w:t>①加大应收账款催收力度：公司已采取加大应收账款催收力度、将客户回款情况作为关键指标对公司</w:t>
      </w:r>
      <w:r>
        <w:rPr/>
        <w:t> 销售人员进行考核等多种措施以缩短销售回款周期等。</w:t>
      </w:r>
    </w:p>
    <w:p>
      <w:pPr>
        <w:pStyle w:val="BodyText"/>
        <w:spacing w:line="408" w:lineRule="auto" w:before="46"/>
        <w:ind w:right="209" w:firstLine="482"/>
        <w:jc w:val="both"/>
      </w:pPr>
      <w:r>
        <w:rPr>
          <w:spacing w:val="-2"/>
        </w:rPr>
        <w:t>②应收账款保理融资：为了加强应收账款回收、加快资金周转，报告期内，公司开展了应收账款保理</w:t>
      </w:r>
      <w:r>
        <w:rPr/>
        <w:t> </w:t>
      </w:r>
      <w:r>
        <w:rPr>
          <w:spacing w:val="-1"/>
        </w:rPr>
        <w:t>业务，公司通过保理业务获取银行融资，相当于应收账款提前收回。应收账款保理业务的开展有助于公司</w:t>
      </w:r>
      <w:r>
        <w:rPr>
          <w:spacing w:val="-83"/>
        </w:rPr>
        <w:t> </w:t>
      </w:r>
      <w:r>
        <w:rPr>
          <w:spacing w:val="-83"/>
        </w:rPr>
      </w:r>
      <w:r>
        <w:rPr/>
        <w:t>提前收取货款，盘活资金并缓解现金流压力。</w:t>
      </w:r>
    </w:p>
    <w:p>
      <w:pPr>
        <w:pStyle w:val="BodyText"/>
        <w:spacing w:line="408" w:lineRule="auto" w:before="46"/>
        <w:ind w:right="211" w:firstLine="482"/>
        <w:jc w:val="both"/>
      </w:pPr>
      <w:r>
        <w:rPr>
          <w:spacing w:val="-2"/>
        </w:rPr>
        <w:t>③提高上游议价能力：报告期内，公司不断提高对上游供应商议价能力，延长采购款支付期限，从而</w:t>
      </w:r>
      <w:r>
        <w:rPr/>
        <w:t> 减少现金流出。</w:t>
      </w:r>
    </w:p>
    <w:p>
      <w:pPr>
        <w:pStyle w:val="BodyText"/>
        <w:spacing w:line="408" w:lineRule="auto" w:before="46"/>
        <w:ind w:right="210" w:firstLine="482"/>
        <w:jc w:val="both"/>
      </w:pPr>
      <w:r>
        <w:rPr>
          <w:spacing w:val="-2"/>
        </w:rPr>
        <w:t>④应收票据贴现或转让：由于公司应收票据同样具有现金的高流动性，公司可将持有的银行承兑汇票</w:t>
      </w:r>
      <w:r>
        <w:rPr/>
        <w:t> 随时向银行贴现或背书转让，从而增加现金流入。</w:t>
      </w:r>
    </w:p>
    <w:p>
      <w:pPr>
        <w:pStyle w:val="BodyText"/>
        <w:spacing w:line="386" w:lineRule="auto" w:before="46"/>
        <w:ind w:right="210" w:firstLine="482"/>
        <w:jc w:val="both"/>
      </w:pPr>
      <w:r>
        <w:rPr>
          <w:spacing w:val="-3"/>
        </w:rPr>
        <w:t>报告期，投资活动现金流入同比减少</w:t>
      </w:r>
      <w:r>
        <w:rPr>
          <w:rFonts w:ascii="Times New Roman" w:hAnsi="Times New Roman" w:cs="Times New Roman" w:eastAsia="Times New Roman" w:hint="default"/>
          <w:spacing w:val="-3"/>
        </w:rPr>
        <w:t>98.76%</w:t>
      </w:r>
      <w:r>
        <w:rPr>
          <w:spacing w:val="-3"/>
        </w:rPr>
        <w:t>，主要是上年同期出售可供出售金融资产收到现金额较大</w:t>
      </w:r>
      <w:r>
        <w:rPr/>
        <w:t> 所致。</w:t>
      </w:r>
    </w:p>
    <w:p>
      <w:pPr>
        <w:pStyle w:val="BodyText"/>
        <w:spacing w:line="386" w:lineRule="auto" w:before="65"/>
        <w:ind w:left="636" w:right="90"/>
        <w:jc w:val="left"/>
      </w:pPr>
      <w:r>
        <w:rPr/>
        <w:t>报告期，投资活动现金流出同比增加</w:t>
      </w:r>
      <w:r>
        <w:rPr>
          <w:rFonts w:ascii="Times New Roman" w:hAnsi="Times New Roman" w:cs="Times New Roman" w:eastAsia="Times New Roman" w:hint="default"/>
        </w:rPr>
        <w:t>59.87%</w:t>
      </w:r>
      <w:r>
        <w:rPr/>
        <w:t>，主要是定期存款及利息收入增加所致。 报告期，投资活动产生现金流量净额同比减少</w:t>
      </w:r>
      <w:r>
        <w:rPr>
          <w:rFonts w:ascii="Times New Roman" w:hAnsi="Times New Roman" w:cs="Times New Roman" w:eastAsia="Times New Roman" w:hint="default"/>
        </w:rPr>
        <w:t>186.71%</w:t>
      </w:r>
      <w:r>
        <w:rPr/>
        <w:t>，主要是投资活动现金流入同比减少所致。 报告期，筹资活动现金流入同比减少</w:t>
      </w:r>
      <w:r>
        <w:rPr>
          <w:rFonts w:ascii="Times New Roman" w:hAnsi="Times New Roman" w:cs="Times New Roman" w:eastAsia="Times New Roman" w:hint="default"/>
        </w:rPr>
        <w:t>66.88%</w:t>
      </w:r>
      <w:r>
        <w:rPr/>
        <w:t>，主要是由于上年同期发行公司债收到现金额较大所致。 报告期，筹资活动现金流出同比减少</w:t>
      </w:r>
      <w:r>
        <w:rPr>
          <w:rFonts w:ascii="Times New Roman" w:hAnsi="Times New Roman" w:cs="Times New Roman" w:eastAsia="Times New Roman" w:hint="default"/>
        </w:rPr>
        <w:t>58.49%</w:t>
      </w:r>
      <w:r>
        <w:rPr/>
        <w:t>，主要是报告期偿还债务支付的现金同比减少所致。 报告期，筹资活动产生现金流量净额同比减少</w:t>
      </w:r>
      <w:r>
        <w:rPr>
          <w:rFonts w:ascii="Times New Roman" w:hAnsi="Times New Roman" w:cs="Times New Roman" w:eastAsia="Times New Roman" w:hint="default"/>
        </w:rPr>
        <w:t>116.85%</w:t>
      </w:r>
      <w:r>
        <w:rPr/>
        <w:t>，主要是筹资活动现金流入同比减少所致。 报告期，现金及现金等价物净增加额同比减少</w:t>
      </w:r>
      <w:r>
        <w:rPr>
          <w:rFonts w:ascii="Times New Roman" w:hAnsi="Times New Roman" w:cs="Times New Roman" w:eastAsia="Times New Roman" w:hint="default"/>
        </w:rPr>
        <w:t>230.40%</w:t>
      </w:r>
      <w:r>
        <w:rPr/>
        <w:t>，主要是报告期内投资活动产生的现金流量净</w:t>
      </w:r>
    </w:p>
    <w:p>
      <w:pPr>
        <w:pStyle w:val="BodyText"/>
        <w:spacing w:line="240" w:lineRule="auto" w:before="35"/>
        <w:ind w:right="102"/>
        <w:jc w:val="left"/>
      </w:pPr>
      <w:r>
        <w:rPr/>
        <w:t>额同比减少所致。</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4" w:right="0"/>
        <w:jc w:val="left"/>
      </w:pPr>
      <w:r>
        <w:rPr/>
        <w:t>报告期内公司经营活动的现金流量与本年度净利润存在重大差异的原因说明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54" w:right="236" w:firstLine="504"/>
        <w:jc w:val="left"/>
      </w:pPr>
      <w:r>
        <w:rPr/>
        <w:t>报告期内，导致公司经营性现金流与净利润存在差异的主要原因是对报告期净利润产生较大影响的 如资产减值准备、固定资产折旧、无形资产摊销等项目减少本期净利润但并未形成实际的现金的流出。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0"/>
        <w:ind w:right="0"/>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927,799,821.68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564,912,029.53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电能质量与电力 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501,802,059.28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310,302,202.63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变频传动与新能 源控制系统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299,070,358.52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176,023,399.63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126,927,403.88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78,586,427.27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827,793,999.23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500,824,192.95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100,005,822.45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64,087,836.58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930"/>
        <w:gridCol w:w="2785"/>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tcBorders>
              <w:left w:val="single" w:sz="4" w:space="0" w:color="000000"/>
              <w:right w:val="single" w:sz="4" w:space="0" w:color="000000"/>
            </w:tcBorders>
            <w:shd w:val="clear" w:color="auto" w:fill="D3D3D3"/>
          </w:tcPr>
          <w:p>
            <w:pPr/>
          </w:p>
        </w:tc>
        <w:tc>
          <w:tcPr>
            <w:tcW w:w="27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27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537,614,403.6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751,806,950.35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经营性支付增加所致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1,077,966,375.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1,365,009,594.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回款增加所致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930"/>
        <w:gridCol w:w="2785"/>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547,360,768.2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640,415,048.09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162,278,386.6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167,172,406.87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692,565,106.7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661,504,151.22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9"/>
              <w:jc w:val="left"/>
              <w:rPr>
                <w:rFonts w:ascii="宋体" w:hAnsi="宋体" w:cs="宋体" w:eastAsia="宋体" w:hint="default"/>
                <w:sz w:val="18"/>
                <w:szCs w:val="18"/>
              </w:rPr>
            </w:pPr>
            <w:r>
              <w:rPr>
                <w:rFonts w:ascii="宋体" w:hAnsi="宋体" w:cs="宋体" w:eastAsia="宋体" w:hint="default"/>
                <w:sz w:val="18"/>
                <w:szCs w:val="18"/>
              </w:rPr>
              <w:t>固定资产增加是因为在建工程转入 固定资产</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22,801,892.98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65,039,342.67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9"/>
              <w:jc w:val="left"/>
              <w:rPr>
                <w:rFonts w:ascii="宋体" w:hAnsi="宋体" w:cs="宋体" w:eastAsia="宋体" w:hint="default"/>
                <w:sz w:val="18"/>
                <w:szCs w:val="18"/>
              </w:rPr>
            </w:pPr>
            <w:r>
              <w:rPr>
                <w:rFonts w:ascii="宋体" w:hAnsi="宋体" w:cs="宋体" w:eastAsia="宋体" w:hint="default"/>
                <w:sz w:val="18"/>
                <w:szCs w:val="18"/>
              </w:rPr>
              <w:t>在建工程减少是因为在建工程转入 固定资产</w:t>
            </w:r>
          </w:p>
        </w:tc>
      </w:tr>
    </w:tbl>
    <w:p>
      <w:pPr>
        <w:spacing w:line="240" w:lineRule="auto" w:before="3"/>
        <w:rPr>
          <w:rFonts w:ascii="宋体" w:hAnsi="宋体" w:cs="宋体" w:eastAsia="宋体" w:hint="default"/>
          <w:sz w:val="5"/>
          <w:szCs w:val="5"/>
        </w:rPr>
      </w:pPr>
    </w:p>
    <w:p>
      <w:pPr>
        <w:pStyle w:val="BodyText"/>
        <w:spacing w:line="391" w:lineRule="auto" w:before="35"/>
        <w:ind w:right="210" w:firstLine="420"/>
        <w:jc w:val="both"/>
      </w:pPr>
      <w:r>
        <w:rPr>
          <w:spacing w:val="-1"/>
        </w:rPr>
        <w:t>本公司应收账款期末余额较大的原因是：</w:t>
      </w:r>
      <w:r>
        <w:rPr>
          <w:rFonts w:ascii="Times New Roman" w:hAnsi="Times New Roman" w:cs="Times New Roman" w:eastAsia="Times New Roman" w:hint="default"/>
          <w:spacing w:val="-1"/>
        </w:rPr>
        <w:t>A.</w:t>
      </w:r>
      <w:r>
        <w:rPr>
          <w:spacing w:val="-1"/>
        </w:rPr>
        <w:t>公司产品主要为大型定制化设备，单笔业务金额较大，在</w:t>
      </w:r>
      <w:r>
        <w:rPr/>
        <w:t> </w:t>
      </w:r>
      <w:r>
        <w:rPr>
          <w:spacing w:val="-1"/>
        </w:rPr>
        <w:t>收入确认后完全收款之前，相应应收账款规模较大。</w:t>
      </w:r>
      <w:r>
        <w:rPr>
          <w:rFonts w:ascii="Times New Roman" w:hAnsi="Times New Roman" w:cs="Times New Roman" w:eastAsia="Times New Roman" w:hint="default"/>
          <w:spacing w:val="-1"/>
        </w:rPr>
        <w:t>B.</w:t>
      </w:r>
      <w:r>
        <w:rPr>
          <w:spacing w:val="-1"/>
        </w:rPr>
        <w:t>公司产品主要面向冶金、煤炭、发电、有色金属等</w:t>
      </w:r>
      <w:r>
        <w:rPr>
          <w:spacing w:val="-68"/>
        </w:rPr>
        <w:t> </w:t>
      </w:r>
      <w:r>
        <w:rPr>
          <w:spacing w:val="-68"/>
        </w:rPr>
      </w:r>
      <w:r>
        <w:rPr>
          <w:spacing w:val="-1"/>
        </w:rPr>
        <w:t>基础性行业，下游客户受宏观经济周期性影响较大，资金紧张，造成公司应收账款回款较慢，但该行业内</w:t>
      </w:r>
      <w:r>
        <w:rPr>
          <w:spacing w:val="-86"/>
        </w:rPr>
        <w:t> </w:t>
      </w:r>
      <w:r>
        <w:rPr>
          <w:spacing w:val="-86"/>
        </w:rPr>
      </w:r>
      <w:r>
        <w:rPr>
          <w:spacing w:val="-1"/>
        </w:rPr>
        <w:t>客户以大中型企业居多，支付能力有保证。</w:t>
      </w:r>
      <w:r>
        <w:rPr>
          <w:rFonts w:ascii="Times New Roman" w:hAnsi="Times New Roman" w:cs="Times New Roman" w:eastAsia="Times New Roman" w:hint="default"/>
          <w:spacing w:val="-1"/>
        </w:rPr>
        <w:t>C.</w:t>
      </w:r>
      <w:r>
        <w:rPr>
          <w:spacing w:val="-1"/>
        </w:rPr>
        <w:t>公司为进一步开拓市场，实行较为宽松的信用政策，客户付</w:t>
      </w:r>
      <w:r>
        <w:rPr>
          <w:spacing w:val="-67"/>
        </w:rPr>
        <w:t> </w:t>
      </w:r>
      <w:r>
        <w:rPr>
          <w:spacing w:val="-67"/>
        </w:rPr>
      </w:r>
      <w:r>
        <w:rPr/>
        <w:t>款周期有所延长。</w:t>
      </w:r>
    </w:p>
    <w:p>
      <w:pPr>
        <w:pStyle w:val="BodyText"/>
        <w:spacing w:line="441" w:lineRule="auto" w:before="100"/>
        <w:ind w:left="571" w:right="102" w:firstLine="2"/>
        <w:jc w:val="left"/>
      </w:pPr>
      <w:r>
        <w:rPr/>
        <w:t>为了使应收账款的增加不会对公司持续经营构成不利影响。 </w:t>
      </w:r>
      <w:r>
        <w:rPr>
          <w:spacing w:val="-1"/>
        </w:rPr>
        <w:t>公司主要采取了以下措施：</w:t>
      </w:r>
      <w:r>
        <w:rPr>
          <w:rFonts w:ascii="Times New Roman" w:hAnsi="Times New Roman" w:cs="Times New Roman" w:eastAsia="Times New Roman" w:hint="default"/>
          <w:spacing w:val="-1"/>
        </w:rPr>
        <w:t>A.</w:t>
      </w:r>
      <w:r>
        <w:rPr>
          <w:spacing w:val="-1"/>
        </w:rPr>
        <w:t>公司对应收账款均按照账龄进行坏账准备的计提，并对部分账龄较长预</w:t>
      </w:r>
    </w:p>
    <w:p>
      <w:pPr>
        <w:pStyle w:val="BodyText"/>
        <w:spacing w:line="273" w:lineRule="exact"/>
        <w:ind w:right="102"/>
        <w:jc w:val="left"/>
      </w:pPr>
      <w:r>
        <w:rPr/>
        <w:t>计无法收回的应收账款</w:t>
      </w:r>
      <w:r>
        <w:rPr>
          <w:spacing w:val="10"/>
        </w:rPr>
        <w:t> </w:t>
      </w:r>
      <w:r>
        <w:rPr>
          <w:rFonts w:ascii="Times New Roman" w:hAnsi="Times New Roman" w:cs="Times New Roman" w:eastAsia="Times New Roman" w:hint="default"/>
        </w:rPr>
        <w:t>100%</w:t>
      </w:r>
      <w:r>
        <w:rPr/>
        <w:t>计提了坏账准备。</w:t>
      </w:r>
      <w:r>
        <w:rPr>
          <w:rFonts w:ascii="Times New Roman" w:hAnsi="Times New Roman" w:cs="Times New Roman" w:eastAsia="Times New Roman" w:hint="default"/>
        </w:rPr>
        <w:t>B.</w:t>
      </w:r>
      <w:r>
        <w:rPr/>
        <w:t>为了加强应收账款回收、加快资金周转，报告期内公司</w:t>
      </w:r>
    </w:p>
    <w:p>
      <w:pPr>
        <w:pStyle w:val="BodyText"/>
        <w:spacing w:line="405" w:lineRule="auto" w:before="177"/>
        <w:ind w:right="102"/>
        <w:jc w:val="left"/>
      </w:pPr>
      <w:r>
        <w:rPr/>
        <w:t>开展了应收账款保理业务，公司通过保理业务获取银行融资，相当于应收账款提前收回。应收账款保理业 务的开展有助于公司提前收取货款，盘活和缓解流动资金压力。通过开展应收账款保理业务，一方面可以 将账期较长的应收账款提前收回，从而加快周转；另一方面，公司所开展的保理业务的相关成本及条件相 </w:t>
      </w:r>
      <w:r>
        <w:rPr>
          <w:spacing w:val="-3"/>
        </w:rPr>
        <w:t>对其他融资方式（银行借款）较为优惠，可降低公司整体融资成本。</w:t>
      </w:r>
      <w:r>
        <w:rPr>
          <w:rFonts w:ascii="Times New Roman" w:hAnsi="Times New Roman" w:cs="Times New Roman" w:eastAsia="Times New Roman" w:hint="default"/>
          <w:spacing w:val="-3"/>
        </w:rPr>
        <w:t>C.</w:t>
      </w:r>
      <w:r>
        <w:rPr>
          <w:spacing w:val="-3"/>
        </w:rPr>
        <w:t>公司已采取加大应收款项催收力度、</w:t>
      </w:r>
      <w:r>
        <w:rPr>
          <w:spacing w:val="-73"/>
        </w:rPr>
        <w:t> </w:t>
      </w:r>
      <w:r>
        <w:rPr/>
        <w:t>将客户回款情况作为关键指标对公司销售人员进行考核等多种措施以缩短销售回款周期等，这将在一定程</w:t>
      </w:r>
      <w:r>
        <w:rPr/>
        <w:t> 度上使公司应收账款增速得到放缓，从而减小公司应收账款持续快速增加对公司盈利能力指标的影响。</w:t>
      </w:r>
    </w:p>
    <w:p>
      <w:pPr>
        <w:spacing w:line="240" w:lineRule="auto" w:before="9"/>
        <w:rPr>
          <w:rFonts w:ascii="宋体" w:hAnsi="宋体" w:cs="宋体" w:eastAsia="宋体" w:hint="default"/>
          <w:sz w:val="20"/>
          <w:szCs w:val="20"/>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7"/>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214,565,098.5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175,030,000.00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借款增加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r>
        <w:rPr/>
        <w:t>五、核心竞争力分析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209" w:firstLine="420"/>
        <w:jc w:val="both"/>
      </w:pPr>
      <w:r>
        <w:rPr>
          <w:spacing w:val="-1"/>
        </w:rPr>
        <w:t>公司的竞争优势是立足高端，实施蓝海战略。与国际竞争对手相比，公司的竞争优势主要体现在较高</w:t>
      </w:r>
      <w:r>
        <w:rPr/>
        <w:t> </w:t>
      </w:r>
      <w:r>
        <w:rPr>
          <w:spacing w:val="-1"/>
        </w:rPr>
        <w:t>的产品性价比和及时有效的低成本售后服务。与国内竞争对手相比，公司又具有全面的技术创新能力、完</w:t>
      </w:r>
      <w:r>
        <w:rPr>
          <w:spacing w:val="-83"/>
        </w:rPr>
        <w:t> </w:t>
      </w:r>
      <w:r>
        <w:rPr>
          <w:spacing w:val="-83"/>
        </w:rPr>
      </w:r>
      <w:r>
        <w:rPr/>
        <w:t>善的试验和检测设备、强大的品牌影响力，具体包括如下竞争优势和竞争劣势：</w:t>
      </w:r>
    </w:p>
    <w:p>
      <w:pPr>
        <w:pStyle w:val="Heading3"/>
        <w:spacing w:line="240" w:lineRule="auto" w:before="166"/>
        <w:ind w:left="634" w:right="102"/>
        <w:jc w:val="left"/>
        <w:rPr>
          <w:b w:val="0"/>
          <w:bCs w:val="0"/>
        </w:rPr>
      </w:pPr>
      <w:r>
        <w:rPr>
          <w:rFonts w:ascii="Times New Roman" w:hAnsi="Times New Roman" w:cs="Times New Roman" w:eastAsia="Times New Roman" w:hint="default"/>
        </w:rPr>
        <w:t>1</w:t>
      </w:r>
      <w:r>
        <w:rPr/>
        <w:t>、竞争优势</w:t>
      </w:r>
      <w:r>
        <w:rPr>
          <w:b w:val="0"/>
          <w:bCs w:val="0"/>
        </w:rPr>
      </w:r>
    </w:p>
    <w:p>
      <w:pPr>
        <w:pStyle w:val="BodyText"/>
        <w:spacing w:line="580" w:lineRule="atLeast" w:before="8"/>
        <w:ind w:left="634" w:right="99"/>
        <w:jc w:val="left"/>
      </w:pPr>
      <w:r>
        <w:rPr/>
        <w:t>（</w:t>
      </w:r>
      <w:r>
        <w:rPr>
          <w:rFonts w:ascii="Times New Roman" w:hAnsi="Times New Roman" w:cs="Times New Roman" w:eastAsia="Times New Roman" w:hint="default"/>
        </w:rPr>
        <w:t>1</w:t>
      </w:r>
      <w:r>
        <w:rPr/>
        <w:t>）品牌与声誉优势 </w:t>
      </w:r>
      <w:r>
        <w:rPr>
          <w:spacing w:val="-4"/>
        </w:rPr>
        <w:t>公司</w:t>
      </w:r>
      <w:r>
        <w:rPr>
          <w:rFonts w:ascii="Times New Roman" w:hAnsi="Times New Roman" w:cs="Times New Roman" w:eastAsia="Times New Roman" w:hint="default"/>
          <w:spacing w:val="-4"/>
        </w:rPr>
        <w:t>SVC</w:t>
      </w:r>
      <w:r>
        <w:rPr>
          <w:spacing w:val="-4"/>
        </w:rPr>
        <w:t>、</w:t>
      </w:r>
      <w:r>
        <w:rPr>
          <w:rFonts w:ascii="Times New Roman" w:hAnsi="Times New Roman" w:cs="Times New Roman" w:eastAsia="Times New Roman" w:hint="default"/>
          <w:spacing w:val="-4"/>
        </w:rPr>
        <w:t>SVG</w:t>
      </w:r>
      <w:r>
        <w:rPr>
          <w:spacing w:val="-4"/>
        </w:rPr>
        <w:t>国内市场份额大，应用量多，在线运行率较高，成为业内具有较强品牌影响力的产品。</w:t>
      </w:r>
    </w:p>
    <w:p>
      <w:pPr>
        <w:pStyle w:val="BodyText"/>
        <w:spacing w:line="240" w:lineRule="auto" w:before="177"/>
        <w:ind w:left="154" w:right="0"/>
        <w:jc w:val="both"/>
      </w:pPr>
      <w:r>
        <w:rPr/>
        <w:t>公司</w:t>
      </w:r>
      <w:r>
        <w:rPr>
          <w:rFonts w:ascii="Times New Roman" w:hAnsi="Times New Roman" w:cs="Times New Roman" w:eastAsia="Times New Roman" w:hint="default"/>
        </w:rPr>
        <w:t>HVC</w:t>
      </w:r>
      <w:r>
        <w:rPr/>
        <w:t>、</w:t>
      </w:r>
      <w:r>
        <w:rPr>
          <w:rFonts w:ascii="Times New Roman" w:hAnsi="Times New Roman" w:cs="Times New Roman" w:eastAsia="Times New Roman" w:hint="default"/>
        </w:rPr>
        <w:t>MABZ</w:t>
      </w:r>
      <w:r>
        <w:rPr/>
        <w:t>、</w:t>
      </w:r>
      <w:r>
        <w:rPr>
          <w:rFonts w:ascii="Times New Roman" w:hAnsi="Times New Roman" w:cs="Times New Roman" w:eastAsia="Times New Roman" w:hint="default"/>
        </w:rPr>
        <w:t>HVDC</w:t>
      </w:r>
      <w:r>
        <w:rPr/>
        <w:t>等产品自投放市场以来，正在逐渐成为业内有影响力的品牌。</w:t>
      </w:r>
    </w:p>
    <w:p>
      <w:pPr>
        <w:pStyle w:val="BodyText"/>
        <w:spacing w:line="590" w:lineRule="atLeast"/>
        <w:ind w:left="634" w:right="205"/>
        <w:jc w:val="left"/>
      </w:pPr>
      <w:r>
        <w:rPr/>
        <w:t>（</w:t>
      </w:r>
      <w:r>
        <w:rPr>
          <w:rFonts w:ascii="Times New Roman" w:hAnsi="Times New Roman" w:cs="Times New Roman" w:eastAsia="Times New Roman" w:hint="default"/>
        </w:rPr>
        <w:t>2</w:t>
      </w:r>
      <w:r>
        <w:rPr/>
        <w:t>）研发与创新能力优势 </w:t>
      </w:r>
      <w:r>
        <w:rPr>
          <w:spacing w:val="-1"/>
        </w:rPr>
        <w:t>公司具有国内同行业中较为全面的技术创新能力，同时拥有</w:t>
      </w:r>
      <w:r>
        <w:rPr>
          <w:rFonts w:ascii="Times New Roman" w:hAnsi="Times New Roman" w:cs="Times New Roman" w:eastAsia="Times New Roman" w:hint="default"/>
          <w:spacing w:val="-1"/>
        </w:rPr>
        <w:t>SVC</w:t>
      </w:r>
      <w:r>
        <w:rPr>
          <w:spacing w:val="-1"/>
        </w:rPr>
        <w:t>、</w:t>
      </w:r>
      <w:r>
        <w:rPr>
          <w:rFonts w:ascii="Times New Roman" w:hAnsi="Times New Roman" w:cs="Times New Roman" w:eastAsia="Times New Roman" w:hint="default"/>
          <w:spacing w:val="-1"/>
        </w:rPr>
        <w:t>SVG</w:t>
      </w:r>
      <w:r>
        <w:rPr>
          <w:spacing w:val="-1"/>
        </w:rPr>
        <w:t>、</w:t>
      </w:r>
      <w:r>
        <w:rPr>
          <w:rFonts w:ascii="Times New Roman" w:hAnsi="Times New Roman" w:cs="Times New Roman" w:eastAsia="Times New Roman" w:hint="default"/>
          <w:spacing w:val="-1"/>
        </w:rPr>
        <w:t>HVC</w:t>
      </w:r>
      <w:r>
        <w:rPr>
          <w:spacing w:val="-1"/>
        </w:rPr>
        <w:t>、</w:t>
      </w:r>
      <w:r>
        <w:rPr>
          <w:rFonts w:ascii="Times New Roman" w:hAnsi="Times New Roman" w:cs="Times New Roman" w:eastAsia="Times New Roman" w:hint="default"/>
          <w:spacing w:val="-1"/>
        </w:rPr>
        <w:t>MABZ</w:t>
      </w:r>
      <w:r>
        <w:rPr>
          <w:spacing w:val="-1"/>
        </w:rPr>
        <w:t>、</w:t>
      </w:r>
      <w:r>
        <w:rPr>
          <w:rFonts w:ascii="Times New Roman" w:hAnsi="Times New Roman" w:cs="Times New Roman" w:eastAsia="Times New Roman" w:hint="default"/>
          <w:spacing w:val="-1"/>
        </w:rPr>
        <w:t>HVDC</w:t>
      </w:r>
      <w:r>
        <w:rPr>
          <w:spacing w:val="-1"/>
        </w:rPr>
        <w:t>等产</w:t>
      </w:r>
    </w:p>
    <w:p>
      <w:pPr>
        <w:pStyle w:val="BodyText"/>
        <w:spacing w:line="386" w:lineRule="auto" w:before="177"/>
        <w:ind w:left="154" w:right="209"/>
        <w:jc w:val="both"/>
      </w:pPr>
      <w:r>
        <w:rPr>
          <w:spacing w:val="-1"/>
        </w:rPr>
        <w:t>品与技术。公司连续多年被认定为国家规划布局内重点软件企业，</w:t>
      </w:r>
      <w:r>
        <w:rPr>
          <w:rFonts w:ascii="Times New Roman" w:hAnsi="Times New Roman" w:cs="Times New Roman" w:eastAsia="Times New Roman" w:hint="default"/>
          <w:spacing w:val="-1"/>
        </w:rPr>
        <w:t>2014</w:t>
      </w:r>
      <w:r>
        <w:rPr>
          <w:spacing w:val="-1"/>
        </w:rPr>
        <w:t>年被认定为高新技术企业，是首部</w:t>
      </w:r>
      <w:r>
        <w:rPr>
          <w:spacing w:val="-85"/>
        </w:rPr>
        <w:t> </w:t>
      </w:r>
      <w:r>
        <w:rPr>
          <w:spacing w:val="-85"/>
        </w:rPr>
      </w:r>
      <w:r>
        <w:rPr>
          <w:rFonts w:ascii="Times New Roman" w:hAnsi="Times New Roman" w:cs="Times New Roman" w:eastAsia="Times New Roman" w:hint="default"/>
          <w:spacing w:val="-1"/>
        </w:rPr>
        <w:t>SVC</w:t>
      </w:r>
      <w:r>
        <w:rPr>
          <w:spacing w:val="-1"/>
        </w:rPr>
        <w:t>国家标准主要起草单位，先后获得</w:t>
      </w:r>
      <w:r>
        <w:rPr>
          <w:rFonts w:ascii="Times New Roman" w:hAnsi="Times New Roman" w:cs="Times New Roman" w:eastAsia="Times New Roman" w:hint="default"/>
          <w:spacing w:val="-1"/>
        </w:rPr>
        <w:t>386</w:t>
      </w:r>
      <w:r>
        <w:rPr>
          <w:spacing w:val="-1"/>
        </w:rPr>
        <w:t>项专利和</w:t>
      </w:r>
      <w:r>
        <w:rPr>
          <w:rFonts w:ascii="Times New Roman" w:hAnsi="Times New Roman" w:cs="Times New Roman" w:eastAsia="Times New Roman" w:hint="default"/>
          <w:spacing w:val="-1"/>
        </w:rPr>
        <w:t>104</w:t>
      </w:r>
      <w:r>
        <w:rPr>
          <w:spacing w:val="-1"/>
        </w:rPr>
        <w:t>项软件著作权。公司自成立以来，承担了多项国家</w:t>
      </w:r>
      <w:r>
        <w:rPr>
          <w:spacing w:val="-74"/>
        </w:rPr>
        <w:t> </w:t>
      </w:r>
      <w:r>
        <w:rPr>
          <w:spacing w:val="-74"/>
        </w:rPr>
      </w:r>
      <w:r>
        <w:rPr/>
        <w:t>级项目，包括：国家重点工业性试验项目</w:t>
      </w:r>
      <w:r>
        <w:rPr>
          <w:rFonts w:ascii="Times New Roman" w:hAnsi="Times New Roman" w:cs="Times New Roman" w:eastAsia="Times New Roman" w:hint="default"/>
        </w:rPr>
        <w:t>1</w:t>
      </w:r>
      <w:r>
        <w:rPr/>
        <w:t>项、国家高技术产业化专项</w:t>
      </w:r>
      <w:r>
        <w:rPr>
          <w:rFonts w:ascii="Times New Roman" w:hAnsi="Times New Roman" w:cs="Times New Roman" w:eastAsia="Times New Roman" w:hint="default"/>
        </w:rPr>
        <w:t>2</w:t>
      </w:r>
      <w:r>
        <w:rPr/>
        <w:t>项、国家高技术产业化推广项目</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项、国家火炬计划</w:t>
      </w:r>
      <w:r>
        <w:rPr>
          <w:rFonts w:ascii="Times New Roman" w:hAnsi="Times New Roman" w:cs="Times New Roman" w:eastAsia="Times New Roman" w:hint="default"/>
        </w:rPr>
        <w:t>4</w:t>
      </w:r>
      <w:r>
        <w:rPr/>
        <w:t>项、国家重大技术装备国产化项目</w:t>
      </w:r>
      <w:r>
        <w:rPr>
          <w:rFonts w:ascii="Times New Roman" w:hAnsi="Times New Roman" w:cs="Times New Roman" w:eastAsia="Times New Roman" w:hint="default"/>
        </w:rPr>
        <w:t>1</w:t>
      </w:r>
      <w:r>
        <w:rPr/>
        <w:t>项、国家重点新产品</w:t>
      </w:r>
      <w:r>
        <w:rPr>
          <w:rFonts w:ascii="Times New Roman" w:hAnsi="Times New Roman" w:cs="Times New Roman" w:eastAsia="Times New Roman" w:hint="default"/>
        </w:rPr>
        <w:t>6</w:t>
      </w:r>
      <w:r>
        <w:rPr/>
        <w:t>项、国家中小企业创新基金</w:t>
      </w:r>
      <w:r>
        <w:rPr>
          <w:spacing w:val="-38"/>
        </w:rPr>
        <w:t> </w:t>
      </w:r>
      <w:r>
        <w:rPr>
          <w:spacing w:val="-38"/>
        </w:rPr>
      </w:r>
      <w:r>
        <w:rPr/>
        <w:t>项目</w:t>
      </w:r>
      <w:r>
        <w:rPr>
          <w:rFonts w:ascii="Times New Roman" w:hAnsi="Times New Roman" w:cs="Times New Roman" w:eastAsia="Times New Roman" w:hint="default"/>
        </w:rPr>
        <w:t>3</w:t>
      </w:r>
      <w:r>
        <w:rPr/>
        <w:t>项。</w:t>
      </w:r>
    </w:p>
    <w:p>
      <w:pPr>
        <w:pStyle w:val="BodyText"/>
        <w:spacing w:line="240" w:lineRule="auto" w:before="155"/>
        <w:ind w:left="634" w:right="102"/>
        <w:jc w:val="left"/>
      </w:pPr>
      <w:r>
        <w:rPr/>
        <w:t>（</w:t>
      </w:r>
      <w:r>
        <w:rPr>
          <w:rFonts w:ascii="Times New Roman" w:hAnsi="Times New Roman" w:cs="Times New Roman" w:eastAsia="Times New Roman" w:hint="default"/>
        </w:rPr>
        <w:t>3</w:t>
      </w:r>
      <w:r>
        <w:rPr/>
        <w:t>）专用试验检测设备与质量控制优势</w:t>
      </w:r>
    </w:p>
    <w:p>
      <w:pPr>
        <w:spacing w:line="240" w:lineRule="auto" w:before="9"/>
        <w:rPr>
          <w:rFonts w:ascii="宋体" w:hAnsi="宋体" w:cs="宋体" w:eastAsia="宋体" w:hint="default"/>
          <w:sz w:val="22"/>
          <w:szCs w:val="22"/>
        </w:rPr>
      </w:pPr>
    </w:p>
    <w:p>
      <w:pPr>
        <w:pStyle w:val="BodyText"/>
        <w:spacing w:line="386" w:lineRule="auto"/>
        <w:ind w:left="154" w:right="206" w:firstLine="480"/>
        <w:jc w:val="both"/>
      </w:pPr>
      <w:r>
        <w:rPr/>
        <w:t>公司拥有齐全的系列专业试验检测设备，包括：</w:t>
      </w:r>
      <w:r>
        <w:rPr>
          <w:rFonts w:ascii="Times New Roman" w:hAnsi="Times New Roman" w:cs="Times New Roman" w:eastAsia="Times New Roman" w:hint="default"/>
        </w:rPr>
        <w:t>SVC</w:t>
      </w:r>
      <w:r>
        <w:rPr/>
        <w:t>高压全载试验检测中心（</w:t>
      </w:r>
      <w:r>
        <w:rPr>
          <w:rFonts w:ascii="Times New Roman" w:hAnsi="Times New Roman" w:cs="Times New Roman" w:eastAsia="Times New Roman" w:hint="default"/>
        </w:rPr>
        <w:t>66/10000A</w:t>
      </w:r>
      <w:r>
        <w:rPr/>
        <w:t>）、</w:t>
      </w:r>
      <w:r>
        <w:rPr>
          <w:rFonts w:ascii="Times New Roman" w:hAnsi="Times New Roman" w:cs="Times New Roman" w:eastAsia="Times New Roman" w:hint="default"/>
        </w:rPr>
        <w:t>HVC</w:t>
      </w:r>
      <w:r>
        <w:rPr/>
        <w:t>高 压全载试验检测中心（</w:t>
      </w:r>
      <w:r>
        <w:rPr>
          <w:rFonts w:ascii="Times New Roman" w:hAnsi="Times New Roman" w:cs="Times New Roman" w:eastAsia="Times New Roman" w:hint="default"/>
        </w:rPr>
        <w:t>10/2500KW</w:t>
      </w:r>
      <w:r>
        <w:rPr/>
        <w:t>）、试验电源系统（</w:t>
      </w:r>
      <w:r>
        <w:rPr>
          <w:rFonts w:ascii="Times New Roman" w:hAnsi="Times New Roman" w:cs="Times New Roman" w:eastAsia="Times New Roman" w:hint="default"/>
        </w:rPr>
        <w:t>66/16000A</w:t>
      </w:r>
      <w:r>
        <w:rPr/>
        <w:t>）、光伏逆变器全载试验检测中心等。</w:t>
      </w:r>
      <w:r>
        <w:rPr>
          <w:spacing w:val="-34"/>
        </w:rPr>
        <w:t> </w:t>
      </w:r>
      <w:r>
        <w:rPr>
          <w:spacing w:val="-34"/>
        </w:rPr>
      </w:r>
      <w:r>
        <w:rPr>
          <w:spacing w:val="-2"/>
        </w:rPr>
        <w:t>公司为行业内最早通过</w:t>
      </w:r>
      <w:r>
        <w:rPr>
          <w:rFonts w:ascii="Times New Roman" w:hAnsi="Times New Roman" w:cs="Times New Roman" w:eastAsia="Times New Roman" w:hint="default"/>
          <w:spacing w:val="-2"/>
        </w:rPr>
        <w:t>ISO9001</w:t>
      </w:r>
      <w:r>
        <w:rPr>
          <w:spacing w:val="-2"/>
        </w:rPr>
        <w:t>专业认证（</w:t>
      </w:r>
      <w:r>
        <w:rPr>
          <w:rFonts w:ascii="Times New Roman" w:hAnsi="Times New Roman" w:cs="Times New Roman" w:eastAsia="Times New Roman" w:hint="default"/>
          <w:spacing w:val="-2"/>
        </w:rPr>
        <w:t>2000</w:t>
      </w:r>
      <w:r>
        <w:rPr>
          <w:spacing w:val="-2"/>
        </w:rPr>
        <w:t>年，瑞士</w:t>
      </w:r>
      <w:r>
        <w:rPr>
          <w:rFonts w:ascii="Times New Roman" w:hAnsi="Times New Roman" w:cs="Times New Roman" w:eastAsia="Times New Roman" w:hint="default"/>
          <w:spacing w:val="-2"/>
        </w:rPr>
        <w:t>SGS</w:t>
      </w:r>
      <w:r>
        <w:rPr>
          <w:spacing w:val="-2"/>
        </w:rPr>
        <w:t>认证）的公司，采用国际标准</w:t>
      </w:r>
      <w:r>
        <w:rPr>
          <w:rFonts w:ascii="Times New Roman" w:hAnsi="Times New Roman" w:cs="Times New Roman" w:eastAsia="Times New Roman" w:hint="default"/>
          <w:spacing w:val="-2"/>
        </w:rPr>
        <w:t>IEC</w:t>
      </w:r>
      <w:r>
        <w:rPr>
          <w:spacing w:val="-2"/>
        </w:rPr>
        <w:t>、</w:t>
      </w:r>
      <w:r>
        <w:rPr>
          <w:rFonts w:ascii="Times New Roman" w:hAnsi="Times New Roman" w:cs="Times New Roman" w:eastAsia="Times New Roman" w:hint="default"/>
          <w:spacing w:val="-2"/>
        </w:rPr>
        <w:t>IEEE</w:t>
      </w:r>
      <w:r>
        <w:rPr>
          <w:spacing w:val="-2"/>
        </w:rPr>
        <w:t>制造</w:t>
      </w:r>
      <w:r>
        <w:rPr>
          <w:spacing w:val="-73"/>
        </w:rPr>
        <w:t> </w:t>
      </w:r>
      <w:r>
        <w:rPr>
          <w:rFonts w:ascii="Times New Roman" w:hAnsi="Times New Roman" w:cs="Times New Roman" w:eastAsia="Times New Roman" w:hint="default"/>
        </w:rPr>
        <w:t>SVC</w:t>
      </w:r>
      <w:r>
        <w:rPr/>
        <w:t>（</w:t>
      </w:r>
      <w:r>
        <w:rPr>
          <w:rFonts w:ascii="Times New Roman" w:hAnsi="Times New Roman" w:cs="Times New Roman" w:eastAsia="Times New Roman" w:hint="default"/>
        </w:rPr>
        <w:t>2005</w:t>
      </w:r>
      <w:r>
        <w:rPr/>
        <w:t>年，国际标准认证证书），并于</w:t>
      </w:r>
      <w:r>
        <w:rPr>
          <w:rFonts w:ascii="Times New Roman" w:hAnsi="Times New Roman" w:cs="Times New Roman" w:eastAsia="Times New Roman" w:hint="default"/>
        </w:rPr>
        <w:t>2010</w:t>
      </w:r>
      <w:r>
        <w:rPr/>
        <w:t>年取得金太阳认证及</w:t>
      </w:r>
      <w:r>
        <w:rPr>
          <w:rFonts w:ascii="Times New Roman" w:hAnsi="Times New Roman" w:cs="Times New Roman" w:eastAsia="Times New Roman" w:hint="default"/>
        </w:rPr>
        <w:t>TUV</w:t>
      </w:r>
      <w:r>
        <w:rPr/>
        <w:t>认证。</w:t>
      </w:r>
    </w:p>
    <w:p>
      <w:pPr>
        <w:pStyle w:val="BodyText"/>
        <w:spacing w:line="240" w:lineRule="auto" w:before="155"/>
        <w:ind w:left="634" w:right="102"/>
        <w:jc w:val="left"/>
      </w:pPr>
      <w:r>
        <w:rPr/>
        <w:t>（</w:t>
      </w:r>
      <w:r>
        <w:rPr>
          <w:rFonts w:ascii="Times New Roman" w:hAnsi="Times New Roman" w:cs="Times New Roman" w:eastAsia="Times New Roman" w:hint="default"/>
        </w:rPr>
        <w:t>4</w:t>
      </w:r>
      <w:r>
        <w:rPr/>
        <w:t>）技术支持与服务能力优势</w:t>
      </w:r>
    </w:p>
    <w:p>
      <w:pPr>
        <w:spacing w:line="240" w:lineRule="auto" w:before="8"/>
        <w:rPr>
          <w:rFonts w:ascii="宋体" w:hAnsi="宋体" w:cs="宋体" w:eastAsia="宋体" w:hint="default"/>
          <w:sz w:val="22"/>
          <w:szCs w:val="22"/>
        </w:rPr>
      </w:pPr>
    </w:p>
    <w:p>
      <w:pPr>
        <w:pStyle w:val="BodyText"/>
        <w:spacing w:line="393" w:lineRule="auto"/>
        <w:ind w:right="210" w:firstLine="480"/>
        <w:jc w:val="both"/>
      </w:pPr>
      <w:r>
        <w:rPr/>
        <w:t>公司在业内率先建立专业技术支持流程，可为用户提供最优的一体化解决方案。公司建立了</w:t>
      </w:r>
      <w:r>
        <w:rPr>
          <w:rFonts w:ascii="Times New Roman" w:hAnsi="Times New Roman" w:cs="Times New Roman" w:eastAsia="Times New Roman" w:hint="default"/>
        </w:rPr>
        <w:t>2</w:t>
      </w:r>
      <w:r>
        <w:rPr/>
        <w:t>小时反 </w:t>
      </w:r>
      <w:r>
        <w:rPr>
          <w:spacing w:val="-1"/>
        </w:rPr>
        <w:t>应、</w:t>
      </w:r>
      <w:r>
        <w:rPr>
          <w:rFonts w:ascii="Times New Roman" w:hAnsi="Times New Roman" w:cs="Times New Roman" w:eastAsia="Times New Roman" w:hint="default"/>
          <w:spacing w:val="-1"/>
        </w:rPr>
        <w:t>24</w:t>
      </w:r>
      <w:r>
        <w:rPr>
          <w:spacing w:val="-1"/>
        </w:rPr>
        <w:t>小时到现场、</w:t>
      </w:r>
      <w:r>
        <w:rPr>
          <w:rFonts w:ascii="Times New Roman" w:hAnsi="Times New Roman" w:cs="Times New Roman" w:eastAsia="Times New Roman" w:hint="default"/>
          <w:spacing w:val="-1"/>
        </w:rPr>
        <w:t>48</w:t>
      </w:r>
      <w:r>
        <w:rPr>
          <w:spacing w:val="-1"/>
        </w:rPr>
        <w:t>小时解决问题的保证机制，独家建立了远程数字监控与支持系统，为用户产品的运</w:t>
      </w:r>
      <w:r>
        <w:rPr>
          <w:spacing w:val="-87"/>
        </w:rPr>
        <w:t> </w:t>
      </w:r>
      <w:r>
        <w:rPr>
          <w:spacing w:val="-87"/>
        </w:rPr>
      </w:r>
      <w:r>
        <w:rPr>
          <w:spacing w:val="-1"/>
        </w:rPr>
        <w:t>行提供远端（公司总部）实时诊断、趋势判断、参数调整、现场指导等一系列技术支持，极大地缩短了设</w:t>
      </w:r>
      <w:r>
        <w:rPr>
          <w:spacing w:val="-83"/>
        </w:rPr>
        <w:t> </w:t>
      </w:r>
      <w:r>
        <w:rPr>
          <w:spacing w:val="-83"/>
        </w:rPr>
      </w:r>
      <w:r>
        <w:rPr/>
        <w:t>备维修时间，降低了维修支出成本。</w:t>
      </w:r>
    </w:p>
    <w:p>
      <w:pPr>
        <w:pStyle w:val="Heading3"/>
        <w:spacing w:line="240" w:lineRule="auto" w:before="178"/>
        <w:ind w:left="720" w:right="102"/>
        <w:jc w:val="left"/>
        <w:rPr>
          <w:b w:val="0"/>
          <w:bCs w:val="0"/>
        </w:rPr>
      </w:pPr>
      <w:r>
        <w:rPr>
          <w:rFonts w:ascii="Times New Roman" w:hAnsi="Times New Roman" w:cs="Times New Roman" w:eastAsia="Times New Roman" w:hint="default"/>
        </w:rPr>
        <w:t>2</w:t>
      </w:r>
      <w:r>
        <w:rPr/>
        <w:t>、竞争劣势</w:t>
      </w:r>
      <w:r>
        <w:rPr>
          <w:b w:val="0"/>
          <w:bCs w:val="0"/>
        </w:rPr>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b/>
          <w:bCs/>
          <w:sz w:val="20"/>
          <w:szCs w:val="20"/>
        </w:rPr>
      </w:pPr>
    </w:p>
    <w:p>
      <w:pPr>
        <w:pStyle w:val="BodyText"/>
        <w:spacing w:line="484" w:lineRule="auto" w:before="174"/>
        <w:ind w:left="634" w:right="102"/>
        <w:jc w:val="left"/>
      </w:pPr>
      <w:r>
        <w:rPr/>
        <w:t>（</w:t>
      </w:r>
      <w:r>
        <w:rPr>
          <w:rFonts w:ascii="Times New Roman" w:hAnsi="Times New Roman" w:cs="Times New Roman" w:eastAsia="Times New Roman" w:hint="default"/>
        </w:rPr>
        <w:t>1</w:t>
      </w:r>
      <w:r>
        <w:rPr/>
        <w:t>）国际品牌尚未建立，影响国际市场的开拓 </w:t>
      </w:r>
      <w:r>
        <w:rPr>
          <w:spacing w:val="-4"/>
        </w:rPr>
        <w:t>公司</w:t>
      </w:r>
      <w:r>
        <w:rPr>
          <w:rFonts w:ascii="Times New Roman" w:hAnsi="Times New Roman" w:cs="Times New Roman" w:eastAsia="Times New Roman" w:hint="default"/>
          <w:spacing w:val="-4"/>
        </w:rPr>
        <w:t>SVC</w:t>
      </w:r>
      <w:r>
        <w:rPr>
          <w:spacing w:val="-4"/>
        </w:rPr>
        <w:t>、</w:t>
      </w:r>
      <w:r>
        <w:rPr>
          <w:rFonts w:ascii="Times New Roman" w:hAnsi="Times New Roman" w:cs="Times New Roman" w:eastAsia="Times New Roman" w:hint="default"/>
          <w:spacing w:val="-4"/>
        </w:rPr>
        <w:t>SVG</w:t>
      </w:r>
      <w:r>
        <w:rPr>
          <w:spacing w:val="-4"/>
        </w:rPr>
        <w:t>等产品自</w:t>
      </w:r>
      <w:r>
        <w:rPr>
          <w:rFonts w:ascii="Times New Roman" w:hAnsi="Times New Roman" w:cs="Times New Roman" w:eastAsia="Times New Roman" w:hint="default"/>
          <w:spacing w:val="-4"/>
        </w:rPr>
        <w:t>2006</w:t>
      </w:r>
      <w:r>
        <w:rPr>
          <w:spacing w:val="-4"/>
        </w:rPr>
        <w:t>年开始进入国际市场，时间较短，公司产品在国际市场的知名度还较低。</w:t>
      </w:r>
    </w:p>
    <w:p>
      <w:pPr>
        <w:pStyle w:val="BodyText"/>
        <w:spacing w:line="240" w:lineRule="auto" w:before="60"/>
        <w:ind w:left="634" w:right="102"/>
        <w:jc w:val="left"/>
      </w:pPr>
      <w:r>
        <w:rPr/>
        <w:t>（</w:t>
      </w:r>
      <w:r>
        <w:rPr>
          <w:rFonts w:ascii="Times New Roman" w:hAnsi="Times New Roman" w:cs="Times New Roman" w:eastAsia="Times New Roman" w:hint="default"/>
        </w:rPr>
        <w:t>2</w:t>
      </w:r>
      <w:r>
        <w:rPr/>
        <w:t>）电网领域影响力较弱，影响电力市场开拓</w:t>
      </w:r>
    </w:p>
    <w:p>
      <w:pPr>
        <w:spacing w:line="240" w:lineRule="auto" w:before="9"/>
        <w:rPr>
          <w:rFonts w:ascii="宋体" w:hAnsi="宋体" w:cs="宋体" w:eastAsia="宋体" w:hint="default"/>
          <w:sz w:val="22"/>
          <w:szCs w:val="22"/>
        </w:rPr>
      </w:pPr>
    </w:p>
    <w:p>
      <w:pPr>
        <w:pStyle w:val="BodyText"/>
        <w:spacing w:line="386" w:lineRule="auto"/>
        <w:ind w:left="154" w:right="203" w:firstLine="479"/>
        <w:jc w:val="left"/>
      </w:pPr>
      <w:r>
        <w:rPr>
          <w:spacing w:val="-2"/>
        </w:rPr>
        <w:t>虽然公司凭借较强的技术实力，</w:t>
      </w:r>
      <w:r>
        <w:rPr>
          <w:rFonts w:ascii="Times New Roman" w:hAnsi="Times New Roman" w:cs="Times New Roman" w:eastAsia="Times New Roman" w:hint="default"/>
          <w:spacing w:val="-2"/>
        </w:rPr>
        <w:t>2008</w:t>
      </w:r>
      <w:r>
        <w:rPr>
          <w:spacing w:val="-2"/>
        </w:rPr>
        <w:t>年已实现电网领域的突破，但与电科院等大型科研公司相比，进</w:t>
      </w:r>
      <w:r>
        <w:rPr/>
        <w:t> 入电网领域较晚，在电网领域的品牌影响力较弱。</w:t>
      </w:r>
    </w:p>
    <w:p>
      <w:pPr>
        <w:spacing w:line="240" w:lineRule="auto" w:before="3"/>
        <w:rPr>
          <w:rFonts w:ascii="宋体" w:hAnsi="宋体" w:cs="宋体" w:eastAsia="宋体" w:hint="default"/>
          <w:sz w:val="20"/>
          <w:szCs w:val="20"/>
        </w:rPr>
      </w:pPr>
    </w:p>
    <w:p>
      <w:pPr>
        <w:pStyle w:val="Heading2"/>
        <w:spacing w:line="240" w:lineRule="auto" w:before="0"/>
        <w:ind w:right="102"/>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20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8"/>
        <w:gridCol w:w="796"/>
        <w:gridCol w:w="815"/>
        <w:gridCol w:w="797"/>
        <w:gridCol w:w="798"/>
        <w:gridCol w:w="796"/>
        <w:gridCol w:w="798"/>
        <w:gridCol w:w="796"/>
        <w:gridCol w:w="798"/>
        <w:gridCol w:w="797"/>
        <w:gridCol w:w="784"/>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4" w:right="35"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 w:right="31"/>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保本银行 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3"/>
              <w:jc w:val="right"/>
              <w:rPr>
                <w:rFonts w:ascii="宋体" w:hAnsi="宋体" w:cs="宋体" w:eastAsia="宋体" w:hint="default"/>
                <w:sz w:val="18"/>
                <w:szCs w:val="18"/>
              </w:rPr>
            </w:pPr>
            <w:r>
              <w:rPr>
                <w:rFonts w:ascii="宋体" w:hAnsi="宋体" w:cs="宋体" w:eastAsia="宋体" w:hint="default"/>
                <w:sz w:val="18"/>
                <w:szCs w:val="18"/>
              </w:rPr>
              <w:t>协议</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6.45</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保本银行 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3"/>
              <w:jc w:val="right"/>
              <w:rPr>
                <w:rFonts w:ascii="宋体" w:hAnsi="宋体" w:cs="宋体" w:eastAsia="宋体" w:hint="default"/>
                <w:sz w:val="18"/>
                <w:szCs w:val="18"/>
              </w:rPr>
            </w:pPr>
            <w:r>
              <w:rPr>
                <w:rFonts w:ascii="宋体" w:hAnsi="宋体" w:cs="宋体" w:eastAsia="宋体" w:hint="default"/>
                <w:sz w:val="18"/>
                <w:szCs w:val="18"/>
              </w:rPr>
              <w:t>协议</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2</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20"/>
        </w:sectPr>
      </w:pPr>
    </w:p>
    <w:p>
      <w:pPr>
        <w:spacing w:line="340" w:lineRule="auto" w:before="44"/>
        <w:ind w:left="154" w:right="-2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2315" w:space="6604"/>
            <w:col w:w="109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6"/>
        <w:gridCol w:w="958"/>
        <w:gridCol w:w="956"/>
      </w:tblGrid>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主要产品或</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224.283005pt;margin-top:157.5pt;width:71.55pt;height:66.45pt;mso-position-horizontal-relative:page;mso-position-vertical-relative:page;z-index:-798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开发、</w:t>
                  </w:r>
                </w:p>
              </w:txbxContent>
            </v:textbox>
            <w10:wrap type="none"/>
          </v:shape>
        </w:pict>
      </w:r>
      <w:r>
        <w:rPr/>
        <w:pict>
          <v:group style="position:absolute;margin-left:248.460007pt;margin-top:157.5pt;width:47.35pt;height:66.45pt;mso-position-horizontal-relative:page;mso-position-vertical-relative:page;z-index:-798616" coordorigin="4969,3150" coordsize="947,1329">
            <v:group style="position:absolute;left:4969;top:3150;width:947;height:1329" coordorigin="4969,3150" coordsize="947,1329">
              <v:shape style="position:absolute;left:4969;top:3150;width:947;height:1329" coordorigin="4969,3150" coordsize="947,1329" path="m4969,4478l5916,4478,5916,3150,4969,3150,4969,4478xe" filled="true" fillcolor="#ffffff" stroked="false">
                <v:path arrowok="t"/>
                <v:fill type="solid"/>
              </v:shape>
            </v:group>
            <v:group style="position:absolute;left:4992;top:3618;width:902;height:393" coordorigin="4992,3618" coordsize="902,393">
              <v:shape style="position:absolute;left:4992;top:3618;width:902;height:393" coordorigin="4992,3618" coordsize="902,393" path="m4992,4010l5893,4010,5893,3618,4992,3618,4992,40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6"/>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北京信力筑</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新能源、节</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正新能源技 术股份有限</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能设备、环 保设备、余</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477,301,568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280,218,448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59,687,460.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-22,051,652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-15,419,452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r>
      <w:tr>
        <w:trPr>
          <w:trHeight w:val="353"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热余压发电</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北京荣科恒 阳整流技术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整流设备、 变流设备、 设计、</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22,477,520.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8,090,119.3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1,266,235.0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-6,935,433.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-6,872,746.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北京荣华恒 信开关技术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开关技术研 发与推广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10,038,965.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9,678,394.4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10,327,284.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-2,468,328.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辽宁荣信防 爆电气技术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防爆电气设 备的研发与 制造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90,914,831.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72,016,579.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34,480,986.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2,517,876.3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5,100,706.8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电机控制装</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辽宁荣信电 机控制技术 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置、启动装 置及其他电 力电子装置 的设计、制</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26,636,619.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15,095,503.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51,483,830.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4,305,502.0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3,614,021.1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辽宁荣信电 气传动技术 有限责任公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电气传动与 控制系列变 频器相关产 品的研发、 生产、销售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220,203,416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91,474,051.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181,923,413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1,874,660.0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4,239,950.6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高压连续电</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荣西电力传 输技术有限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(HVSC)</w:t>
            </w:r>
            <w:r>
              <w:rPr>
                <w:rFonts w:ascii="宋体" w:hAnsi="宋体" w:cs="宋体" w:eastAsia="宋体" w:hint="default"/>
                <w:spacing w:val="-8"/>
                <w:sz w:val="18"/>
                <w:szCs w:val="18"/>
              </w:rPr>
              <w:t>、静</w:t>
            </w:r>
          </w:p>
          <w:p>
            <w:pPr>
              <w:pStyle w:val="TableParagraph"/>
              <w:spacing w:line="316"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态无功补偿 器</w:t>
            </w:r>
            <w:r>
              <w:rPr>
                <w:rFonts w:ascii="Times New Roman" w:hAnsi="Times New Roman" w:cs="Times New Roman" w:eastAsia="Times New Roman" w:hint="default"/>
                <w:sz w:val="18"/>
                <w:szCs w:val="18"/>
              </w:rPr>
              <w:t>(FSC)</w:t>
            </w:r>
            <w:r>
              <w:rPr>
                <w:rFonts w:ascii="宋体" w:hAnsi="宋体" w:cs="宋体" w:eastAsia="宋体" w:hint="default"/>
                <w:sz w:val="18"/>
                <w:szCs w:val="18"/>
              </w:rPr>
              <w:t>的</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30,843,000.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25,420,517.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1,360,314.0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-4,796,546.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-4,772,715.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r>
      <w:tr>
        <w:trPr>
          <w:trHeight w:val="352"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开发、销售</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上海地澳自 动化科技有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井下防爆变 频设备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43,540,386.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21,955,226.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15,668,575.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-4,255,839.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-3,919,442.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荣信电力工 程</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电气设备销 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-19,056,946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5,678,639.8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-22,095,196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-22,095,196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新疆荣信节 能电气有限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电气设备制 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电力电子装 置的设计、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87,842,717.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43,732,410.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43,458,787.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-6,132,968.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-4,484,796.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北京荣信慧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电气设备制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 w:right="0"/>
              <w:jc w:val="left"/>
              <w:rPr>
                <w:rFonts w:ascii="Times New Roman" w:hAnsi="Times New Roman" w:cs="Times New Roman" w:eastAsia="Times New Roman" w:hint="default"/>
                <w:sz w:val="18"/>
                <w:szCs w:val="18"/>
              </w:rPr>
            </w:pPr>
            <w:r>
              <w:rPr>
                <w:rFonts w:ascii="Times New Roman"/>
                <w:sz w:val="18"/>
              </w:rPr>
              <w:t>6,972,539.5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6,454,128.2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27,785,997.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4,162,472.7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4,162,063.7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6"/>
        <w:gridCol w:w="958"/>
        <w:gridCol w:w="956"/>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科科技有限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技术服务、 技术推广</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0"/>
        <w:rPr>
          <w:rFonts w:ascii="Times New Roman" w:hAnsi="Times New Roman" w:cs="Times New Roman" w:eastAsia="Times New Roman" w:hint="default"/>
          <w:sz w:val="29"/>
          <w:szCs w:val="29"/>
        </w:rPr>
      </w:pPr>
    </w:p>
    <w:p>
      <w:pPr>
        <w:pStyle w:val="BodyText"/>
        <w:spacing w:line="240" w:lineRule="auto" w:before="35"/>
        <w:ind w:left="154" w:right="102"/>
        <w:jc w:val="left"/>
      </w:pPr>
      <w:r>
        <w:rPr/>
        <w:t>报告期内取得和处置子公司的情况</w:t>
      </w:r>
    </w:p>
    <w:p>
      <w:pPr>
        <w:spacing w:before="102"/>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北京诚和龙盛工程技术有限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业务整合，该公司业务合并到 母公司相应事业部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37"/>
              <w:jc w:val="both"/>
              <w:rPr>
                <w:rFonts w:ascii="宋体" w:hAnsi="宋体" w:cs="宋体" w:eastAsia="宋体" w:hint="default"/>
                <w:sz w:val="18"/>
                <w:szCs w:val="18"/>
              </w:rPr>
            </w:pPr>
            <w:r>
              <w:rPr>
                <w:rFonts w:ascii="宋体" w:hAnsi="宋体" w:cs="宋体" w:eastAsia="宋体" w:hint="default"/>
                <w:sz w:val="18"/>
                <w:szCs w:val="18"/>
              </w:rPr>
              <w:t>转让所持有的北京诚和龙盛 工程技术有限公司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51.02%</w:t>
            </w:r>
            <w:r>
              <w:rPr>
                <w:rFonts w:ascii="宋体" w:hAnsi="宋体" w:cs="宋体" w:eastAsia="宋体" w:hint="default"/>
                <w:sz w:val="18"/>
                <w:szCs w:val="18"/>
              </w:rPr>
              <w:t>股 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本次出售子公司股权增加投 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七、公司未来发展的展望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240" w:lineRule="auto" w:before="0"/>
        <w:ind w:left="636" w:right="102"/>
        <w:jc w:val="left"/>
        <w:rPr>
          <w:b w:val="0"/>
          <w:bCs w:val="0"/>
        </w:rPr>
      </w:pPr>
      <w:r>
        <w:rPr/>
        <w:t>（一）公司所处行业的发展趋势及面临的市场竞争格局</w:t>
      </w:r>
      <w:r>
        <w:rPr>
          <w:b w:val="0"/>
          <w:bCs w:val="0"/>
        </w:rPr>
      </w:r>
    </w:p>
    <w:p>
      <w:pPr>
        <w:spacing w:line="240" w:lineRule="auto" w:before="10"/>
        <w:rPr>
          <w:rFonts w:ascii="宋体" w:hAnsi="宋体" w:cs="宋体" w:eastAsia="宋体" w:hint="default"/>
          <w:b/>
          <w:bCs/>
          <w:sz w:val="17"/>
          <w:szCs w:val="17"/>
        </w:rPr>
      </w:pPr>
    </w:p>
    <w:p>
      <w:pPr>
        <w:pStyle w:val="BodyText"/>
        <w:spacing w:line="417" w:lineRule="auto"/>
        <w:ind w:left="634" w:right="198"/>
        <w:jc w:val="left"/>
      </w:pPr>
      <w:r>
        <w:rPr>
          <w:rFonts w:ascii="Times New Roman" w:hAnsi="Times New Roman" w:cs="Times New Roman" w:eastAsia="Times New Roman" w:hint="default"/>
        </w:rPr>
        <w:t>1</w:t>
      </w:r>
      <w:r>
        <w:rPr/>
        <w:t>、行业发展的趋势 </w:t>
      </w:r>
      <w:r>
        <w:rPr>
          <w:spacing w:val="-2"/>
        </w:rPr>
        <w:t>节能大功率电力电子设备制造业是一个新兴行业，涉及重大节能技术，为先进制造业、国家重大装备</w:t>
      </w:r>
    </w:p>
    <w:p>
      <w:pPr>
        <w:pStyle w:val="BodyText"/>
        <w:spacing w:line="444" w:lineRule="auto" w:before="39"/>
        <w:ind w:left="634" w:right="198" w:hanging="481"/>
        <w:jc w:val="left"/>
      </w:pPr>
      <w:r>
        <w:rPr/>
        <w:t>制造业及高技术产业，受国家多项政策支持。 </w:t>
      </w:r>
      <w:r>
        <w:rPr>
          <w:spacing w:val="-2"/>
        </w:rPr>
        <w:t>节能大功率电力电子设备制造业运用的技术主要为电力电子技术。近年来，电力电子技术和相关产业</w:t>
      </w:r>
    </w:p>
    <w:p>
      <w:pPr>
        <w:pStyle w:val="BodyText"/>
        <w:spacing w:line="398" w:lineRule="auto" w:before="14"/>
        <w:ind w:left="154" w:right="208"/>
        <w:jc w:val="both"/>
      </w:pPr>
      <w:r>
        <w:rPr>
          <w:spacing w:val="-1"/>
        </w:rPr>
        <w:t>在国内外飞速发展，已经渗透到电能的产生、输送、分配和应用的各个环节，广泛应用到工业系统、电力</w:t>
      </w:r>
      <w:r>
        <w:rPr>
          <w:spacing w:val="-83"/>
        </w:rPr>
        <w:t> </w:t>
      </w:r>
      <w:r>
        <w:rPr>
          <w:spacing w:val="-83"/>
        </w:rPr>
      </w:r>
      <w:r>
        <w:rPr>
          <w:spacing w:val="-1"/>
        </w:rPr>
        <w:t>系统、交通系统、通信系统、计算机系统、新能源系统和日常生活中，是使用电能的其他所有产业的基础</w:t>
      </w:r>
      <w:r>
        <w:rPr>
          <w:spacing w:val="-83"/>
        </w:rPr>
        <w:t> </w:t>
      </w:r>
      <w:r>
        <w:rPr>
          <w:spacing w:val="-83"/>
        </w:rPr>
      </w:r>
      <w:r>
        <w:rPr>
          <w:spacing w:val="-2"/>
        </w:rPr>
        <w:t>技术，主要包括以</w:t>
      </w:r>
      <w:r>
        <w:rPr>
          <w:rFonts w:ascii="Times New Roman" w:hAnsi="Times New Roman" w:cs="Times New Roman" w:eastAsia="Times New Roman" w:hint="default"/>
          <w:spacing w:val="-2"/>
        </w:rPr>
        <w:t>SVC</w:t>
      </w:r>
      <w:r>
        <w:rPr>
          <w:spacing w:val="-2"/>
        </w:rPr>
        <w:t>、</w:t>
      </w:r>
      <w:r>
        <w:rPr>
          <w:rFonts w:ascii="Times New Roman" w:hAnsi="Times New Roman" w:cs="Times New Roman" w:eastAsia="Times New Roman" w:hint="default"/>
          <w:spacing w:val="-2"/>
        </w:rPr>
        <w:t>SVG</w:t>
      </w:r>
      <w:r>
        <w:rPr>
          <w:spacing w:val="-2"/>
        </w:rPr>
        <w:t>为代表的柔性交流输电系列技术（</w:t>
      </w:r>
      <w:r>
        <w:rPr>
          <w:rFonts w:ascii="Times New Roman" w:hAnsi="Times New Roman" w:cs="Times New Roman" w:eastAsia="Times New Roman" w:hint="default"/>
          <w:spacing w:val="-2"/>
        </w:rPr>
        <w:t>FACTS</w:t>
      </w:r>
      <w:r>
        <w:rPr>
          <w:spacing w:val="-2"/>
        </w:rPr>
        <w:t>），以</w:t>
      </w:r>
      <w:r>
        <w:rPr>
          <w:rFonts w:ascii="Times New Roman" w:hAnsi="Times New Roman" w:cs="Times New Roman" w:eastAsia="Times New Roman" w:hint="default"/>
          <w:spacing w:val="-2"/>
        </w:rPr>
        <w:t>HVC</w:t>
      </w:r>
      <w:r>
        <w:rPr>
          <w:spacing w:val="-2"/>
        </w:rPr>
        <w:t>为代表的电气传动系列</w:t>
      </w:r>
      <w:r>
        <w:rPr>
          <w:spacing w:val="-70"/>
        </w:rPr>
        <w:t> </w:t>
      </w:r>
      <w:r>
        <w:rPr/>
        <w:t>技术，以大功率</w:t>
      </w:r>
      <w:r>
        <w:rPr>
          <w:rFonts w:ascii="Times New Roman" w:hAnsi="Times New Roman" w:cs="Times New Roman" w:eastAsia="Times New Roman" w:hint="default"/>
        </w:rPr>
        <w:t>UPS</w:t>
      </w:r>
      <w:r>
        <w:rPr/>
        <w:t>为代表的大功率电源系列技术和以高压直流输电（</w:t>
      </w:r>
      <w:r>
        <w:rPr>
          <w:rFonts w:ascii="Times New Roman" w:hAnsi="Times New Roman" w:cs="Times New Roman" w:eastAsia="Times New Roman" w:hint="default"/>
        </w:rPr>
        <w:t>HVDC</w:t>
      </w:r>
      <w:r>
        <w:rPr/>
        <w:t>）为代表的新型超高压输电</w:t>
      </w:r>
      <w:r>
        <w:rPr>
          <w:spacing w:val="-70"/>
        </w:rPr>
        <w:t> </w:t>
      </w:r>
      <w:r>
        <w:rPr>
          <w:spacing w:val="-70"/>
        </w:rPr>
      </w:r>
      <w:r>
        <w:rPr/>
        <w:t>系列技术等，面临着巨大的市场需求。</w:t>
      </w:r>
    </w:p>
    <w:p>
      <w:pPr>
        <w:pStyle w:val="BodyText"/>
        <w:spacing w:line="386" w:lineRule="auto" w:before="93"/>
        <w:ind w:left="154" w:right="102" w:firstLine="480"/>
        <w:jc w:val="left"/>
      </w:pPr>
      <w:r>
        <w:rPr/>
        <w:t>国际上本行业的技术领先者主要以瑞士</w:t>
      </w:r>
      <w:r>
        <w:rPr>
          <w:rFonts w:ascii="Times New Roman" w:hAnsi="Times New Roman" w:cs="Times New Roman" w:eastAsia="Times New Roman" w:hint="default"/>
        </w:rPr>
        <w:t>ABB</w:t>
      </w:r>
      <w:r>
        <w:rPr/>
        <w:t>、德国</w:t>
      </w:r>
      <w:r>
        <w:rPr>
          <w:rFonts w:ascii="Times New Roman" w:hAnsi="Times New Roman" w:cs="Times New Roman" w:eastAsia="Times New Roman" w:hint="default"/>
        </w:rPr>
        <w:t>SIEMENS</w:t>
      </w:r>
      <w:r>
        <w:rPr/>
        <w:t>、法国</w:t>
      </w:r>
      <w:r>
        <w:rPr>
          <w:rFonts w:ascii="Times New Roman" w:hAnsi="Times New Roman" w:cs="Times New Roman" w:eastAsia="Times New Roman" w:hint="default"/>
        </w:rPr>
        <w:t>AREVA</w:t>
      </w:r>
      <w:r>
        <w:rPr/>
        <w:t>、日本</w:t>
      </w:r>
      <w:r>
        <w:rPr>
          <w:rFonts w:ascii="Times New Roman" w:hAnsi="Times New Roman" w:cs="Times New Roman" w:eastAsia="Times New Roman" w:hint="default"/>
        </w:rPr>
        <w:t>TOSHIBA</w:t>
      </w:r>
      <w:r>
        <w:rPr/>
        <w:t>等大企</w:t>
      </w:r>
      <w:r>
        <w:rPr>
          <w:spacing w:val="3"/>
        </w:rPr>
        <w:t> </w:t>
      </w:r>
      <w:r>
        <w:rPr/>
        <w:t>业为主。</w:t>
      </w:r>
    </w:p>
    <w:p>
      <w:pPr>
        <w:pStyle w:val="BodyText"/>
        <w:spacing w:line="398" w:lineRule="auto" w:before="103"/>
        <w:ind w:left="154" w:right="101" w:firstLine="480"/>
        <w:jc w:val="left"/>
      </w:pPr>
      <w:r>
        <w:rPr>
          <w:spacing w:val="-2"/>
        </w:rPr>
        <w:t>国内企业均是</w:t>
      </w:r>
      <w:r>
        <w:rPr>
          <w:rFonts w:ascii="Times New Roman" w:hAnsi="Times New Roman" w:cs="Times New Roman" w:eastAsia="Times New Roman" w:hint="default"/>
          <w:spacing w:val="-2"/>
        </w:rPr>
        <w:t>20</w:t>
      </w:r>
      <w:r>
        <w:rPr>
          <w:spacing w:val="-2"/>
        </w:rPr>
        <w:t>世纪</w:t>
      </w:r>
      <w:r>
        <w:rPr>
          <w:rFonts w:ascii="Times New Roman" w:hAnsi="Times New Roman" w:cs="Times New Roman" w:eastAsia="Times New Roman" w:hint="default"/>
          <w:spacing w:val="-2"/>
        </w:rPr>
        <w:t>90</w:t>
      </w:r>
      <w:r>
        <w:rPr>
          <w:spacing w:val="-2"/>
        </w:rPr>
        <w:t>年代开始，在学习消化吸收国外先进技术的基础上成长起来的，基本上都属于</w:t>
      </w:r>
      <w:r>
        <w:rPr/>
        <w:t> </w:t>
      </w:r>
      <w:r>
        <w:rPr>
          <w:spacing w:val="-3"/>
        </w:rPr>
        <w:t>中小企业。但依靠自主创新能力、本土化制造的优势以及国家政策的引导与支持，这些企业正在迅速成长，</w:t>
      </w:r>
      <w:r>
        <w:rPr>
          <w:spacing w:val="-90"/>
        </w:rPr>
        <w:t> </w:t>
      </w:r>
      <w:r>
        <w:rPr>
          <w:spacing w:val="-90"/>
        </w:rPr>
      </w:r>
      <w:r>
        <w:rPr/>
        <w:t>并已在</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w:t>
      </w:r>
      <w:r>
        <w:rPr>
          <w:rFonts w:ascii="Times New Roman" w:hAnsi="Times New Roman" w:cs="Times New Roman" w:eastAsia="Times New Roman" w:hint="default"/>
        </w:rPr>
        <w:t>HVDC</w:t>
      </w:r>
      <w:r>
        <w:rPr/>
        <w:t>等诸多领域完成了替代进口的任务。</w:t>
      </w:r>
    </w:p>
    <w:p>
      <w:pPr>
        <w:pStyle w:val="BodyText"/>
        <w:spacing w:line="484" w:lineRule="auto" w:before="24"/>
        <w:ind w:left="865" w:right="102" w:hanging="230"/>
        <w:jc w:val="left"/>
      </w:pPr>
      <w:r>
        <w:rPr>
          <w:rFonts w:ascii="Times New Roman" w:hAnsi="Times New Roman" w:cs="Times New Roman" w:eastAsia="Times New Roman" w:hint="default"/>
        </w:rPr>
        <w:t>2</w:t>
      </w:r>
      <w:r>
        <w:rPr/>
        <w:t>、面临的市场竞争格局 </w:t>
      </w:r>
      <w:r>
        <w:rPr>
          <w:spacing w:val="-3"/>
        </w:rPr>
        <w:t>节能大功率电力电子设备制造业在节能减排的宏观背景下，受国家政策支持和高层的重视，成为国</w:t>
      </w:r>
    </w:p>
    <w:p>
      <w:pPr>
        <w:pStyle w:val="BodyText"/>
        <w:spacing w:line="254" w:lineRule="exact"/>
        <w:ind w:left="445" w:right="102"/>
        <w:jc w:val="left"/>
      </w:pPr>
      <w:r>
        <w:rPr/>
        <w:t>内外公司重点研发和投资的领域</w:t>
      </w:r>
      <w:r>
        <w:rPr>
          <w:spacing w:val="-105"/>
        </w:rPr>
        <w:t>，</w:t>
      </w:r>
      <w:r>
        <w:rPr/>
        <w:t>导致包括许多上市公司在内的企业加入到电力电子高端设备生产制造</w:t>
      </w:r>
    </w:p>
    <w:p>
      <w:pPr>
        <w:spacing w:line="240" w:lineRule="auto" w:before="10"/>
        <w:rPr>
          <w:rFonts w:ascii="宋体" w:hAnsi="宋体" w:cs="宋体" w:eastAsia="宋体" w:hint="default"/>
          <w:sz w:val="14"/>
          <w:szCs w:val="14"/>
        </w:rPr>
      </w:pPr>
    </w:p>
    <w:p>
      <w:pPr>
        <w:pStyle w:val="BodyText"/>
        <w:spacing w:line="240" w:lineRule="auto"/>
        <w:ind w:left="445" w:right="102"/>
        <w:jc w:val="left"/>
      </w:pPr>
      <w:r>
        <w:rPr/>
        <w:t>中来，市场竞争逐渐加剧。</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Heading3"/>
        <w:spacing w:line="240" w:lineRule="auto" w:before="174"/>
        <w:ind w:left="445" w:right="0"/>
        <w:jc w:val="left"/>
        <w:rPr>
          <w:b w:val="0"/>
          <w:bCs w:val="0"/>
        </w:rPr>
      </w:pPr>
      <w:r>
        <w:rPr/>
        <w:t>（二）机遇与挑战及公司的发展战略</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before="0"/>
        <w:ind w:left="535" w:right="0"/>
        <w:jc w:val="left"/>
        <w:rPr>
          <w:b w:val="0"/>
          <w:bCs w:val="0"/>
        </w:rPr>
      </w:pPr>
      <w:r>
        <w:rPr>
          <w:rFonts w:ascii="Times New Roman" w:hAnsi="Times New Roman" w:cs="Times New Roman" w:eastAsia="Times New Roman" w:hint="default"/>
        </w:rPr>
        <w:t>1</w:t>
      </w:r>
      <w:r>
        <w:rPr/>
        <w:t>、总体目标</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right="151" w:firstLine="480"/>
        <w:jc w:val="both"/>
      </w:pPr>
      <w:r>
        <w:rPr>
          <w:rFonts w:ascii="Times New Roman" w:hAnsi="Times New Roman" w:cs="Times New Roman" w:eastAsia="Times New Roman" w:hint="default"/>
          <w:spacing w:val="-2"/>
        </w:rPr>
        <w:t>2015</w:t>
      </w:r>
      <w:r>
        <w:rPr>
          <w:spacing w:val="-2"/>
        </w:rPr>
        <w:t>年及未来两年，公司将不断优化现有业务经营管理，积极开拓国内、国际市场等手段，保持公司</w:t>
      </w:r>
      <w:r>
        <w:rPr/>
        <w:t> </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w:t>
      </w:r>
      <w:r>
        <w:rPr>
          <w:rFonts w:ascii="Times New Roman" w:hAnsi="Times New Roman" w:cs="Times New Roman" w:eastAsia="Times New Roman" w:hint="default"/>
        </w:rPr>
        <w:t>HVDC</w:t>
      </w:r>
      <w:r>
        <w:rPr/>
        <w:t>等主导产品优势并不断拓宽产品线与产品业务，巩固公司在节能大功率电力电 子设备制造业的领先地位，增强现有在业务的盈利水平。</w:t>
      </w:r>
    </w:p>
    <w:p>
      <w:pPr>
        <w:spacing w:line="240" w:lineRule="auto" w:before="2"/>
        <w:rPr>
          <w:rFonts w:ascii="宋体" w:hAnsi="宋体" w:cs="宋体" w:eastAsia="宋体" w:hint="default"/>
          <w:sz w:val="14"/>
          <w:szCs w:val="14"/>
        </w:rPr>
      </w:pPr>
    </w:p>
    <w:p>
      <w:pPr>
        <w:pStyle w:val="BodyText"/>
        <w:spacing w:line="403" w:lineRule="auto"/>
        <w:ind w:left="154" w:right="148" w:firstLine="479"/>
        <w:jc w:val="both"/>
      </w:pPr>
      <w:r>
        <w:rPr/>
        <w:t>同时公司正在进行重大资产重组工作，通过收购深圳市梦网科技股份有限公司</w:t>
      </w:r>
      <w:r>
        <w:rPr>
          <w:rFonts w:ascii="Times New Roman" w:hAnsi="Times New Roman" w:cs="Times New Roman" w:eastAsia="Times New Roman" w:hint="default"/>
        </w:rPr>
        <w:t>100%</w:t>
      </w:r>
      <w:r>
        <w:rPr/>
        <w:t>股权，公司将增</w:t>
      </w:r>
      <w:r>
        <w:rPr>
          <w:spacing w:val="1"/>
        </w:rPr>
        <w:t> </w:t>
      </w:r>
      <w:r>
        <w:rPr>
          <w:spacing w:val="-1"/>
        </w:rPr>
        <w:t>加移动信息服务业务，公司将在对梦网科技公司治理、内部管理和规范运作方面进行整合的基础上保持业</w:t>
      </w:r>
      <w:r>
        <w:rPr>
          <w:spacing w:val="-81"/>
        </w:rPr>
        <w:t> </w:t>
      </w:r>
      <w:r>
        <w:rPr>
          <w:spacing w:val="-81"/>
        </w:rPr>
      </w:r>
      <w:r>
        <w:rPr>
          <w:spacing w:val="-1"/>
        </w:rPr>
        <w:t>务经营的独立性、核心团队的稳定性、和行业文化独特性，积极支持梦网科技未来各项业务的发展，使梦</w:t>
      </w:r>
      <w:r>
        <w:rPr>
          <w:spacing w:val="-86"/>
        </w:rPr>
        <w:t> </w:t>
      </w:r>
      <w:r>
        <w:rPr>
          <w:spacing w:val="-86"/>
        </w:rPr>
      </w:r>
      <w:r>
        <w:rPr>
          <w:spacing w:val="-1"/>
        </w:rPr>
        <w:t>网科技继续在移动信息服务领域保持领先地位。本次交易完成后，荣信股份的产业结构也将由以制造业为</w:t>
      </w:r>
      <w:r>
        <w:rPr>
          <w:spacing w:val="-81"/>
        </w:rPr>
        <w:t> </w:t>
      </w:r>
      <w:r>
        <w:rPr>
          <w:spacing w:val="-81"/>
        </w:rPr>
      </w:r>
      <w:r>
        <w:rPr>
          <w:spacing w:val="-1"/>
        </w:rPr>
        <w:t>主转变为制造业和服务业并重，实现产业结构的转型升级，并切入移动信息服务行业，实现对战略新兴产</w:t>
      </w:r>
      <w:r>
        <w:rPr>
          <w:spacing w:val="-83"/>
        </w:rPr>
        <w:t> </w:t>
      </w:r>
      <w:r>
        <w:rPr>
          <w:spacing w:val="-83"/>
        </w:rPr>
      </w:r>
      <w:r>
        <w:rPr/>
        <w:t>业的布局。</w:t>
      </w:r>
    </w:p>
    <w:p>
      <w:pPr>
        <w:pStyle w:val="BodyText"/>
        <w:spacing w:line="408" w:lineRule="auto" w:before="170"/>
        <w:ind w:left="154" w:right="128" w:firstLine="480"/>
        <w:jc w:val="both"/>
      </w:pPr>
      <w:r>
        <w:rPr>
          <w:spacing w:val="-2"/>
        </w:rPr>
        <w:t>在电力电子设备业务市场竞争日趋激烈的情况下，荣信股份构建双主业经营的产业结构有助于其增强</w:t>
      </w:r>
      <w:r>
        <w:rPr/>
        <w:t> </w:t>
      </w:r>
      <w:r>
        <w:rPr>
          <w:spacing w:val="-1"/>
        </w:rPr>
        <w:t>抵御风险的能力，开拓新的业绩增长点，能够提升公司的盈利水平，增强抗风险能力，提高上市公司的持</w:t>
      </w:r>
      <w:r>
        <w:rPr>
          <w:spacing w:val="-86"/>
        </w:rPr>
        <w:t> </w:t>
      </w:r>
      <w:r>
        <w:rPr>
          <w:spacing w:val="-86"/>
        </w:rPr>
      </w:r>
      <w:r>
        <w:rPr/>
        <w:t>续发展能力。本次交易后，荣信股份将利用物联天下多年研发出的数据和视频平台，发挥双方协同效应， </w:t>
      </w:r>
      <w:r>
        <w:rPr>
          <w:spacing w:val="-1"/>
        </w:rPr>
        <w:t>推动节能大功率电力电子设备的转型升级，并不断根据传统行业客户需求，在大数据、视频监测等领域创</w:t>
      </w:r>
      <w:r>
        <w:rPr>
          <w:spacing w:val="-83"/>
        </w:rPr>
        <w:t> </w:t>
      </w:r>
      <w:r>
        <w:rPr>
          <w:spacing w:val="-83"/>
        </w:rPr>
      </w:r>
      <w:r>
        <w:rPr>
          <w:spacing w:val="-1"/>
        </w:rPr>
        <w:t>造出新产品、新业务与新模式，构建电力电子设备行业的新生态，走向传统制造业向智能制造业转型的必</w:t>
      </w:r>
      <w:r>
        <w:rPr>
          <w:spacing w:val="-83"/>
        </w:rPr>
        <w:t> </w:t>
      </w:r>
      <w:r>
        <w:rPr>
          <w:spacing w:val="-83"/>
        </w:rPr>
      </w:r>
      <w:r>
        <w:rPr/>
        <w:t>由之路。</w:t>
      </w:r>
    </w:p>
    <w:p>
      <w:pPr>
        <w:pStyle w:val="Heading3"/>
        <w:spacing w:line="240" w:lineRule="auto" w:before="166"/>
        <w:ind w:left="745" w:right="0"/>
        <w:jc w:val="left"/>
        <w:rPr>
          <w:b w:val="0"/>
          <w:bCs w:val="0"/>
        </w:rPr>
      </w:pPr>
      <w:r>
        <w:rPr>
          <w:rFonts w:ascii="Times New Roman" w:hAnsi="Times New Roman" w:cs="Times New Roman" w:eastAsia="Times New Roman" w:hint="default"/>
        </w:rPr>
        <w:t>2</w:t>
      </w:r>
      <w:r>
        <w:rPr/>
        <w:t>、电力电子设备制造业务发展计划</w:t>
      </w:r>
      <w:r>
        <w:rPr>
          <w:b w:val="0"/>
          <w:bCs w:val="0"/>
        </w:rPr>
      </w:r>
    </w:p>
    <w:p>
      <w:pPr>
        <w:spacing w:line="240" w:lineRule="auto" w:before="9"/>
        <w:rPr>
          <w:rFonts w:ascii="宋体" w:hAnsi="宋体" w:cs="宋体" w:eastAsia="宋体" w:hint="default"/>
          <w:b/>
          <w:bCs/>
          <w:sz w:val="22"/>
          <w:szCs w:val="22"/>
        </w:rPr>
      </w:pPr>
    </w:p>
    <w:p>
      <w:pPr>
        <w:pStyle w:val="BodyText"/>
        <w:spacing w:line="484" w:lineRule="auto"/>
        <w:ind w:left="634" w:right="138"/>
        <w:jc w:val="left"/>
      </w:pPr>
      <w:r>
        <w:rPr/>
        <w:t>（</w:t>
      </w:r>
      <w:r>
        <w:rPr>
          <w:rFonts w:ascii="Times New Roman" w:hAnsi="Times New Roman" w:cs="Times New Roman" w:eastAsia="Times New Roman" w:hint="default"/>
        </w:rPr>
        <w:t>1</w:t>
      </w:r>
      <w:r>
        <w:rPr/>
        <w:t>）电能质量与电力安全 </w:t>
      </w:r>
      <w:r>
        <w:rPr>
          <w:spacing w:val="-2"/>
        </w:rPr>
        <w:t>加快产品的优化升级，完善和严格执行工艺文件，产品系统实行阿米巴核算，强化工艺管理，从产品</w:t>
      </w:r>
    </w:p>
    <w:p>
      <w:pPr>
        <w:pStyle w:val="BodyText"/>
        <w:spacing w:line="254" w:lineRule="exact"/>
        <w:ind w:left="154" w:right="0"/>
        <w:jc w:val="left"/>
      </w:pPr>
      <w:r>
        <w:rPr/>
        <w:t>设计、材料采购到生产制造全过程降低制造成本和供应链成本；完善售后服务，坚持客户回访和客户培训</w:t>
      </w:r>
    </w:p>
    <w:p>
      <w:pPr>
        <w:spacing w:line="240" w:lineRule="auto" w:before="10"/>
        <w:rPr>
          <w:rFonts w:ascii="宋体" w:hAnsi="宋体" w:cs="宋体" w:eastAsia="宋体" w:hint="default"/>
          <w:sz w:val="14"/>
          <w:szCs w:val="14"/>
        </w:rPr>
      </w:pPr>
    </w:p>
    <w:p>
      <w:pPr>
        <w:pStyle w:val="BodyText"/>
        <w:spacing w:line="408" w:lineRule="auto"/>
        <w:ind w:left="154" w:right="0"/>
        <w:jc w:val="left"/>
      </w:pPr>
      <w:r>
        <w:rPr>
          <w:spacing w:val="-1"/>
        </w:rPr>
        <w:t>制度，完善调试售后工程师服务标准化管理，继续实施定期售后与研发的交流会，实行以客户为中心的驻</w:t>
      </w:r>
      <w:r>
        <w:rPr>
          <w:spacing w:val="-83"/>
        </w:rPr>
        <w:t> </w:t>
      </w:r>
      <w:r>
        <w:rPr>
          <w:spacing w:val="-83"/>
        </w:rPr>
      </w:r>
      <w:r>
        <w:rPr/>
        <w:t>区服务制度。</w:t>
      </w:r>
    </w:p>
    <w:p>
      <w:pPr>
        <w:pStyle w:val="BodyText"/>
        <w:spacing w:line="484" w:lineRule="auto" w:before="166"/>
        <w:ind w:left="634" w:right="138"/>
        <w:jc w:val="left"/>
      </w:pPr>
      <w:r>
        <w:rPr/>
        <w:t>（</w:t>
      </w:r>
      <w:r>
        <w:rPr>
          <w:rFonts w:ascii="Times New Roman" w:hAnsi="Times New Roman" w:cs="Times New Roman" w:eastAsia="Times New Roman" w:hint="default"/>
        </w:rPr>
        <w:t>2</w:t>
      </w:r>
      <w:r>
        <w:rPr/>
        <w:t>）变频传动与新能源控制系统 </w:t>
      </w:r>
      <w:r>
        <w:rPr>
          <w:spacing w:val="-2"/>
        </w:rPr>
        <w:t>加快变频器新产品的研发和应用，整合提升现有控制系统软件，加快系列产品的相关认证速度；优化</w:t>
      </w:r>
    </w:p>
    <w:p>
      <w:pPr>
        <w:pStyle w:val="BodyText"/>
        <w:spacing w:line="254" w:lineRule="exact"/>
        <w:ind w:left="154" w:right="0"/>
        <w:jc w:val="left"/>
      </w:pPr>
      <w:r>
        <w:rPr/>
        <w:t>升级现有产品，降低制造成本和供应链成本。</w:t>
      </w:r>
    </w:p>
    <w:p>
      <w:pPr>
        <w:spacing w:line="240" w:lineRule="auto" w:before="12"/>
        <w:rPr>
          <w:rFonts w:ascii="宋体" w:hAnsi="宋体" w:cs="宋体" w:eastAsia="宋体" w:hint="default"/>
          <w:sz w:val="23"/>
          <w:szCs w:val="23"/>
        </w:rPr>
      </w:pPr>
    </w:p>
    <w:p>
      <w:pPr>
        <w:pStyle w:val="BodyText"/>
        <w:spacing w:line="240" w:lineRule="auto"/>
        <w:ind w:left="634" w:right="0"/>
        <w:jc w:val="left"/>
      </w:pPr>
      <w:r>
        <w:rPr/>
        <w:t>（</w:t>
      </w:r>
      <w:r>
        <w:rPr>
          <w:rFonts w:ascii="Times New Roman" w:hAnsi="Times New Roman" w:cs="Times New Roman" w:eastAsia="Times New Roman" w:hint="default"/>
        </w:rPr>
        <w:t>3</w:t>
      </w:r>
      <w:r>
        <w:rPr/>
        <w:t>）备件及售后服务</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49" w:firstLine="480"/>
        <w:jc w:val="both"/>
      </w:pPr>
      <w:r>
        <w:rPr>
          <w:spacing w:val="-2"/>
        </w:rPr>
        <w:t>加大售后服务市场的开拓，根据各区域设备数量及运行情况制定差异性的销售任务，实行备品销售区</w:t>
      </w:r>
      <w:r>
        <w:rPr/>
        <w:t> </w:t>
      </w:r>
      <w:r>
        <w:rPr>
          <w:spacing w:val="-1"/>
        </w:rPr>
        <w:t>域分割机制，与客户签订全包式的维修保养合同，对客户定期回访及时获取现场备品备件的采购计划；提</w:t>
      </w:r>
      <w:r>
        <w:rPr>
          <w:spacing w:val="-83"/>
        </w:rPr>
        <w:t> </w:t>
      </w:r>
      <w:r>
        <w:rPr>
          <w:spacing w:val="-83"/>
        </w:rPr>
      </w:r>
      <w:r>
        <w:rPr/>
        <w:t>高软硬件升级、远程监控等增值性服务的收入比重，并实行销售奖励政策。</w:t>
      </w:r>
    </w:p>
    <w:p>
      <w:pPr>
        <w:pStyle w:val="Heading3"/>
        <w:spacing w:line="240" w:lineRule="auto" w:before="166"/>
        <w:ind w:left="566" w:right="0"/>
        <w:jc w:val="left"/>
        <w:rPr>
          <w:b w:val="0"/>
          <w:bCs w:val="0"/>
        </w:rPr>
      </w:pPr>
      <w:r>
        <w:rPr>
          <w:rFonts w:ascii="Times New Roman" w:hAnsi="Times New Roman" w:cs="Times New Roman" w:eastAsia="Times New Roman" w:hint="default"/>
        </w:rPr>
        <w:t>3</w:t>
      </w:r>
      <w:r>
        <w:rPr/>
        <w:t>、移动信息服务业务发展计划</w:t>
      </w:r>
      <w:r>
        <w:rPr>
          <w:b w:val="0"/>
          <w:bCs w:val="0"/>
        </w:rPr>
      </w:r>
    </w:p>
    <w:p>
      <w:pPr>
        <w:spacing w:line="240" w:lineRule="auto" w:before="9"/>
        <w:rPr>
          <w:rFonts w:ascii="宋体" w:hAnsi="宋体" w:cs="宋体" w:eastAsia="宋体" w:hint="default"/>
          <w:b/>
          <w:bCs/>
          <w:sz w:val="22"/>
          <w:szCs w:val="22"/>
        </w:rPr>
      </w:pPr>
    </w:p>
    <w:p>
      <w:pPr>
        <w:pStyle w:val="BodyText"/>
        <w:spacing w:line="484" w:lineRule="auto"/>
        <w:ind w:left="634" w:right="138"/>
        <w:jc w:val="left"/>
      </w:pPr>
      <w:r>
        <w:rPr>
          <w:color w:val="0D0D0D"/>
        </w:rPr>
        <w:t>（</w:t>
      </w:r>
      <w:r>
        <w:rPr>
          <w:rFonts w:ascii="Times New Roman" w:hAnsi="Times New Roman" w:cs="Times New Roman" w:eastAsia="Times New Roman" w:hint="default"/>
          <w:color w:val="0D0D0D"/>
        </w:rPr>
        <w:t>1</w:t>
      </w:r>
      <w:r>
        <w:rPr>
          <w:color w:val="0D0D0D"/>
        </w:rPr>
        <w:t>）移动信息即时通讯服务业务 </w:t>
      </w:r>
      <w:r>
        <w:rPr>
          <w:color w:val="0D0D0D"/>
          <w:spacing w:val="-2"/>
        </w:rPr>
        <w:t>继续保持在互联网与电子商务行业的领先地位，利用公司在技术、渠道、服务等方面的优势提高金融</w:t>
      </w:r>
      <w:r>
        <w:rPr>
          <w:spacing w:val="-2"/>
        </w:rPr>
      </w:r>
    </w:p>
    <w:p>
      <w:pPr>
        <w:pStyle w:val="BodyText"/>
        <w:spacing w:line="254" w:lineRule="exact"/>
        <w:ind w:right="0"/>
        <w:jc w:val="left"/>
      </w:pPr>
      <w:r>
        <w:rPr>
          <w:color w:val="0D0D0D"/>
        </w:rPr>
        <w:t>行业客户的收入比重。</w:t>
      </w:r>
      <w:r>
        <w:rPr/>
      </w:r>
    </w:p>
    <w:p>
      <w:pPr>
        <w:spacing w:line="240" w:lineRule="auto" w:before="12"/>
        <w:rPr>
          <w:rFonts w:ascii="宋体" w:hAnsi="宋体" w:cs="宋体" w:eastAsia="宋体" w:hint="default"/>
          <w:sz w:val="23"/>
          <w:szCs w:val="23"/>
        </w:rPr>
      </w:pPr>
    </w:p>
    <w:p>
      <w:pPr>
        <w:pStyle w:val="BodyText"/>
        <w:spacing w:line="240" w:lineRule="auto"/>
        <w:ind w:left="634" w:right="0"/>
        <w:jc w:val="left"/>
      </w:pPr>
      <w:r>
        <w:rPr>
          <w:color w:val="0D0D0D"/>
        </w:rPr>
        <w:t>（</w:t>
      </w:r>
      <w:r>
        <w:rPr>
          <w:rFonts w:ascii="Times New Roman" w:hAnsi="Times New Roman" w:cs="Times New Roman" w:eastAsia="Times New Roman" w:hint="default"/>
          <w:color w:val="0D0D0D"/>
        </w:rPr>
        <w:t>2</w:t>
      </w:r>
      <w:r>
        <w:rPr>
          <w:color w:val="0D0D0D"/>
        </w:rPr>
        <w:t>）战略发展业务</w:t>
      </w:r>
      <w:r>
        <w:rPr/>
      </w:r>
    </w:p>
    <w:p>
      <w:pPr>
        <w:spacing w:line="240" w:lineRule="auto" w:before="9"/>
        <w:rPr>
          <w:rFonts w:ascii="宋体" w:hAnsi="宋体" w:cs="宋体" w:eastAsia="宋体" w:hint="default"/>
          <w:sz w:val="22"/>
          <w:szCs w:val="22"/>
        </w:rPr>
      </w:pPr>
    </w:p>
    <w:p>
      <w:pPr>
        <w:pStyle w:val="BodyText"/>
        <w:spacing w:line="484" w:lineRule="auto"/>
        <w:ind w:left="634" w:right="138"/>
        <w:jc w:val="left"/>
      </w:pPr>
      <w:r>
        <w:rPr>
          <w:rFonts w:ascii="Times New Roman" w:hAnsi="Times New Roman" w:cs="Times New Roman" w:eastAsia="Times New Roman" w:hint="default"/>
        </w:rPr>
        <w:t>1</w:t>
      </w:r>
      <w:r>
        <w:rPr/>
        <w:t>）</w:t>
      </w:r>
      <w:r>
        <w:rPr>
          <w:color w:val="0D0D0D"/>
        </w:rPr>
        <w:t>移动智能流量业务</w:t>
      </w:r>
      <w:r>
        <w:rPr>
          <w:color w:val="0D0D0D"/>
        </w:rPr>
        <w:t> </w:t>
      </w:r>
      <w:r>
        <w:rPr>
          <w:color w:val="0D0D0D"/>
          <w:spacing w:val="-2"/>
        </w:rPr>
        <w:t>加快流量网关云平台的开发进度，加大移动智能流量业务的前期推广力度，扩大与电信运营商及战略</w:t>
      </w:r>
      <w:r>
        <w:rPr>
          <w:spacing w:val="-2"/>
        </w:rPr>
      </w:r>
    </w:p>
    <w:p>
      <w:pPr>
        <w:pStyle w:val="BodyText"/>
        <w:spacing w:line="254" w:lineRule="exact"/>
        <w:ind w:right="0"/>
        <w:jc w:val="left"/>
      </w:pPr>
      <w:r>
        <w:rPr>
          <w:color w:val="0D0D0D"/>
        </w:rPr>
        <w:t>性客户合作的覆盖面，引进专业人才，制定和完善相关研发业务规章制度，为移动智能流量业务做好人才</w:t>
      </w:r>
      <w:r>
        <w:rPr/>
      </w:r>
    </w:p>
    <w:p>
      <w:pPr>
        <w:spacing w:line="240" w:lineRule="auto" w:before="10"/>
        <w:rPr>
          <w:rFonts w:ascii="宋体" w:hAnsi="宋体" w:cs="宋体" w:eastAsia="宋体" w:hint="default"/>
          <w:sz w:val="14"/>
          <w:szCs w:val="14"/>
        </w:rPr>
      </w:pPr>
    </w:p>
    <w:p>
      <w:pPr>
        <w:pStyle w:val="BodyText"/>
        <w:spacing w:line="240" w:lineRule="auto"/>
        <w:ind w:right="0"/>
        <w:jc w:val="left"/>
      </w:pPr>
      <w:r>
        <w:rPr>
          <w:color w:val="0D0D0D"/>
        </w:rPr>
        <w:t>储备、制度建设等保障工作。</w:t>
      </w:r>
      <w:r>
        <w:rPr/>
      </w:r>
    </w:p>
    <w:p>
      <w:pPr>
        <w:pStyle w:val="BodyText"/>
        <w:spacing w:line="590" w:lineRule="atLeast" w:before="14"/>
        <w:ind w:left="634" w:right="0"/>
        <w:jc w:val="left"/>
      </w:pPr>
      <w:r>
        <w:rPr>
          <w:rFonts w:ascii="Times New Roman" w:hAnsi="Times New Roman" w:cs="Times New Roman" w:eastAsia="Times New Roman" w:hint="default"/>
        </w:rPr>
        <w:t>2</w:t>
      </w:r>
      <w:r>
        <w:rPr/>
        <w:t>）</w:t>
      </w:r>
      <w:r>
        <w:rPr>
          <w:color w:val="0D0D0D"/>
        </w:rPr>
        <w:t>移动音视频业务</w:t>
      </w:r>
      <w:r>
        <w:rPr>
          <w:color w:val="0D0D0D"/>
        </w:rPr>
        <w:t> 加快构建基于移动互联网的大型音</w:t>
      </w:r>
      <w:r>
        <w:rPr>
          <w:rFonts w:ascii="Times New Roman" w:hAnsi="Times New Roman" w:cs="Times New Roman" w:eastAsia="Times New Roman" w:hint="default"/>
          <w:color w:val="0D0D0D"/>
        </w:rPr>
        <w:t>/</w:t>
      </w:r>
      <w:r>
        <w:rPr>
          <w:color w:val="0D0D0D"/>
        </w:rPr>
        <w:t>视频通信服务云平台，为企业在客户移动端快速实现了基于移动</w:t>
      </w:r>
      <w:r>
        <w:rPr/>
      </w:r>
    </w:p>
    <w:p>
      <w:pPr>
        <w:pStyle w:val="BodyText"/>
        <w:spacing w:line="408" w:lineRule="auto" w:before="177"/>
        <w:ind w:left="154" w:right="0"/>
        <w:jc w:val="left"/>
      </w:pPr>
      <w:r>
        <w:rPr>
          <w:color w:val="0D0D0D"/>
          <w:spacing w:val="-1"/>
        </w:rPr>
        <w:t>互联网音视频通信能力，提高企业对客户的服务能力及商务拓展能力，降低企业经营成本；为企业的用户</w:t>
      </w:r>
      <w:r>
        <w:rPr>
          <w:color w:val="0D0D0D"/>
          <w:spacing w:val="-83"/>
        </w:rPr>
        <w:t> </w:t>
      </w:r>
      <w:r>
        <w:rPr>
          <w:color w:val="0D0D0D"/>
          <w:spacing w:val="-83"/>
        </w:rPr>
      </w:r>
      <w:r>
        <w:rPr>
          <w:color w:val="0D0D0D"/>
        </w:rPr>
        <w:t>提供方便、快捷、低廉的服务渠道，增加客户黏度。</w:t>
      </w:r>
      <w:r>
        <w:rPr/>
      </w:r>
    </w:p>
    <w:p>
      <w:pPr>
        <w:pStyle w:val="Heading3"/>
        <w:spacing w:line="240" w:lineRule="auto" w:before="166"/>
        <w:ind w:left="567" w:right="0"/>
        <w:jc w:val="left"/>
        <w:rPr>
          <w:b w:val="0"/>
          <w:bCs w:val="0"/>
        </w:rPr>
      </w:pPr>
      <w:r>
        <w:rPr/>
        <w:t>（三）</w:t>
      </w:r>
      <w:r>
        <w:rPr>
          <w:rFonts w:ascii="Times New Roman" w:hAnsi="Times New Roman" w:cs="Times New Roman" w:eastAsia="Times New Roman" w:hint="default"/>
        </w:rPr>
        <w:t>2015</w:t>
      </w:r>
      <w:r>
        <w:rPr/>
        <w:t>年的经营计划和主要目标</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left="154" w:right="149" w:firstLine="480"/>
        <w:jc w:val="both"/>
      </w:pPr>
      <w:r>
        <w:rPr>
          <w:spacing w:val="-2"/>
        </w:rPr>
        <w:t>荣信股份将在</w:t>
      </w:r>
      <w:r>
        <w:rPr>
          <w:rFonts w:ascii="Times New Roman" w:hAnsi="Times New Roman" w:cs="Times New Roman" w:eastAsia="Times New Roman" w:hint="default"/>
          <w:spacing w:val="-2"/>
        </w:rPr>
        <w:t>2015</w:t>
      </w:r>
      <w:r>
        <w:rPr>
          <w:spacing w:val="-2"/>
        </w:rPr>
        <w:t>年采取一系列措施，加大原有电力电子设备业务的改革调整力度，实现该业务扭亏</w:t>
      </w:r>
      <w:r>
        <w:rPr/>
        <w:t> 为盈，具体措施如下：</w:t>
      </w:r>
    </w:p>
    <w:p>
      <w:pPr>
        <w:spacing w:line="240" w:lineRule="auto" w:before="2"/>
        <w:rPr>
          <w:rFonts w:ascii="宋体" w:hAnsi="宋体" w:cs="宋体" w:eastAsia="宋体" w:hint="default"/>
          <w:sz w:val="14"/>
          <w:szCs w:val="14"/>
        </w:rPr>
      </w:pPr>
    </w:p>
    <w:p>
      <w:pPr>
        <w:pStyle w:val="BodyText"/>
        <w:spacing w:line="398" w:lineRule="auto"/>
        <w:ind w:left="154" w:right="149" w:firstLine="480"/>
        <w:jc w:val="both"/>
      </w:pPr>
      <w:r>
        <w:rPr/>
        <w:t>（</w:t>
      </w:r>
      <w:r>
        <w:rPr>
          <w:rFonts w:ascii="Times New Roman" w:hAnsi="Times New Roman" w:cs="Times New Roman" w:eastAsia="Times New Roman" w:hint="default"/>
        </w:rPr>
        <w:t>1</w:t>
      </w:r>
      <w:r>
        <w:rPr/>
        <w:t>）改革销售体系改革，从原来的以行业为主的事业部制调整成以大区为主的集中管理体制，以追 </w:t>
      </w:r>
      <w:r>
        <w:rPr>
          <w:spacing w:val="-1"/>
        </w:rPr>
        <w:t>求高技术、大合同为主的高端销售模式转为以追求高市场占有率，保证利润为主的规模化优势，降低销售</w:t>
      </w:r>
      <w:r>
        <w:rPr>
          <w:spacing w:val="-83"/>
        </w:rPr>
        <w:t> </w:t>
      </w:r>
      <w:r>
        <w:rPr>
          <w:spacing w:val="-83"/>
        </w:rPr>
      </w:r>
      <w:r>
        <w:rPr/>
        <w:t>费用。</w:t>
      </w:r>
    </w:p>
    <w:p>
      <w:pPr>
        <w:pStyle w:val="BodyText"/>
        <w:spacing w:line="386" w:lineRule="auto" w:before="174"/>
        <w:ind w:left="154" w:right="175" w:firstLine="480"/>
        <w:jc w:val="both"/>
      </w:pPr>
      <w:r>
        <w:rPr/>
        <w:t>（</w:t>
      </w:r>
      <w:r>
        <w:rPr>
          <w:rFonts w:ascii="Times New Roman" w:hAnsi="Times New Roman" w:cs="Times New Roman" w:eastAsia="Times New Roman" w:hint="default"/>
        </w:rPr>
        <w:t>2</w:t>
      </w:r>
      <w:r>
        <w:rPr/>
        <w:t>）组建专业回款队伍，加强回款管理，制定严格的考核奖惩措施，</w:t>
      </w:r>
      <w:r>
        <w:rPr>
          <w:rFonts w:ascii="Times New Roman" w:hAnsi="Times New Roman" w:cs="Times New Roman" w:eastAsia="Times New Roman" w:hint="default"/>
        </w:rPr>
        <w:t>2015</w:t>
      </w:r>
      <w:r>
        <w:rPr/>
        <w:t>年争取实现经营性现金流 为正，降低财务费用。</w:t>
      </w:r>
    </w:p>
    <w:p>
      <w:pPr>
        <w:spacing w:line="240" w:lineRule="auto" w:before="2"/>
        <w:rPr>
          <w:rFonts w:ascii="宋体" w:hAnsi="宋体" w:cs="宋体" w:eastAsia="宋体" w:hint="default"/>
          <w:sz w:val="14"/>
          <w:szCs w:val="14"/>
        </w:rPr>
      </w:pPr>
    </w:p>
    <w:p>
      <w:pPr>
        <w:pStyle w:val="BodyText"/>
        <w:spacing w:line="240" w:lineRule="auto"/>
        <w:ind w:left="634" w:right="0"/>
        <w:jc w:val="left"/>
      </w:pPr>
      <w:r>
        <w:rPr/>
        <w:t>（</w:t>
      </w:r>
      <w:r>
        <w:rPr>
          <w:rFonts w:ascii="Times New Roman" w:hAnsi="Times New Roman" w:cs="Times New Roman" w:eastAsia="Times New Roman" w:hint="default"/>
        </w:rPr>
        <w:t>3</w:t>
      </w:r>
      <w:r>
        <w:rPr/>
        <w:t>）关停不符合预期部分子公司和事业部，转让部分子公司股权，压缩人员编制，降低管理费用。</w:t>
      </w:r>
    </w:p>
    <w:p>
      <w:pPr>
        <w:spacing w:line="240" w:lineRule="auto" w:before="9"/>
        <w:rPr>
          <w:rFonts w:ascii="宋体" w:hAnsi="宋体" w:cs="宋体" w:eastAsia="宋体" w:hint="default"/>
          <w:sz w:val="22"/>
          <w:szCs w:val="22"/>
        </w:rPr>
      </w:pPr>
    </w:p>
    <w:p>
      <w:pPr>
        <w:pStyle w:val="BodyText"/>
        <w:spacing w:line="240" w:lineRule="auto"/>
        <w:ind w:left="634" w:right="0"/>
        <w:jc w:val="left"/>
      </w:pPr>
      <w:r>
        <w:rPr/>
        <w:t>（</w:t>
      </w:r>
      <w:r>
        <w:rPr>
          <w:rFonts w:ascii="Times New Roman" w:hAnsi="Times New Roman" w:cs="Times New Roman" w:eastAsia="Times New Roman" w:hint="default"/>
        </w:rPr>
        <w:t>4</w:t>
      </w:r>
      <w:r>
        <w:rPr/>
        <w:t>）通过产品优化设计，降低采购成本，保持毛利水平。</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4"/>
        <w:ind w:left="634" w:right="90" w:firstLine="2"/>
        <w:jc w:val="left"/>
        <w:rPr>
          <w:rFonts w:ascii="宋体" w:hAnsi="宋体" w:cs="宋体" w:eastAsia="宋体" w:hint="default"/>
          <w:sz w:val="21"/>
          <w:szCs w:val="21"/>
        </w:rPr>
      </w:pPr>
      <w:r>
        <w:rPr>
          <w:rFonts w:ascii="宋体" w:hAnsi="宋体" w:cs="宋体" w:eastAsia="宋体" w:hint="default"/>
          <w:b/>
          <w:bCs/>
          <w:sz w:val="21"/>
          <w:szCs w:val="21"/>
        </w:rPr>
        <w:t>（四）为实现公司发展战略的资金使用安排</w:t>
      </w:r>
      <w:r>
        <w:rPr>
          <w:rFonts w:ascii="宋体" w:hAnsi="宋体" w:cs="宋体" w:eastAsia="宋体" w:hint="default"/>
          <w:b/>
          <w:bCs/>
          <w:spacing w:val="1"/>
          <w:w w:val="99"/>
          <w:sz w:val="21"/>
          <w:szCs w:val="21"/>
        </w:rPr>
        <w:t> </w:t>
      </w:r>
      <w:r>
        <w:rPr>
          <w:rFonts w:ascii="宋体" w:hAnsi="宋体" w:cs="宋体" w:eastAsia="宋体" w:hint="default"/>
          <w:sz w:val="21"/>
          <w:szCs w:val="21"/>
        </w:rPr>
        <w:t>实现公司的发展战略需要更多的资金支持。公司一方面加强应收账款催收力度，加快资产使用效率，</w:t>
      </w:r>
    </w:p>
    <w:p>
      <w:pPr>
        <w:pStyle w:val="BodyText"/>
        <w:spacing w:line="408" w:lineRule="auto" w:before="46"/>
        <w:ind w:left="154" w:right="189"/>
        <w:jc w:val="both"/>
      </w:pPr>
      <w:r>
        <w:rPr>
          <w:spacing w:val="-1"/>
        </w:rPr>
        <w:t>努力降低资金成本。另一方面根据资金需求情况将利用自有资金、银行贷款、发行公司债等保证营运资金</w:t>
      </w:r>
      <w:r>
        <w:rPr>
          <w:spacing w:val="-83"/>
        </w:rPr>
        <w:t> </w:t>
      </w:r>
      <w:r>
        <w:rPr>
          <w:spacing w:val="-83"/>
        </w:rPr>
      </w:r>
      <w:r>
        <w:rPr/>
        <w:t>的需求。</w:t>
      </w:r>
    </w:p>
    <w:p>
      <w:pPr>
        <w:spacing w:line="240" w:lineRule="auto" w:before="11"/>
        <w:rPr>
          <w:rFonts w:ascii="宋体" w:hAnsi="宋体" w:cs="宋体" w:eastAsia="宋体" w:hint="default"/>
          <w:sz w:val="18"/>
          <w:szCs w:val="18"/>
        </w:rPr>
      </w:pPr>
    </w:p>
    <w:p>
      <w:pPr>
        <w:pStyle w:val="Heading2"/>
        <w:spacing w:line="240" w:lineRule="auto" w:before="0"/>
        <w:ind w:right="0"/>
        <w:jc w:val="both"/>
        <w:rPr>
          <w:b w:val="0"/>
          <w:bCs w:val="0"/>
        </w:rPr>
      </w:pPr>
      <w:r>
        <w:rPr/>
        <w:t>八、与上年度财务报告相比，会计政策、会计估计和核算方法发生变化的情况说明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574" w:right="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会计政策变更的内容和原因 </w:t>
      </w:r>
      <w:r>
        <w:rPr>
          <w:spacing w:val="-5"/>
        </w:rPr>
        <w:t>本公司自</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w:t>
      </w:r>
      <w:r>
        <w:rPr>
          <w:spacing w:val="-5"/>
        </w:rPr>
        <w:t>日起执行财政部于</w:t>
      </w:r>
      <w:r>
        <w:rPr>
          <w:rFonts w:ascii="Times New Roman" w:hAnsi="Times New Roman" w:cs="Times New Roman" w:eastAsia="Times New Roman" w:hint="default"/>
          <w:spacing w:val="-5"/>
        </w:rPr>
        <w:t>2014</w:t>
      </w:r>
      <w:r>
        <w:rPr>
          <w:spacing w:val="-5"/>
        </w:rPr>
        <w:t>年制定的《企业会计准则第</w:t>
      </w:r>
      <w:r>
        <w:rPr>
          <w:rFonts w:ascii="Times New Roman" w:hAnsi="Times New Roman" w:cs="Times New Roman" w:eastAsia="Times New Roman" w:hint="default"/>
          <w:spacing w:val="-5"/>
        </w:rPr>
        <w:t>39</w:t>
      </w:r>
      <w:r>
        <w:rPr>
          <w:spacing w:val="-5"/>
        </w:rPr>
        <w:t>号</w:t>
      </w:r>
      <w:r>
        <w:rPr>
          <w:rFonts w:ascii="Times New Roman" w:hAnsi="Times New Roman" w:cs="Times New Roman" w:eastAsia="Times New Roman" w:hint="default"/>
          <w:spacing w:val="-5"/>
        </w:rPr>
        <w:t>——</w:t>
      </w:r>
      <w:r>
        <w:rPr>
          <w:spacing w:val="-5"/>
        </w:rPr>
        <w:t>公允价值计量》、《企</w:t>
      </w:r>
    </w:p>
    <w:p>
      <w:pPr>
        <w:pStyle w:val="BodyText"/>
        <w:spacing w:line="240" w:lineRule="auto" w:before="35"/>
        <w:ind w:right="0"/>
        <w:jc w:val="both"/>
      </w:pPr>
      <w:r>
        <w:rPr/>
        <w:t>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在其他主体中权益的披露》，和经修订的</w:t>
      </w:r>
    </w:p>
    <w:p>
      <w:pPr>
        <w:pStyle w:val="BodyText"/>
        <w:spacing w:line="386" w:lineRule="auto" w:before="177"/>
        <w:ind w:right="190"/>
        <w:jc w:val="both"/>
      </w:pPr>
      <w:r>
        <w:rPr>
          <w:spacing w:val="-1"/>
        </w:rPr>
        <w:t>《企业会计准则第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长期股权投资》、《企业会计准则第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职工薪酬》、《企业会计准则第</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34"/>
        </w:rPr>
        <w:t> </w:t>
      </w:r>
      <w:r>
        <w:rPr>
          <w:spacing w:val="-1"/>
        </w:rPr>
        <w:t>号</w:t>
      </w:r>
      <w:r>
        <w:rPr>
          <w:rFonts w:ascii="Times New Roman" w:hAnsi="Times New Roman" w:cs="Times New Roman" w:eastAsia="Times New Roman" w:hint="default"/>
          <w:spacing w:val="-1"/>
        </w:rPr>
        <w:t>——</w:t>
      </w:r>
      <w:r>
        <w:rPr>
          <w:spacing w:val="-1"/>
        </w:rPr>
        <w:t>财务报表列报》、《企业会计准则第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合并财务报表》，同时在本财务报表中采用财政部于</w:t>
      </w:r>
      <w:r>
        <w:rPr>
          <w:spacing w:val="-83"/>
        </w:rPr>
        <w:t> </w:t>
      </w:r>
      <w:r>
        <w:rPr>
          <w:spacing w:val="-83"/>
        </w:rPr>
      </w:r>
      <w:r>
        <w:rPr>
          <w:rFonts w:ascii="Times New Roman" w:hAnsi="Times New Roman" w:cs="Times New Roman" w:eastAsia="Times New Roman" w:hint="default"/>
          <w:spacing w:val="-1"/>
        </w:rPr>
        <w:t>2014</w:t>
      </w:r>
      <w:r>
        <w:rPr>
          <w:spacing w:val="-1"/>
        </w:rPr>
        <w:t>年修订的《企业会计准则第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金融工具列报》。本次变更经公司第五届董事会第十一次会议审</w:t>
      </w:r>
      <w:r>
        <w:rPr>
          <w:spacing w:val="-84"/>
        </w:rPr>
        <w:t> </w:t>
      </w:r>
      <w:r>
        <w:rPr>
          <w:spacing w:val="-84"/>
        </w:rPr>
      </w:r>
      <w:r>
        <w:rPr/>
        <w:t>议通过。</w:t>
      </w:r>
    </w:p>
    <w:p>
      <w:pPr>
        <w:pStyle w:val="BodyText"/>
        <w:spacing w:line="240" w:lineRule="auto" w:before="65"/>
        <w:ind w:left="573" w:right="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受重要影响的报表项目和金额</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19"/>
        <w:gridCol w:w="1702"/>
        <w:gridCol w:w="4819"/>
      </w:tblGrid>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01"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pacing w:val="63"/>
                <w:sz w:val="21"/>
                <w:szCs w:val="21"/>
              </w:rPr>
              <w:t> </w:t>
            </w:r>
            <w:r>
              <w:rPr>
                <w:rFonts w:ascii="宋体" w:hAnsi="宋体" w:cs="宋体" w:eastAsia="宋体" w:hint="default"/>
                <w:sz w:val="21"/>
                <w:szCs w:val="21"/>
              </w:rPr>
              <w:t>注</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日资产负债表项目</w:t>
            </w:r>
          </w:p>
        </w:tc>
        <w:tc>
          <w:tcPr>
            <w:tcW w:w="1702" w:type="dxa"/>
            <w:tcBorders>
              <w:top w:val="single" w:sz="6" w:space="0" w:color="000000"/>
              <w:left w:val="single" w:sz="6" w:space="0" w:color="000000"/>
              <w:bottom w:val="single" w:sz="6" w:space="0" w:color="000000"/>
              <w:right w:val="single" w:sz="6" w:space="0" w:color="000000"/>
            </w:tcBorders>
          </w:tcPr>
          <w:p>
            <w:pPr/>
          </w:p>
        </w:tc>
        <w:tc>
          <w:tcPr>
            <w:tcW w:w="4819"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根据修订的《企业会计准则第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-8,000,000.00</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 w:right="-28"/>
              <w:jc w:val="left"/>
              <w:rPr>
                <w:rFonts w:ascii="宋体" w:hAnsi="宋体" w:cs="宋体" w:eastAsia="宋体" w:hint="default"/>
                <w:sz w:val="21"/>
                <w:szCs w:val="21"/>
              </w:rPr>
            </w:pPr>
            <w:r>
              <w:rPr>
                <w:rFonts w:ascii="宋体" w:hAnsi="宋体" w:cs="宋体" w:eastAsia="宋体" w:hint="default"/>
                <w:sz w:val="21"/>
                <w:szCs w:val="21"/>
              </w:rPr>
              <w:t>资》，将原成本法核算的对被投资单位不具有控制、</w:t>
            </w:r>
          </w:p>
        </w:tc>
      </w:tr>
      <w:tr>
        <w:trPr>
          <w:trHeight w:val="258" w:hRule="exact"/>
        </w:trPr>
        <w:tc>
          <w:tcPr>
            <w:tcW w:w="3119"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5"/>
              <w:ind w:left="580" w:right="0"/>
              <w:jc w:val="left"/>
              <w:rPr>
                <w:rFonts w:ascii="Times New Roman" w:hAnsi="Times New Roman" w:cs="Times New Roman" w:eastAsia="Times New Roman" w:hint="default"/>
                <w:sz w:val="21"/>
                <w:szCs w:val="21"/>
              </w:rPr>
            </w:pPr>
            <w:r>
              <w:rPr>
                <w:rFonts w:ascii="Times New Roman"/>
                <w:sz w:val="21"/>
              </w:rPr>
              <w:t>8,000,000.00</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2" w:right="0"/>
              <w:jc w:val="left"/>
              <w:rPr>
                <w:rFonts w:ascii="宋体" w:hAnsi="宋体" w:cs="宋体" w:eastAsia="宋体" w:hint="default"/>
                <w:sz w:val="21"/>
                <w:szCs w:val="21"/>
              </w:rPr>
            </w:pPr>
            <w:r>
              <w:rPr>
                <w:rFonts w:ascii="宋体" w:hAnsi="宋体" w:cs="宋体" w:eastAsia="宋体" w:hint="default"/>
                <w:sz w:val="21"/>
                <w:szCs w:val="21"/>
              </w:rPr>
              <w:t>共同控制或重大影响的权益性投资纳入可供出售金</w:t>
            </w:r>
          </w:p>
        </w:tc>
      </w:tr>
      <w:tr>
        <w:trPr>
          <w:trHeight w:val="312" w:hRule="exact"/>
        </w:trPr>
        <w:tc>
          <w:tcPr>
            <w:tcW w:w="3119"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融资产核算，其中：在活跃市场中没有报价、公允价</w:t>
            </w:r>
          </w:p>
        </w:tc>
      </w:tr>
      <w:tr>
        <w:trPr>
          <w:trHeight w:val="331" w:hRule="exact"/>
        </w:trPr>
        <w:tc>
          <w:tcPr>
            <w:tcW w:w="31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81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28"/>
              <w:jc w:val="left"/>
              <w:rPr>
                <w:rFonts w:ascii="宋体" w:hAnsi="宋体" w:cs="宋体" w:eastAsia="宋体" w:hint="default"/>
                <w:sz w:val="21"/>
                <w:szCs w:val="21"/>
              </w:rPr>
            </w:pPr>
            <w:r>
              <w:rPr>
                <w:rFonts w:ascii="宋体" w:hAnsi="宋体" w:cs="宋体" w:eastAsia="宋体" w:hint="default"/>
                <w:sz w:val="21"/>
                <w:szCs w:val="21"/>
              </w:rPr>
              <w:t>值不能可靠计量的权益工具按照成本进行后续计量。</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日资产负债表项目</w:t>
            </w:r>
          </w:p>
        </w:tc>
        <w:tc>
          <w:tcPr>
            <w:tcW w:w="1702" w:type="dxa"/>
            <w:tcBorders>
              <w:top w:val="single" w:sz="6" w:space="0" w:color="000000"/>
              <w:left w:val="single" w:sz="6" w:space="0" w:color="000000"/>
              <w:bottom w:val="single" w:sz="6" w:space="0" w:color="000000"/>
              <w:right w:val="single" w:sz="6" w:space="0" w:color="000000"/>
            </w:tcBorders>
          </w:tcPr>
          <w:p>
            <w:pPr/>
          </w:p>
        </w:tc>
        <w:tc>
          <w:tcPr>
            <w:tcW w:w="4819"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根据修订的《企业会计准则第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-60,439,986.55</w:t>
            </w:r>
            <w:r>
              <w:rPr>
                <w:rFonts w:ascii="Times New Roman"/>
                <w:sz w:val="21"/>
              </w:rPr>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根据列报要求将递延收益单独列报，并对年初</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60,439,986.55</w:t>
            </w:r>
          </w:p>
        </w:tc>
        <w:tc>
          <w:tcPr>
            <w:tcW w:w="4819" w:type="dxa"/>
            <w:tcBorders>
              <w:top w:val="nil" w:sz="6" w:space="0" w:color="auto"/>
              <w:left w:val="single" w:sz="6" w:space="0" w:color="000000"/>
              <w:bottom w:val="single" w:sz="6" w:space="0" w:color="000000"/>
              <w:right w:val="single" w:sz="6" w:space="0" w:color="000000"/>
            </w:tcBorders>
          </w:tcPr>
          <w:p>
            <w:pPr>
              <w:pStyle w:val="TableParagraph"/>
              <w:spacing w:line="209" w:lineRule="exact"/>
              <w:ind w:left="2" w:right="0"/>
              <w:jc w:val="left"/>
              <w:rPr>
                <w:rFonts w:ascii="宋体" w:hAnsi="宋体" w:cs="宋体" w:eastAsia="宋体" w:hint="default"/>
                <w:sz w:val="21"/>
                <w:szCs w:val="21"/>
              </w:rPr>
            </w:pPr>
            <w:r>
              <w:rPr>
                <w:rFonts w:ascii="宋体" w:hAnsi="宋体" w:cs="宋体" w:eastAsia="宋体" w:hint="default"/>
                <w:sz w:val="21"/>
                <w:szCs w:val="21"/>
              </w:rPr>
              <w:t>数采用追溯调整法进行调整列报。</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日资产负债表项目</w:t>
            </w:r>
          </w:p>
        </w:tc>
        <w:tc>
          <w:tcPr>
            <w:tcW w:w="1702" w:type="dxa"/>
            <w:tcBorders>
              <w:top w:val="single" w:sz="6" w:space="0" w:color="000000"/>
              <w:left w:val="single" w:sz="6" w:space="0" w:color="000000"/>
              <w:bottom w:val="single" w:sz="6" w:space="0" w:color="000000"/>
              <w:right w:val="single" w:sz="6" w:space="0" w:color="000000"/>
            </w:tcBorders>
          </w:tcPr>
          <w:p>
            <w:pPr/>
          </w:p>
        </w:tc>
        <w:tc>
          <w:tcPr>
            <w:tcW w:w="4819" w:type="dxa"/>
            <w:tcBorders>
              <w:top w:val="single" w:sz="6" w:space="0" w:color="000000"/>
              <w:left w:val="single" w:sz="6" w:space="0" w:color="000000"/>
              <w:bottom w:val="nil" w:sz="6" w:space="0" w:color="auto"/>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根据修订的《企业会计准则第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-337,212,280.95</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表》，重新评估了合并财务报表的合并范围。北京信</w:t>
            </w:r>
          </w:p>
        </w:tc>
      </w:tr>
      <w:tr>
        <w:trPr>
          <w:trHeight w:val="258" w:hRule="exact"/>
        </w:trPr>
        <w:tc>
          <w:tcPr>
            <w:tcW w:w="3119" w:type="dxa"/>
            <w:vMerge w:val="restart"/>
            <w:tcBorders>
              <w:top w:val="single" w:sz="6" w:space="0" w:color="000000"/>
              <w:left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4"/>
              <w:ind w:left="300" w:right="0"/>
              <w:jc w:val="left"/>
              <w:rPr>
                <w:rFonts w:ascii="Times New Roman" w:hAnsi="Times New Roman" w:cs="Times New Roman" w:eastAsia="Times New Roman" w:hint="default"/>
                <w:sz w:val="21"/>
                <w:szCs w:val="21"/>
              </w:rPr>
            </w:pPr>
            <w:r>
              <w:rPr>
                <w:rFonts w:ascii="Times New Roman"/>
                <w:sz w:val="21"/>
              </w:rPr>
              <w:t>-149,780,273.40</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2" w:right="-28"/>
              <w:jc w:val="left"/>
              <w:rPr>
                <w:rFonts w:ascii="宋体" w:hAnsi="宋体" w:cs="宋体" w:eastAsia="宋体" w:hint="default"/>
                <w:sz w:val="21"/>
                <w:szCs w:val="21"/>
              </w:rPr>
            </w:pPr>
            <w:r>
              <w:rPr>
                <w:rFonts w:ascii="宋体" w:hAnsi="宋体" w:cs="宋体" w:eastAsia="宋体" w:hint="default"/>
                <w:sz w:val="21"/>
                <w:szCs w:val="21"/>
              </w:rPr>
              <w:t>力筑正新能源技术股份有限公司不再纳入合并范围，</w:t>
            </w:r>
          </w:p>
        </w:tc>
      </w:tr>
      <w:tr>
        <w:trPr>
          <w:trHeight w:val="89" w:hRule="exact"/>
        </w:trPr>
        <w:tc>
          <w:tcPr>
            <w:tcW w:w="31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819" w:type="dxa"/>
            <w:vMerge w:val="restart"/>
            <w:tcBorders>
              <w:top w:val="nil" w:sz="6" w:space="0" w:color="auto"/>
              <w:left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由成本法改为权益法核算，并对年初数采用追溯调整</w:t>
            </w:r>
          </w:p>
        </w:tc>
      </w:tr>
      <w:tr>
        <w:trPr>
          <w:trHeight w:val="224" w:hRule="exact"/>
        </w:trPr>
        <w:tc>
          <w:tcPr>
            <w:tcW w:w="3119"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5"/>
              <w:ind w:left="301" w:right="0"/>
              <w:jc w:val="left"/>
              <w:rPr>
                <w:rFonts w:ascii="Times New Roman" w:hAnsi="Times New Roman" w:cs="Times New Roman" w:eastAsia="Times New Roman" w:hint="default"/>
                <w:sz w:val="21"/>
                <w:szCs w:val="21"/>
              </w:rPr>
            </w:pPr>
            <w:r>
              <w:rPr>
                <w:rFonts w:ascii="Times New Roman"/>
                <w:sz w:val="21"/>
              </w:rPr>
              <w:t>-187,432,007.55</w:t>
            </w:r>
          </w:p>
        </w:tc>
        <w:tc>
          <w:tcPr>
            <w:tcW w:w="4819" w:type="dxa"/>
            <w:vMerge/>
            <w:tcBorders>
              <w:left w:val="single" w:sz="6" w:space="0" w:color="000000"/>
              <w:bottom w:val="nil" w:sz="6" w:space="0" w:color="auto"/>
              <w:right w:val="single" w:sz="6" w:space="0" w:color="000000"/>
            </w:tcBorders>
          </w:tcPr>
          <w:p>
            <w:pPr/>
          </w:p>
        </w:tc>
      </w:tr>
      <w:tr>
        <w:trPr>
          <w:trHeight w:val="331" w:hRule="exact"/>
        </w:trPr>
        <w:tc>
          <w:tcPr>
            <w:tcW w:w="31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81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法进行调整列报。</w:t>
            </w:r>
          </w:p>
        </w:tc>
      </w:tr>
    </w:tbl>
    <w:p>
      <w:pPr>
        <w:spacing w:line="240" w:lineRule="auto" w:before="2"/>
        <w:rPr>
          <w:rFonts w:ascii="宋体" w:hAnsi="宋体" w:cs="宋体" w:eastAsia="宋体" w:hint="default"/>
          <w:sz w:val="18"/>
          <w:szCs w:val="18"/>
        </w:rPr>
      </w:pPr>
    </w:p>
    <w:p>
      <w:pPr>
        <w:pStyle w:val="Heading2"/>
        <w:spacing w:line="240" w:lineRule="auto"/>
        <w:ind w:right="90"/>
        <w:jc w:val="left"/>
        <w:rPr>
          <w:b w:val="0"/>
          <w:bCs w:val="0"/>
        </w:rPr>
      </w:pPr>
      <w:r>
        <w:rPr/>
        <w:t>九、与上年度财务报告相比，合并报表范围发生变化的情况说明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256" w:firstLine="420"/>
        <w:jc w:val="left"/>
      </w:pPr>
      <w:r>
        <w:rPr>
          <w:rFonts w:ascii="Times New Roman" w:hAnsi="Times New Roman" w:cs="Times New Roman" w:eastAsia="Times New Roman" w:hint="default"/>
        </w:rPr>
        <w:t>1</w:t>
      </w:r>
      <w:r>
        <w:rPr/>
        <w:t>、报告期，公司根据财政部</w:t>
      </w:r>
      <w:r>
        <w:rPr>
          <w:rFonts w:ascii="Times New Roman" w:hAnsi="Times New Roman" w:cs="Times New Roman" w:eastAsia="Times New Roman" w:hint="default"/>
        </w:rPr>
        <w:t>2014</w:t>
      </w:r>
      <w:r>
        <w:rPr/>
        <w:t>年修订的《企业会计准则第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合并财务报表》相关规定，重新 评估了合并财务报表的合并范围，北京信力筑正新能源技术股份有限公司不再纳入合并范围。</w:t>
      </w:r>
    </w:p>
    <w:p>
      <w:pPr>
        <w:spacing w:after="0" w:line="386"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rFonts w:ascii="Times New Roman" w:hAnsi="Times New Roman" w:cs="Times New Roman" w:eastAsia="Times New Roman" w:hint="default"/>
        </w:rPr>
        <w:t>2</w:t>
      </w:r>
      <w:r>
        <w:rPr/>
        <w:t>、报告期，公司将所持有的北京诚和龙盛工程技术有限公司</w:t>
      </w:r>
      <w:r>
        <w:rPr>
          <w:rFonts w:ascii="Times New Roman" w:hAnsi="Times New Roman" w:cs="Times New Roman" w:eastAsia="Times New Roman" w:hint="default"/>
        </w:rPr>
        <w:t>51.02%</w:t>
      </w:r>
      <w:r>
        <w:rPr/>
        <w:t>股权转让，不再纳入合并报表。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Heading2"/>
        <w:spacing w:line="240" w:lineRule="auto" w:before="0"/>
        <w:ind w:right="0"/>
        <w:jc w:val="left"/>
        <w:rPr>
          <w:b w:val="0"/>
          <w:bCs w:val="0"/>
        </w:rPr>
      </w:pPr>
      <w:r>
        <w:rPr/>
        <w:t>十、公司利润分配及分红派息情况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pPr>
      <w:r>
        <w:rPr/>
        <w:t>报告期内利润分配政策的制定、执行或调整情况</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4" w:right="0"/>
        <w:jc w:val="left"/>
      </w:pPr>
      <w:r>
        <w:rPr/>
        <w:t>报告期内，公司认真执行了已制定的现金分红政策（《荣信电力电子股份有限公司股东分红回报规划</w:t>
      </w:r>
    </w:p>
    <w:p>
      <w:pPr>
        <w:spacing w:line="240" w:lineRule="auto" w:before="10"/>
        <w:rPr>
          <w:rFonts w:ascii="宋体" w:hAnsi="宋体" w:cs="宋体" w:eastAsia="宋体" w:hint="default"/>
          <w:sz w:val="14"/>
          <w:szCs w:val="14"/>
        </w:rPr>
      </w:pPr>
    </w:p>
    <w:p>
      <w:pPr>
        <w:pStyle w:val="BodyText"/>
        <w:spacing w:line="386" w:lineRule="auto"/>
        <w:ind w:right="341"/>
        <w:jc w:val="left"/>
      </w:pPr>
      <w:r>
        <w:rPr/>
        <w:t>（</w:t>
      </w:r>
      <w:r>
        <w:rPr>
          <w:rFonts w:ascii="Times New Roman" w:hAnsi="Times New Roman" w:cs="Times New Roman" w:eastAsia="Times New Roman" w:hint="default"/>
        </w:rPr>
        <w:t>2012-2014</w:t>
      </w:r>
      <w:r>
        <w:rPr/>
        <w:t>年）》），按照《荣信电力电子股份有限公司股东分红回报规划（</w:t>
      </w:r>
      <w:r>
        <w:rPr>
          <w:rFonts w:ascii="Times New Roman" w:hAnsi="Times New Roman" w:cs="Times New Roman" w:eastAsia="Times New Roman" w:hint="default"/>
        </w:rPr>
        <w:t>2012-2014</w:t>
      </w:r>
      <w:r>
        <w:rPr/>
        <w:t>年）》制定</w:t>
      </w:r>
      <w:r>
        <w:rPr>
          <w:rFonts w:ascii="Times New Roman" w:hAnsi="Times New Roman" w:cs="Times New Roman" w:eastAsia="Times New Roman" w:hint="default"/>
        </w:rPr>
        <w:t>2014 </w:t>
      </w:r>
      <w:r>
        <w:rPr/>
        <w:t>年度利润分配方案。</w:t>
      </w:r>
    </w:p>
    <w:p>
      <w:pPr>
        <w:spacing w:line="240" w:lineRule="auto" w:before="1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319" w:lineRule="auto" w:before="51"/>
              <w:ind w:left="10" w:right="68"/>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报告期内现金分红政策未进行调整或变更，公司执行了既定 现金分红政策。</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line="240" w:lineRule="auto" w:before="6"/>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68"/>
        <w:gridCol w:w="8060"/>
      </w:tblGrid>
      <w:tr>
        <w:trPr>
          <w:trHeight w:val="416"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分配年度</w:t>
            </w:r>
          </w:p>
        </w:tc>
        <w:tc>
          <w:tcPr>
            <w:tcW w:w="806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56"/>
              <w:ind w:left="2493" w:right="0"/>
              <w:jc w:val="left"/>
              <w:rPr>
                <w:rFonts w:ascii="宋体" w:hAnsi="宋体" w:cs="宋体" w:eastAsia="宋体" w:hint="default"/>
                <w:sz w:val="18"/>
                <w:szCs w:val="18"/>
              </w:rPr>
            </w:pPr>
            <w:r>
              <w:rPr>
                <w:rFonts w:ascii="宋体" w:hAnsi="宋体" w:cs="宋体" w:eastAsia="宋体" w:hint="default"/>
                <w:sz w:val="18"/>
                <w:szCs w:val="18"/>
              </w:rPr>
              <w:t>股利分配情况或资本公积转增股本情况</w:t>
            </w:r>
          </w:p>
        </w:tc>
      </w:tr>
      <w:tr>
        <w:trPr>
          <w:trHeight w:val="433"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80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年度利润分配方案为：本年利润不分配，不转增。</w:t>
            </w:r>
          </w:p>
        </w:tc>
      </w:tr>
      <w:tr>
        <w:trPr>
          <w:trHeight w:val="739"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80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3" w:right="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年度利润分配方案为：以</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日的公司总股本为基数，向全体股东每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w:t>
            </w:r>
            <w:r>
              <w:rPr>
                <w:rFonts w:ascii="宋体" w:hAnsi="宋体" w:cs="宋体" w:eastAsia="宋体" w:hint="default"/>
                <w:spacing w:val="-48"/>
                <w:sz w:val="18"/>
                <w:szCs w:val="18"/>
              </w:rPr>
              <w:t> </w:t>
            </w:r>
            <w:r>
              <w:rPr>
                <w:rFonts w:ascii="宋体" w:hAnsi="宋体" w:cs="宋体" w:eastAsia="宋体" w:hint="default"/>
                <w:sz w:val="18"/>
                <w:szCs w:val="18"/>
              </w:rPr>
              <w:t>利</w:t>
            </w:r>
            <w:r>
              <w:rPr>
                <w:rFonts w:ascii="Times New Roman" w:hAnsi="Times New Roman" w:cs="Times New Roman" w:eastAsia="Times New Roman" w:hint="default"/>
                <w:sz w:val="18"/>
                <w:szCs w:val="18"/>
              </w:rPr>
              <w:t>0.20</w:t>
            </w:r>
            <w:r>
              <w:rPr>
                <w:rFonts w:ascii="宋体" w:hAnsi="宋体" w:cs="宋体" w:eastAsia="宋体" w:hint="default"/>
                <w:sz w:val="18"/>
                <w:szCs w:val="18"/>
              </w:rPr>
              <w:t>元（含税），送红股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股（含税），不以公积金转增股本。</w:t>
            </w:r>
          </w:p>
        </w:tc>
      </w:tr>
      <w:tr>
        <w:trPr>
          <w:trHeight w:val="427"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年度利润分配方案为：本年利润不分配，不转增。</w:t>
            </w:r>
          </w:p>
        </w:tc>
      </w:tr>
    </w:tbl>
    <w:p>
      <w:pPr>
        <w:spacing w:line="240" w:lineRule="auto" w:before="5"/>
        <w:rPr>
          <w:rFonts w:ascii="宋体" w:hAnsi="宋体" w:cs="宋体" w:eastAsia="宋体" w:hint="default"/>
          <w:sz w:val="24"/>
          <w:szCs w:val="24"/>
        </w:rPr>
      </w:pPr>
    </w:p>
    <w:p>
      <w:pPr>
        <w:tabs>
          <w:tab w:pos="89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tab/>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-257,683,938.81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75,843,521.47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13.29%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115,326,193.41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82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十一、本报告期利润分配及资本公积金转增股本预案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154" w:right="0"/>
        <w:jc w:val="left"/>
      </w:pPr>
      <w:r>
        <w:rPr/>
        <w:t>公司计划年度不派发现金红利，不送红股，不以公积金转增股本。</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t>十二、社会责任情况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left="154" w:right="110" w:firstLine="420"/>
        <w:jc w:val="left"/>
      </w:pPr>
      <w:r>
        <w:rPr>
          <w:spacing w:val="-1"/>
        </w:rPr>
        <w:t>报告期，公司合法合规运营，把为社会创造繁荣作为应当承担社会责任的一项承诺，长期致力于经济</w:t>
      </w:r>
      <w:r>
        <w:rPr/>
        <w:t> </w:t>
      </w:r>
      <w:r>
        <w:rPr>
          <w:spacing w:val="-1"/>
        </w:rPr>
        <w:t>发展，积极回报投资者，以自身发展影响和带动地方经济的振兴。与客户建立良好关系，为客户提供优质</w:t>
      </w:r>
      <w:r>
        <w:rPr>
          <w:spacing w:val="-86"/>
        </w:rPr>
        <w:t> </w:t>
      </w:r>
      <w:r>
        <w:rPr>
          <w:spacing w:val="-86"/>
        </w:rPr>
      </w:r>
      <w:r>
        <w:rPr>
          <w:spacing w:val="-1"/>
        </w:rPr>
        <w:t>产品，完善售后服务，实现共赢。在追求经济效益的同时注重环境保护和节能降耗，把建设资源节约型和</w:t>
      </w:r>
      <w:r>
        <w:rPr>
          <w:spacing w:val="-86"/>
        </w:rPr>
        <w:t> </w:t>
      </w:r>
      <w:r>
        <w:rPr>
          <w:spacing w:val="-86"/>
        </w:rPr>
      </w:r>
      <w:r>
        <w:rPr/>
        <w:t>环境友好型企业作为可持续发展战略的重要内容，通过自身节能大功率电力电子产品技术创新和推广应 </w:t>
      </w:r>
      <w:r>
        <w:rPr>
          <w:spacing w:val="-1"/>
        </w:rPr>
        <w:t>用，推动全社会节能降耗目标的实现。同时，公司坚持以人为本，把对员工负责视为自身的责任，把为员</w:t>
      </w:r>
      <w:r>
        <w:rPr>
          <w:spacing w:val="-83"/>
        </w:rPr>
        <w:t> </w:t>
      </w:r>
      <w:r>
        <w:rPr>
          <w:spacing w:val="-83"/>
        </w:rPr>
      </w:r>
      <w:r>
        <w:rPr/>
        <w:t>工创造未来当成长期坚持的重要使命。公司注重对员工职业发展进行规划，为员工提供平等的发展机会， </w:t>
      </w:r>
      <w:r>
        <w:rPr>
          <w:spacing w:val="-1"/>
        </w:rPr>
        <w:t>尊重和维护员工的个人利益。未来，公司将积极履行社会责任，在兼顾环境保护的同时，致力于打造广受</w:t>
      </w:r>
      <w:r>
        <w:rPr>
          <w:spacing w:val="-86"/>
        </w:rPr>
        <w:t> </w:t>
      </w:r>
      <w:r>
        <w:rPr>
          <w:spacing w:val="-86"/>
        </w:rPr>
      </w:r>
      <w:r>
        <w:rPr/>
        <w:t>客户青睐、赢得社会信赖的知名品牌，实现商业利益与社会责任的高度统一。</w:t>
      </w:r>
    </w:p>
    <w:p>
      <w:pPr>
        <w:spacing w:line="240" w:lineRule="auto" w:before="10"/>
        <w:rPr>
          <w:rFonts w:ascii="宋体" w:hAnsi="宋体" w:cs="宋体" w:eastAsia="宋体" w:hint="default"/>
          <w:sz w:val="18"/>
          <w:szCs w:val="18"/>
        </w:rPr>
      </w:pPr>
    </w:p>
    <w:p>
      <w:pPr>
        <w:pStyle w:val="Heading2"/>
        <w:spacing w:line="240" w:lineRule="auto" w:before="0"/>
        <w:ind w:right="0"/>
        <w:jc w:val="left"/>
        <w:rPr>
          <w:b w:val="0"/>
          <w:bCs w:val="0"/>
        </w:rPr>
      </w:pPr>
      <w:r>
        <w:rPr/>
        <w:t>十三、报告期内接待调研、沟通、采访等活动登记表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397.859985pt;margin-top:53.232018pt;width:137.050pt;height:82pt;mso-position-horizontal-relative:page;mso-position-vertical-relative:paragraph;z-index:-798592" type="#_x0000_t202" filled="false" stroked="false">
            <v:textbox inset="0,0,0,0">
              <w:txbxContent>
                <w:p>
                  <w:pPr>
                    <w:spacing w:line="316" w:lineRule="auto" w:before="51"/>
                    <w:ind w:left="180" w:right="2018" w:hanging="180"/>
                    <w:jc w:val="left"/>
                    <w:rPr>
                      <w:rFonts w:ascii="宋体" w:hAnsi="宋体" w:cs="宋体" w:eastAsia="宋体" w:hint="default"/>
                      <w:sz w:val="18"/>
                      <w:szCs w:val="18"/>
                    </w:rPr>
                  </w:pPr>
                  <w:r>
                    <w:rPr>
                      <w:rFonts w:ascii="宋体" w:hAnsi="宋体" w:cs="宋体" w:eastAsia="宋体" w:hint="default"/>
                      <w:sz w:val="18"/>
                      <w:szCs w:val="18"/>
                    </w:rPr>
                    <w:t>金凌志； 刘通；</w:t>
                  </w:r>
                </w:p>
              </w:txbxContent>
            </v:textbox>
            <w10:wrap type="none"/>
          </v:shape>
        </w:pict>
      </w:r>
      <w:r>
        <w:rPr/>
        <w:pict>
          <v:group style="position:absolute;margin-left:431.040009pt;margin-top:53.232018pt;width:103.9pt;height:82pt;mso-position-horizontal-relative:page;mso-position-vertical-relative:paragraph;z-index:-798568" coordorigin="8621,1065" coordsize="2078,1640">
            <v:group style="position:absolute;left:8621;top:1065;width:2078;height:1640" coordorigin="8621,1065" coordsize="2078,1640">
              <v:shape style="position:absolute;left:8621;top:1065;width:2078;height:1640" coordorigin="8621,1065" coordsize="2078,1640" path="m8621,2704l10698,2704,10698,1065,8621,1065,8621,2704xe" filled="true" fillcolor="#ffffff" stroked="false">
                <v:path arrowok="t"/>
                <v:fill type="solid"/>
              </v:shape>
            </v:group>
            <v:group style="position:absolute;left:8644;top:1689;width:2032;height:392" coordorigin="8644,1689" coordsize="2032,392">
              <v:shape style="position:absolute;left:8644;top:1689;width:2032;height:392" coordorigin="8644,1689" coordsize="2032,392" path="m8644,2080l10675,2080,10675,1689,8644,1689,8644,2080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长盛基金 汇添富基金 华商基金</w:t>
            </w:r>
            <w:r>
              <w:rPr>
                <w:rFonts w:ascii="宋体" w:hAnsi="宋体" w:cs="宋体" w:eastAsia="宋体" w:hint="default"/>
                <w:spacing w:val="2"/>
                <w:sz w:val="18"/>
                <w:szCs w:val="18"/>
              </w:rPr>
              <w:t> </w:t>
            </w:r>
            <w:r>
              <w:rPr>
                <w:rFonts w:ascii="宋体" w:hAnsi="宋体" w:cs="宋体" w:eastAsia="宋体" w:hint="default"/>
                <w:spacing w:val="-23"/>
                <w:sz w:val="18"/>
                <w:szCs w:val="18"/>
              </w:rPr>
              <w:t>张丁；富</w:t>
            </w:r>
            <w:r>
              <w:rPr>
                <w:rFonts w:ascii="宋体" w:hAnsi="宋体" w:cs="宋体" w:eastAsia="宋体" w:hint="default"/>
                <w:sz w:val="18"/>
                <w:szCs w:val="18"/>
              </w:rPr>
              <w:t> 国基金 </w:t>
            </w:r>
            <w:r>
              <w:rPr>
                <w:rFonts w:ascii="宋体" w:hAnsi="宋体" w:cs="宋体" w:eastAsia="宋体" w:hint="default"/>
                <w:spacing w:val="-18"/>
                <w:sz w:val="18"/>
                <w:szCs w:val="18"/>
              </w:rPr>
              <w:t>方芳；中银</w:t>
            </w:r>
            <w:r>
              <w:rPr>
                <w:rFonts w:ascii="宋体" w:hAnsi="宋体" w:cs="宋体" w:eastAsia="宋体" w:hint="default"/>
                <w:sz w:val="18"/>
                <w:szCs w:val="18"/>
              </w:rPr>
              <w:t> 国际 许凯</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安信证券 刑达</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兴业证券 徐礼敏 柯鸿</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华安财保资产管理 吴聪 单既琛</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4"/>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、出售资产情况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6"/>
        <w:gridCol w:w="684"/>
        <w:gridCol w:w="684"/>
        <w:gridCol w:w="682"/>
        <w:gridCol w:w="683"/>
        <w:gridCol w:w="683"/>
        <w:gridCol w:w="684"/>
        <w:gridCol w:w="683"/>
        <w:gridCol w:w="683"/>
        <w:gridCol w:w="683"/>
        <w:gridCol w:w="683"/>
        <w:gridCol w:w="683"/>
        <w:gridCol w:w="684"/>
        <w:gridCol w:w="680"/>
      </w:tblGrid>
      <w:tr>
        <w:trPr>
          <w:trHeight w:val="2898" w:hRule="exact"/>
        </w:trPr>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北京诚</w:t>
            </w: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本次出</w:t>
            </w: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6"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和龙盛</w:t>
            </w: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售子公</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86"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2"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陈申</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术有限</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44" w:right="0"/>
              <w:jc w:val="left"/>
              <w:rPr>
                <w:rFonts w:ascii="Times New Roman" w:hAnsi="Times New Roman" w:cs="Times New Roman" w:eastAsia="Times New Roman" w:hint="default"/>
                <w:sz w:val="18"/>
                <w:szCs w:val="18"/>
              </w:rPr>
            </w:pPr>
            <w:r>
              <w:rPr>
                <w:rFonts w:ascii="Times New Roman"/>
                <w:sz w:val="18"/>
              </w:rPr>
              <w:t>137.5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95" w:right="0"/>
              <w:jc w:val="left"/>
              <w:rPr>
                <w:rFonts w:ascii="Times New Roman" w:hAnsi="Times New Roman" w:cs="Times New Roman" w:eastAsia="Times New Roman" w:hint="default"/>
                <w:sz w:val="18"/>
                <w:szCs w:val="18"/>
              </w:rPr>
            </w:pPr>
            <w:r>
              <w:rPr>
                <w:rFonts w:ascii="Times New Roman"/>
                <w:sz w:val="18"/>
              </w:rPr>
              <w:t>-830.12</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增加投</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7" w:right="0"/>
              <w:jc w:val="left"/>
              <w:rPr>
                <w:rFonts w:ascii="Times New Roman" w:hAnsi="Times New Roman" w:cs="Times New Roman" w:eastAsia="Times New Roman" w:hint="default"/>
                <w:sz w:val="18"/>
                <w:szCs w:val="18"/>
              </w:rPr>
            </w:pPr>
            <w:r>
              <w:rPr>
                <w:rFonts w:ascii="Times New Roman"/>
                <w:sz w:val="18"/>
              </w:rPr>
              <w:t>-0.13%</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8" w:hRule="exact"/>
        </w:trPr>
        <w:tc>
          <w:tcPr>
            <w:tcW w:w="686"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86"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51.02%</w:t>
            </w: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4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3"/>
        <w:gridCol w:w="942"/>
        <w:gridCol w:w="932"/>
        <w:gridCol w:w="1212"/>
        <w:gridCol w:w="1176"/>
        <w:gridCol w:w="1093"/>
        <w:gridCol w:w="1016"/>
        <w:gridCol w:w="806"/>
        <w:gridCol w:w="786"/>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57" w:hRule="exact"/>
        </w:trPr>
        <w:tc>
          <w:tcPr>
            <w:tcW w:w="160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自保证合同</w:t>
            </w:r>
          </w:p>
        </w:tc>
        <w:tc>
          <w:tcPr>
            <w:tcW w:w="806"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生效之日起</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60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贵州登峰能源集团 有限公司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3,400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至主合同履 行期限届满</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之日后两年</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60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止</w:t>
            </w:r>
          </w:p>
        </w:tc>
        <w:tc>
          <w:tcPr>
            <w:tcW w:w="806"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3"/>
        <w:gridCol w:w="942"/>
        <w:gridCol w:w="932"/>
        <w:gridCol w:w="1212"/>
        <w:gridCol w:w="1176"/>
        <w:gridCol w:w="1093"/>
        <w:gridCol w:w="1016"/>
        <w:gridCol w:w="806"/>
        <w:gridCol w:w="786"/>
      </w:tblGrid>
      <w:tr>
        <w:trPr>
          <w:trHeight w:val="358" w:hRule="exact"/>
        </w:trPr>
        <w:tc>
          <w:tcPr>
            <w:tcW w:w="160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自保证合同</w:t>
            </w:r>
          </w:p>
        </w:tc>
        <w:tc>
          <w:tcPr>
            <w:tcW w:w="806"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生效之日起</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60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威宁县洁净煤有限 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至主合同履 行期限届满</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之日后两年</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止</w:t>
            </w:r>
          </w:p>
        </w:tc>
        <w:tc>
          <w:tcPr>
            <w:tcW w:w="806"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自保证合同</w:t>
            </w:r>
          </w:p>
        </w:tc>
        <w:tc>
          <w:tcPr>
            <w:tcW w:w="806"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生效之日起</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60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贵州登峰能源集团 有限公司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至主合同履 行期限届满</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之日后两年</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止</w:t>
            </w:r>
          </w:p>
        </w:tc>
        <w:tc>
          <w:tcPr>
            <w:tcW w:w="806"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58" w:hRule="exact"/>
        </w:trPr>
        <w:tc>
          <w:tcPr>
            <w:tcW w:w="160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荣信电力工程</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JLT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2,200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2,200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辽宁荣信电气传动 技术有限责任公司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9,800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3,900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辽宁荣信防爆电气 技术有限公司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1,750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65.03</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3"/>
        <w:gridCol w:w="936"/>
        <w:gridCol w:w="938"/>
        <w:gridCol w:w="1212"/>
        <w:gridCol w:w="1176"/>
        <w:gridCol w:w="1093"/>
        <w:gridCol w:w="1016"/>
        <w:gridCol w:w="806"/>
        <w:gridCol w:w="786"/>
      </w:tblGrid>
      <w:tr>
        <w:trPr>
          <w:trHeight w:val="321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辽宁荣信电机控制 技术有限公司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1,400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自主合同约 定的债务履 行期限届满 之日起，至 主合同中最 后到期的主 合同约定的 债务履行期 限届满之日 后两年止。</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0"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15,150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6,165.03</w:t>
            </w:r>
          </w:p>
        </w:tc>
      </w:tr>
      <w:tr>
        <w:trPr>
          <w:trHeight w:val="714"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0"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15,150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6,165.03</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0"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15,150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6,165.03</w:t>
            </w:r>
          </w:p>
        </w:tc>
      </w:tr>
      <w:tr>
        <w:trPr>
          <w:trHeight w:val="714"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0"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38,150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19,065.03</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、公司或持股</w:t>
      </w:r>
      <w:r>
        <w:rPr>
          <w:spacing w:val="-74"/>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9"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58" w:hRule="exact"/>
        </w:trPr>
        <w:tc>
          <w:tcPr>
            <w:tcW w:w="32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为避免将来可</w:t>
            </w: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能出现与本公</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司的同业竞争，</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本公司控股股</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东、实际控制人</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auto"/>
              <w:ind w:left="22" w:right="60"/>
              <w:jc w:val="left"/>
              <w:rPr>
                <w:rFonts w:ascii="宋体" w:hAnsi="宋体" w:cs="宋体" w:eastAsia="宋体" w:hint="default"/>
                <w:sz w:val="18"/>
                <w:szCs w:val="18"/>
              </w:rPr>
            </w:pPr>
            <w:r>
              <w:rPr>
                <w:rFonts w:ascii="宋体" w:hAnsi="宋体" w:cs="宋体" w:eastAsia="宋体" w:hint="default"/>
                <w:sz w:val="18"/>
                <w:szCs w:val="18"/>
              </w:rPr>
              <w:t>深圳市深港产 学研创业投资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左强</w:t>
            </w:r>
            <w:r>
              <w:rPr>
                <w:rFonts w:ascii="Times New Roman" w:hAnsi="Times New Roman" w:cs="Times New Roman" w:eastAsia="Times New Roman" w:hint="default"/>
                <w:sz w:val="18"/>
                <w:szCs w:val="18"/>
              </w:rPr>
              <w:t>; </w:t>
            </w:r>
            <w:r>
              <w:rPr>
                <w:rFonts w:ascii="宋体" w:hAnsi="宋体" w:cs="宋体" w:eastAsia="宋体" w:hint="default"/>
                <w:sz w:val="18"/>
                <w:szCs w:val="18"/>
              </w:rPr>
              <w:t>厉伟</w:t>
            </w:r>
            <w:r>
              <w:rPr>
                <w:rFonts w:ascii="Times New Roman" w:hAnsi="Times New Roman" w:cs="Times New Roman" w:eastAsia="Times New Roman" w:hint="default"/>
                <w:sz w:val="18"/>
                <w:szCs w:val="18"/>
              </w:rPr>
              <w:t>;</w:t>
            </w:r>
            <w:r>
              <w:rPr>
                <w:rFonts w:ascii="宋体" w:hAnsi="宋体" w:cs="宋体" w:eastAsia="宋体" w:hint="default"/>
                <w:sz w:val="18"/>
                <w:szCs w:val="18"/>
              </w:rPr>
              <w:t>崔京涛</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出具了《避免同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业竞争的承诺 </w:t>
            </w:r>
            <w:r>
              <w:rPr>
                <w:rFonts w:ascii="宋体" w:hAnsi="宋体" w:cs="宋体" w:eastAsia="宋体" w:hint="default"/>
                <w:spacing w:val="-13"/>
                <w:sz w:val="18"/>
                <w:szCs w:val="18"/>
              </w:rPr>
              <w:t>函》，承诺将不</w:t>
            </w:r>
            <w:r>
              <w:rPr>
                <w:rFonts w:ascii="宋体" w:hAnsi="宋体" w:cs="宋体" w:eastAsia="宋体" w:hint="default"/>
                <w:sz w:val="18"/>
                <w:szCs w:val="18"/>
              </w:rPr>
              <w:t> 会直接或间接 从事与本公司</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33"/>
              <w:jc w:val="left"/>
              <w:rPr>
                <w:rFonts w:ascii="宋体" w:hAnsi="宋体" w:cs="宋体" w:eastAsia="宋体" w:hint="default"/>
                <w:sz w:val="18"/>
                <w:szCs w:val="18"/>
              </w:rPr>
            </w:pPr>
            <w:r>
              <w:rPr>
                <w:rFonts w:ascii="宋体" w:hAnsi="宋体" w:cs="宋体" w:eastAsia="宋体" w:hint="default"/>
                <w:sz w:val="18"/>
                <w:szCs w:val="18"/>
              </w:rPr>
              <w:t>截止到本报告 </w:t>
            </w:r>
            <w:r>
              <w:rPr>
                <w:rFonts w:ascii="宋体" w:hAnsi="宋体" w:cs="宋体" w:eastAsia="宋体" w:hint="default"/>
                <w:spacing w:val="-9"/>
                <w:sz w:val="18"/>
                <w:szCs w:val="18"/>
              </w:rPr>
              <w:t>期末，避免同业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竞争的承诺仍 在严格履行中。</w:t>
            </w: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相同、相似的业</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务，也不在与本</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公司有相同、相</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似业务的其他</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2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企业任职。</w:t>
            </w: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73.14</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朱伟峰  许治平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r>
        <w:rPr/>
        <w:t>五、处罚及整改情况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公司定期报告公 告前三十日内减 持股票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窗口期违规买卖 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both"/>
              <w:rPr>
                <w:rFonts w:ascii="宋体" w:hAnsi="宋体" w:cs="宋体" w:eastAsia="宋体" w:hint="default"/>
                <w:sz w:val="18"/>
                <w:szCs w:val="18"/>
              </w:rPr>
            </w:pPr>
            <w:r>
              <w:rPr>
                <w:rFonts w:ascii="宋体" w:hAnsi="宋体" w:cs="宋体" w:eastAsia="宋体" w:hint="default"/>
                <w:sz w:val="18"/>
                <w:szCs w:val="18"/>
              </w:rPr>
              <w:t>关于公司高管在 窗口期减持股票 的公告（公告编 号：</w:t>
            </w:r>
            <w:r>
              <w:rPr>
                <w:rFonts w:ascii="Times New Roman" w:hAnsi="Times New Roman" w:cs="Times New Roman" w:eastAsia="Times New Roman" w:hint="default"/>
                <w:sz w:val="18"/>
                <w:szCs w:val="18"/>
              </w:rPr>
              <w:t>2014—020</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048" w:right="23" w:hanging="1026"/>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董事、监事、高级管理人员、持股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r>
              <w:rPr>
                <w:rFonts w:ascii="宋体" w:hAnsi="宋体" w:cs="宋体" w:eastAsia="宋体" w:hint="default"/>
                <w:spacing w:val="-88"/>
                <w:sz w:val="18"/>
                <w:szCs w:val="18"/>
              </w:rPr>
              <w:t> </w:t>
            </w:r>
            <w:r>
              <w:rPr>
                <w:rFonts w:ascii="宋体" w:hAnsi="宋体" w:cs="宋体" w:eastAsia="宋体" w:hint="default"/>
                <w:sz w:val="18"/>
                <w:szCs w:val="18"/>
              </w:rPr>
              <w:t>上的股东名称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涉嫌违规所得收益收回的时间</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涉嫌违规所得收益收回的金额（元）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原副总裁焦东亮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452,300.00</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六、其他重大事项的说明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207" w:firstLine="480"/>
        <w:jc w:val="left"/>
      </w:pPr>
      <w:r>
        <w:rPr>
          <w:spacing w:val="-2"/>
        </w:rPr>
        <w:t>荣信电力电子股份有限公司于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日发布了《关于筹划重大资产重组的停牌公告》，公司正</w:t>
      </w:r>
      <w:r>
        <w:rPr/>
        <w:t> 在筹划重大资产重组事项，公司股票于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日开市起停牌；</w:t>
      </w:r>
    </w:p>
    <w:p>
      <w:pPr>
        <w:pStyle w:val="BodyText"/>
        <w:spacing w:line="386" w:lineRule="auto" w:before="35"/>
        <w:ind w:right="205" w:firstLine="48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日，公司召开第五届董事会第十三次会议，审议通过了《关于公司筹划重大资产重组事项</w:t>
      </w:r>
      <w:r>
        <w:rPr/>
        <w:t> 的议案》，董事会同意公司筹划重大资产重组事项；</w:t>
      </w:r>
    </w:p>
    <w:p>
      <w:pPr>
        <w:pStyle w:val="BodyText"/>
        <w:spacing w:line="386" w:lineRule="auto" w:before="65"/>
        <w:ind w:right="102" w:firstLine="336"/>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日，公司召开第五届董事会第十四次会议，审议通过了本次发行股份及支付现金购买资产</w:t>
      </w:r>
      <w:r>
        <w:rPr/>
        <w:t> 并募集配套资金暨关联交易的相关议案；</w:t>
      </w:r>
    </w:p>
    <w:p>
      <w:pPr>
        <w:pStyle w:val="BodyText"/>
        <w:spacing w:line="386" w:lineRule="auto" w:before="65"/>
        <w:ind w:right="200" w:firstLine="336"/>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日，公司召开</w:t>
      </w:r>
      <w:r>
        <w:rPr>
          <w:rFonts w:ascii="Times New Roman" w:hAnsi="Times New Roman" w:cs="Times New Roman" w:eastAsia="Times New Roman" w:hint="default"/>
          <w:spacing w:val="-1"/>
        </w:rPr>
        <w:t>2015</w:t>
      </w:r>
      <w:r>
        <w:rPr>
          <w:spacing w:val="-1"/>
        </w:rPr>
        <w:t>年第一次临时股东大会，审议通过了本次发行股份及支付现金购买资产</w:t>
      </w:r>
      <w:r>
        <w:rPr/>
        <w:t> 并募集配套资金暨关联交易的相关议案；</w:t>
      </w:r>
    </w:p>
    <w:p>
      <w:pPr>
        <w:pStyle w:val="BodyText"/>
        <w:spacing w:line="408" w:lineRule="auto" w:before="65"/>
        <w:ind w:right="102" w:firstLine="336"/>
        <w:jc w:val="left"/>
      </w:pPr>
      <w:r>
        <w:rPr/>
        <w:t>上述相关公告公司已刊登在《中国证券报》、《证券时报》及巨潮资讯网上，截止目前公司与有关各</w:t>
      </w:r>
      <w:r>
        <w:rPr>
          <w:spacing w:val="1"/>
        </w:rPr>
        <w:t> </w:t>
      </w:r>
      <w:r>
        <w:rPr/>
        <w:t>方正在积极有序的推动重组各项工作。</w:t>
      </w:r>
    </w:p>
    <w:p>
      <w:pPr>
        <w:spacing w:line="240" w:lineRule="auto" w:before="10"/>
        <w:rPr>
          <w:rFonts w:ascii="宋体" w:hAnsi="宋体" w:cs="宋体" w:eastAsia="宋体" w:hint="default"/>
          <w:sz w:val="18"/>
          <w:szCs w:val="18"/>
        </w:rPr>
      </w:pPr>
    </w:p>
    <w:p>
      <w:pPr>
        <w:pStyle w:val="Heading2"/>
        <w:spacing w:line="240" w:lineRule="auto" w:before="0"/>
        <w:ind w:right="0"/>
        <w:jc w:val="both"/>
        <w:rPr>
          <w:b w:val="0"/>
          <w:bCs w:val="0"/>
        </w:rPr>
      </w:pPr>
      <w:r>
        <w:rPr/>
        <w:t>七、公司子公司重要事项</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86" w:lineRule="auto"/>
        <w:ind w:left="154" w:right="201" w:firstLine="420"/>
        <w:jc w:val="left"/>
      </w:pPr>
      <w:r>
        <w:rPr>
          <w:rFonts w:ascii="Times New Roman" w:hAnsi="Times New Roman" w:cs="Times New Roman" w:eastAsia="Times New Roman" w:hint="default"/>
        </w:rPr>
        <w:t>1</w:t>
      </w:r>
      <w:r>
        <w:rPr/>
        <w:t>、报告期，公司控股子公司辽宁荣信电气传动技术有限责任公司因部分员工离职并退出其持有的股 份而进行了减资，其注册资本由</w:t>
      </w:r>
      <w:r>
        <w:rPr>
          <w:spacing w:val="-55"/>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2"/>
        </w:rPr>
        <w:t> </w:t>
      </w:r>
      <w:r>
        <w:rPr/>
        <w:t>万元人民币减少至</w:t>
      </w:r>
      <w:r>
        <w:rPr>
          <w:spacing w:val="-55"/>
        </w:rPr>
        <w:t> </w:t>
      </w:r>
      <w:r>
        <w:rPr>
          <w:rFonts w:ascii="Times New Roman" w:hAnsi="Times New Roman" w:cs="Times New Roman" w:eastAsia="Times New Roman" w:hint="default"/>
        </w:rPr>
        <w:t>2325</w:t>
      </w:r>
      <w:r>
        <w:rPr>
          <w:rFonts w:ascii="Times New Roman" w:hAnsi="Times New Roman" w:cs="Times New Roman" w:eastAsia="Times New Roman" w:hint="default"/>
          <w:spacing w:val="-14"/>
        </w:rPr>
        <w:t> </w:t>
      </w:r>
      <w:r>
        <w:rPr/>
        <w:t>万元人民币，同时该公司对新加入员工进行</w:t>
      </w:r>
    </w:p>
    <w:p>
      <w:pPr>
        <w:pStyle w:val="BodyText"/>
        <w:spacing w:line="386" w:lineRule="auto" w:before="35"/>
        <w:ind w:right="208"/>
        <w:jc w:val="both"/>
      </w:pPr>
      <w:r>
        <w:rPr/>
        <w:t>股权激励，对其增资，注册资本由</w:t>
      </w:r>
      <w:r>
        <w:rPr>
          <w:spacing w:val="-55"/>
        </w:rPr>
        <w:t> </w:t>
      </w:r>
      <w:r>
        <w:rPr>
          <w:rFonts w:ascii="Times New Roman" w:hAnsi="Times New Roman" w:cs="Times New Roman" w:eastAsia="Times New Roman" w:hint="default"/>
        </w:rPr>
        <w:t>2325</w:t>
      </w:r>
      <w:r>
        <w:rPr>
          <w:rFonts w:ascii="Times New Roman" w:hAnsi="Times New Roman" w:cs="Times New Roman" w:eastAsia="Times New Roman" w:hint="default"/>
          <w:spacing w:val="-12"/>
        </w:rPr>
        <w:t> </w:t>
      </w:r>
      <w:r>
        <w:rPr/>
        <w:t>万元人民币增加至</w:t>
      </w:r>
      <w:r>
        <w:rPr>
          <w:spacing w:val="-55"/>
        </w:rPr>
        <w:t> </w:t>
      </w:r>
      <w:r>
        <w:rPr>
          <w:rFonts w:ascii="Times New Roman" w:hAnsi="Times New Roman" w:cs="Times New Roman" w:eastAsia="Times New Roman" w:hint="default"/>
        </w:rPr>
        <w:t>2800</w:t>
      </w:r>
      <w:r>
        <w:rPr>
          <w:rFonts w:ascii="Times New Roman" w:hAnsi="Times New Roman" w:cs="Times New Roman" w:eastAsia="Times New Roman" w:hint="default"/>
          <w:spacing w:val="-12"/>
        </w:rPr>
        <w:t> </w:t>
      </w:r>
      <w:r>
        <w:rPr/>
        <w:t>万元人民币。本次股权变动前公司持有辽 宁荣信电气传动技术有限责任公司</w:t>
      </w:r>
      <w:r>
        <w:rPr>
          <w:spacing w:val="-87"/>
        </w:rPr>
        <w:t> </w:t>
      </w:r>
      <w:r>
        <w:rPr>
          <w:rFonts w:ascii="Times New Roman" w:hAnsi="Times New Roman" w:cs="Times New Roman" w:eastAsia="Times New Roman" w:hint="default"/>
        </w:rPr>
        <w:t>90%</w:t>
      </w:r>
      <w:r>
        <w:rPr/>
        <w:t>股份，本次股权变动后公司持有辽宁荣信电气传动技术有限责任公 司</w:t>
      </w:r>
      <w:r>
        <w:rPr>
          <w:spacing w:val="-57"/>
        </w:rPr>
        <w:t> </w:t>
      </w:r>
      <w:r>
        <w:rPr>
          <w:rFonts w:ascii="Times New Roman" w:hAnsi="Times New Roman" w:cs="Times New Roman" w:eastAsia="Times New Roman" w:hint="default"/>
        </w:rPr>
        <w:t>80.36%</w:t>
      </w:r>
      <w:r>
        <w:rPr/>
        <w:t>股份，相关工商变更手续已办理完毕。</w:t>
      </w:r>
    </w:p>
    <w:p>
      <w:pPr>
        <w:pStyle w:val="BodyText"/>
        <w:spacing w:line="386" w:lineRule="auto" w:before="73"/>
        <w:ind w:right="201" w:firstLine="420"/>
        <w:jc w:val="left"/>
      </w:pPr>
      <w:r>
        <w:rPr>
          <w:rFonts w:ascii="Times New Roman" w:hAnsi="Times New Roman" w:cs="Times New Roman" w:eastAsia="Times New Roman" w:hint="default"/>
        </w:rPr>
        <w:t>2</w:t>
      </w:r>
      <w:r>
        <w:rPr/>
        <w:t>、报告期内，公司控股子公司辽宁荣信防爆电气技术有限公司因股权激励制度调整，员工暂时不再 </w:t>
      </w:r>
      <w:r>
        <w:rPr>
          <w:spacing w:val="-4"/>
        </w:rPr>
        <w:t>持股，该公司注册资本由</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万元人民币减少至</w:t>
      </w:r>
      <w:r>
        <w:rPr>
          <w:spacing w:val="-50"/>
        </w:rPr>
        <w:t> </w:t>
      </w:r>
      <w:r>
        <w:rPr>
          <w:rFonts w:ascii="Times New Roman" w:hAnsi="Times New Roman" w:cs="Times New Roman" w:eastAsia="Times New Roman" w:hint="default"/>
        </w:rPr>
        <w:t>1809</w:t>
      </w:r>
      <w:r>
        <w:rPr>
          <w:rFonts w:ascii="Times New Roman" w:hAnsi="Times New Roman" w:cs="Times New Roman" w:eastAsia="Times New Roman" w:hint="default"/>
          <w:spacing w:val="-8"/>
        </w:rPr>
        <w:t> </w:t>
      </w:r>
      <w:r>
        <w:rPr>
          <w:spacing w:val="-5"/>
        </w:rPr>
        <w:t>万元人民币，变更为一人有限公司，公司持有</w:t>
      </w:r>
      <w:r>
        <w:rPr>
          <w:spacing w:val="-50"/>
        </w:rPr>
        <w:t> </w:t>
      </w:r>
      <w:r>
        <w:rPr>
          <w:rFonts w:ascii="Times New Roman" w:hAnsi="Times New Roman" w:cs="Times New Roman" w:eastAsia="Times New Roman" w:hint="default"/>
        </w:rPr>
        <w:t>100% </w:t>
      </w:r>
      <w:r>
        <w:rPr/>
        <w:t>股权，相关工商变更手续已办理完毕。</w:t>
      </w:r>
    </w:p>
    <w:p>
      <w:pPr>
        <w:spacing w:line="240" w:lineRule="auto" w:before="2"/>
        <w:rPr>
          <w:rFonts w:ascii="宋体" w:hAnsi="宋体" w:cs="宋体" w:eastAsia="宋体" w:hint="default"/>
          <w:sz w:val="20"/>
          <w:szCs w:val="20"/>
        </w:rPr>
      </w:pPr>
    </w:p>
    <w:p>
      <w:pPr>
        <w:pStyle w:val="Heading2"/>
        <w:spacing w:line="240" w:lineRule="auto" w:before="0"/>
        <w:ind w:right="0"/>
        <w:jc w:val="both"/>
        <w:rPr>
          <w:b w:val="0"/>
          <w:bCs w:val="0"/>
        </w:rPr>
      </w:pPr>
      <w:r>
        <w:rPr/>
        <w:t>八、公司发行公司债券的情况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102" w:firstLine="336"/>
        <w:jc w:val="left"/>
      </w:pPr>
      <w:r>
        <w:rPr>
          <w:spacing w:val="-4"/>
        </w:rPr>
        <w:t>经中国证监会证监许可</w:t>
      </w:r>
      <w:r>
        <w:rPr>
          <w:rFonts w:ascii="Times New Roman" w:hAnsi="Times New Roman" w:cs="Times New Roman" w:eastAsia="Times New Roman" w:hint="default"/>
          <w:spacing w:val="-4"/>
        </w:rPr>
        <w:t>[2012]1736</w:t>
      </w:r>
      <w:r>
        <w:rPr>
          <w:spacing w:val="-4"/>
        </w:rPr>
        <w:t>号《关于核准荣信电力电子股份有限公司公开发行公司债券的批复》，</w:t>
      </w:r>
      <w:r>
        <w:rPr/>
        <w:t> 核准公司向社会公开发行面值不超过</w:t>
      </w:r>
      <w:r>
        <w:rPr>
          <w:rFonts w:ascii="Times New Roman" w:hAnsi="Times New Roman" w:cs="Times New Roman" w:eastAsia="Times New Roman" w:hint="default"/>
        </w:rPr>
        <w:t>80,000</w:t>
      </w:r>
      <w:r>
        <w:rPr/>
        <w:t>万元的公司债券。</w:t>
      </w:r>
      <w:r>
        <w:rPr>
          <w:rFonts w:ascii="Times New Roman" w:hAnsi="Times New Roman" w:cs="Times New Roman" w:eastAsia="Times New Roman" w:hint="default"/>
        </w:rPr>
        <w:t>2013</w:t>
      </w:r>
      <w:r>
        <w:rPr/>
        <w:t>年荣信电力电子股份有限公司公司债券</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right="151"/>
        <w:jc w:val="both"/>
      </w:pPr>
      <w:r>
        <w:rPr/>
        <w:t>（第一期）的发行工作已全部完成，证券代码：</w:t>
      </w:r>
      <w:r>
        <w:rPr>
          <w:rFonts w:ascii="Times New Roman" w:hAnsi="Times New Roman" w:cs="Times New Roman" w:eastAsia="Times New Roman" w:hint="default"/>
        </w:rPr>
        <w:t>112145</w:t>
      </w:r>
      <w:r>
        <w:rPr/>
        <w:t>，证券简称：</w:t>
      </w:r>
      <w:r>
        <w:rPr>
          <w:rFonts w:ascii="Times New Roman" w:hAnsi="Times New Roman" w:cs="Times New Roman" w:eastAsia="Times New Roman" w:hint="default"/>
        </w:rPr>
        <w:t>13</w:t>
      </w:r>
      <w:r>
        <w:rPr/>
        <w:t>荣信</w:t>
      </w:r>
      <w:r>
        <w:rPr>
          <w:rFonts w:ascii="Times New Roman" w:hAnsi="Times New Roman" w:cs="Times New Roman" w:eastAsia="Times New Roman" w:hint="default"/>
        </w:rPr>
        <w:t>01</w:t>
      </w:r>
      <w:r>
        <w:rPr/>
        <w:t>，发行总额</w:t>
      </w:r>
      <w:r>
        <w:rPr>
          <w:rFonts w:ascii="Times New Roman" w:hAnsi="Times New Roman" w:cs="Times New Roman" w:eastAsia="Times New Roman" w:hint="default"/>
        </w:rPr>
        <w:t>6</w:t>
      </w:r>
      <w:r>
        <w:rPr/>
        <w:t>亿元，票面利 率</w:t>
      </w:r>
      <w:r>
        <w:rPr>
          <w:rFonts w:ascii="Times New Roman" w:hAnsi="Times New Roman" w:cs="Times New Roman" w:eastAsia="Times New Roman" w:hint="default"/>
        </w:rPr>
        <w:t>5.90%</w:t>
      </w:r>
      <w:r>
        <w:rPr/>
        <w:t>，债券期限</w:t>
      </w:r>
      <w:r>
        <w:rPr>
          <w:rFonts w:ascii="Times New Roman" w:hAnsi="Times New Roman" w:cs="Times New Roman" w:eastAsia="Times New Roman" w:hint="default"/>
        </w:rPr>
        <w:t>5</w:t>
      </w:r>
      <w:r>
        <w:rPr/>
        <w:t>年，附第</w:t>
      </w:r>
      <w:r>
        <w:rPr>
          <w:rFonts w:ascii="Times New Roman" w:hAnsi="Times New Roman" w:cs="Times New Roman" w:eastAsia="Times New Roman" w:hint="default"/>
        </w:rPr>
        <w:t>3</w:t>
      </w:r>
      <w:r>
        <w:rPr/>
        <w:t>年发行人上调票面利率选择权和投资者回售选择权，本期债券的起息日为 </w:t>
      </w:r>
      <w:r>
        <w:rPr>
          <w:spacing w:val="-1"/>
        </w:rPr>
        <w:t>发行首日，即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日。经深交所</w:t>
      </w:r>
      <w:r>
        <w:rPr>
          <w:rFonts w:ascii="Times New Roman" w:hAnsi="Times New Roman" w:cs="Times New Roman" w:eastAsia="Times New Roman" w:hint="default"/>
          <w:spacing w:val="-1"/>
        </w:rPr>
        <w:t>“</w:t>
      </w:r>
      <w:r>
        <w:rPr>
          <w:spacing w:val="-1"/>
        </w:rPr>
        <w:t>深证上</w:t>
      </w:r>
      <w:r>
        <w:rPr>
          <w:rFonts w:ascii="Times New Roman" w:hAnsi="Times New Roman" w:cs="Times New Roman" w:eastAsia="Times New Roman" w:hint="default"/>
          <w:spacing w:val="-1"/>
        </w:rPr>
        <w:t>[2013]58</w:t>
      </w:r>
      <w:r>
        <w:rPr>
          <w:spacing w:val="-1"/>
        </w:rPr>
        <w:t>号文同意</w:t>
      </w:r>
      <w:r>
        <w:rPr>
          <w:rFonts w:ascii="Times New Roman" w:hAnsi="Times New Roman" w:cs="Times New Roman" w:eastAsia="Times New Roman" w:hint="default"/>
          <w:spacing w:val="-1"/>
        </w:rPr>
        <w:t>”</w:t>
      </w:r>
      <w:r>
        <w:rPr>
          <w:spacing w:val="-1"/>
        </w:rPr>
        <w:t>，本期债券于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8</w:t>
      </w:r>
      <w:r>
        <w:rPr>
          <w:spacing w:val="-1"/>
        </w:rPr>
        <w:t>日起在深交所</w:t>
      </w:r>
      <w:r>
        <w:rPr>
          <w:spacing w:val="-98"/>
        </w:rPr>
        <w:t> </w:t>
      </w:r>
      <w:r>
        <w:rPr>
          <w:spacing w:val="-98"/>
        </w:rPr>
      </w:r>
      <w:r>
        <w:rPr/>
        <w:t>集中竞价系统和综合协议平台双边挂牌交易。</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33"/>
        <w:gridCol w:w="842"/>
        <w:gridCol w:w="842"/>
        <w:gridCol w:w="841"/>
        <w:gridCol w:w="844"/>
        <w:gridCol w:w="842"/>
        <w:gridCol w:w="844"/>
        <w:gridCol w:w="842"/>
        <w:gridCol w:w="815"/>
        <w:gridCol w:w="820"/>
      </w:tblGrid>
      <w:tr>
        <w:trPr>
          <w:trHeight w:val="402"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51,084,95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w:t>
            </w:r>
          </w:p>
        </w:tc>
        <w:tc>
          <w:tcPr>
            <w:tcW w:w="8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-1,279,889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-1,279,889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49,805,06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51,084,95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w:t>
            </w:r>
          </w:p>
        </w:tc>
        <w:tc>
          <w:tcPr>
            <w:tcW w:w="8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-1,279,889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-1,279,889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49,805,06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51,084,95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w:t>
            </w:r>
          </w:p>
        </w:tc>
        <w:tc>
          <w:tcPr>
            <w:tcW w:w="8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-1,279,889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-1,279,889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49,805,06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452,915,0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89.86%</w:t>
            </w:r>
          </w:p>
        </w:tc>
        <w:tc>
          <w:tcPr>
            <w:tcW w:w="8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1,279,889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1,279,889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454,194,9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90.12%</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452,915,0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89.86%</w:t>
            </w:r>
          </w:p>
        </w:tc>
        <w:tc>
          <w:tcPr>
            <w:tcW w:w="8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1,279,889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1,279,889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454,194,9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90.12%</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0" w:right="149"/>
        <w:jc w:val="right"/>
      </w:pPr>
      <w:r>
        <w:rPr>
          <w:spacing w:val="-1"/>
        </w:rPr>
        <w:t>报告期，公司原高管龙浩先生持有高管锁定股份锁定期限届满，解除限售，相应减少有限售条件股份</w:t>
      </w:r>
    </w:p>
    <w:p>
      <w:pPr>
        <w:spacing w:line="487" w:lineRule="auto" w:before="37"/>
        <w:ind w:left="154" w:right="536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1,279,889</w:t>
      </w:r>
      <w:r>
        <w:rPr>
          <w:rFonts w:ascii="宋体" w:hAnsi="宋体" w:cs="宋体" w:eastAsia="宋体" w:hint="default"/>
          <w:sz w:val="21"/>
          <w:szCs w:val="21"/>
        </w:rPr>
        <w:t>股，增加无限售条件股份</w:t>
      </w:r>
      <w:r>
        <w:rPr>
          <w:rFonts w:ascii="Times New Roman" w:hAnsi="Times New Roman" w:cs="Times New Roman" w:eastAsia="Times New Roman" w:hint="default"/>
          <w:sz w:val="21"/>
          <w:szCs w:val="21"/>
        </w:rPr>
        <w:t>1,279,889</w:t>
      </w:r>
      <w:r>
        <w:rPr>
          <w:rFonts w:ascii="宋体" w:hAnsi="宋体" w:cs="宋体" w:eastAsia="宋体" w:hint="default"/>
          <w:sz w:val="21"/>
          <w:szCs w:val="21"/>
        </w:rPr>
        <w:t>股。 </w:t>
      </w:r>
      <w:r>
        <w:rPr>
          <w:rFonts w:ascii="宋体" w:hAnsi="宋体" w:cs="宋体" w:eastAsia="宋体" w:hint="default"/>
          <w:b/>
          <w:bCs/>
          <w:sz w:val="24"/>
          <w:szCs w:val="24"/>
        </w:rPr>
        <w:t>二、股东和实际控制人情况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62"/>
        <w:gridCol w:w="401"/>
        <w:gridCol w:w="798"/>
        <w:gridCol w:w="394"/>
        <w:gridCol w:w="403"/>
        <w:gridCol w:w="797"/>
        <w:gridCol w:w="395"/>
        <w:gridCol w:w="456"/>
        <w:gridCol w:w="1139"/>
        <w:gridCol w:w="229"/>
        <w:gridCol w:w="1367"/>
      </w:tblGrid>
      <w:tr>
        <w:trPr>
          <w:trHeight w:val="1338"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44,514</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18"/>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49,180</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7" w:type="dxa"/>
            <w:gridSpan w:val="2"/>
            <w:vMerge/>
            <w:tcBorders>
              <w:left w:val="single" w:sz="4" w:space="0" w:color="000000"/>
              <w:bottom w:val="single" w:sz="4" w:space="0" w:color="000000"/>
              <w:right w:val="single" w:sz="4" w:space="0" w:color="000000"/>
            </w:tcBorders>
            <w:shd w:val="clear" w:color="auto" w:fill="D3D3D3"/>
          </w:tcPr>
          <w:p>
            <w:pPr/>
          </w:p>
        </w:tc>
        <w:tc>
          <w:tcPr>
            <w:tcW w:w="863"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51"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60.212006pt;margin-top:429.480011pt;width:374.7pt;height:50.85pt;mso-position-horizontal-relative:page;mso-position-vertical-relative:page;z-index:-798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93.380005pt;margin-top:464.700012pt;width:341.55pt;height:15.6pt;mso-position-horizontal-relative:page;mso-position-vertical-relative:page;z-index:-798496" coordorigin="3868,9294" coordsize="6831,312">
            <v:shape style="position:absolute;left:3868;top:9294;width:6831;height:312" coordorigin="3868,9294" coordsize="6831,312" path="m3868,9606l10698,9606,10698,9294,3868,9294,3868,960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74,073,31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74,073,31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58,402,050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58,589,73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43,942,29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14,647,43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34,782,700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深圳市天图创业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中国农业银行－ 大成创新成长混 合型证券投资基 金</w:t>
            </w:r>
            <w:r>
              <w:rPr>
                <w:rFonts w:ascii="Times New Roman" w:hAnsi="Times New Roman" w:cs="Times New Roman" w:eastAsia="Times New Roman" w:hint="default"/>
                <w:sz w:val="18"/>
                <w:szCs w:val="18"/>
              </w:rPr>
              <w:t>(LOF)</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4,999,841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4,999,841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4,999,841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3,719,025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2,789,266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929,759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2,647,570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2,647,570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2,647,570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华宝信托有限责 任公司－丰益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号证券投资集合 资金信托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2,565,509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2,565,509</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2,565,509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2,559,877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2,559,877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1,554,750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-114,305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0" w:type="dxa"/>
            <w:gridSpan w:val="7"/>
            <w:tcBorders>
              <w:top w:val="single" w:sz="4" w:space="0" w:color="000000"/>
              <w:left w:val="single" w:sz="9" w:space="0" w:color="D3D3D3"/>
              <w:bottom w:val="single" w:sz="4" w:space="0" w:color="000000"/>
              <w:right w:val="single" w:sz="4" w:space="0" w:color="000000"/>
            </w:tcBorders>
          </w:tcPr>
          <w:p>
            <w:pPr>
              <w:pStyle w:val="TableParagraph"/>
              <w:spacing w:line="31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41.55pt;height:15.6pt;mso-position-horizontal-relative:char;mso-position-vertical-relative:line" coordorigin="0,0" coordsize="6831,312">
                  <v:group style="position:absolute;left:0;top:0;width:6831;height:312" coordorigin="0,0" coordsize="6831,312">
                    <v:shape style="position:absolute;left:0;top:0;width:6831;height:312" coordorigin="0,0" coordsize="6831,312" path="m0,312l6830,312,683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7"/>
            <w:vMerge w:val="restart"/>
            <w:tcBorders>
              <w:top w:val="single" w:sz="4" w:space="0" w:color="000000"/>
              <w:left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 </w:t>
            </w:r>
            <w:r>
              <w:rPr>
                <w:rFonts w:ascii="宋体" w:hAnsi="宋体" w:cs="宋体" w:eastAsia="宋体" w:hint="default"/>
                <w:spacing w:val="-2"/>
                <w:sz w:val="18"/>
                <w:szCs w:val="18"/>
              </w:rPr>
              <w:t>不存在关联关系，也不属于《上市公司股东持股变动信息披露管理办法》中规定的一致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行动人。</w:t>
            </w:r>
          </w:p>
        </w:tc>
      </w:tr>
      <w:tr>
        <w:trPr>
          <w:trHeight w:val="704"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7"/>
            <w:vMerge/>
            <w:tcBorders>
              <w:left w:val="single" w:sz="4" w:space="0" w:color="000000"/>
              <w:right w:val="single" w:sz="4" w:space="0" w:color="000000"/>
            </w:tcBorders>
          </w:tcPr>
          <w:p>
            <w:pPr/>
          </w:p>
        </w:tc>
      </w:tr>
      <w:tr>
        <w:trPr>
          <w:trHeight w:val="161"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7"/>
            <w:vMerge/>
            <w:tcBorders>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5"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72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29" w:type="dxa"/>
            <w:gridSpan w:val="2"/>
            <w:vMerge/>
            <w:tcBorders>
              <w:left w:val="single" w:sz="4" w:space="0" w:color="000000"/>
              <w:bottom w:val="nil" w:sz="6" w:space="0" w:color="auto"/>
              <w:right w:val="single" w:sz="4" w:space="0" w:color="000000"/>
            </w:tcBorders>
            <w:shd w:val="clear" w:color="auto" w:fill="D3D3D3"/>
          </w:tcPr>
          <w:p>
            <w:pPr/>
          </w:p>
        </w:tc>
        <w:tc>
          <w:tcPr>
            <w:tcW w:w="4105" w:type="dxa"/>
            <w:gridSpan w:val="5"/>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5"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 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74,073,316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74,073,316</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14,647,433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14,647,433</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深圳市天图创业投资有限公司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14,400,000</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中国农业银行－大成创新成长混 合型证券投资基金</w:t>
            </w:r>
            <w:r>
              <w:rPr>
                <w:rFonts w:ascii="Times New Roman" w:hAnsi="Times New Roman" w:cs="Times New Roman" w:eastAsia="Times New Roman" w:hint="default"/>
                <w:sz w:val="18"/>
                <w:szCs w:val="18"/>
              </w:rPr>
              <w:t>(LOF)</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4,999,841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4,999,841</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张世凯</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2,647,570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2,647,570</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华宝信托有限责任公司－丰益</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 证券投资集合资金信托</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2,565,509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2,565,509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before="44"/>
        <w:ind w:left="0" w:right="158" w:firstLine="0"/>
        <w:jc w:val="right"/>
        <w:rPr>
          <w:rFonts w:ascii="宋体" w:hAnsi="宋体" w:cs="宋体" w:eastAsia="宋体" w:hint="default"/>
          <w:sz w:val="18"/>
          <w:szCs w:val="18"/>
        </w:rPr>
      </w:pPr>
      <w:r>
        <w:rPr/>
        <w:pict>
          <v:shape style="position:absolute;margin-left:56.459999pt;margin-top:-143.707962pt;width:479.2pt;height:214.7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9"/>
                    <w:gridCol w:w="4105"/>
                    <w:gridCol w:w="1368"/>
                    <w:gridCol w:w="1367"/>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2,559,877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北京泽泰投资顾问有限公司</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姜琳</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1,420,000</w:t>
                        </w:r>
                      </w:p>
                    </w:tc>
                  </w:tr>
                  <w:tr>
                    <w:trPr>
                      <w:trHeight w:val="1650"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p>
                      <w:p>
                        <w:pPr>
                          <w:pStyle w:val="TableParagraph"/>
                          <w:spacing w:line="307" w:lineRule="auto" w:before="6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名无限售条件股东之间不存在关联关系，也不属于《上市公司股东持股变动信息披 露管理办法》中规定的一致行动人；未知以上无限售条件股东之间是否存在关联关系， 未知以上无限售条件股东与上述前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名股东之间是否存在关联关系，也未知以上无限 </w:t>
                        </w:r>
                        <w:r>
                          <w:rPr>
                            <w:rFonts w:ascii="宋体" w:hAnsi="宋体" w:cs="宋体" w:eastAsia="宋体" w:hint="default"/>
                            <w:spacing w:val="-4"/>
                            <w:sz w:val="18"/>
                            <w:szCs w:val="18"/>
                          </w:rPr>
                          <w:t>售条件股东是否属于《上市公司股东持股变动信息披露管理办法》中规定的一致行动人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7"/>
        <w:gridCol w:w="1460"/>
        <w:gridCol w:w="1592"/>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深圳市深港产学研创 业投资有限公司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27926773-X</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直接投资高新技术产业 和其他技术创新产业</w:t>
            </w:r>
          </w:p>
        </w:tc>
      </w:tr>
      <w:tr>
        <w:trPr>
          <w:trHeight w:val="402"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未来深圳市深港产学研创业投资有限公司将继续发展创投主业。</w:t>
            </w:r>
          </w:p>
        </w:tc>
      </w:tr>
      <w:tr>
        <w:trPr>
          <w:trHeight w:val="363" w:hRule="exact"/>
        </w:trPr>
        <w:tc>
          <w:tcPr>
            <w:tcW w:w="18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w:t>
            </w:r>
          </w:p>
        </w:tc>
        <w:tc>
          <w:tcPr>
            <w:tcW w:w="7734"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日，深圳市深港产学研创业投资有限公司的总资产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129,748.58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万元，净资产</w:t>
            </w:r>
          </w:p>
        </w:tc>
      </w:tr>
      <w:tr>
        <w:trPr>
          <w:trHeight w:val="351" w:hRule="exact"/>
        </w:trPr>
        <w:tc>
          <w:tcPr>
            <w:tcW w:w="18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现金流等</w:t>
            </w:r>
          </w:p>
        </w:tc>
        <w:tc>
          <w:tcPr>
            <w:tcW w:w="7734"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47,832.2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年度深港产学研实现营业收入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万元（未经审计</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57" w:hRule="exact"/>
        </w:trPr>
        <w:tc>
          <w:tcPr>
            <w:tcW w:w="18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w:t>
            </w:r>
          </w:p>
        </w:tc>
        <w:tc>
          <w:tcPr>
            <w:tcW w:w="7734" w:type="dxa"/>
            <w:gridSpan w:val="5"/>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8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股和参股的其他境内</w:t>
            </w:r>
          </w:p>
        </w:tc>
        <w:tc>
          <w:tcPr>
            <w:tcW w:w="7734"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日，深圳市深港产学研创业投资有限公司持有国民技术（</w:t>
            </w:r>
            <w:r>
              <w:rPr>
                <w:rFonts w:ascii="Times New Roman" w:hAnsi="Times New Roman" w:cs="Times New Roman" w:eastAsia="Times New Roman" w:hint="default"/>
                <w:sz w:val="18"/>
                <w:szCs w:val="18"/>
              </w:rPr>
              <w:t>300077</w:t>
            </w:r>
            <w:r>
              <w:rPr>
                <w:rFonts w:ascii="宋体" w:hAnsi="宋体" w:cs="宋体" w:eastAsia="宋体" w:hint="default"/>
                <w:sz w:val="18"/>
                <w:szCs w:val="18"/>
              </w:rPr>
              <w:t>）</w:t>
            </w:r>
            <w:r>
              <w:rPr>
                <w:rFonts w:ascii="Times New Roman" w:hAnsi="Times New Roman" w:cs="Times New Roman" w:eastAsia="Times New Roman" w:hint="default"/>
                <w:sz w:val="18"/>
                <w:szCs w:val="18"/>
              </w:rPr>
              <w:t>1,350.1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r>
      <w:tr>
        <w:trPr>
          <w:trHeight w:val="313" w:hRule="exact"/>
        </w:trPr>
        <w:tc>
          <w:tcPr>
            <w:tcW w:w="18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外上市公司的股权情</w:t>
            </w:r>
          </w:p>
        </w:tc>
        <w:tc>
          <w:tcPr>
            <w:tcW w:w="7734"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股；持有齐心文具（</w:t>
            </w:r>
            <w:r>
              <w:rPr>
                <w:rFonts w:ascii="Times New Roman" w:hAnsi="Times New Roman" w:cs="Times New Roman" w:eastAsia="Times New Roman" w:hint="default"/>
                <w:sz w:val="18"/>
                <w:szCs w:val="18"/>
              </w:rPr>
              <w:t>002301</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r>
      <w:tr>
        <w:trPr>
          <w:trHeight w:val="351" w:hRule="exact"/>
        </w:trPr>
        <w:tc>
          <w:tcPr>
            <w:tcW w:w="18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734" w:type="dxa"/>
            <w:gridSpan w:val="5"/>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58" w:firstLine="0"/>
        <w:jc w:val="right"/>
        <w:rPr>
          <w:rFonts w:ascii="宋体" w:hAnsi="宋体" w:cs="宋体" w:eastAsia="宋体" w:hint="default"/>
          <w:sz w:val="18"/>
          <w:szCs w:val="18"/>
        </w:rPr>
      </w:pPr>
      <w:r>
        <w:rPr/>
        <w:pict>
          <v:shape style="position:absolute;margin-left:56.459999pt;margin-top:-43.247978pt;width:479.1pt;height:127.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月起任公司董事，现任公司董事长、总裁，兼任荣信嘉时（北京 科技发展有限公司董事长，辽宁荣信光伏技术有限公司董事长，辽宁荣信电气 传动技术有限责任公司董事长，北京荣信中科电气设备有限公司董事长</w:t>
                        </w:r>
                        <w:r>
                          <w:rPr>
                            <w:rFonts w:ascii="宋体" w:hAnsi="宋体" w:cs="宋体" w:eastAsia="宋体" w:hint="default"/>
                            <w:sz w:val="24"/>
                            <w:szCs w:val="24"/>
                          </w:rPr>
                          <w:t>、</w:t>
                        </w:r>
                        <w:r>
                          <w:rPr>
                            <w:rFonts w:ascii="宋体" w:hAnsi="宋体" w:cs="宋体" w:eastAsia="宋体" w:hint="default"/>
                            <w:sz w:val="18"/>
                            <w:szCs w:val="18"/>
                          </w:rPr>
                          <w:t>荣西</w:t>
                        </w:r>
                        <w:r>
                          <w:rPr>
                            <w:rFonts w:ascii="宋体" w:hAnsi="宋体" w:cs="宋体" w:eastAsia="宋体" w:hint="default"/>
                            <w:spacing w:val="1"/>
                            <w:sz w:val="18"/>
                            <w:szCs w:val="18"/>
                          </w:rPr>
                          <w:t> </w:t>
                        </w:r>
                        <w:r>
                          <w:rPr>
                            <w:rFonts w:ascii="宋体" w:hAnsi="宋体" w:cs="宋体" w:eastAsia="宋体" w:hint="default"/>
                            <w:sz w:val="18"/>
                            <w:szCs w:val="18"/>
                          </w:rPr>
                          <w:t>电力传输技术有限公司执行董事。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154" w:right="0"/>
        <w:jc w:val="left"/>
      </w:pPr>
      <w:r>
        <w:rPr/>
        <w:t>控股股东报告期内变更</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154" w:right="0"/>
        <w:jc w:val="left"/>
      </w:pPr>
      <w:r>
        <w:rPr/>
        <w:t>公司报告期控股股东未发生变更。</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崔京涛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3417" w:type="dxa"/>
            <w:tcBorders>
              <w:top w:val="single" w:sz="4" w:space="0" w:color="000000"/>
              <w:left w:val="single" w:sz="4" w:space="0" w:color="000000"/>
              <w:bottom w:val="nil" w:sz="6" w:space="0" w:color="auto"/>
              <w:right w:val="single" w:sz="4" w:space="0" w:color="000000"/>
            </w:tcBorders>
            <w:shd w:val="clear" w:color="auto" w:fill="D3D3D3"/>
          </w:tcPr>
          <w:p>
            <w:pPr/>
          </w:p>
        </w:tc>
        <w:tc>
          <w:tcPr>
            <w:tcW w:w="615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4"/>
                <w:sz w:val="18"/>
                <w:szCs w:val="18"/>
              </w:rPr>
              <w:t>左强，男，中国国籍，</w:t>
            </w:r>
            <w:r>
              <w:rPr>
                <w:rFonts w:ascii="Times New Roman" w:hAnsi="Times New Roman" w:cs="Times New Roman" w:eastAsia="Times New Roman" w:hint="default"/>
                <w:spacing w:val="-4"/>
                <w:sz w:val="18"/>
                <w:szCs w:val="18"/>
              </w:rPr>
              <w:t>1970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年出生，清华大学机械工程系本科毕业，清华大学</w:t>
            </w:r>
          </w:p>
        </w:tc>
      </w:tr>
      <w:tr>
        <w:trPr>
          <w:trHeight w:val="311"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高级工商管理学硕</w:t>
            </w:r>
            <w:r>
              <w:rPr>
                <w:rFonts w:ascii="宋体" w:hAnsi="宋体" w:cs="宋体" w:eastAsia="宋体" w:hint="default"/>
                <w:spacing w:val="-11"/>
                <w:sz w:val="18"/>
                <w:szCs w:val="18"/>
              </w:rPr>
              <w:t>士</w:t>
            </w:r>
            <w:r>
              <w:rPr>
                <w:rFonts w:ascii="宋体" w:hAnsi="宋体" w:cs="宋体" w:eastAsia="宋体" w:hint="default"/>
                <w:sz w:val="18"/>
                <w:szCs w:val="18"/>
              </w:rPr>
              <w:t>（</w:t>
            </w:r>
            <w:r>
              <w:rPr>
                <w:rFonts w:ascii="Times New Roman" w:hAnsi="Times New Roman" w:cs="Times New Roman" w:eastAsia="Times New Roman" w:hint="default"/>
                <w:sz w:val="18"/>
                <w:szCs w:val="18"/>
              </w:rPr>
              <w:t>EMB</w:t>
            </w:r>
            <w:r>
              <w:rPr>
                <w:rFonts w:ascii="Times New Roman" w:hAnsi="Times New Roman" w:cs="Times New Roman" w:eastAsia="Times New Roman" w:hint="default"/>
                <w:spacing w:val="-1"/>
                <w:sz w:val="18"/>
                <w:szCs w:val="18"/>
              </w:rPr>
              <w:t>A</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高级工程师</w:t>
            </w:r>
            <w:r>
              <w:rPr>
                <w:rFonts w:ascii="宋体" w:hAnsi="宋体" w:cs="宋体" w:eastAsia="宋体" w:hint="default"/>
                <w:spacing w:val="-11"/>
                <w:sz w:val="18"/>
                <w:szCs w:val="18"/>
              </w:rPr>
              <w:t>，</w:t>
            </w:r>
            <w:r>
              <w:rPr>
                <w:rFonts w:ascii="宋体" w:hAnsi="宋体" w:cs="宋体" w:eastAsia="宋体" w:hint="default"/>
                <w:sz w:val="18"/>
                <w:szCs w:val="18"/>
              </w:rPr>
              <w:t>公司主要创始人</w:t>
            </w:r>
            <w:r>
              <w:rPr>
                <w:rFonts w:ascii="宋体" w:hAnsi="宋体" w:cs="宋体" w:eastAsia="宋体" w:hint="default"/>
                <w:spacing w:val="-11"/>
                <w:sz w:val="18"/>
                <w:szCs w:val="18"/>
              </w:rPr>
              <w:t>，</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至今，担任公司董事，现任公司董事长、总裁；厉伟，男，中国国籍，</w:t>
            </w:r>
            <w:r>
              <w:rPr>
                <w:rFonts w:ascii="Times New Roman" w:hAnsi="Times New Roman" w:cs="Times New Roman" w:eastAsia="Times New Roman" w:hint="default"/>
                <w:sz w:val="18"/>
                <w:szCs w:val="18"/>
              </w:rPr>
              <w:t>1963</w:t>
            </w:r>
          </w:p>
        </w:tc>
      </w:tr>
      <w:tr>
        <w:trPr>
          <w:trHeight w:val="307"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年出生，北京大学理学士，经济学硕士。现任深港产学研董事长、深圳市德方</w:t>
            </w:r>
          </w:p>
        </w:tc>
      </w:tr>
      <w:tr>
        <w:trPr>
          <w:trHeight w:val="318"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纳米科技有限公司董事、国民技术股份有限公司董事、深圳市天翔达鸽业有限</w:t>
            </w:r>
          </w:p>
        </w:tc>
      </w:tr>
      <w:tr>
        <w:trPr>
          <w:trHeight w:val="311"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公司董事、深圳大鹏光启科技有限公司董事；崔京涛，女，中国国籍，</w:t>
            </w:r>
            <w:r>
              <w:rPr>
                <w:rFonts w:ascii="Times New Roman" w:hAnsi="Times New Roman" w:cs="Times New Roman" w:eastAsia="Times New Roman" w:hint="default"/>
                <w:sz w:val="18"/>
                <w:szCs w:val="18"/>
              </w:rPr>
              <w:t>1967</w:t>
            </w:r>
          </w:p>
        </w:tc>
      </w:tr>
      <w:tr>
        <w:trPr>
          <w:trHeight w:val="307"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年出生，北京大学毕业，硕士，曾任职于北京海淀职工大学、中国工商银行深</w:t>
            </w:r>
          </w:p>
        </w:tc>
      </w:tr>
      <w:tr>
        <w:trPr>
          <w:trHeight w:val="313" w:hRule="exact"/>
        </w:trPr>
        <w:tc>
          <w:tcPr>
            <w:tcW w:w="3417"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圳信托投资公司，现任深圳延宁董事长、深港产学研监事、深圳和林海富信息</w:t>
            </w:r>
          </w:p>
        </w:tc>
      </w:tr>
      <w:tr>
        <w:trPr>
          <w:trHeight w:val="356" w:hRule="exact"/>
        </w:trPr>
        <w:tc>
          <w:tcPr>
            <w:tcW w:w="3417" w:type="dxa"/>
            <w:tcBorders>
              <w:top w:val="nil" w:sz="6" w:space="0" w:color="auto"/>
              <w:left w:val="single" w:sz="4" w:space="0" w:color="000000"/>
              <w:bottom w:val="single" w:sz="4" w:space="0" w:color="000000"/>
              <w:right w:val="single" w:sz="4" w:space="0" w:color="000000"/>
            </w:tcBorders>
            <w:shd w:val="clear" w:color="auto" w:fill="D3D3D3"/>
          </w:tcPr>
          <w:p>
            <w:pPr/>
          </w:p>
        </w:tc>
        <w:tc>
          <w:tcPr>
            <w:tcW w:w="6151"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咨询有限公司执行董事、总经理。</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26"/>
          <w:szCs w:val="26"/>
        </w:rPr>
      </w:pPr>
    </w:p>
    <w:p>
      <w:pPr>
        <w:pStyle w:val="BodyText"/>
        <w:spacing w:line="240" w:lineRule="auto" w:before="35"/>
        <w:ind w:left="154" w:right="0"/>
        <w:jc w:val="left"/>
      </w:pPr>
      <w:r>
        <w:rPr/>
        <w:t>实际控制人报告期内变更</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614" w:lineRule="auto" w:before="77"/>
        <w:ind w:left="154" w:right="5150"/>
        <w:jc w:val="left"/>
      </w:pPr>
      <w:r>
        <w:rPr/>
        <w:pict>
          <v:shape style="position:absolute;margin-left:138.660004pt;margin-top:66.393974pt;width:317.940002pt;height:169.619995pt;mso-position-horizontal-relative:page;mso-position-vertical-relative:paragraph;z-index:-798424" type="#_x0000_t75" stroked="false">
            <v:imagedata r:id="rId13" o:title=""/>
          </v:shape>
        </w:pict>
      </w:r>
      <w:r>
        <w:rPr/>
        <w:t>公司报告期实际控制人未发生变更</w:t>
      </w:r>
      <w:r>
        <w:rPr>
          <w:sz w:val="18"/>
          <w:szCs w:val="18"/>
        </w:rPr>
        <w:t>。</w:t>
      </w:r>
      <w:r>
        <w:rPr>
          <w:sz w:val="18"/>
          <w:szCs w:val="18"/>
        </w:rPr>
        <w:t> </w:t>
      </w:r>
      <w:r>
        <w:rPr/>
        <w:t>公司与实际控制人之间的产权及控制关系的方框图</w:t>
      </w:r>
    </w:p>
    <w:p>
      <w:pPr>
        <w:spacing w:after="0" w:line="614"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43.639999pt;margin-top:616.26001pt;width:43.05pt;height:35.2pt;mso-position-horizontal-relative:page;mso-position-vertical-relative:page;z-index:-798400" coordorigin="2873,12325" coordsize="861,704">
            <v:group style="position:absolute;left:2873;top:12325;width:861;height:704" coordorigin="2873,12325" coordsize="861,704">
              <v:shape style="position:absolute;left:2873;top:12325;width:861;height:704" coordorigin="2873,12325" coordsize="861,704" path="m2873,13028l3733,13028,3733,12325,2873,12325,2873,13028xe" filled="true" fillcolor="#ffffff" stroked="false">
                <v:path arrowok="t"/>
                <v:fill type="solid"/>
              </v:shape>
            </v:group>
            <v:group style="position:absolute;left:2896;top:12481;width:815;height:392" coordorigin="2896,12481" coordsize="815,392">
              <v:shape style="position:absolute;left:2896;top:12481;width:815;height:392" coordorigin="2896,12481" coordsize="815,392" path="m2896,12872l3710,12872,3710,12481,2896,12481,2896,12872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58,589,732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58,589,732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王泽全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3,719,025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3,719,025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1,518,750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2,073,000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2,073,000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财务总监 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66,406,757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65,900,507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both"/>
        <w:rPr>
          <w:b w:val="0"/>
          <w:bCs w:val="0"/>
        </w:rPr>
      </w:pPr>
      <w:r>
        <w:rPr/>
        <w:t>二、任职情况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left="537" w:right="357" w:hanging="384"/>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左强，男，中国国籍，</w:t>
      </w:r>
      <w:r>
        <w:rPr>
          <w:rFonts w:ascii="Times New Roman" w:hAnsi="Times New Roman" w:cs="Times New Roman" w:eastAsia="Times New Roman" w:hint="default"/>
        </w:rPr>
        <w:t>1970</w:t>
      </w:r>
      <w:r>
        <w:rPr/>
        <w:t>年出生，清华大学机械工程系本科毕业，清华大学高级工商管理学硕士</w:t>
      </w:r>
    </w:p>
    <w:p>
      <w:pPr>
        <w:pStyle w:val="BodyText"/>
        <w:spacing w:line="398" w:lineRule="auto" w:before="5"/>
        <w:ind w:right="150"/>
        <w:jc w:val="both"/>
      </w:pPr>
      <w:r>
        <w:rPr/>
        <w:t>（</w:t>
      </w:r>
      <w:r>
        <w:rPr>
          <w:rFonts w:ascii="Times New Roman" w:hAnsi="Times New Roman" w:cs="Times New Roman" w:eastAsia="Times New Roman" w:hint="default"/>
        </w:rPr>
        <w:t>EMBA</w:t>
      </w:r>
      <w:r>
        <w:rPr/>
        <w:t>），高级工程师，自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月起任公司董事，现任公司董事长、总裁，兼任荣信嘉时（北京） </w:t>
      </w:r>
      <w:r>
        <w:rPr>
          <w:spacing w:val="-1"/>
        </w:rPr>
        <w:t>科技发展有限公司董事长、辽宁荣信光伏技术有限公司董事长、辽宁荣信电气传动技术有限责任公司董事</w:t>
      </w:r>
      <w:r>
        <w:rPr>
          <w:spacing w:val="-81"/>
        </w:rPr>
        <w:t> </w:t>
      </w:r>
      <w:r>
        <w:rPr>
          <w:spacing w:val="-81"/>
        </w:rPr>
      </w:r>
      <w:r>
        <w:rPr/>
        <w:t>长、北京荣信中科电气设备有限公司董事长、荣西电力传输技术有限公司执行董事。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86" w:lineRule="auto"/>
        <w:ind w:right="150" w:firstLine="384"/>
        <w:jc w:val="both"/>
      </w:pPr>
      <w:r>
        <w:rPr/>
        <w:t>马成家，男，中国国籍，</w:t>
      </w:r>
      <w:r>
        <w:rPr>
          <w:rFonts w:ascii="Times New Roman" w:hAnsi="Times New Roman" w:cs="Times New Roman" w:eastAsia="Times New Roman" w:hint="default"/>
        </w:rPr>
        <w:t>1954</w:t>
      </w:r>
      <w:r>
        <w:rPr/>
        <w:t>年出生，吉林大学本科毕业。</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11</w:t>
      </w:r>
      <w:r>
        <w:rPr/>
        <w:t>月任鞍山市半导体器 </w:t>
      </w:r>
      <w:r>
        <w:rPr>
          <w:spacing w:val="-2"/>
        </w:rPr>
        <w:t>件总厂技改办副主任，</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月任鞍山市半导体器件总厂厂长，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月任鞍山</w:t>
      </w:r>
      <w:r>
        <w:rPr>
          <w:spacing w:val="-58"/>
        </w:rPr>
        <w:t> </w:t>
      </w:r>
      <w:r>
        <w:rPr>
          <w:spacing w:val="-58"/>
        </w:rPr>
      </w:r>
      <w:r>
        <w:rPr/>
        <w:t>市电子电力公司副总经理、总经理、党委副书记，自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月起担任本公司董事。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right="150" w:firstLine="384"/>
        <w:jc w:val="both"/>
      </w:pPr>
      <w:r>
        <w:rPr>
          <w:spacing w:val="-1"/>
        </w:rPr>
        <w:t>戴东，男，中国国籍，</w:t>
      </w:r>
      <w:r>
        <w:rPr>
          <w:rFonts w:ascii="Times New Roman" w:hAnsi="Times New Roman" w:cs="Times New Roman" w:eastAsia="Times New Roman" w:hint="default"/>
          <w:spacing w:val="-1"/>
        </w:rPr>
        <w:t>1968</w:t>
      </w:r>
      <w:r>
        <w:rPr>
          <w:spacing w:val="-1"/>
        </w:rPr>
        <w:t>年出生，东北财经大学</w:t>
      </w:r>
      <w:r>
        <w:rPr>
          <w:rFonts w:ascii="Times New Roman" w:hAnsi="Times New Roman" w:cs="Times New Roman" w:eastAsia="Times New Roman" w:hint="default"/>
          <w:spacing w:val="-1"/>
        </w:rPr>
        <w:t>EMBA</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月任北京信力筑正新能</w:t>
      </w:r>
      <w:r>
        <w:rPr/>
        <w:t> 源技术股份有限公司财务总监，自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月起任本公司董事、财务总监。</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403" w:lineRule="auto"/>
        <w:ind w:right="0" w:firstLine="420"/>
        <w:jc w:val="left"/>
      </w:pPr>
      <w:r>
        <w:rPr/>
        <w:t>张云鹏，男，中国国籍，</w:t>
      </w:r>
      <w:r>
        <w:rPr>
          <w:rFonts w:ascii="Times New Roman" w:hAnsi="Times New Roman" w:cs="Times New Roman" w:eastAsia="Times New Roman" w:hint="default"/>
        </w:rPr>
        <w:t>1979</w:t>
      </w:r>
      <w:r>
        <w:rPr/>
        <w:t>年出生，西安交通大学本科毕业，中科院广州能源所硕士。</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 </w:t>
      </w:r>
      <w:r>
        <w:rPr>
          <w:spacing w:val="-1"/>
        </w:rPr>
        <w:t>至今任深圳市松禾资本管理有限公司业务合伙人，兼任辽宁科隆精细化工股份有限公司董事、深圳市今日</w:t>
      </w:r>
      <w:r>
        <w:rPr>
          <w:spacing w:val="-81"/>
        </w:rPr>
        <w:t> </w:t>
      </w:r>
      <w:r>
        <w:rPr>
          <w:spacing w:val="-81"/>
        </w:rPr>
      </w:r>
      <w:r>
        <w:rPr>
          <w:spacing w:val="-1"/>
        </w:rPr>
        <w:t>标准精密机器有限公司董事、深圳市德方纳米科技有限公司监事、深圳市常兴技术股份有限公司董事、东</w:t>
      </w:r>
      <w:r>
        <w:rPr>
          <w:spacing w:val="-83"/>
        </w:rPr>
        <w:t> </w:t>
      </w:r>
      <w:r>
        <w:rPr>
          <w:spacing w:val="-83"/>
        </w:rPr>
      </w:r>
      <w:r>
        <w:rPr>
          <w:spacing w:val="-1"/>
        </w:rPr>
        <w:t>莞市华轩幕墙材料有限公司董事、南通海星电子有限公司董事、广州迪森热能技术股份有限公司监事，自</w:t>
      </w:r>
      <w:r>
        <w:rPr>
          <w:spacing w:val="-83"/>
        </w:rPr>
        <w:t> </w:t>
      </w:r>
      <w:r>
        <w:rPr>
          <w:spacing w:val="-83"/>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月开始任本公司董事。</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5"/>
          <w:szCs w:val="15"/>
        </w:rPr>
      </w:pPr>
    </w:p>
    <w:p>
      <w:pPr>
        <w:pStyle w:val="BodyText"/>
        <w:spacing w:line="398" w:lineRule="auto"/>
        <w:ind w:right="151" w:firstLine="420"/>
        <w:jc w:val="both"/>
      </w:pPr>
      <w:r>
        <w:rPr>
          <w:spacing w:val="-1"/>
        </w:rPr>
        <w:t>刘泉军，男，中国国籍，</w:t>
      </w:r>
      <w:r>
        <w:rPr>
          <w:rFonts w:ascii="Times New Roman" w:hAnsi="Times New Roman" w:cs="Times New Roman" w:eastAsia="Times New Roman" w:hint="default"/>
          <w:spacing w:val="-1"/>
        </w:rPr>
        <w:t>1972</w:t>
      </w:r>
      <w:r>
        <w:rPr>
          <w:spacing w:val="-1"/>
        </w:rPr>
        <w:t>年出生，博士，中国注册会计师，中国会计学会会员。现任中国青年政</w:t>
      </w:r>
      <w:r>
        <w:rPr/>
        <w:t> </w:t>
      </w:r>
      <w:r>
        <w:rPr>
          <w:spacing w:val="-1"/>
        </w:rPr>
        <w:t>治学院副教授，长期从事于财务、会计的理论教学、研究与实务工作，具有扎实的理论功底与丰富的工作</w:t>
      </w:r>
      <w:r>
        <w:rPr>
          <w:spacing w:val="-86"/>
        </w:rPr>
        <w:t> </w:t>
      </w:r>
      <w:r>
        <w:rPr>
          <w:spacing w:val="-86"/>
        </w:rPr>
      </w:r>
      <w:r>
        <w:rPr/>
        <w:t>经验，兼任北京恒华伟业科技股份有限公司独立董事，自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98" w:lineRule="auto"/>
        <w:ind w:right="150" w:firstLine="384"/>
        <w:jc w:val="both"/>
      </w:pPr>
      <w:r>
        <w:rPr/>
        <w:t>肖星，女，中国国籍，</w:t>
      </w:r>
      <w:r>
        <w:rPr>
          <w:rFonts w:ascii="Times New Roman" w:hAnsi="Times New Roman" w:cs="Times New Roman" w:eastAsia="Times New Roman" w:hint="default"/>
        </w:rPr>
        <w:t>1971</w:t>
      </w:r>
      <w:r>
        <w:rPr/>
        <w:t>年出生，博士，中国注册会计师。现任清华大学经济管理学院副教授、会 </w:t>
      </w:r>
      <w:r>
        <w:rPr>
          <w:spacing w:val="-1"/>
        </w:rPr>
        <w:t>计系副主任、中国会计学会财务成本分会理事，兼任紫光华宇股份有限公司独立董事、湖南多喜爱股份有</w:t>
      </w:r>
      <w:r>
        <w:rPr>
          <w:spacing w:val="-83"/>
        </w:rPr>
        <w:t> </w:t>
      </w:r>
      <w:r>
        <w:rPr>
          <w:spacing w:val="-83"/>
        </w:rPr>
      </w:r>
      <w:r>
        <w:rPr/>
        <w:t>限公司独立董事、安徽六国化工股份有限公司独立董事，自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月起任本公司独立董事。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240" w:lineRule="auto"/>
        <w:ind w:left="657" w:right="0"/>
        <w:jc w:val="left"/>
      </w:pPr>
      <w:r>
        <w:rPr/>
        <w:t>朱武祥，男，中国国籍，清华大学博士，</w:t>
      </w:r>
      <w:r>
        <w:rPr>
          <w:rFonts w:ascii="Times New Roman" w:hAnsi="Times New Roman" w:cs="Times New Roman" w:eastAsia="Times New Roman" w:hint="default"/>
        </w:rPr>
        <w:t>1965</w:t>
      </w:r>
      <w:r>
        <w:rPr/>
        <w:t>年出生，现任清华大学经济管理学院金融系公司金融</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154" w:right="102"/>
        <w:jc w:val="left"/>
      </w:pPr>
      <w:r>
        <w:rPr>
          <w:spacing w:val="-1"/>
        </w:rPr>
        <w:t>学教授，博士生导师。兼任歌尔声学股份有限公司、北京建设（控股）有限公司、华夏基金管理有限公司</w:t>
      </w:r>
      <w:r>
        <w:rPr>
          <w:spacing w:val="-83"/>
        </w:rPr>
        <w:t> </w:t>
      </w:r>
      <w:r>
        <w:rPr>
          <w:spacing w:val="-83"/>
        </w:rPr>
      </w:r>
      <w:r>
        <w:rPr/>
        <w:t>独立董事，紫光股份有限公司监事会主席，自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月开始任本公司独立董事。</w:t>
      </w:r>
    </w:p>
    <w:p>
      <w:pPr>
        <w:spacing w:line="240" w:lineRule="auto" w:before="0"/>
        <w:rPr>
          <w:rFonts w:ascii="宋体" w:hAnsi="宋体" w:cs="宋体" w:eastAsia="宋体" w:hint="default"/>
          <w:sz w:val="22"/>
          <w:szCs w:val="22"/>
        </w:rPr>
      </w:pPr>
    </w:p>
    <w:p>
      <w:pPr>
        <w:pStyle w:val="BodyText"/>
        <w:spacing w:line="386" w:lineRule="auto" w:before="194"/>
        <w:ind w:right="103" w:firstLine="420"/>
        <w:jc w:val="left"/>
      </w:pPr>
      <w:r>
        <w:rPr>
          <w:spacing w:val="-4"/>
        </w:rPr>
        <w:t>王泽全，男，中国国籍，</w:t>
      </w:r>
      <w:r>
        <w:rPr>
          <w:rFonts w:ascii="Times New Roman" w:hAnsi="Times New Roman" w:cs="Times New Roman" w:eastAsia="Times New Roman" w:hint="default"/>
          <w:spacing w:val="-4"/>
        </w:rPr>
        <w:t>1946</w:t>
      </w:r>
      <w:r>
        <w:rPr>
          <w:spacing w:val="-4"/>
        </w:rPr>
        <w:t>年出生，大专学历，</w:t>
      </w:r>
      <w:r>
        <w:rPr>
          <w:rFonts w:ascii="Times New Roman" w:hAnsi="Times New Roman" w:cs="Times New Roman" w:eastAsia="Times New Roman" w:hint="default"/>
          <w:spacing w:val="-4"/>
        </w:rPr>
        <w:t>1971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6</w:t>
      </w:r>
      <w:r>
        <w:rPr>
          <w:spacing w:val="-4"/>
        </w:rPr>
        <w:t>月先后任职于营口市通风机械厂、</w:t>
      </w:r>
      <w:r>
        <w:rPr/>
        <w:t> 鞍山市半导体器件总厂和鞍山市电子电力公司，曾任鞍山市电子电力公司副总经济师、总经济师，自</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11</w:t>
      </w:r>
      <w:r>
        <w:rPr/>
        <w:t>月起任本公司监事。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right="237" w:firstLine="384"/>
        <w:jc w:val="both"/>
      </w:pPr>
      <w:r>
        <w:rPr/>
        <w:t>赵柏品，男，中国国籍，</w:t>
      </w:r>
      <w:r>
        <w:rPr>
          <w:rFonts w:ascii="Times New Roman" w:hAnsi="Times New Roman" w:cs="Times New Roman" w:eastAsia="Times New Roman" w:hint="default"/>
        </w:rPr>
        <w:t>1956</w:t>
      </w:r>
      <w:r>
        <w:rPr/>
        <w:t>年出生，本科学历，工程师。自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月起在本公司从事</w:t>
      </w:r>
      <w:r>
        <w:rPr>
          <w:rFonts w:ascii="Times New Roman" w:hAnsi="Times New Roman" w:cs="Times New Roman" w:eastAsia="Times New Roman" w:hint="default"/>
        </w:rPr>
        <w:t>SVC</w:t>
      </w:r>
      <w:r>
        <w:rPr/>
        <w:t>控制系 统设计、调试工作，现任本公司</w:t>
      </w:r>
      <w:r>
        <w:rPr>
          <w:rFonts w:ascii="Times New Roman" w:hAnsi="Times New Roman" w:cs="Times New Roman" w:eastAsia="Times New Roman" w:hint="default"/>
        </w:rPr>
        <w:t>SVC</w:t>
      </w:r>
      <w:r>
        <w:rPr/>
        <w:t>事业部部长，兼任北京荣科恒阳整流技术有限公司董事，自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 </w:t>
      </w:r>
      <w:r>
        <w:rPr/>
        <w:t>月起任本公司职工监事。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67"/>
        <w:ind w:right="102" w:firstLine="510"/>
        <w:jc w:val="left"/>
      </w:pPr>
      <w:r>
        <w:rPr/>
        <w:t>杨贵发，男，中国国籍，</w:t>
      </w:r>
      <w:r>
        <w:rPr>
          <w:rFonts w:ascii="Times New Roman" w:hAnsi="Times New Roman" w:cs="Times New Roman" w:eastAsia="Times New Roman" w:hint="default"/>
        </w:rPr>
        <w:t>1971</w:t>
      </w:r>
      <w:r>
        <w:rPr/>
        <w:t>年出生，本科学历，工程师。自</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月起在本公司从事变频技术 </w:t>
      </w:r>
      <w:r>
        <w:rPr>
          <w:spacing w:val="-1"/>
        </w:rPr>
        <w:t>开发及管理工作，现任辽宁荣信防爆电气技术有限公司董事、副总经理，兼任上海地澳自动化科技有限公</w:t>
      </w:r>
      <w:r>
        <w:rPr>
          <w:spacing w:val="-83"/>
        </w:rPr>
        <w:t> </w:t>
      </w:r>
      <w:r>
        <w:rPr>
          <w:spacing w:val="-83"/>
        </w:rPr>
      </w:r>
      <w:r>
        <w:rPr/>
        <w:t>司监事，自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月起任本公司职工监事。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398" w:lineRule="auto"/>
        <w:ind w:right="208" w:firstLine="510"/>
        <w:jc w:val="both"/>
      </w:pPr>
      <w:r>
        <w:rPr>
          <w:spacing w:val="-2"/>
        </w:rPr>
        <w:t>赵殿波，男，中国国籍，</w:t>
      </w:r>
      <w:r>
        <w:rPr>
          <w:rFonts w:ascii="Times New Roman" w:hAnsi="Times New Roman" w:cs="Times New Roman" w:eastAsia="Times New Roman" w:hint="default"/>
          <w:spacing w:val="-2"/>
        </w:rPr>
        <w:t>1969</w:t>
      </w:r>
      <w:r>
        <w:rPr>
          <w:spacing w:val="-2"/>
        </w:rPr>
        <w:t>年出生，毕业于清华大学机械工程系，复旦大学</w:t>
      </w:r>
      <w:r>
        <w:rPr>
          <w:rFonts w:ascii="Times New Roman" w:hAnsi="Times New Roman" w:cs="Times New Roman" w:eastAsia="Times New Roman" w:hint="default"/>
          <w:spacing w:val="-2"/>
        </w:rPr>
        <w:t>EMBA</w:t>
      </w:r>
      <w:r>
        <w:rPr>
          <w:spacing w:val="-2"/>
        </w:rPr>
        <w:t>，</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11</w:t>
      </w:r>
      <w:r>
        <w:rPr>
          <w:spacing w:val="-2"/>
        </w:rPr>
        <w:t>月至</w:t>
      </w:r>
      <w:r>
        <w:rPr/>
        <w:t> </w:t>
      </w:r>
      <w:r>
        <w:rPr>
          <w:spacing w:val="-1"/>
        </w:rPr>
        <w:t>今，历任本公司研发工程师、部长、总经理助理，现任本公司董事会秘书、副总裁，兼任辽宁荣信防爆电</w:t>
      </w:r>
      <w:r>
        <w:rPr>
          <w:spacing w:val="-83"/>
        </w:rPr>
        <w:t> </w:t>
      </w:r>
      <w:r>
        <w:rPr>
          <w:spacing w:val="-83"/>
        </w:rPr>
      </w:r>
      <w:r>
        <w:rPr/>
        <w:t>气技术有限公司董事长，上海地澳自动化科技有限公司董事。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55"/>
        <w:ind w:left="156" w:right="102" w:firstLine="507"/>
        <w:jc w:val="left"/>
      </w:pPr>
      <w:r>
        <w:rPr/>
        <w:t>王岱岩，男，中国国籍，</w:t>
      </w:r>
      <w:r>
        <w:rPr>
          <w:rFonts w:ascii="Times New Roman" w:hAnsi="Times New Roman" w:cs="Times New Roman" w:eastAsia="Times New Roman" w:hint="default"/>
        </w:rPr>
        <w:t>1963</w:t>
      </w:r>
      <w:r>
        <w:rPr/>
        <w:t>年出生，毕业于东北大学自动化控制系，本科学历。</w:t>
      </w:r>
      <w:r>
        <w:rPr>
          <w:rFonts w:ascii="Times New Roman" w:hAnsi="Times New Roman" w:cs="Times New Roman" w:eastAsia="Times New Roman" w:hint="default"/>
        </w:rPr>
        <w:t>2001</w:t>
      </w:r>
      <w:r>
        <w:rPr/>
        <w:t>年至今任本 公司市场部销售总监，兼任辽宁荣信电机控制技术有限公司董事长。</w:t>
      </w:r>
    </w:p>
    <w:p>
      <w:pPr>
        <w:spacing w:line="240" w:lineRule="auto" w:before="12"/>
        <w:rPr>
          <w:rFonts w:ascii="宋体" w:hAnsi="宋体" w:cs="宋体" w:eastAsia="宋体" w:hint="default"/>
          <w:sz w:val="28"/>
          <w:szCs w:val="28"/>
        </w:rPr>
      </w:pPr>
    </w:p>
    <w:p>
      <w:pPr>
        <w:pStyle w:val="BodyText"/>
        <w:spacing w:line="240" w:lineRule="auto"/>
        <w:ind w:left="154" w:right="102"/>
        <w:jc w:val="left"/>
      </w:pPr>
      <w:r>
        <w:rPr/>
        <w:t>在其他单位任职情况</w:t>
      </w:r>
    </w:p>
    <w:p>
      <w:pPr>
        <w:spacing w:before="102"/>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荣信嘉时（北京）科技发展有限公司董 事长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辽宁荣信光伏技术有限公司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辽宁荣信电气传动技术有限责任公司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北京荣信中科电气设备有限公司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荣西电力传输技术有限公司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深圳市松禾资本管理有限公司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辽宁科隆精细化工股份有限公司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深圳市今日标准精密机器有限公司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深圳市德方纳米科技有限公司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深圳市常兴技术股份有限公司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东莞市华轩幕墙材料有限公司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南通海星电子有限公司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广州迪森热能技术股份有限公司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中国青年政治学院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北京恒华伟业科技股份有限公司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北京紫光华宇软件股份有限公司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湖南多喜爱股份有限公司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安徽六国化工股份有限公司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歌尔声学股份有限公司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北京建设（控股）有限公司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辽宁荣信电机控制技术有限公司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8"/>
        <w:rPr>
          <w:rFonts w:ascii="宋体" w:hAnsi="宋体" w:cs="宋体" w:eastAsia="宋体" w:hint="default"/>
          <w:b/>
          <w:bCs/>
          <w:sz w:val="30"/>
          <w:szCs w:val="30"/>
        </w:rPr>
      </w:pPr>
    </w:p>
    <w:p>
      <w:pPr>
        <w:pStyle w:val="BodyText"/>
        <w:spacing w:line="432" w:lineRule="auto"/>
        <w:ind w:left="634" w:right="680" w:hanging="481"/>
        <w:jc w:val="left"/>
      </w:pPr>
      <w:r>
        <w:rPr/>
        <w:t>董事、监事、高级管理人员报酬的决策程序、确定依据 </w:t>
      </w:r>
      <w:r>
        <w:rPr>
          <w:rFonts w:ascii="Times New Roman" w:hAnsi="Times New Roman" w:cs="Times New Roman" w:eastAsia="Times New Roman" w:hint="default"/>
        </w:rPr>
        <w:t>1</w:t>
      </w:r>
      <w:r>
        <w:rPr/>
        <w:t>、董事、监事、高级管理人员报酬决策程序 公司独立董事津贴由董事会薪酬与考核委员会制定并经</w:t>
      </w:r>
      <w:r>
        <w:rPr>
          <w:rFonts w:ascii="Times New Roman" w:hAnsi="Times New Roman" w:cs="Times New Roman" w:eastAsia="Times New Roman" w:hint="default"/>
        </w:rPr>
        <w:t>2013</w:t>
      </w:r>
      <w:r>
        <w:rPr/>
        <w:t>年第二次临时股东大会审议批准。 公司高级管理人员薪酬由董事会薪酬与考核委员会制定与考核并经董事会批准。 </w:t>
      </w:r>
      <w:r>
        <w:rPr>
          <w:rFonts w:ascii="Times New Roman" w:hAnsi="Times New Roman" w:cs="Times New Roman" w:eastAsia="Times New Roman" w:hint="default"/>
        </w:rPr>
        <w:t>2</w:t>
      </w:r>
      <w:r>
        <w:rPr/>
        <w:t>、董事、监事、高级管理人员报酬确定依据</w:t>
      </w:r>
    </w:p>
    <w:p>
      <w:pPr>
        <w:pStyle w:val="BodyText"/>
        <w:spacing w:line="410" w:lineRule="auto" w:before="29"/>
        <w:ind w:right="139" w:firstLine="480"/>
        <w:jc w:val="left"/>
      </w:pPr>
      <w:r>
        <w:rPr>
          <w:spacing w:val="-2"/>
        </w:rPr>
        <w:t>公司董事会薪酬与考核委员会依据公司主要经济指标和管理指标的完成情况对董事、监事和高级管理</w:t>
      </w:r>
      <w:r>
        <w:rPr/>
        <w:t> 人员的业绩、工作能力、履职情况进行考评，制定薪酬方案。</w:t>
      </w:r>
    </w:p>
    <w:p>
      <w:pPr>
        <w:pStyle w:val="BodyText"/>
        <w:spacing w:line="420" w:lineRule="auto" w:before="83"/>
        <w:ind w:left="617" w:right="2377"/>
        <w:jc w:val="left"/>
      </w:pPr>
      <w:r>
        <w:rPr>
          <w:rFonts w:ascii="Times New Roman" w:hAnsi="Times New Roman" w:cs="Times New Roman" w:eastAsia="Times New Roman" w:hint="default"/>
        </w:rPr>
        <w:t>3</w:t>
      </w:r>
      <w:r>
        <w:rPr/>
        <w:t>、董事、监事、高级管理人员从公司报酬的实际支付情况 报告期，公司按股东大会和董事会批准的薪酬支付给董事、高级管理人员。</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tabs>
          <w:tab w:pos="8762" w:val="left" w:leader="none"/>
        </w:tabs>
        <w:spacing w:line="240" w:lineRule="auto"/>
        <w:ind w:right="0"/>
        <w:jc w:val="left"/>
        <w:rPr>
          <w:sz w:val="18"/>
          <w:szCs w:val="18"/>
        </w:rPr>
      </w:pPr>
      <w:r>
        <w:rPr/>
        <w:t>公司报告期内董事、监事和高级管理人员报酬情况</w:t>
        <w:tab/>
      </w:r>
      <w:r>
        <w:rPr>
          <w:sz w:val="18"/>
          <w:szCs w:val="18"/>
        </w:rPr>
        <w:t>单位：万元</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王泽全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179.89</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焦东亮先生因个人原因主动辞去公司副总裁职务。</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4" w:right="158" w:firstLine="479"/>
        <w:jc w:val="both"/>
      </w:pP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日，公司共有在职员工</w:t>
      </w:r>
      <w:r>
        <w:rPr>
          <w:rFonts w:ascii="Times New Roman" w:hAnsi="Times New Roman" w:cs="Times New Roman" w:eastAsia="Times New Roman" w:hint="default"/>
          <w:spacing w:val="-1"/>
        </w:rPr>
        <w:t>1494</w:t>
      </w:r>
      <w:r>
        <w:rPr>
          <w:spacing w:val="-1"/>
        </w:rPr>
        <w:t>人。其中：生产人员</w:t>
      </w:r>
      <w:r>
        <w:rPr>
          <w:rFonts w:ascii="Times New Roman" w:hAnsi="Times New Roman" w:cs="Times New Roman" w:eastAsia="Times New Roman" w:hint="default"/>
          <w:spacing w:val="-1"/>
        </w:rPr>
        <w:t>379</w:t>
      </w:r>
      <w:r>
        <w:rPr>
          <w:spacing w:val="-1"/>
        </w:rPr>
        <w:t>人，占员工总数的</w:t>
      </w:r>
      <w:r>
        <w:rPr>
          <w:rFonts w:ascii="Times New Roman" w:hAnsi="Times New Roman" w:cs="Times New Roman" w:eastAsia="Times New Roman" w:hint="default"/>
          <w:spacing w:val="-1"/>
        </w:rPr>
        <w:t>25.37%</w:t>
      </w:r>
      <w:r>
        <w:rPr>
          <w:spacing w:val="-1"/>
        </w:rPr>
        <w:t>；销</w:t>
      </w:r>
      <w:r>
        <w:rPr/>
        <w:t> 售人员</w:t>
      </w:r>
      <w:r>
        <w:rPr>
          <w:rFonts w:ascii="Times New Roman" w:hAnsi="Times New Roman" w:cs="Times New Roman" w:eastAsia="Times New Roman" w:hint="default"/>
        </w:rPr>
        <w:t>216</w:t>
      </w:r>
      <w:r>
        <w:rPr/>
        <w:t>人，占员工总数的</w:t>
      </w:r>
      <w:r>
        <w:rPr>
          <w:rFonts w:ascii="Times New Roman" w:hAnsi="Times New Roman" w:cs="Times New Roman" w:eastAsia="Times New Roman" w:hint="default"/>
        </w:rPr>
        <w:t>14.46%</w:t>
      </w:r>
      <w:r>
        <w:rPr/>
        <w:t>；技术人员</w:t>
      </w:r>
      <w:r>
        <w:rPr>
          <w:rFonts w:ascii="Times New Roman" w:hAnsi="Times New Roman" w:cs="Times New Roman" w:eastAsia="Times New Roman" w:hint="default"/>
        </w:rPr>
        <w:t>638</w:t>
      </w:r>
      <w:r>
        <w:rPr/>
        <w:t>人，占员工总数的</w:t>
      </w:r>
      <w:r>
        <w:rPr>
          <w:rFonts w:ascii="Times New Roman" w:hAnsi="Times New Roman" w:cs="Times New Roman" w:eastAsia="Times New Roman" w:hint="default"/>
        </w:rPr>
        <w:t>42.70%</w:t>
      </w:r>
      <w:r>
        <w:rPr/>
        <w:t>；管理人员</w:t>
      </w:r>
      <w:r>
        <w:rPr>
          <w:rFonts w:ascii="Times New Roman" w:hAnsi="Times New Roman" w:cs="Times New Roman" w:eastAsia="Times New Roman" w:hint="default"/>
        </w:rPr>
        <w:t>261</w:t>
      </w:r>
      <w:r>
        <w:rPr/>
        <w:t>人，占员工总 数的</w:t>
      </w:r>
      <w:r>
        <w:rPr>
          <w:rFonts w:ascii="Times New Roman" w:hAnsi="Times New Roman" w:cs="Times New Roman" w:eastAsia="Times New Roman" w:hint="default"/>
        </w:rPr>
        <w:t>17.47%</w:t>
      </w:r>
      <w:r>
        <w:rPr/>
        <w:t>。</w:t>
      </w:r>
    </w:p>
    <w:p>
      <w:pPr>
        <w:pStyle w:val="BodyText"/>
        <w:spacing w:line="386" w:lineRule="auto" w:before="35"/>
        <w:ind w:left="154" w:right="159" w:firstLine="419"/>
        <w:jc w:val="both"/>
      </w:pPr>
      <w:r>
        <w:rPr>
          <w:spacing w:val="-2"/>
        </w:rPr>
        <w:t>员工受教育程度如下：本科以上</w:t>
      </w:r>
      <w:r>
        <w:rPr>
          <w:rFonts w:ascii="Times New Roman" w:hAnsi="Times New Roman" w:cs="Times New Roman" w:eastAsia="Times New Roman" w:hint="default"/>
          <w:spacing w:val="-2"/>
        </w:rPr>
        <w:t>837</w:t>
      </w:r>
      <w:r>
        <w:rPr>
          <w:spacing w:val="-2"/>
        </w:rPr>
        <w:t>人，占员工总数的</w:t>
      </w:r>
      <w:r>
        <w:rPr>
          <w:rFonts w:ascii="Times New Roman" w:hAnsi="Times New Roman" w:cs="Times New Roman" w:eastAsia="Times New Roman" w:hint="default"/>
          <w:spacing w:val="-2"/>
        </w:rPr>
        <w:t>56.02%</w:t>
      </w:r>
      <w:r>
        <w:rPr>
          <w:spacing w:val="-2"/>
        </w:rPr>
        <w:t>；大专</w:t>
      </w:r>
      <w:r>
        <w:rPr>
          <w:rFonts w:ascii="Times New Roman" w:hAnsi="Times New Roman" w:cs="Times New Roman" w:eastAsia="Times New Roman" w:hint="default"/>
          <w:spacing w:val="-2"/>
        </w:rPr>
        <w:t>362</w:t>
      </w:r>
      <w:r>
        <w:rPr>
          <w:spacing w:val="-2"/>
        </w:rPr>
        <w:t>人，占员工总数的</w:t>
      </w:r>
      <w:r>
        <w:rPr>
          <w:rFonts w:ascii="Times New Roman" w:hAnsi="Times New Roman" w:cs="Times New Roman" w:eastAsia="Times New Roman" w:hint="default"/>
          <w:spacing w:val="-2"/>
        </w:rPr>
        <w:t>24.23%</w:t>
      </w:r>
      <w:r>
        <w:rPr>
          <w:spacing w:val="-2"/>
        </w:rPr>
        <w:t>；大</w:t>
      </w:r>
      <w:r>
        <w:rPr>
          <w:spacing w:val="-10"/>
        </w:rPr>
        <w:t> </w:t>
      </w:r>
      <w:r>
        <w:rPr/>
        <w:t>专以下</w:t>
      </w:r>
      <w:r>
        <w:rPr>
          <w:rFonts w:ascii="Times New Roman" w:hAnsi="Times New Roman" w:cs="Times New Roman" w:eastAsia="Times New Roman" w:hint="default"/>
        </w:rPr>
        <w:t>295</w:t>
      </w:r>
      <w:r>
        <w:rPr/>
        <w:t>人，占员工总数的</w:t>
      </w:r>
      <w:r>
        <w:rPr>
          <w:rFonts w:ascii="Times New Roman" w:hAnsi="Times New Roman" w:cs="Times New Roman" w:eastAsia="Times New Roman" w:hint="default"/>
        </w:rPr>
        <w:t>19.75%</w:t>
      </w:r>
      <w:r>
        <w:rPr/>
        <w:t>。</w:t>
      </w:r>
    </w:p>
    <w:p>
      <w:pPr>
        <w:spacing w:after="0" w:line="386" w:lineRule="auto"/>
        <w:jc w:val="both"/>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3946"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8"/>
          <w:sz w:val="20"/>
          <w:szCs w:val="20"/>
        </w:rPr>
        <w:pict>
          <v:group style="width:463.8pt;height:197.35pt;mso-position-horizontal-relative:char;mso-position-vertical-relative:line" coordorigin="0,0" coordsize="9276,3947">
            <v:shape style="position:absolute;left:0;top:23;width:4339;height:3924" type="#_x0000_t75" stroked="false">
              <v:imagedata r:id="rId14" o:title=""/>
            </v:shape>
            <v:shape style="position:absolute;left:4339;top:0;width:4937;height:3947" type="#_x0000_t75" stroked="false">
              <v:imagedata r:id="rId15" o:title=""/>
            </v:shape>
          </v:group>
        </w:pict>
      </w:r>
      <w:r>
        <w:rPr>
          <w:rFonts w:ascii="Times New Roman" w:hAnsi="Times New Roman" w:cs="Times New Roman" w:eastAsia="Times New Roman" w:hint="default"/>
          <w:position w:val="-78"/>
          <w:sz w:val="20"/>
          <w:szCs w:val="20"/>
        </w:rPr>
      </w:r>
    </w:p>
    <w:p>
      <w:pPr>
        <w:spacing w:after="0" w:line="3946" w:lineRule="exact"/>
        <w:rPr>
          <w:rFonts w:ascii="Times New Roman" w:hAnsi="Times New Roman" w:cs="Times New Roman" w:eastAsia="Times New Roman" w:hint="default"/>
          <w:sz w:val="20"/>
          <w:szCs w:val="20"/>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751" w:right="392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322"/>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329" w:firstLine="336"/>
        <w:jc w:val="both"/>
      </w:pPr>
      <w:r>
        <w:rPr/>
        <w:t>公司严格按照《公司法》、《证券法》、《上市公司治理准则》及中国证监会、深圳证券交易所发布 </w:t>
      </w:r>
      <w:r>
        <w:rPr>
          <w:spacing w:val="-1"/>
        </w:rPr>
        <w:t>的有关上市公司治理的规范性文件要求，不断完善公司法人治理结构，规范公司运作。比照中国证监会发</w:t>
      </w:r>
      <w:r>
        <w:rPr>
          <w:spacing w:val="-83"/>
        </w:rPr>
        <w:t> </w:t>
      </w:r>
      <w:r>
        <w:rPr>
          <w:spacing w:val="-83"/>
        </w:rPr>
      </w:r>
      <w:r>
        <w:rPr>
          <w:spacing w:val="-1"/>
        </w:rPr>
        <w:t>布的有关上市公司治理的规范性文件，公司法人治理结构的实际情况基本符合《上市公司治理准则》的要</w:t>
      </w:r>
      <w:r>
        <w:rPr>
          <w:spacing w:val="-83"/>
        </w:rPr>
        <w:t> </w:t>
      </w:r>
      <w:r>
        <w:rPr>
          <w:spacing w:val="-83"/>
        </w:rPr>
      </w:r>
      <w:r>
        <w:rPr/>
        <w:t>求。</w:t>
      </w:r>
    </w:p>
    <w:p>
      <w:pPr>
        <w:pStyle w:val="BodyText"/>
        <w:spacing w:line="240" w:lineRule="auto" w:before="46"/>
        <w:ind w:left="490" w:right="322"/>
        <w:jc w:val="left"/>
      </w:pPr>
      <w:r>
        <w:rPr/>
        <w:t>报告期内，公司制定和修订的公司制度如下：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648"/>
        <w:gridCol w:w="3942"/>
        <w:gridCol w:w="1998"/>
        <w:gridCol w:w="3266"/>
      </w:tblGrid>
      <w:tr>
        <w:trPr>
          <w:trHeight w:val="50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51"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50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1</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r>
      <w:tr>
        <w:trPr>
          <w:trHeight w:val="504"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《内幕信息知情人登记管理及报备制度》</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98" w:lineRule="auto" w:before="35"/>
        <w:ind w:right="331" w:firstLine="480"/>
        <w:jc w:val="both"/>
      </w:pPr>
      <w:r>
        <w:rPr>
          <w:rFonts w:ascii="Times New Roman" w:hAnsi="Times New Roman" w:cs="Times New Roman" w:eastAsia="Times New Roman" w:hint="default"/>
        </w:rPr>
        <w:t>1</w:t>
      </w:r>
      <w:r>
        <w:rPr/>
        <w:t>、关于股东与股东大会：公司能够按照《上市公司股东大会规范意见》、《公司章程》、《公司股 </w:t>
      </w:r>
      <w:r>
        <w:rPr>
          <w:spacing w:val="-1"/>
        </w:rPr>
        <w:t>东大会议事规则》等规定，规范地召集、召开股东大会；公司能够确保所有股东享有平等地位，确保所有</w:t>
      </w:r>
      <w:r>
        <w:rPr>
          <w:spacing w:val="-83"/>
        </w:rPr>
        <w:t> </w:t>
      </w:r>
      <w:r>
        <w:rPr>
          <w:spacing w:val="-83"/>
        </w:rPr>
      </w:r>
      <w:r>
        <w:rPr/>
        <w:t>股东能够充分行使自己的权利，不存在损害中小股东利益的情形。</w:t>
      </w:r>
    </w:p>
    <w:p>
      <w:pPr>
        <w:pStyle w:val="BodyText"/>
        <w:spacing w:line="393" w:lineRule="auto" w:before="54"/>
        <w:ind w:left="154" w:right="322" w:firstLine="479"/>
        <w:jc w:val="left"/>
      </w:pPr>
      <w:r>
        <w:rPr>
          <w:rFonts w:ascii="Times New Roman" w:hAnsi="Times New Roman" w:cs="Times New Roman" w:eastAsia="Times New Roman" w:hint="default"/>
          <w:spacing w:val="-2"/>
        </w:rPr>
        <w:t>2</w:t>
      </w:r>
      <w:r>
        <w:rPr>
          <w:spacing w:val="-2"/>
        </w:rPr>
        <w:t>、关于公司与控股股东：公司与控股股东在人员、资产、财务、机构和业务方面实行</w:t>
      </w:r>
      <w:r>
        <w:rPr>
          <w:rFonts w:ascii="Times New Roman" w:hAnsi="Times New Roman" w:cs="Times New Roman" w:eastAsia="Times New Roman" w:hint="default"/>
          <w:spacing w:val="-2"/>
        </w:rPr>
        <w:t>“</w:t>
      </w:r>
      <w:r>
        <w:rPr>
          <w:spacing w:val="-2"/>
        </w:rPr>
        <w:t>三分开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两</w:t>
      </w:r>
      <w:r>
        <w:rPr/>
        <w:t> 独立</w:t>
      </w:r>
      <w:r>
        <w:rPr>
          <w:rFonts w:ascii="Times New Roman" w:hAnsi="Times New Roman" w:cs="Times New Roman" w:eastAsia="Times New Roman" w:hint="default"/>
        </w:rPr>
        <w:t>”</w:t>
      </w:r>
      <w:r>
        <w:rPr/>
        <w:t>，公司拥有独立完整的业务和自主经营能力；公司董事会、监事会及其他内部机构独立运作。公司 </w:t>
      </w:r>
      <w:r>
        <w:rPr>
          <w:spacing w:val="-1"/>
        </w:rPr>
        <w:t>控股股东没有超越股东大会直接或间接干预公司的决策及依法开展的生产经营活动，不存在控股股东占用</w:t>
      </w:r>
      <w:r>
        <w:rPr>
          <w:spacing w:val="-81"/>
        </w:rPr>
        <w:t> </w:t>
      </w:r>
      <w:r>
        <w:rPr>
          <w:spacing w:val="-81"/>
        </w:rPr>
      </w:r>
      <w:r>
        <w:rPr/>
        <w:t>公司资金的现象，公司也无为控股股东及其子公司提供担保的情形。</w:t>
      </w:r>
    </w:p>
    <w:p>
      <w:pPr>
        <w:pStyle w:val="BodyText"/>
        <w:spacing w:line="400" w:lineRule="auto" w:before="59"/>
        <w:ind w:left="154" w:right="329" w:firstLine="480"/>
        <w:jc w:val="both"/>
      </w:pPr>
      <w:r>
        <w:rPr>
          <w:rFonts w:ascii="Times New Roman" w:hAnsi="Times New Roman" w:cs="Times New Roman" w:eastAsia="Times New Roman" w:hint="default"/>
        </w:rPr>
        <w:t>3</w:t>
      </w:r>
      <w:r>
        <w:rPr/>
        <w:t>、关于董事和董事会：公司严格按照《公司章程》规定的董事选聘程序选举董事；公司董事会的人 </w:t>
      </w:r>
      <w:r>
        <w:rPr>
          <w:spacing w:val="-1"/>
        </w:rPr>
        <w:t>数及人员构成符合有关法律、法规的要求。各位董事能够遵照《深圳证券交易所中小企业板块上市公司规</w:t>
      </w:r>
      <w:r>
        <w:rPr>
          <w:spacing w:val="-83"/>
        </w:rPr>
        <w:t> </w:t>
      </w:r>
      <w:r>
        <w:rPr>
          <w:spacing w:val="-83"/>
        </w:rPr>
      </w:r>
      <w:r>
        <w:rPr>
          <w:spacing w:val="-1"/>
        </w:rPr>
        <w:t>范运作指引》、《公司董事会议事规则》、《公司独立董事工作制度》的要求忠实、诚信、勤勉地履行职</w:t>
      </w:r>
      <w:r>
        <w:rPr>
          <w:spacing w:val="-84"/>
        </w:rPr>
        <w:t> </w:t>
      </w:r>
      <w:r>
        <w:rPr>
          <w:spacing w:val="-84"/>
        </w:rPr>
      </w:r>
      <w:r>
        <w:rPr/>
        <w:t>责。</w:t>
      </w:r>
    </w:p>
    <w:p>
      <w:pPr>
        <w:pStyle w:val="BodyText"/>
        <w:spacing w:line="398" w:lineRule="auto" w:before="52"/>
        <w:ind w:left="154" w:right="221" w:firstLine="480"/>
        <w:jc w:val="left"/>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名，监事会的人数和构成符合有关法 </w:t>
      </w:r>
      <w:r>
        <w:rPr>
          <w:spacing w:val="-3"/>
        </w:rPr>
        <w:t>律、法规的要求；公司监事能够本着对股东负责的态度，严格按照《公司章程》、《公司监事会议事规则》</w:t>
      </w:r>
      <w:r>
        <w:rPr>
          <w:spacing w:val="-95"/>
        </w:rPr>
        <w:t> </w:t>
      </w:r>
      <w:r>
        <w:rPr>
          <w:spacing w:val="-95"/>
        </w:rPr>
      </w:r>
      <w:r>
        <w:rPr/>
        <w:t>等制度要求，认真履行自己的职责。</w:t>
      </w:r>
    </w:p>
    <w:p>
      <w:pPr>
        <w:pStyle w:val="BodyText"/>
        <w:spacing w:line="386" w:lineRule="auto" w:before="54"/>
        <w:ind w:left="154" w:right="322" w:firstLine="480"/>
        <w:jc w:val="left"/>
      </w:pPr>
      <w:r>
        <w:rPr>
          <w:rFonts w:ascii="Times New Roman" w:hAnsi="Times New Roman" w:cs="Times New Roman" w:eastAsia="Times New Roman" w:hint="default"/>
        </w:rPr>
        <w:t>5</w:t>
      </w:r>
      <w:r>
        <w:rPr/>
        <w:t>、关于绩效评价与激励约束机制：公司已建立有效的绩效评价激励体系，董事、监事以及高级管理 </w:t>
      </w:r>
      <w:r>
        <w:rPr>
          <w:spacing w:val="-1"/>
        </w:rPr>
        <w:t>人员的薪酬与公司绩效和个人业绩挂钩；高级管理人员的聘任公开、透明，严格遵循《公司章程》及有关</w:t>
      </w:r>
    </w:p>
    <w:p>
      <w:pPr>
        <w:spacing w:after="0" w:line="386" w:lineRule="auto"/>
        <w:jc w:val="left"/>
        <w:sectPr>
          <w:pgSz w:w="11910" w:h="16840"/>
          <w:pgMar w:header="747" w:footer="982" w:top="1060" w:bottom="1180" w:left="980" w:right="80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left"/>
      </w:pPr>
      <w:r>
        <w:rPr/>
        <w:t>法律、法规的规定。</w:t>
      </w:r>
    </w:p>
    <w:p>
      <w:pPr>
        <w:spacing w:line="240" w:lineRule="auto" w:before="10"/>
        <w:rPr>
          <w:rFonts w:ascii="宋体" w:hAnsi="宋体" w:cs="宋体" w:eastAsia="宋体" w:hint="default"/>
          <w:sz w:val="14"/>
          <w:szCs w:val="14"/>
        </w:rPr>
      </w:pPr>
    </w:p>
    <w:p>
      <w:pPr>
        <w:pStyle w:val="BodyText"/>
        <w:spacing w:line="393" w:lineRule="auto"/>
        <w:ind w:right="0" w:firstLine="756"/>
        <w:jc w:val="left"/>
      </w:pPr>
      <w:r>
        <w:rPr>
          <w:rFonts w:ascii="Times New Roman" w:hAnsi="Times New Roman" w:cs="Times New Roman" w:eastAsia="Times New Roman" w:hint="default"/>
          <w:spacing w:val="-2"/>
        </w:rPr>
        <w:t>6</w:t>
      </w:r>
      <w:r>
        <w:rPr>
          <w:spacing w:val="-2"/>
        </w:rPr>
        <w:t>、关于信息披露与透明度：公司指定董事会秘书负责公司信息披露工作，协调公司与投资者的关</w:t>
      </w:r>
      <w:r>
        <w:rPr/>
        <w:t> 系</w:t>
      </w:r>
      <w:r>
        <w:rPr>
          <w:rFonts w:ascii="Times New Roman" w:hAnsi="Times New Roman" w:cs="Times New Roman" w:eastAsia="Times New Roman" w:hint="default"/>
        </w:rPr>
        <w:t>,</w:t>
      </w:r>
      <w:r>
        <w:rPr/>
        <w:t>接待股东来访</w:t>
      </w:r>
      <w:r>
        <w:rPr>
          <w:rFonts w:ascii="Times New Roman" w:hAnsi="Times New Roman" w:cs="Times New Roman" w:eastAsia="Times New Roman" w:hint="default"/>
        </w:rPr>
        <w:t>,</w:t>
      </w:r>
      <w:r>
        <w:rPr/>
        <w:t>回答投资者咨询；公司能够严格按照有关法律、法规和《公司章程》、《公司信息披露 </w:t>
      </w:r>
      <w:r>
        <w:rPr>
          <w:spacing w:val="-1"/>
        </w:rPr>
        <w:t>管理制度》、《公司投资者关系管理办法》的要求，真实、准确、及时、完整地披露有关信息，确保公司</w:t>
      </w:r>
      <w:r>
        <w:rPr>
          <w:spacing w:val="-85"/>
        </w:rPr>
        <w:t> </w:t>
      </w:r>
      <w:r>
        <w:rPr>
          <w:spacing w:val="-85"/>
        </w:rPr>
      </w:r>
      <w:r>
        <w:rPr/>
        <w:t>所有股东能够以平等的机会获得信息。</w:t>
      </w:r>
    </w:p>
    <w:p>
      <w:pPr>
        <w:pStyle w:val="BodyText"/>
        <w:spacing w:line="398" w:lineRule="auto" w:before="59"/>
        <w:ind w:right="150" w:firstLine="480"/>
        <w:jc w:val="both"/>
      </w:pPr>
      <w:r>
        <w:rPr>
          <w:rFonts w:ascii="Times New Roman" w:hAnsi="Times New Roman" w:cs="Times New Roman" w:eastAsia="Times New Roman" w:hint="default"/>
        </w:rPr>
        <w:t>7</w:t>
      </w:r>
      <w:r>
        <w:rPr/>
        <w:t>、关于相关利益者：公司具有较强的社会责任感，能够充分尊重和维护相关利益者的合法权益，实 </w:t>
      </w:r>
      <w:r>
        <w:rPr>
          <w:spacing w:val="-1"/>
        </w:rPr>
        <w:t>现公司、股东、员工、社会等各方利益的协调平衡，能够与利益相关者积极合作，共同推动公司持续、健</w:t>
      </w:r>
      <w:r>
        <w:rPr>
          <w:spacing w:val="-83"/>
        </w:rPr>
        <w:t> </w:t>
      </w:r>
      <w:r>
        <w:rPr>
          <w:spacing w:val="-83"/>
        </w:rPr>
      </w:r>
      <w:r>
        <w:rPr/>
        <w:t>康的发展。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pPr>
      <w:r>
        <w:rPr/>
        <w:t>公司治理与《公司法》和中国证监会相关规定的要求是否存在差异</w:t>
      </w:r>
    </w:p>
    <w:p>
      <w:pPr>
        <w:spacing w:line="240" w:lineRule="auto" w:before="12"/>
        <w:rPr>
          <w:rFonts w:ascii="宋体" w:hAnsi="宋体" w:cs="宋体" w:eastAsia="宋体" w:hint="default"/>
          <w:sz w:val="17"/>
          <w:szCs w:val="17"/>
        </w:rPr>
      </w:pPr>
    </w:p>
    <w:p>
      <w:pPr>
        <w:pStyle w:val="BodyText"/>
        <w:spacing w:line="420" w:lineRule="auto"/>
        <w:ind w:right="3681"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公司治理与《公司法》和中国证监会相关规定的要求不存在差异。</w:t>
      </w:r>
    </w:p>
    <w:p>
      <w:pPr>
        <w:pStyle w:val="BodyText"/>
        <w:spacing w:line="240" w:lineRule="auto" w:before="75"/>
        <w:ind w:right="0"/>
        <w:jc w:val="left"/>
      </w:pPr>
      <w:r>
        <w:rPr/>
        <w:t>公司治理专项活动开展情况以及内幕信息知情人登记管理制度的制定、实施情况</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年开展了公司治理专项活动</w:t>
      </w:r>
      <w:r>
        <w:rPr>
          <w:spacing w:val="-126"/>
        </w:rPr>
        <w:t>，</w:t>
      </w:r>
      <w:r>
        <w:rPr/>
        <w:t>《荣</w:t>
      </w:r>
      <w:r>
        <w:rPr>
          <w:spacing w:val="-2"/>
        </w:rPr>
        <w:t>信</w:t>
      </w:r>
      <w:r>
        <w:rPr/>
        <w:t>电力电子股份有限公司关于加强上市公司专项治理活</w:t>
      </w:r>
    </w:p>
    <w:p>
      <w:pPr>
        <w:pStyle w:val="BodyText"/>
        <w:spacing w:line="240" w:lineRule="auto" w:before="177"/>
        <w:ind w:right="0"/>
        <w:jc w:val="left"/>
      </w:pPr>
      <w:r>
        <w:rPr/>
        <w:t>动的整改报告》详见</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日巨潮资讯网。公司第五届董事会第九次会议审议通过了《内幕信</w:t>
      </w:r>
    </w:p>
    <w:p>
      <w:pPr>
        <w:pStyle w:val="BodyText"/>
        <w:spacing w:line="386" w:lineRule="auto" w:before="177"/>
        <w:ind w:right="226"/>
        <w:jc w:val="left"/>
      </w:pPr>
      <w:r>
        <w:rPr/>
        <w:t>息知情人登记管理及报备制度</w:t>
      </w:r>
      <w:r>
        <w:rPr>
          <w:spacing w:val="-105"/>
        </w:rPr>
        <w:t>》</w:t>
      </w:r>
      <w:r>
        <w:rPr/>
        <w:t>，</w:t>
      </w:r>
      <w:r>
        <w:rPr>
          <w:spacing w:val="-2"/>
        </w:rPr>
        <w:t>全</w:t>
      </w:r>
      <w:r>
        <w:rPr/>
        <w:t>文详见</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 </w:t>
      </w:r>
      <w:r>
        <w:rPr>
          <w:spacing w:val="-2"/>
        </w:rPr>
        <w:t>日</w:t>
      </w:r>
      <w:r>
        <w:rPr/>
        <w:t>巨潮资讯网。报告期，公司严格执行《内幕</w:t>
      </w:r>
      <w:r>
        <w:rPr/>
        <w:t> 信息知情人登记管理及报备制度</w:t>
      </w:r>
      <w:r>
        <w:rPr>
          <w:spacing w:val="-105"/>
        </w:rPr>
        <w:t>》</w:t>
      </w:r>
      <w:r>
        <w:rPr>
          <w:spacing w:val="-2"/>
        </w:rPr>
        <w:t>，</w:t>
      </w:r>
      <w:r>
        <w:rPr/>
        <w:t>未发生利用内幕信息买卖公司股票情况。</w:t>
      </w:r>
    </w:p>
    <w:p>
      <w:pPr>
        <w:spacing w:line="240" w:lineRule="auto" w:before="0"/>
        <w:rPr>
          <w:rFonts w:ascii="宋体" w:hAnsi="宋体" w:cs="宋体" w:eastAsia="宋体" w:hint="default"/>
          <w:sz w:val="20"/>
          <w:szCs w:val="20"/>
        </w:rPr>
      </w:pPr>
    </w:p>
    <w:p>
      <w:pPr>
        <w:pStyle w:val="Heading2"/>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pict>
          <v:shape style="position:absolute;margin-left:290.042999pt;margin-top:51.923981pt;width:85.35pt;height:191.25pt;mso-position-horizontal-relative:page;mso-position-vertical-relative:paragraph;z-index:-798352" type="#_x0000_t202" filled="false" stroked="false">
            <v:textbox inset="0,0,0,0">
              <w:txbxContent>
                <w:p>
                  <w:pPr>
                    <w:spacing w:line="240" w:lineRule="auto" w:before="0"/>
                    <w:rPr>
                      <w:rFonts w:ascii="宋体" w:hAnsi="宋体" w:cs="宋体" w:eastAsia="宋体" w:hint="default"/>
                      <w:b/>
                      <w:bCs/>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96.160004pt;margin-top:51.923981pt;width:79.2pt;height:191.25pt;mso-position-horizontal-relative:page;mso-position-vertical-relative:paragraph;z-index:-798328" coordorigin="5923,1038" coordsize="1584,3825">
            <v:group style="position:absolute;left:5923;top:1038;width:1584;height:3825" coordorigin="5923,1038" coordsize="1584,3825">
              <v:shape style="position:absolute;left:5923;top:1038;width:1584;height:3825" coordorigin="5923,1038" coordsize="1584,3825" path="m5923,4863l7507,4863,7507,1038,5923,1038,5923,4863xe" filled="true" fillcolor="#ffffff" stroked="false">
                <v:path arrowok="t"/>
                <v:fill type="solid"/>
              </v:shape>
            </v:group>
            <v:group style="position:absolute;left:5946;top:2754;width:1539;height:393" coordorigin="5946,2754" coordsize="1539,393">
              <v:shape style="position:absolute;left:5946;top:2754;width:1539;height:393" coordorigin="5946,2754" coordsize="1539,393" path="m5946,3147l7484,3147,7484,2754,5946,2754,5946,3147xe" filled="true" fillcolor="#ffffff" stroked="false">
                <v:path arrowok="t"/>
                <v:fill type="solid"/>
              </v:shape>
            </v:group>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事会工作报告</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w:t>
            </w:r>
          </w:p>
        </w:tc>
      </w:tr>
      <w:tr>
        <w:trPr>
          <w:trHeight w:val="62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1"/>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0"/>
              <w:jc w:val="left"/>
              <w:rPr>
                <w:rFonts w:ascii="宋体" w:hAnsi="宋体" w:cs="宋体" w:eastAsia="宋体" w:hint="default"/>
                <w:sz w:val="18"/>
                <w:szCs w:val="18"/>
              </w:rPr>
            </w:pPr>
            <w:r>
              <w:rPr>
                <w:rFonts w:ascii="宋体" w:hAnsi="宋体" w:cs="宋体" w:eastAsia="宋体" w:hint="default"/>
                <w:spacing w:val="-28"/>
                <w:sz w:val="18"/>
                <w:szCs w:val="18"/>
              </w:rPr>
              <w:t>算报告》；（</w:t>
            </w:r>
            <w:r>
              <w:rPr>
                <w:rFonts w:ascii="Times New Roman" w:hAnsi="Times New Roman" w:cs="Times New Roman" w:eastAsia="Times New Roman" w:hint="default"/>
                <w:spacing w:val="-28"/>
                <w:sz w:val="18"/>
                <w:szCs w:val="18"/>
              </w:rPr>
              <w:t>4</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年度利润分配及资</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pacing w:val="-10"/>
                <w:sz w:val="18"/>
                <w:szCs w:val="18"/>
              </w:rPr>
              <w:t>会决议公告》全文详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本公积转增股本方</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年度报告及摘要</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172"/>
                <w:sz w:val="18"/>
                <w:szCs w:val="18"/>
              </w:rPr>
              <w:t>）</w:t>
            </w:r>
            <w:r>
              <w:rPr>
                <w:rFonts w:ascii="宋体" w:hAnsi="宋体" w:cs="宋体" w:eastAsia="宋体" w:hint="default"/>
                <w:sz w:val="18"/>
                <w:szCs w:val="18"/>
              </w:rPr>
              <w:t>《关于续聘会计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师事务所的议案》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600" w:lineRule="atLeast" w:before="41"/>
        <w:ind w:left="154" w:right="566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独立董事对公司有关事项是否提出异议</w:t>
      </w:r>
    </w:p>
    <w:p>
      <w:pPr>
        <w:pStyle w:val="BodyText"/>
        <w:spacing w:line="290" w:lineRule="auto" w:before="76"/>
        <w:ind w:left="154" w:right="536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240" w:lineRule="auto" w:before="4"/>
        <w:rPr>
          <w:rFonts w:ascii="宋体" w:hAnsi="宋体" w:cs="宋体" w:eastAsia="宋体" w:hint="default"/>
          <w:sz w:val="22"/>
          <w:szCs w:val="22"/>
        </w:rPr>
      </w:pPr>
    </w:p>
    <w:p>
      <w:pPr>
        <w:pStyle w:val="Heading3"/>
        <w:spacing w:line="240" w:lineRule="auto" w:before="0"/>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581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0" w:lineRule="auto" w:before="95"/>
        <w:ind w:left="154" w:right="128" w:firstLine="420"/>
        <w:jc w:val="both"/>
      </w:pPr>
      <w:r>
        <w:rPr>
          <w:spacing w:val="-1"/>
        </w:rPr>
        <w:t>独立董事对公司</w:t>
      </w:r>
      <w:r>
        <w:rPr>
          <w:rFonts w:ascii="Times New Roman" w:hAnsi="Times New Roman" w:cs="Times New Roman" w:eastAsia="Times New Roman" w:hint="default"/>
          <w:spacing w:val="-1"/>
        </w:rPr>
        <w:t>2014</w:t>
      </w:r>
      <w:r>
        <w:rPr>
          <w:spacing w:val="-1"/>
        </w:rPr>
        <w:t>年度经营活动情况进行了认真的了解和查验，深入了解公司的生产经营和内部控</w:t>
      </w:r>
      <w:r>
        <w:rPr/>
        <w:t> 制等制度的完善及执行情况、董事会决议执行情况、财务管理、业务发展和投资项目的进展等相关事项， 查阅有关资料，与相关人员沟通，关注公司的经营、治理情况，并对公司对外担保情况，内控执行情况， 利润分配方案提出合理的建议，独立董事的建议得到了公司的采纳。</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633" w:right="156" w:hanging="120"/>
        <w:jc w:val="left"/>
      </w:pPr>
      <w:r>
        <w:rPr/>
        <w:t>（一）董事会战略委员会 报告期，根据《董事会战略委员会议事规则》董事会战略委员会召开</w:t>
      </w:r>
      <w:r>
        <w:rPr>
          <w:rFonts w:ascii="Times New Roman" w:hAnsi="Times New Roman" w:cs="Times New Roman" w:eastAsia="Times New Roman" w:hint="default"/>
        </w:rPr>
        <w:t>2</w:t>
      </w:r>
      <w:r>
        <w:rPr/>
        <w:t>次会议，根据国内外经济形势</w:t>
      </w:r>
    </w:p>
    <w:p>
      <w:pPr>
        <w:pStyle w:val="BodyText"/>
        <w:spacing w:line="408" w:lineRule="auto" w:before="14"/>
        <w:ind w:right="0"/>
        <w:jc w:val="left"/>
      </w:pPr>
      <w:r>
        <w:rPr>
          <w:spacing w:val="-1"/>
        </w:rPr>
        <w:t>和公司运营情况，结合公司战略发展要求，向公司董事会提出有关结构调整、资本运作、长远发展等事项</w:t>
      </w:r>
      <w:r>
        <w:rPr>
          <w:spacing w:val="-86"/>
        </w:rPr>
        <w:t> </w:t>
      </w:r>
      <w:r>
        <w:rPr>
          <w:spacing w:val="-86"/>
        </w:rPr>
      </w:r>
      <w:r>
        <w:rPr/>
        <w:t>的建议。</w:t>
      </w:r>
    </w:p>
    <w:p>
      <w:pPr>
        <w:pStyle w:val="BodyText"/>
        <w:spacing w:line="240" w:lineRule="auto" w:before="46"/>
        <w:ind w:left="375" w:right="7219"/>
        <w:jc w:val="center"/>
      </w:pPr>
      <w:r>
        <w:rPr/>
        <w:t>（二）董事会审计委员会</w:t>
      </w:r>
    </w:p>
    <w:p>
      <w:pPr>
        <w:spacing w:after="0" w:line="240" w:lineRule="auto"/>
        <w:jc w:val="cente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0" w:lineRule="auto" w:before="174"/>
        <w:ind w:right="149" w:firstLine="480"/>
        <w:jc w:val="both"/>
      </w:pPr>
      <w:r>
        <w:rPr>
          <w:spacing w:val="-2"/>
        </w:rPr>
        <w:t>报告期内，审计委员会根据《审计委员会议事规则》赋予的职责和权限切实履行了审议内部审计部门</w:t>
      </w:r>
      <w:r>
        <w:rPr/>
        <w:t> </w:t>
      </w:r>
      <w:r>
        <w:rPr>
          <w:spacing w:val="-1"/>
        </w:rPr>
        <w:t>提交的审计计划和工作报告、审核公司的财务信息及其披露、监督公司的内部审计制度及其实施、负责内</w:t>
      </w:r>
      <w:r>
        <w:rPr>
          <w:spacing w:val="-83"/>
        </w:rPr>
        <w:t> </w:t>
      </w:r>
      <w:r>
        <w:rPr>
          <w:spacing w:val="-83"/>
        </w:rPr>
      </w:r>
      <w:r>
        <w:rPr>
          <w:spacing w:val="-1"/>
        </w:rPr>
        <w:t>部审计与外部审计沟通等职责。公司制定了《董事会审计委员会年报工作规程》，在</w:t>
      </w:r>
      <w:r>
        <w:rPr>
          <w:rFonts w:ascii="Times New Roman" w:hAnsi="Times New Roman" w:cs="Times New Roman" w:eastAsia="Times New Roman" w:hint="default"/>
          <w:spacing w:val="-1"/>
        </w:rPr>
        <w:t>2014</w:t>
      </w:r>
      <w:r>
        <w:rPr>
          <w:spacing w:val="-1"/>
        </w:rPr>
        <w:t>年公司财务报告</w:t>
      </w:r>
      <w:r>
        <w:rPr>
          <w:spacing w:val="-87"/>
        </w:rPr>
        <w:t> </w:t>
      </w:r>
      <w:r>
        <w:rPr>
          <w:spacing w:val="-87"/>
        </w:rPr>
      </w:r>
      <w:r>
        <w:rPr/>
        <w:t>审计工作中做了如下工作：</w:t>
      </w:r>
    </w:p>
    <w:p>
      <w:pPr>
        <w:pStyle w:val="BodyText"/>
        <w:spacing w:line="240" w:lineRule="auto" w:before="52"/>
        <w:ind w:left="634" w:right="0"/>
        <w:jc w:val="left"/>
      </w:pPr>
      <w:r>
        <w:rPr>
          <w:rFonts w:ascii="Times New Roman" w:hAnsi="Times New Roman" w:cs="Times New Roman" w:eastAsia="Times New Roman" w:hint="default"/>
        </w:rPr>
        <w:t>1</w:t>
      </w:r>
      <w:r>
        <w:rPr/>
        <w:t>、审计委员会与公司</w:t>
      </w:r>
      <w:r>
        <w:rPr>
          <w:rFonts w:ascii="Times New Roman" w:hAnsi="Times New Roman" w:cs="Times New Roman" w:eastAsia="Times New Roman" w:hint="default"/>
        </w:rPr>
        <w:t>2014</w:t>
      </w:r>
      <w:r>
        <w:rPr/>
        <w:t>年度审计机构天健会计师事务所有限公司充分沟通的基础上协商确定了</w:t>
      </w:r>
    </w:p>
    <w:p>
      <w:pPr>
        <w:pStyle w:val="BodyText"/>
        <w:spacing w:line="240" w:lineRule="auto" w:before="177"/>
        <w:ind w:right="0"/>
        <w:jc w:val="left"/>
      </w:pPr>
      <w:r>
        <w:rPr>
          <w:rFonts w:ascii="Times New Roman" w:hAnsi="Times New Roman" w:cs="Times New Roman" w:eastAsia="Times New Roman" w:hint="default"/>
        </w:rPr>
        <w:t>2014</w:t>
      </w:r>
      <w:r>
        <w:rPr/>
        <w:t>年度财务报告审计的进度安排；</w:t>
      </w:r>
    </w:p>
    <w:p>
      <w:pPr>
        <w:pStyle w:val="BodyText"/>
        <w:spacing w:line="386" w:lineRule="auto" w:before="177"/>
        <w:ind w:right="174" w:firstLine="480"/>
        <w:jc w:val="both"/>
      </w:pPr>
      <w:r>
        <w:rPr>
          <w:rFonts w:ascii="Times New Roman" w:hAnsi="Times New Roman" w:cs="Times New Roman" w:eastAsia="Times New Roman" w:hint="default"/>
        </w:rPr>
        <w:t>2</w:t>
      </w:r>
      <w:r>
        <w:rPr/>
        <w:t>、审计委员会在年审注册会计师进场前审阅了公司编制的财务会计报告后，发表意见如下：同意将 公司按照《企业会计准则》及有关补充规定编制的财务报告提交天健会计师事务所有限公司审计。</w:t>
      </w:r>
    </w:p>
    <w:p>
      <w:pPr>
        <w:pStyle w:val="BodyText"/>
        <w:spacing w:line="386" w:lineRule="auto" w:before="65"/>
        <w:ind w:right="174" w:firstLine="480"/>
        <w:jc w:val="both"/>
      </w:pPr>
      <w:r>
        <w:rPr>
          <w:rFonts w:ascii="Times New Roman" w:hAnsi="Times New Roman" w:cs="Times New Roman" w:eastAsia="Times New Roman" w:hint="default"/>
        </w:rPr>
        <w:t>3</w:t>
      </w:r>
      <w:r>
        <w:rPr/>
        <w:t>、审计委员会在年审注册会计师审计期间与其针对审计过程中的问题进行了充分的交流与沟通，并 对其发出《关于按时提交审计报告的督促函》，督促其在约定的时限内提交审计报告。</w:t>
      </w:r>
    </w:p>
    <w:p>
      <w:pPr>
        <w:pStyle w:val="BodyText"/>
        <w:spacing w:line="386" w:lineRule="auto" w:before="65"/>
        <w:ind w:right="149" w:firstLine="480"/>
        <w:jc w:val="both"/>
      </w:pPr>
      <w:r>
        <w:rPr>
          <w:rFonts w:ascii="Times New Roman" w:hAnsi="Times New Roman" w:cs="Times New Roman" w:eastAsia="Times New Roman" w:hint="default"/>
        </w:rPr>
        <w:t>4</w:t>
      </w:r>
      <w:r>
        <w:rPr/>
        <w:t>、审计委员会审阅了注册会计师出具的初步审计意见后形成书面审核意见：经天健会计师事务所初 </w:t>
      </w:r>
      <w:r>
        <w:rPr>
          <w:spacing w:val="-1"/>
        </w:rPr>
        <w:t>步审计，对公司在</w:t>
      </w:r>
      <w:r>
        <w:rPr>
          <w:rFonts w:ascii="Times New Roman" w:hAnsi="Times New Roman" w:cs="Times New Roman" w:eastAsia="Times New Roman" w:hint="default"/>
          <w:spacing w:val="-1"/>
        </w:rPr>
        <w:t>2014</w:t>
      </w:r>
      <w:r>
        <w:rPr>
          <w:spacing w:val="-1"/>
        </w:rPr>
        <w:t>年财务报告编制过程中存在的会计估计、会计重分类等差错予以认同，并同意根据</w:t>
      </w:r>
      <w:r>
        <w:rPr>
          <w:spacing w:val="-83"/>
        </w:rPr>
        <w:t> </w:t>
      </w:r>
      <w:r>
        <w:rPr>
          <w:spacing w:val="-83"/>
        </w:rPr>
      </w:r>
      <w:r>
        <w:rPr/>
        <w:t>初步审计意见进行相应调整。</w:t>
      </w:r>
    </w:p>
    <w:p>
      <w:pPr>
        <w:pStyle w:val="BodyText"/>
        <w:spacing w:line="386" w:lineRule="auto" w:before="65"/>
        <w:ind w:right="150" w:firstLine="480"/>
        <w:jc w:val="both"/>
      </w:pPr>
      <w:r>
        <w:rPr>
          <w:rFonts w:ascii="Times New Roman" w:hAnsi="Times New Roman" w:cs="Times New Roman" w:eastAsia="Times New Roman" w:hint="default"/>
        </w:rPr>
        <w:t>5</w:t>
      </w:r>
      <w:r>
        <w:rPr/>
        <w:t>、审计委员会召开临时会议，并形成如下决议：①同意天健会计师事务所对本公司</w:t>
      </w:r>
      <w:r>
        <w:rPr>
          <w:rFonts w:ascii="Times New Roman" w:hAnsi="Times New Roman" w:cs="Times New Roman" w:eastAsia="Times New Roman" w:hint="default"/>
        </w:rPr>
        <w:t>2014</w:t>
      </w:r>
      <w:r>
        <w:rPr/>
        <w:t>年财务报告 </w:t>
      </w:r>
      <w:r>
        <w:rPr>
          <w:spacing w:val="-1"/>
        </w:rPr>
        <w:t>的审计结果的议案，并将财务审计结果提交公司董事会审议；②关于天健会计师事务所</w:t>
      </w:r>
      <w:r>
        <w:rPr>
          <w:rFonts w:ascii="Times New Roman" w:hAnsi="Times New Roman" w:cs="Times New Roman" w:eastAsia="Times New Roman" w:hint="default"/>
          <w:spacing w:val="-1"/>
        </w:rPr>
        <w:t>2014</w:t>
      </w:r>
      <w:r>
        <w:rPr>
          <w:spacing w:val="-1"/>
        </w:rPr>
        <w:t>年度审计工作</w:t>
      </w:r>
      <w:r>
        <w:rPr>
          <w:spacing w:val="-81"/>
        </w:rPr>
        <w:t> </w:t>
      </w:r>
      <w:r>
        <w:rPr>
          <w:spacing w:val="-1"/>
        </w:rPr>
        <w:t>总结的议案③同意聘请天健会计师事务所有限公司为本公司</w:t>
      </w:r>
      <w:r>
        <w:rPr>
          <w:rFonts w:ascii="Times New Roman" w:hAnsi="Times New Roman" w:cs="Times New Roman" w:eastAsia="Times New Roman" w:hint="default"/>
          <w:spacing w:val="-1"/>
        </w:rPr>
        <w:t>2015</w:t>
      </w:r>
      <w:r>
        <w:rPr>
          <w:spacing w:val="-1"/>
        </w:rPr>
        <w:t>年度审计机构的议案，并提交公司董事会</w:t>
      </w:r>
      <w:r>
        <w:rPr>
          <w:spacing w:val="-82"/>
        </w:rPr>
        <w:t> </w:t>
      </w:r>
      <w:r>
        <w:rPr>
          <w:spacing w:val="-82"/>
        </w:rPr>
      </w:r>
      <w:r>
        <w:rPr/>
        <w:t>审议。</w:t>
      </w:r>
    </w:p>
    <w:p>
      <w:pPr>
        <w:pStyle w:val="BodyText"/>
        <w:spacing w:line="408" w:lineRule="auto" w:before="65"/>
        <w:ind w:left="634" w:right="138"/>
        <w:jc w:val="left"/>
      </w:pPr>
      <w:r>
        <w:rPr/>
        <w:t>（三）董事会薪酬与考核委员会 </w:t>
      </w:r>
      <w:r>
        <w:rPr>
          <w:spacing w:val="-2"/>
        </w:rPr>
        <w:t>报告期末，公司董事会薪酬与考核委员会依据公司年初制定的经营目标及主要经济指标和管理指标的</w:t>
      </w:r>
    </w:p>
    <w:p>
      <w:pPr>
        <w:pStyle w:val="BodyText"/>
        <w:spacing w:line="408" w:lineRule="auto" w:before="46"/>
        <w:ind w:right="0"/>
        <w:jc w:val="left"/>
      </w:pPr>
      <w:r>
        <w:rPr>
          <w:spacing w:val="-1"/>
        </w:rPr>
        <w:t>完成情况对董事、监事和高级管理人员的业绩、工作能力、履职情况进行考评并发表审核意见如下：公司</w:t>
      </w:r>
      <w:r>
        <w:rPr>
          <w:spacing w:val="-86"/>
        </w:rPr>
        <w:t> </w:t>
      </w:r>
      <w:r>
        <w:rPr>
          <w:spacing w:val="-86"/>
        </w:rPr>
      </w:r>
      <w:r>
        <w:rPr/>
        <w:t>董事、监事、高级管理人员勤勉尽责，领取的薪酬与公司披露的情况相符。</w:t>
      </w:r>
    </w:p>
    <w:p>
      <w:pPr>
        <w:spacing w:line="240" w:lineRule="auto" w:before="9"/>
        <w:rPr>
          <w:rFonts w:ascii="宋体" w:hAnsi="宋体" w:cs="宋体" w:eastAsia="宋体" w:hint="default"/>
          <w:sz w:val="18"/>
          <w:szCs w:val="18"/>
        </w:rPr>
      </w:pPr>
    </w:p>
    <w:p>
      <w:pPr>
        <w:pStyle w:val="Heading2"/>
        <w:spacing w:line="240" w:lineRule="auto" w:before="0"/>
        <w:ind w:right="0"/>
        <w:jc w:val="left"/>
        <w:rPr>
          <w:b w:val="0"/>
          <w:bCs w:val="0"/>
        </w:rPr>
      </w:pPr>
      <w:r>
        <w:rPr/>
        <w:t>五、监事会工作情况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pPr>
      <w:r>
        <w:rPr/>
        <w:t>监事会在报告期内的监督活动中发现公司是否存在风险</w:t>
      </w:r>
    </w:p>
    <w:p>
      <w:pPr>
        <w:pStyle w:val="BodyText"/>
        <w:spacing w:line="290" w:lineRule="auto" w:before="76"/>
        <w:ind w:left="154" w:right="620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监事会对报告期内的监督事项无异议。</w:t>
      </w:r>
    </w:p>
    <w:p>
      <w:pPr>
        <w:spacing w:line="240" w:lineRule="auto" w:before="7"/>
        <w:rPr>
          <w:rFonts w:ascii="宋体" w:hAnsi="宋体" w:cs="宋体" w:eastAsia="宋体" w:hint="default"/>
          <w:sz w:val="20"/>
          <w:szCs w:val="20"/>
        </w:rPr>
      </w:pPr>
    </w:p>
    <w:p>
      <w:pPr>
        <w:pStyle w:val="Heading2"/>
        <w:spacing w:line="240" w:lineRule="auto" w:before="0"/>
        <w:ind w:right="0"/>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154" w:right="149" w:firstLine="420"/>
        <w:jc w:val="both"/>
      </w:pPr>
      <w:r>
        <w:rPr>
          <w:spacing w:val="-1"/>
        </w:rPr>
        <w:t>公司在业务、人员、资产、机构、财务等方面与控股股东完全分开，具有独立、完整的资产和业务及</w:t>
      </w:r>
      <w:r>
        <w:rPr/>
        <w:t> 自主经营的能力。</w:t>
      </w:r>
    </w:p>
    <w:p>
      <w:pPr>
        <w:spacing w:after="0" w:line="41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98" w:lineRule="auto" w:before="174"/>
        <w:ind w:right="0" w:firstLine="420"/>
        <w:jc w:val="left"/>
      </w:pPr>
      <w:r>
        <w:rPr>
          <w:rFonts w:ascii="Times New Roman" w:hAnsi="Times New Roman" w:cs="Times New Roman" w:eastAsia="Times New Roman" w:hint="default"/>
        </w:rPr>
        <w:t>1</w:t>
      </w:r>
      <w:r>
        <w:rPr/>
        <w:t>、业务：公司业务结构完整，所需材料设备的采购及客户群、市场均不依赖于控股股东，具有独立 </w:t>
      </w:r>
      <w:r>
        <w:rPr>
          <w:spacing w:val="-1"/>
        </w:rPr>
        <w:t>的产供销系统，具备独立面向市场并自主经营的业务能力，与控股股东之间无同业竞争，控股股东不存在</w:t>
      </w:r>
      <w:r>
        <w:rPr>
          <w:spacing w:val="-83"/>
        </w:rPr>
        <w:t> </w:t>
      </w:r>
      <w:r>
        <w:rPr>
          <w:spacing w:val="-83"/>
        </w:rPr>
      </w:r>
      <w:r>
        <w:rPr/>
        <w:t>直接或间接干预公司经营的情形。</w:t>
      </w:r>
    </w:p>
    <w:p>
      <w:pPr>
        <w:pStyle w:val="BodyText"/>
        <w:spacing w:line="386" w:lineRule="auto" w:before="93"/>
        <w:ind w:right="216" w:firstLine="420"/>
        <w:jc w:val="left"/>
      </w:pPr>
      <w:r>
        <w:rPr>
          <w:rFonts w:ascii="Times New Roman" w:hAnsi="Times New Roman" w:cs="Times New Roman" w:eastAsia="Times New Roman" w:hint="default"/>
        </w:rPr>
        <w:t>2</w:t>
      </w:r>
      <w:r>
        <w:rPr/>
        <w:t>、人员：公司人员、劳动、人事、工资完全独立；公司高管人员未在控股股东及其下属企业担任除 董事、监事以外的任何职务，也未在控股股东及其下属企业领薪。</w:t>
      </w:r>
    </w:p>
    <w:p>
      <w:pPr>
        <w:pStyle w:val="BodyText"/>
        <w:spacing w:line="386" w:lineRule="auto" w:before="104"/>
        <w:ind w:right="216" w:firstLine="420"/>
        <w:jc w:val="left"/>
      </w:pPr>
      <w:r>
        <w:rPr>
          <w:rFonts w:ascii="Times New Roman" w:hAnsi="Times New Roman" w:cs="Times New Roman" w:eastAsia="Times New Roman" w:hint="default"/>
        </w:rPr>
        <w:t>3</w:t>
      </w:r>
      <w:r>
        <w:rPr/>
        <w:t>、资产：公司拥有独立的生产经营场所和完整的资产结构，拥有生产经营活动所必须的生产系统、 辅助生产系统和配套设施，公司专利权以及商标、土地、房屋等资产拥有完全的控制权和支配权。</w:t>
      </w:r>
    </w:p>
    <w:p>
      <w:pPr>
        <w:pStyle w:val="BodyText"/>
        <w:spacing w:line="398" w:lineRule="auto" w:before="103"/>
        <w:ind w:right="0" w:firstLine="420"/>
        <w:jc w:val="left"/>
      </w:pPr>
      <w:r>
        <w:rPr>
          <w:rFonts w:ascii="Times New Roman" w:hAnsi="Times New Roman" w:cs="Times New Roman" w:eastAsia="Times New Roman" w:hint="default"/>
        </w:rPr>
        <w:t>4</w:t>
      </w:r>
      <w:r>
        <w:rPr/>
        <w:t>、机构：公司设有健全的组织机构体系，股东大会、董事会、监事会、经理层、生产、技术等部门 </w:t>
      </w:r>
      <w:r>
        <w:rPr>
          <w:spacing w:val="-1"/>
        </w:rPr>
        <w:t>独立运作，并制定了相应的内部管理和控制制度，使各部门之间分工明确、各司其职、相互配合，从而构</w:t>
      </w:r>
      <w:r>
        <w:rPr>
          <w:spacing w:val="-83"/>
        </w:rPr>
        <w:t> </w:t>
      </w:r>
      <w:r>
        <w:rPr>
          <w:spacing w:val="-83"/>
        </w:rPr>
      </w:r>
      <w:r>
        <w:rPr/>
        <w:t>成了一个有机的整体，保证了公司的依法运作，不存在与控股股东职能部门之间的从属关系。</w:t>
      </w:r>
    </w:p>
    <w:p>
      <w:pPr>
        <w:pStyle w:val="BodyText"/>
        <w:spacing w:line="386" w:lineRule="auto" w:before="93"/>
        <w:ind w:right="216" w:firstLine="420"/>
        <w:jc w:val="left"/>
      </w:pPr>
      <w:r>
        <w:rPr>
          <w:rFonts w:ascii="Times New Roman" w:hAnsi="Times New Roman" w:cs="Times New Roman" w:eastAsia="Times New Roman" w:hint="default"/>
        </w:rPr>
        <w:t>5</w:t>
      </w:r>
      <w:r>
        <w:rPr/>
        <w:t>、财务：公司设有独立的财务管理部门，建立了独立的会计核算体系和财务管理制度以及内部审计 制度，独立进行财务决策，独立开设银行账户，独立纳税。</w:t>
      </w: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t>七、高级管理人员的考评及激励情况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410" w:lineRule="auto" w:before="161"/>
        <w:ind w:left="154" w:right="150" w:firstLine="420"/>
        <w:jc w:val="both"/>
      </w:pPr>
      <w:r>
        <w:rPr>
          <w:spacing w:val="-1"/>
        </w:rPr>
        <w:t>公司建立了完善的绩效考评体系，高级管理人员的工作绩效与其收入直接挂钩并引入重大失误问责制</w:t>
      </w:r>
      <w:r>
        <w:rPr/>
        <w:t> </w:t>
      </w:r>
      <w:r>
        <w:rPr>
          <w:spacing w:val="-1"/>
        </w:rPr>
        <w:t>度。公司董事会薪酬与考核委员会负责根据公司主要经济指标和管理指标的完成情况对高级管理人员的业</w:t>
      </w:r>
      <w:r>
        <w:rPr>
          <w:spacing w:val="-81"/>
        </w:rPr>
        <w:t> </w:t>
      </w:r>
      <w:r>
        <w:rPr>
          <w:spacing w:val="-81"/>
        </w:rPr>
      </w:r>
      <w:r>
        <w:rPr/>
        <w:t>绩、工作能力、履职情况进行考评，制定薪酬方案报公司董事会审批。</w:t>
      </w:r>
    </w:p>
    <w:p>
      <w:pPr>
        <w:pStyle w:val="BodyText"/>
        <w:spacing w:line="410" w:lineRule="auto" w:before="83"/>
        <w:ind w:left="154" w:right="128" w:firstLine="420"/>
        <w:jc w:val="both"/>
      </w:pPr>
      <w:r>
        <w:rPr>
          <w:spacing w:val="-1"/>
        </w:rPr>
        <w:t>公司已实现了高级管理人员持股计划，初步建立了高管层股权激励机制，公司还将根据中国证监会和</w:t>
      </w:r>
      <w:r>
        <w:rPr/>
        <w:t> 深圳证券交易所有关规定，进一步建立和完善骨干层的激励机制。报告期，公司继续完善绩效考核制度， 制定了详尽的工作量化标准和奖惩制度。</w:t>
      </w:r>
    </w:p>
    <w:p>
      <w:pPr>
        <w:spacing w:after="0" w:line="41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7"/>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02"/>
        <w:jc w:val="left"/>
        <w:rPr>
          <w:b w:val="0"/>
          <w:bCs w:val="0"/>
        </w:rPr>
      </w:pP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left="154" w:right="197" w:firstLine="336"/>
        <w:jc w:val="left"/>
      </w:pPr>
      <w:r>
        <w:rPr/>
        <w:t>公司成立以来，一直致力于内部控制制度的制定和完善，建立了一套完整、合法、有效的内部控制制 </w:t>
      </w:r>
      <w:r>
        <w:rPr>
          <w:spacing w:val="-1"/>
        </w:rPr>
        <w:t>度，主要包括：</w:t>
      </w:r>
      <w:r>
        <w:rPr>
          <w:rFonts w:ascii="Times New Roman" w:hAnsi="Times New Roman" w:cs="Times New Roman" w:eastAsia="Times New Roman" w:hint="default"/>
          <w:spacing w:val="-1"/>
        </w:rPr>
        <w:t>1</w:t>
      </w:r>
      <w:r>
        <w:rPr>
          <w:spacing w:val="-1"/>
        </w:rPr>
        <w:t>、以《公司章程》及三会议事规则为核心的公司治理制度；</w:t>
      </w:r>
      <w:r>
        <w:rPr>
          <w:rFonts w:ascii="Times New Roman" w:hAnsi="Times New Roman" w:cs="Times New Roman" w:eastAsia="Times New Roman" w:hint="default"/>
          <w:spacing w:val="-1"/>
        </w:rPr>
        <w:t>2</w:t>
      </w:r>
      <w:r>
        <w:rPr>
          <w:spacing w:val="-1"/>
        </w:rPr>
        <w:t>、以行政管理制度、人力资</w:t>
      </w:r>
      <w:r>
        <w:rPr>
          <w:spacing w:val="-86"/>
        </w:rPr>
        <w:t> </w:t>
      </w:r>
      <w:r>
        <w:rPr>
          <w:spacing w:val="-86"/>
        </w:rPr>
      </w:r>
      <w:r>
        <w:rPr/>
        <w:t>源管理制度、信息管理控制度、内部控制监督检查管理办法为组成的公司日常管理制度；</w:t>
      </w:r>
      <w:r>
        <w:rPr>
          <w:rFonts w:ascii="Times New Roman" w:hAnsi="Times New Roman" w:cs="Times New Roman" w:eastAsia="Times New Roman" w:hint="default"/>
        </w:rPr>
        <w:t>3</w:t>
      </w:r>
      <w:r>
        <w:rPr/>
        <w:t>、按照财政部 </w:t>
      </w:r>
      <w:r>
        <w:rPr>
          <w:spacing w:val="-1"/>
        </w:rPr>
        <w:t>发布的《企业会计准则》及有关补充规定制定的会计核算制度和财务管理制度；</w:t>
      </w:r>
      <w:r>
        <w:rPr>
          <w:rFonts w:ascii="Times New Roman" w:hAnsi="Times New Roman" w:cs="Times New Roman" w:eastAsia="Times New Roman" w:hint="default"/>
          <w:spacing w:val="-1"/>
        </w:rPr>
        <w:t>4</w:t>
      </w:r>
      <w:r>
        <w:rPr>
          <w:spacing w:val="-1"/>
        </w:rPr>
        <w:t>、以</w:t>
      </w:r>
      <w:r>
        <w:rPr>
          <w:rFonts w:ascii="Times New Roman" w:hAnsi="Times New Roman" w:cs="Times New Roman" w:eastAsia="Times New Roman" w:hint="default"/>
          <w:spacing w:val="-1"/>
        </w:rPr>
        <w:t>ISO9001</w:t>
      </w:r>
      <w:r>
        <w:rPr>
          <w:spacing w:val="-1"/>
        </w:rPr>
        <w:t>质量管理体</w:t>
      </w:r>
      <w:r>
        <w:rPr>
          <w:spacing w:val="-103"/>
        </w:rPr>
        <w:t> </w:t>
      </w:r>
      <w:r>
        <w:rPr>
          <w:spacing w:val="-1"/>
        </w:rPr>
        <w:t>系为核心的业务控制制度。公司设立内部审计部为公司董事会对公司进行稽核监督的机构。内部审计部按</w:t>
      </w:r>
      <w:r>
        <w:rPr>
          <w:spacing w:val="-81"/>
        </w:rPr>
        <w:t> </w:t>
      </w:r>
      <w:r>
        <w:rPr>
          <w:spacing w:val="-81"/>
        </w:rPr>
      </w:r>
      <w:r>
        <w:rPr>
          <w:spacing w:val="-1"/>
        </w:rPr>
        <w:t>照有利于事前、事中和事后监督的原则，对公司及控制子公司的经营活动和内部控制制度的建立和执行情</w:t>
      </w:r>
      <w:r>
        <w:rPr>
          <w:spacing w:val="-81"/>
        </w:rPr>
        <w:t> </w:t>
      </w:r>
      <w:r>
        <w:rPr>
          <w:spacing w:val="-81"/>
        </w:rPr>
      </w:r>
      <w:r>
        <w:rPr>
          <w:spacing w:val="-1"/>
        </w:rPr>
        <w:t>况进行检查监督，并对每次检查对象和内容进行评价，提出改进建议和处理意见，确保内部控制的贯彻实</w:t>
      </w:r>
      <w:r>
        <w:rPr>
          <w:spacing w:val="-83"/>
        </w:rPr>
        <w:t> </w:t>
      </w:r>
      <w:r>
        <w:rPr>
          <w:spacing w:val="-83"/>
        </w:rPr>
      </w:r>
      <w:r>
        <w:rPr/>
        <w:t>施和生产经营活动的正常进行。</w:t>
      </w:r>
    </w:p>
    <w:p>
      <w:pPr>
        <w:spacing w:line="240" w:lineRule="auto" w:before="5"/>
        <w:rPr>
          <w:rFonts w:ascii="宋体" w:hAnsi="宋体" w:cs="宋体" w:eastAsia="宋体" w:hint="default"/>
          <w:sz w:val="19"/>
          <w:szCs w:val="19"/>
        </w:rPr>
      </w:pPr>
    </w:p>
    <w:p>
      <w:pPr>
        <w:pStyle w:val="Heading2"/>
        <w:spacing w:line="240" w:lineRule="auto" w:before="0"/>
        <w:ind w:right="102"/>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101" w:firstLine="336"/>
        <w:jc w:val="left"/>
      </w:pPr>
      <w:r>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企业内部控制的日常运行。公司董事会、监事会及董事、监事、高级管理人员保证内部控制评价报告内容 不存在任何虚假记载、误导性陈述或重大遗漏，并对报告内容的真实性、准确性和完整性承担个别及连带 </w:t>
      </w:r>
      <w:r>
        <w:rPr>
          <w:spacing w:val="-3"/>
        </w:rPr>
        <w:t>法律责任。公司内部控制的目标是合理保证经营管理合法合规、资产安全、财务报告及相关信息真实完整，</w:t>
      </w:r>
      <w:r>
        <w:rPr>
          <w:spacing w:val="-90"/>
        </w:rPr>
        <w:t> </w:t>
      </w:r>
      <w:r>
        <w:rPr>
          <w:spacing w:val="-90"/>
        </w:rPr>
      </w:r>
      <w:r>
        <w:rPr/>
        <w:t>提高经营效率和效果，促进实现发展战略。由于内部控制存在的固有局限性，故仅能为实现上述目标提供</w:t>
      </w:r>
      <w:r>
        <w:rPr/>
        <w:t> 合理保证。此外，由于情况的变化可能导致内部控制变得不恰当，或对控制政策和程序遵循的程度降低， 根据内部控制评价结果推测未来内部控制的有效性具有一定的风险。</w:t>
      </w:r>
    </w:p>
    <w:p>
      <w:pPr>
        <w:spacing w:line="240" w:lineRule="auto" w:before="10"/>
        <w:rPr>
          <w:rFonts w:ascii="宋体" w:hAnsi="宋体" w:cs="宋体" w:eastAsia="宋体" w:hint="default"/>
          <w:sz w:val="18"/>
          <w:szCs w:val="18"/>
        </w:rPr>
      </w:pPr>
    </w:p>
    <w:p>
      <w:pPr>
        <w:pStyle w:val="Heading2"/>
        <w:spacing w:line="240" w:lineRule="auto" w:before="0"/>
        <w:ind w:right="102"/>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254" w:firstLine="336"/>
        <w:jc w:val="left"/>
      </w:pPr>
      <w:r>
        <w:rPr/>
        <w:t>公司依据《公司法》、《会计法》、《企业会计准则》和《企业内部控制基本规范》以及监管部门的 相关规范性文件为依据，建立了财务报告内部控制。</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四、内部控制评价报告</w:t>
      </w:r>
      <w:r>
        <w:rPr>
          <w:b w:val="0"/>
          <w:bCs w:val="0"/>
        </w:rPr>
      </w:r>
    </w:p>
    <w:p>
      <w:pPr>
        <w:spacing w:line="240" w:lineRule="auto" w:before="0"/>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pt;mso-position-horizontal-relative:char;mso-position-vertical-relative:line" type="#_x0000_t202" filled="true" fillcolor="#d3d3d3" stroked="true" strokeweight=".48pt" strokecolor="#000000">
            <w10:anchorlock/>
            <v:textbox inset="0,0,0,0">
              <w:txbxContent>
                <w:p>
                  <w:pPr>
                    <w:spacing w:before="51"/>
                    <w:ind w:left="2168" w:right="0" w:firstLine="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日巨潮资讯网。</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五、年度报告重大差错责任追究制度的建立与执行情况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151" w:firstLine="336"/>
        <w:jc w:val="both"/>
      </w:pPr>
      <w:r>
        <w:rPr/>
        <w:t>公司董事会制定了《年报信息披露重大差错责任追究制度》，确保信息披露的真实、准确、完整、及 </w:t>
      </w:r>
      <w:r>
        <w:rPr>
          <w:spacing w:val="-1"/>
        </w:rPr>
        <w:t>时和公平，加大对年报信息披露责任人的问责力度，提高年报信息披露的质量和透明度。报告期，公司相</w:t>
      </w:r>
      <w:r>
        <w:rPr>
          <w:spacing w:val="-86"/>
        </w:rPr>
        <w:t> </w:t>
      </w:r>
      <w:r>
        <w:rPr>
          <w:spacing w:val="-86"/>
        </w:rPr>
      </w:r>
      <w:r>
        <w:rPr>
          <w:spacing w:val="-1"/>
        </w:rPr>
        <w:t>关人员严格按照《年报信息披露重大差错责任追究制度》的规定执行，切实履行应尽职责和义务，未发生</w:t>
      </w:r>
      <w:r>
        <w:rPr>
          <w:spacing w:val="-86"/>
        </w:rPr>
        <w:t> </w:t>
      </w:r>
      <w:r>
        <w:rPr>
          <w:spacing w:val="-86"/>
        </w:rPr>
      </w:r>
      <w:r>
        <w:rPr/>
        <w:t>违规情形。</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4"/>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朱伟峰</w:t>
              <w:tab/>
              <w:t>许治平</w:t>
            </w:r>
          </w:p>
        </w:tc>
      </w:tr>
    </w:tbl>
    <w:p>
      <w:pPr>
        <w:spacing w:line="240" w:lineRule="auto" w:before="3"/>
        <w:rPr>
          <w:rFonts w:ascii="宋体" w:hAnsi="宋体" w:cs="宋体" w:eastAsia="宋体" w:hint="default"/>
          <w:b/>
          <w:bCs/>
          <w:sz w:val="5"/>
          <w:szCs w:val="5"/>
        </w:rPr>
      </w:pPr>
    </w:p>
    <w:p>
      <w:pPr>
        <w:pStyle w:val="BodyText"/>
        <w:spacing w:line="240" w:lineRule="auto" w:before="35"/>
        <w:ind w:left="375" w:right="373"/>
        <w:jc w:val="center"/>
      </w:pPr>
      <w:r>
        <w:rPr/>
        <w:t>审计报告正文</w:t>
      </w:r>
    </w:p>
    <w:p>
      <w:pPr>
        <w:spacing w:line="240" w:lineRule="auto" w:before="1"/>
        <w:rPr>
          <w:rFonts w:ascii="宋体" w:hAnsi="宋体" w:cs="宋体" w:eastAsia="宋体" w:hint="default"/>
          <w:sz w:val="15"/>
          <w:szCs w:val="15"/>
        </w:rPr>
      </w:pPr>
    </w:p>
    <w:p>
      <w:pPr>
        <w:pStyle w:val="BodyText"/>
        <w:spacing w:line="408" w:lineRule="auto" w:before="35"/>
        <w:ind w:left="649" w:right="0" w:hanging="496"/>
        <w:jc w:val="left"/>
        <w:rPr>
          <w:rFonts w:ascii="Times New Roman" w:hAnsi="Times New Roman" w:cs="Times New Roman" w:eastAsia="Times New Roman" w:hint="default"/>
        </w:rPr>
      </w:pPr>
      <w:r>
        <w:rPr/>
        <w:t>荣信电力电子股份有限公司全体股东： </w:t>
      </w:r>
      <w:r>
        <w:rPr>
          <w:spacing w:val="2"/>
        </w:rPr>
        <w:t>我们审计了后附的荣信电力电子股份有限公司（以下简称荣信股份公司）财务报表，包括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r>
    </w:p>
    <w:p>
      <w:pPr>
        <w:pStyle w:val="BodyText"/>
        <w:spacing w:line="386" w:lineRule="auto" w:before="14"/>
        <w:ind w:right="0"/>
        <w:jc w:val="left"/>
      </w:pP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2014</w:t>
      </w:r>
      <w:r>
        <w:rPr>
          <w:spacing w:val="-1"/>
        </w:rPr>
        <w:t>年度的合并及母公司利润表、合并及母公司现金流量表、合并及</w:t>
      </w:r>
      <w:r>
        <w:rPr>
          <w:spacing w:val="-85"/>
        </w:rPr>
        <w:t> </w:t>
      </w:r>
      <w:r>
        <w:rPr>
          <w:spacing w:val="-85"/>
        </w:rPr>
      </w:r>
      <w:r>
        <w:rPr/>
        <w:t>母公司所有者权益变动表，以及财务报表附注。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649" w:right="137"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编制和公允列报财务报表是荣信股份公司管理层的责任，这种责任包括：</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按照企业会计准则的规</w:t>
      </w:r>
    </w:p>
    <w:p>
      <w:pPr>
        <w:pStyle w:val="BodyText"/>
        <w:spacing w:line="386" w:lineRule="auto" w:before="14"/>
        <w:ind w:left="154" w:right="0"/>
        <w:jc w:val="left"/>
      </w:pPr>
      <w:r>
        <w:rPr/>
        <w:t>定编制财务报表，并使其实现公允反映；</w:t>
      </w:r>
      <w:r>
        <w:rPr>
          <w:rFonts w:ascii="Times New Roman" w:hAnsi="Times New Roman" w:cs="Times New Roman" w:eastAsia="Times New Roman" w:hint="default"/>
        </w:rPr>
        <w:t>(2) </w:t>
      </w:r>
      <w:r>
        <w:rPr/>
        <w:t>设计、执行和维护必要的内部控制，以使财务报表不存在由</w:t>
      </w:r>
      <w:r>
        <w:rPr>
          <w:spacing w:val="-80"/>
        </w:rPr>
        <w:t> </w:t>
      </w:r>
      <w:r>
        <w:rPr/>
        <w:t>于舞弊或错误导致的重大错报。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408" w:lineRule="auto"/>
        <w:ind w:left="649"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3"/>
        </w:rPr>
        <w:t>我们的责任是在执行审计工作的基础上对财务报表发表审计意见。我们按照中国注册会计师审计准则</w:t>
      </w:r>
    </w:p>
    <w:p>
      <w:pPr>
        <w:pStyle w:val="BodyText"/>
        <w:spacing w:line="408" w:lineRule="auto" w:before="46"/>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right="149" w:firstLine="495"/>
        <w:jc w:val="both"/>
      </w:pPr>
      <w:r>
        <w:rPr>
          <w:spacing w:val="-3"/>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46"/>
        <w:ind w:left="649" w:right="0"/>
        <w:jc w:val="left"/>
      </w:pPr>
      <w:r>
        <w:rPr/>
        <w:t>我们相信，我们获取的审计证据是充分、适当的，为发表审计意见提供了基础。</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649"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我们认为，荣信股份公司财务报表在所有重大方面按照企业会计准则的规定编制，公允反映了荣信股</w:t>
      </w:r>
    </w:p>
    <w:p>
      <w:pPr>
        <w:pStyle w:val="BodyText"/>
        <w:spacing w:line="240" w:lineRule="auto" w:before="46"/>
        <w:ind w:left="154" w:right="0"/>
        <w:jc w:val="left"/>
      </w:pPr>
      <w:r>
        <w:rPr/>
        <w:t>份公司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11"/>
        <w:rPr>
          <w:rFonts w:ascii="宋体" w:hAnsi="宋体" w:cs="宋体" w:eastAsia="宋体" w:hint="default"/>
          <w:sz w:val="28"/>
          <w:szCs w:val="28"/>
        </w:rPr>
      </w:pPr>
    </w:p>
    <w:p>
      <w:pPr>
        <w:pStyle w:val="Heading2"/>
        <w:spacing w:line="240" w:lineRule="auto" w:before="0"/>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tabs>
          <w:tab w:pos="4923" w:val="left" w:leader="none"/>
          <w:tab w:pos="8928"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537,614,403.66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751,806,950.35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172,035,954.12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145,077,645.20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1,077,966,375.09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1,365,009,594.33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56,597,044.83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64,806,822.90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45,297,533.34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31,632,836.66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547,360,768.22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640,415,048.09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19,494,099.80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33,433,208.85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86,613,919.03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57,562,907.69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2,542,980,098.09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3,089,745,014.07</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162,278,386.65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167,172,406.87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692,565,106.76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661,504,151.22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22,801,892.98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65,039,342.67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53,645,685.39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57,728,476.30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568,767.40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29,136,960.87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25,837,395.90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972,698,750.40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989,844,304.99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3,515,678,848.49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4,079,589,319.06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214,565,098.50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163,817,791.24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346,231,584.07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341,295,971.13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453,052,043.01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158,972,805.15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184,811,117.47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3,992,456.82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4,064,436.16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5,172,080.41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12,773,191.16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37,476,121.77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34,766,136.99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15,261,864.70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9,378,262.30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940,554,189.72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1,320,106,771.16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49,940,961.00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52,420,100.64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749,940,961.00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652,420,100.64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1,690,495,150.72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1,972,526,871.80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398,229,798.12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398,386,082.32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753,477,118.61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1,021,241,057.41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1,788,690,402.06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2,056,610,625.06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36,493,295.71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50,451,822.20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1,825,183,697.77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2,107,062,447.26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3,515,678,848.49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4,079,589,319.06</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主管会计工作负责人：戴东</w:t>
        <w:tab/>
        <w:t>会计机构负责人：陈宏</w:t>
      </w:r>
    </w:p>
    <w:p>
      <w:pPr>
        <w:spacing w:line="240" w:lineRule="auto" w:before="11"/>
        <w:rPr>
          <w:rFonts w:ascii="宋体" w:hAnsi="宋体" w:cs="宋体" w:eastAsia="宋体" w:hint="default"/>
          <w:sz w:val="26"/>
          <w:szCs w:val="26"/>
        </w:rPr>
      </w:pPr>
    </w:p>
    <w:p>
      <w:pPr>
        <w:tabs>
          <w:tab w:pos="8765" w:val="left" w:leader="none"/>
        </w:tabs>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、母公司资产负债表</w:t>
        <w:tab/>
      </w:r>
      <w:r>
        <w:rPr>
          <w:rFonts w:ascii="宋体" w:hAnsi="宋体" w:cs="宋体" w:eastAsia="宋体" w:hint="default"/>
          <w:sz w:val="18"/>
          <w:szCs w:val="18"/>
        </w:rPr>
        <w:t>单位：元</w:t>
      </w:r>
    </w:p>
    <w:p>
      <w:pPr>
        <w:spacing w:line="240" w:lineRule="auto" w:before="10"/>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472,938,317.29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650,491,364.11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149,284,254.12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141,801,565.20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988,885,964.88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1,413,028,764.58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112,904,069.54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155,045,880.15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28,232,586.77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22,626,617.05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389,289,919.38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461,244,333.50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19,494,099.80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33,433,208.85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70,164,017.23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40,362,255.13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2,231,193,229.01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2,918,033,988.57</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399,054,303.08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412,448,323.30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657,337,039.80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642,773,780.00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16,022,058.85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47,736,106.22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31,578,946.65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32,794,479.13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27,339,712.75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24,602,532.49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1,139,332,061.13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1,168,355,221.14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3,370,525,290.14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4,086,389,209.71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159,677,713.84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320,123,828.63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217,057,444.01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574,069,854.86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143,053,352.39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169,787,537.92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1,437,917.85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1,139,646.50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7,463,290.56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37,476,121.77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34,766,136.99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2,852,091.10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3,203,555.22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732,616,274.23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1,310,852,122.03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49,940,961.00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52,420,100.64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749,940,961.00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652,420,100.64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1,482,557,235.23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1,963,272,222.67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396,469,078.29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396,469,078.29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854,515,491.29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1,089,664,423.42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1,887,968,054.91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2,123,116,987.04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3,370,525,290.14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4,086,389,209.71</w:t>
            </w:r>
          </w:p>
        </w:tc>
      </w:tr>
    </w:tbl>
    <w:p>
      <w:pPr>
        <w:spacing w:line="240" w:lineRule="auto" w:before="10"/>
        <w:rPr>
          <w:rFonts w:ascii="Times New Roman" w:hAnsi="Times New Roman" w:cs="Times New Roman" w:eastAsia="Times New Roman" w:hint="default"/>
          <w:sz w:val="21"/>
          <w:szCs w:val="21"/>
        </w:rPr>
      </w:pPr>
    </w:p>
    <w:p>
      <w:pPr>
        <w:tabs>
          <w:tab w:pos="8796" w:val="left" w:leader="none"/>
        </w:tabs>
        <w:spacing w:before="35"/>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、合并利润表</w:t>
        <w:tab/>
      </w:r>
      <w:r>
        <w:rPr>
          <w:rFonts w:ascii="宋体" w:hAnsi="宋体" w:cs="宋体" w:eastAsia="宋体" w:hint="default"/>
          <w:sz w:val="18"/>
          <w:szCs w:val="18"/>
        </w:rPr>
        <w:t>单位：元</w:t>
      </w:r>
    </w:p>
    <w:p>
      <w:pPr>
        <w:spacing w:line="240" w:lineRule="auto" w:before="10"/>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927,799,821.68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1,320,321,732.22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927,799,821.68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1,320,321,732.22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1,237,342,292.70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1,452,076,606.31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564,912,029.53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759,271,077.78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906006pt;margin-top:521.280029pt;width:193.15pt;height:19.650pt;mso-position-horizontal-relative:page;mso-position-vertical-relative:page;z-index:-7982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8,895,986.62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11,448,776.97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258,226,095.88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252,971,853.68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319,020,091.29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312,890,819.73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62,035,278.82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74,724,789.62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24,252,810.56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40,769,288.53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-6,280,854.53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156,094,833.58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-4,894,020.22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-1,226,123.78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13" w:space="0" w:color="FFFFFF"/>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-315,823,325.55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24,339,959.49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60,415,313.80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67,028,416.80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788,442.65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371,413.89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11,065,305.12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634,806.89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7,492,255.87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244,680.37</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-266,473,316.87</w:t>
            </w:r>
          </w:p>
        </w:tc>
        <w:tc>
          <w:tcPr>
            <w:tcW w:w="3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90,733,569.40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6,388,287.15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29,084,887.46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-272,861,604.02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61,648,681.94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-257,683,938.81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75,843,521.47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-15,177,665.21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-14,194,839.53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9"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-272,861,604.02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-86,378,818.06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-257,683,938.81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-72,183,978.53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-15,177,665.21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-14,194,839.53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主管会计工作负责人：戴东</w:t>
        <w:tab/>
        <w:t>会计机构负责人：陈宏</w:t>
      </w:r>
    </w:p>
    <w:p>
      <w:pPr>
        <w:spacing w:line="240" w:lineRule="auto" w:before="10"/>
        <w:rPr>
          <w:rFonts w:ascii="宋体" w:hAnsi="宋体" w:cs="宋体" w:eastAsia="宋体" w:hint="default"/>
          <w:sz w:val="26"/>
          <w:szCs w:val="26"/>
        </w:rPr>
      </w:pPr>
    </w:p>
    <w:p>
      <w:pPr>
        <w:tabs>
          <w:tab w:pos="8643" w:val="left" w:leader="none"/>
        </w:tabs>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、母公司利润表</w:t>
        <w:tab/>
      </w:r>
      <w:r>
        <w:rPr>
          <w:rFonts w:ascii="宋体" w:hAnsi="宋体" w:cs="宋体" w:eastAsia="宋体" w:hint="default"/>
          <w:sz w:val="18"/>
          <w:szCs w:val="18"/>
        </w:rPr>
        <w:t>单位：元</w:t>
      </w:r>
    </w:p>
    <w:p>
      <w:pPr>
        <w:spacing w:line="240" w:lineRule="auto" w:before="10"/>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774,188,496.16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1,144,141,834.47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519,391,037.59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735,142,459.00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5,744,451.55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7,339,894.70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219,373,657.41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171,853,083.56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206,136,153.16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171,476,502.08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57,732,593.68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70,155,560.04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19,371,344.92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36,341,699.45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-13,991,761.14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150,152,411.67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-4,894,020.22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-4,322,914.36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-267,552,503.29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101,985,047.31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50,473,234.76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53,768,697.85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328,608.31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4,347,599.31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405,389.31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1,765,268.45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120,831.46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-221,426,867.84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155,348,355.85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3,642,064.30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24,513,505.41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-225,068,932.14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130,834,850.44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-148,027,500.00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-225,068,932.14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-17,192,649.56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bl>
    <w:p>
      <w:pPr>
        <w:spacing w:line="240" w:lineRule="auto" w:before="10"/>
        <w:rPr>
          <w:rFonts w:ascii="Times New Roman" w:hAnsi="Times New Roman" w:cs="Times New Roman" w:eastAsia="Times New Roman" w:hint="default"/>
          <w:sz w:val="21"/>
          <w:szCs w:val="21"/>
        </w:rPr>
      </w:pPr>
    </w:p>
    <w:p>
      <w:pPr>
        <w:tabs>
          <w:tab w:pos="8733" w:val="left" w:leader="none"/>
        </w:tabs>
        <w:spacing w:before="35"/>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、合并现金流量表</w:t>
        <w:tab/>
      </w:r>
      <w:r>
        <w:rPr>
          <w:rFonts w:ascii="宋体" w:hAnsi="宋体" w:cs="宋体" w:eastAsia="宋体" w:hint="default"/>
          <w:sz w:val="18"/>
          <w:szCs w:val="18"/>
        </w:rPr>
        <w:t>单位：元</w:t>
      </w:r>
    </w:p>
    <w:p>
      <w:pPr>
        <w:spacing w:line="240" w:lineRule="auto" w:before="10"/>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1,313,050,390.75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1,235,827,364.24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36,931,936.36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50,320,406.35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21,686,615.19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26,457,941.59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1,371,668,942.30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1,312,605,712.18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727,794,325.50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705,356,310.02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121,149,251.27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127,656,409.93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94,895,251.48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110,374,139.41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540,312,621.35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459,907,156.52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1,484,151,449.60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1,403,294,015.88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-112,482,507.30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-90,688,303.70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191,025,152.36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2,452,636.51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267,776.85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3,778,549.44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2,452,636.51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198,071,478.65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13,844,755.83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31,286,199.44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99,094,489.39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25,358,778.06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112,939,245.22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70,644,977.50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-110,486,608.71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127,426,501.15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7,718,500.00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7,718,500.00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323,565,098.50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344,030,000.00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32,996,790.20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127,575,456.00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357,521,888.70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1,079,323,956.00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68,353,448.53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45,164,739.02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733,016.61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31,282,750.70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383,666,199.23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924,164,739.02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-26,144,310.53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155,159,216.98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-1,121,333.06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-4,547.67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-250,234,759.60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191,892,866.76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640,039,906.01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448,147,039.25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389,805,146.41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640,039,906.01</w:t>
            </w:r>
          </w:p>
        </w:tc>
      </w:tr>
    </w:tbl>
    <w:p>
      <w:pPr>
        <w:spacing w:line="240" w:lineRule="auto" w:before="10"/>
        <w:rPr>
          <w:rFonts w:ascii="Times New Roman" w:hAnsi="Times New Roman" w:cs="Times New Roman" w:eastAsia="Times New Roman" w:hint="default"/>
          <w:sz w:val="21"/>
          <w:szCs w:val="21"/>
        </w:rPr>
      </w:pPr>
    </w:p>
    <w:p>
      <w:pPr>
        <w:tabs>
          <w:tab w:pos="8780" w:val="left" w:leader="none"/>
        </w:tabs>
        <w:spacing w:before="35"/>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、母公司现金流量表</w:t>
        <w:tab/>
      </w:r>
      <w:r>
        <w:rPr>
          <w:rFonts w:ascii="宋体" w:hAnsi="宋体" w:cs="宋体" w:eastAsia="宋体" w:hint="default"/>
          <w:sz w:val="18"/>
          <w:szCs w:val="18"/>
        </w:rPr>
        <w:t>单位：元</w:t>
      </w:r>
    </w:p>
    <w:p>
      <w:pPr>
        <w:spacing w:line="240" w:lineRule="auto" w:before="10"/>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1,254,562,210.65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1,061,258,212.59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41,335,254.12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37,789,254.00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20,508,772.67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22,491,588.56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1,316,406,237.44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1,121,539,055.15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1,020,289,325.13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809,538,297.65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52,715,920.93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48,858,462.83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64,011,466.46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75,735,054.02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308,297,167.82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243,401,658.38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1,445,313,880.34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1,177,533,472.88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-128,907,642.90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-55,994,417.73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191,025,152.36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3,013,000.00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171,283.38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207,776.85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5,219,179.83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15,803,435.31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201,283.38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215,268,544.35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5,475,549.42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13,764,732.32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83,902,373.60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85,595,756.00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91,071,305.42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97,667,105.92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-90,870,022.04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117,601,438.43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30,040,540.20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126,278,456.00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300,040,540.20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976,278,456.00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60,119,126.15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35,586,647.17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31,282,750.70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291,401,876.85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835,586,647.17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8,638,663.35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140,691,808.83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-1,121,333.06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-4,547.67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-212,260,334.65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202,294,281.86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556,302,886.47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354,008,604.61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344,042,551.82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556,302,886.47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6"/>
          <w:szCs w:val="26"/>
        </w:rPr>
      </w:pPr>
    </w:p>
    <w:p>
      <w:pPr>
        <w:tabs>
          <w:tab w:pos="9063"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398,386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,082.32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41,057.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50,451,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398,386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,082.32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41,057.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50,451,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-13,958,</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526.49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8,749.4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-15,177,</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665.21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1,604.0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3,156,2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156,284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999.99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-733,01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-10,813,</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016.60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999.99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-733,01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-10,813,</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016.60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-1,204,1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28.87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-1,204,1</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28.87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398,229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,798.12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753,477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,118.61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295.71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83,697.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77</w:t>
            </w:r>
          </w:p>
        </w:tc>
      </w:tr>
    </w:tbl>
    <w:p>
      <w:pPr>
        <w:tabs>
          <w:tab w:pos="8973" w:val="left" w:leader="none"/>
        </w:tabs>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tab/>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506,973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,731.28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115,009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,478.98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994,158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,841.42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223,273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,918.41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1,094.0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148,027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4,890,5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-35,516,</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927.29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9,526.8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9,526.8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389,572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,637.26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148,027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119,900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,000.29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958,641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,914.13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54,784,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391.55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8,813,4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485.04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62,599,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143.28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-4,332,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-67,863,</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995.97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75,843,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521.47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-9,571,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648.61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-81,755,</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627.14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8,813,4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3.15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5,239,0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79.26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13,891,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631.17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13,852,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519.31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13,852,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519.31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8,813,4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3.15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-8,613,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440.05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39,111.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485.04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485.04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485.04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485.04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398,386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,082.32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41,057.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50,451,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822.20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tabs>
          <w:tab w:pos="8973"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1994"/>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2,123,116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,987.04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2,123,116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,987.04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8,932.1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-235,148,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932.13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8,932.1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-225,068,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932.14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999.99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-10,079,9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999.99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-10,079,9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854,515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1,887,968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,054.91</w:t>
            </w:r>
          </w:p>
        </w:tc>
      </w:tr>
    </w:tbl>
    <w:p>
      <w:pPr>
        <w:tabs>
          <w:tab w:pos="8973" w:val="left" w:leader="none"/>
        </w:tabs>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tab/>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504,383,8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90.14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115,009,4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925,737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,361.22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2,049,130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,730.34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-107,914,</w:t>
            </w:r>
          </w:p>
          <w:p>
            <w:pPr>
              <w:pStyle w:val="TableParagraph"/>
              <w:spacing w:line="240" w:lineRule="auto" w:before="106"/>
              <w:ind w:left="275" w:right="0"/>
              <w:jc w:val="left"/>
              <w:rPr>
                <w:rFonts w:ascii="Times New Roman" w:hAnsi="Times New Roman" w:cs="Times New Roman" w:eastAsia="Times New Roman" w:hint="default"/>
                <w:sz w:val="18"/>
                <w:szCs w:val="18"/>
              </w:rPr>
            </w:pPr>
            <w:r>
              <w:rPr>
                <w:rFonts w:ascii="Times New Roman"/>
                <w:sz w:val="18"/>
              </w:rPr>
              <w:t>811.85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148,027,5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4,890,521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46,336,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589.95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91,339,79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9.41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148,027,5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119,900,0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972,073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,951.17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2,140,470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,529.75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-148,027,</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13,083,48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117,590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,472.25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-17,353,5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42.71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-148,027,</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130,834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,850.44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-17,192,6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49.56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3.15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-160,893.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3.15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-160,893.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13,083,48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485.04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13,083,48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485.04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2,123,116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,987.04</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46" w:firstLine="420"/>
        <w:jc w:val="both"/>
      </w:pPr>
      <w:r>
        <w:rPr/>
        <w:t>荣信电力电子股份有限公司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前身系鞍山荣信电力电子有限公司，于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10</w:t>
      </w:r>
      <w:r>
        <w:rPr/>
        <w:t>日公司整体改组为股份有限公司，名称变更为鞍山荣信电力电子股份有限公司。于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日在</w:t>
      </w:r>
      <w:r>
        <w:rPr>
          <w:spacing w:val="-37"/>
        </w:rPr>
        <w:t> </w:t>
      </w:r>
      <w:r>
        <w:rPr/>
        <w:t>辽宁省工商行政管理局变更为荣信电力电子股份有限公司，取得注册号为</w:t>
      </w:r>
      <w:r>
        <w:rPr>
          <w:rFonts w:ascii="Times New Roman" w:hAnsi="Times New Roman" w:cs="Times New Roman" w:eastAsia="Times New Roman" w:hint="default"/>
        </w:rPr>
        <w:t>210000004920217</w:t>
      </w:r>
      <w:r>
        <w:rPr/>
        <w:t>的《企业法人</w:t>
      </w:r>
      <w:r>
        <w:rPr>
          <w:spacing w:val="-42"/>
        </w:rPr>
        <w:t> </w:t>
      </w:r>
      <w:r>
        <w:rPr>
          <w:spacing w:val="-42"/>
        </w:rPr>
      </w:r>
      <w:r>
        <w:rPr/>
        <w:t>营业执照》总部位于辽宁省鞍山市。公司现有注册资本</w:t>
      </w:r>
      <w:r>
        <w:rPr>
          <w:rFonts w:ascii="Times New Roman" w:hAnsi="Times New Roman" w:cs="Times New Roman" w:eastAsia="Times New Roman" w:hint="default"/>
        </w:rPr>
        <w:t>504,000,000.00</w:t>
      </w:r>
      <w:r>
        <w:rPr/>
        <w:t>元，股份总数</w:t>
      </w:r>
      <w:r>
        <w:rPr>
          <w:rFonts w:ascii="Times New Roman" w:hAnsi="Times New Roman" w:cs="Times New Roman" w:eastAsia="Times New Roman" w:hint="default"/>
        </w:rPr>
        <w:t>504,000,000</w:t>
      </w:r>
      <w:r>
        <w:rPr/>
        <w:t>股</w:t>
      </w:r>
      <w:r>
        <w:rPr>
          <w:rFonts w:ascii="Times New Roman" w:hAnsi="Times New Roman" w:cs="Times New Roman" w:eastAsia="Times New Roman" w:hint="default"/>
        </w:rPr>
        <w:t>(</w:t>
      </w:r>
      <w:r>
        <w:rPr/>
        <w:t>每股面</w:t>
      </w:r>
      <w:r>
        <w:rPr>
          <w:spacing w:val="-58"/>
        </w:rPr>
        <w:t> </w:t>
      </w:r>
      <w:r>
        <w:rPr/>
        <w:t>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49,805,065</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454,194,935</w:t>
      </w:r>
      <w:r>
        <w:rPr/>
        <w:t>股。公司</w:t>
      </w:r>
      <w:r>
        <w:rPr>
          <w:spacing w:val="-102"/>
        </w:rPr>
        <w:t> </w:t>
      </w:r>
      <w:r>
        <w:rPr/>
        <w:t>股票于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日在深圳证券交易所挂牌交易。</w:t>
      </w:r>
    </w:p>
    <w:p>
      <w:pPr>
        <w:pStyle w:val="BodyText"/>
        <w:spacing w:line="266" w:lineRule="auto" w:before="5"/>
        <w:ind w:right="128" w:firstLine="420"/>
        <w:jc w:val="both"/>
      </w:pPr>
      <w:r>
        <w:rPr/>
        <w:t>本公司属节能大功率电力电子设备制造业。经营范围：无功补偿设备、输变电设备、防爆电气设备、 </w:t>
      </w:r>
      <w:r>
        <w:rPr>
          <w:spacing w:val="-1"/>
        </w:rPr>
        <w:t>变频调速设备及其控制系统的研发、生产、销售和售后维修；电力电子元件、仪器仪表生产、销售；电力</w:t>
      </w:r>
      <w:r>
        <w:rPr>
          <w:spacing w:val="-83"/>
        </w:rPr>
        <w:t> </w:t>
      </w:r>
      <w:r>
        <w:rPr>
          <w:spacing w:val="-83"/>
        </w:rPr>
      </w:r>
      <w:r>
        <w:rPr/>
        <w:t>电子产品及技术的进出口经营</w:t>
      </w:r>
      <w:r>
        <w:rPr>
          <w:rFonts w:ascii="Times New Roman" w:hAnsi="Times New Roman" w:cs="Times New Roman" w:eastAsia="Times New Roman" w:hint="default"/>
        </w:rPr>
        <w:t>(</w:t>
      </w:r>
      <w:r>
        <w:rPr/>
        <w:t>国家禁止的除外，限制的凭许可证明经营</w:t>
      </w:r>
      <w:r>
        <w:rPr>
          <w:rFonts w:ascii="Times New Roman" w:hAnsi="Times New Roman" w:cs="Times New Roman" w:eastAsia="Times New Roman" w:hint="default"/>
        </w:rPr>
        <w:t>)</w:t>
      </w:r>
      <w:r>
        <w:rPr/>
        <w:t>。主要产品或提供的劳务：节能</w:t>
      </w:r>
      <w:r>
        <w:rPr>
          <w:spacing w:val="-73"/>
        </w:rPr>
        <w:t> </w:t>
      </w:r>
      <w:r>
        <w:rPr>
          <w:spacing w:val="-73"/>
        </w:rPr>
      </w:r>
      <w:r>
        <w:rPr/>
        <w:t>大功率电力电子产品。</w:t>
      </w:r>
    </w:p>
    <w:p>
      <w:pPr>
        <w:pStyle w:val="BodyText"/>
        <w:spacing w:line="256" w:lineRule="auto" w:before="14"/>
        <w:ind w:left="573" w:right="0"/>
        <w:jc w:val="left"/>
      </w:pPr>
      <w:r>
        <w:rPr/>
        <w:t>本财务报表业经公司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日第五届十五次董事会批准对外报出。 </w:t>
      </w:r>
      <w:r>
        <w:rPr>
          <w:spacing w:val="-1"/>
        </w:rPr>
        <w:t>本公司将诚和伟业</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科技发展有限责任公司</w:t>
      </w:r>
      <w:r>
        <w:rPr>
          <w:rFonts w:ascii="Times New Roman" w:hAnsi="Times New Roman" w:cs="Times New Roman" w:eastAsia="Times New Roman" w:hint="default"/>
          <w:spacing w:val="-1"/>
        </w:rPr>
        <w:t>(</w:t>
      </w:r>
      <w:r>
        <w:rPr>
          <w:spacing w:val="-1"/>
        </w:rPr>
        <w:t>以下简称诚和伟业</w:t>
      </w:r>
      <w:r>
        <w:rPr>
          <w:rFonts w:ascii="Times New Roman" w:hAnsi="Times New Roman" w:cs="Times New Roman" w:eastAsia="Times New Roman" w:hint="default"/>
          <w:spacing w:val="-1"/>
        </w:rPr>
        <w:t>)</w:t>
      </w:r>
      <w:r>
        <w:rPr>
          <w:spacing w:val="-1"/>
        </w:rPr>
        <w:t>、荣信嘉时</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科技发展有限公</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50" w:right="149" w:firstLine="3"/>
        <w:jc w:val="both"/>
      </w:pPr>
      <w:r>
        <w:rPr/>
        <w:t>司</w:t>
      </w:r>
      <w:r>
        <w:rPr>
          <w:rFonts w:ascii="Times New Roman" w:hAnsi="Times New Roman" w:cs="Times New Roman" w:eastAsia="Times New Roman" w:hint="default"/>
        </w:rPr>
        <w:t>(</w:t>
      </w:r>
      <w:r>
        <w:rPr/>
        <w:t>以下简称荣信嘉时</w:t>
      </w:r>
      <w:r>
        <w:rPr>
          <w:rFonts w:ascii="Times New Roman" w:hAnsi="Times New Roman" w:cs="Times New Roman" w:eastAsia="Times New Roman" w:hint="default"/>
        </w:rPr>
        <w:t>)</w:t>
      </w:r>
      <w:r>
        <w:rPr/>
        <w:t>、荣信电气传动系统</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荣信电气</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、北京荣科恒阳整流技术有限</w:t>
      </w:r>
      <w:r>
        <w:rPr>
          <w:spacing w:val="-80"/>
        </w:rPr>
        <w:t> </w:t>
      </w:r>
      <w:r>
        <w:rPr>
          <w:spacing w:val="-80"/>
        </w:rPr>
      </w:r>
      <w:r>
        <w:rPr>
          <w:spacing w:val="-2"/>
        </w:rPr>
        <w:t>公司</w:t>
      </w:r>
      <w:r>
        <w:rPr>
          <w:rFonts w:ascii="Times New Roman" w:hAnsi="Times New Roman" w:cs="Times New Roman" w:eastAsia="Times New Roman" w:hint="default"/>
          <w:spacing w:val="-2"/>
        </w:rPr>
        <w:t>(</w:t>
      </w:r>
      <w:r>
        <w:rPr>
          <w:spacing w:val="-2"/>
        </w:rPr>
        <w:t>以下简称荣科恒阳</w:t>
      </w:r>
      <w:r>
        <w:rPr>
          <w:rFonts w:ascii="Times New Roman" w:hAnsi="Times New Roman" w:cs="Times New Roman" w:eastAsia="Times New Roman" w:hint="default"/>
          <w:spacing w:val="-2"/>
        </w:rPr>
        <w:t>)</w:t>
      </w:r>
      <w:r>
        <w:rPr>
          <w:spacing w:val="-2"/>
        </w:rPr>
        <w:t>、北京荣华恒信开关技术有限公司</w:t>
      </w:r>
      <w:r>
        <w:rPr>
          <w:rFonts w:ascii="Times New Roman" w:hAnsi="Times New Roman" w:cs="Times New Roman" w:eastAsia="Times New Roman" w:hint="default"/>
          <w:spacing w:val="-2"/>
        </w:rPr>
        <w:t>(</w:t>
      </w:r>
      <w:r>
        <w:rPr>
          <w:spacing w:val="-2"/>
        </w:rPr>
        <w:t>以下简称荣华恒信</w:t>
      </w:r>
      <w:r>
        <w:rPr>
          <w:rFonts w:ascii="Times New Roman" w:hAnsi="Times New Roman" w:cs="Times New Roman" w:eastAsia="Times New Roman" w:hint="default"/>
          <w:spacing w:val="-2"/>
        </w:rPr>
        <w:t>)</w:t>
      </w:r>
      <w:r>
        <w:rPr>
          <w:spacing w:val="-2"/>
        </w:rPr>
        <w:t>、辽宁荣信防爆电气技术有</w:t>
      </w:r>
      <w:r>
        <w:rPr>
          <w:spacing w:val="-103"/>
        </w:rPr>
        <w:t> </w:t>
      </w:r>
      <w:r>
        <w:rPr>
          <w:spacing w:val="-103"/>
        </w:rPr>
      </w:r>
      <w:r>
        <w:rPr>
          <w:spacing w:val="-2"/>
        </w:rPr>
        <w:t>限公司</w:t>
      </w:r>
      <w:r>
        <w:rPr>
          <w:rFonts w:ascii="Times New Roman" w:hAnsi="Times New Roman" w:cs="Times New Roman" w:eastAsia="Times New Roman" w:hint="default"/>
          <w:spacing w:val="-2"/>
        </w:rPr>
        <w:t>(</w:t>
      </w:r>
      <w:r>
        <w:rPr>
          <w:spacing w:val="-2"/>
        </w:rPr>
        <w:t>以下简称荣信防爆</w:t>
      </w:r>
      <w:r>
        <w:rPr>
          <w:rFonts w:ascii="Times New Roman" w:hAnsi="Times New Roman" w:cs="Times New Roman" w:eastAsia="Times New Roman" w:hint="default"/>
          <w:spacing w:val="-2"/>
        </w:rPr>
        <w:t>)</w:t>
      </w:r>
      <w:r>
        <w:rPr>
          <w:spacing w:val="-2"/>
        </w:rPr>
        <w:t>、辽宁荣信电机控制技术有限公司</w:t>
      </w:r>
      <w:r>
        <w:rPr>
          <w:rFonts w:ascii="Times New Roman" w:hAnsi="Times New Roman" w:cs="Times New Roman" w:eastAsia="Times New Roman" w:hint="default"/>
          <w:spacing w:val="-2"/>
        </w:rPr>
        <w:t>(</w:t>
      </w:r>
      <w:r>
        <w:rPr>
          <w:spacing w:val="-2"/>
        </w:rPr>
        <w:t>以下简称荣信电机</w:t>
      </w:r>
      <w:r>
        <w:rPr>
          <w:rFonts w:ascii="Times New Roman" w:hAnsi="Times New Roman" w:cs="Times New Roman" w:eastAsia="Times New Roman" w:hint="default"/>
          <w:spacing w:val="-2"/>
        </w:rPr>
        <w:t>)</w:t>
      </w:r>
      <w:r>
        <w:rPr>
          <w:spacing w:val="-2"/>
        </w:rPr>
        <w:t>、辽宁荣信众腾科技有限</w:t>
      </w:r>
      <w:r>
        <w:rPr>
          <w:spacing w:val="-103"/>
        </w:rPr>
        <w:t> </w:t>
      </w:r>
      <w:r>
        <w:rPr>
          <w:spacing w:val="-103"/>
        </w:rPr>
      </w:r>
      <w:r>
        <w:rPr>
          <w:spacing w:val="-2"/>
        </w:rPr>
        <w:t>公司</w:t>
      </w:r>
      <w:r>
        <w:rPr>
          <w:rFonts w:ascii="Times New Roman" w:hAnsi="Times New Roman" w:cs="Times New Roman" w:eastAsia="Times New Roman" w:hint="default"/>
          <w:spacing w:val="-2"/>
        </w:rPr>
        <w:t>(</w:t>
      </w:r>
      <w:r>
        <w:rPr>
          <w:spacing w:val="-2"/>
        </w:rPr>
        <w:t>以下简称荣信众腾</w:t>
      </w:r>
      <w:r>
        <w:rPr>
          <w:rFonts w:ascii="Times New Roman" w:hAnsi="Times New Roman" w:cs="Times New Roman" w:eastAsia="Times New Roman" w:hint="default"/>
          <w:spacing w:val="-2"/>
        </w:rPr>
        <w:t>)</w:t>
      </w:r>
      <w:r>
        <w:rPr>
          <w:spacing w:val="-2"/>
        </w:rPr>
        <w:t>、辽宁荣信光伏技术有限公司</w:t>
      </w:r>
      <w:r>
        <w:rPr>
          <w:rFonts w:ascii="Times New Roman" w:hAnsi="Times New Roman" w:cs="Times New Roman" w:eastAsia="Times New Roman" w:hint="default"/>
          <w:spacing w:val="-2"/>
        </w:rPr>
        <w:t>(</w:t>
      </w:r>
      <w:r>
        <w:rPr>
          <w:spacing w:val="-2"/>
        </w:rPr>
        <w:t>以下简称荣信光伏</w:t>
      </w:r>
      <w:r>
        <w:rPr>
          <w:rFonts w:ascii="Times New Roman" w:hAnsi="Times New Roman" w:cs="Times New Roman" w:eastAsia="Times New Roman" w:hint="default"/>
          <w:spacing w:val="-2"/>
        </w:rPr>
        <w:t>)</w:t>
      </w:r>
      <w:r>
        <w:rPr>
          <w:spacing w:val="-2"/>
        </w:rPr>
        <w:t>、辽宁荣信电气传动技术有限责</w:t>
      </w:r>
      <w:r>
        <w:rPr>
          <w:spacing w:val="-103"/>
        </w:rPr>
        <w:t> </w:t>
      </w:r>
      <w:r>
        <w:rPr>
          <w:spacing w:val="-103"/>
        </w:rPr>
      </w:r>
      <w:r>
        <w:rPr/>
        <w:t>任公司</w:t>
      </w:r>
      <w:r>
        <w:rPr>
          <w:rFonts w:ascii="Times New Roman" w:hAnsi="Times New Roman" w:cs="Times New Roman" w:eastAsia="Times New Roman" w:hint="default"/>
        </w:rPr>
        <w:t>(</w:t>
      </w:r>
      <w:r>
        <w:rPr/>
        <w:t>以下简称荣信电气</w:t>
      </w:r>
      <w:r>
        <w:rPr>
          <w:rFonts w:ascii="Times New Roman" w:hAnsi="Times New Roman" w:cs="Times New Roman" w:eastAsia="Times New Roman" w:hint="default"/>
        </w:rPr>
        <w:t>)</w:t>
      </w:r>
      <w:r>
        <w:rPr/>
        <w:t>、南京荣信电力自动化有限公司（以下简称南京荣信）、北京荣信慧科科技有</w:t>
      </w:r>
      <w:r>
        <w:rPr>
          <w:spacing w:val="-71"/>
        </w:rPr>
        <w:t> </w:t>
      </w:r>
      <w:r>
        <w:rPr>
          <w:spacing w:val="-71"/>
        </w:rPr>
      </w:r>
      <w:r>
        <w:rPr>
          <w:spacing w:val="-2"/>
        </w:rPr>
        <w:t>限公司</w:t>
      </w:r>
      <w:r>
        <w:rPr>
          <w:rFonts w:ascii="Times New Roman" w:hAnsi="Times New Roman" w:cs="Times New Roman" w:eastAsia="Times New Roman" w:hint="default"/>
          <w:spacing w:val="-2"/>
        </w:rPr>
        <w:t>(</w:t>
      </w:r>
      <w:r>
        <w:rPr>
          <w:spacing w:val="-2"/>
        </w:rPr>
        <w:t>以下简称荣信慧科</w:t>
      </w:r>
      <w:r>
        <w:rPr>
          <w:rFonts w:ascii="Times New Roman" w:hAnsi="Times New Roman" w:cs="Times New Roman" w:eastAsia="Times New Roman" w:hint="default"/>
          <w:spacing w:val="-2"/>
        </w:rPr>
        <w:t>)</w:t>
      </w:r>
      <w:r>
        <w:rPr>
          <w:spacing w:val="-2"/>
        </w:rPr>
        <w:t>、北京荣科博信科技发展有限公司</w:t>
      </w:r>
      <w:r>
        <w:rPr>
          <w:rFonts w:ascii="Times New Roman" w:hAnsi="Times New Roman" w:cs="Times New Roman" w:eastAsia="Times New Roman" w:hint="default"/>
          <w:spacing w:val="-2"/>
        </w:rPr>
        <w:t>(</w:t>
      </w:r>
      <w:r>
        <w:rPr>
          <w:spacing w:val="-2"/>
        </w:rPr>
        <w:t>以下简称荣科博信</w:t>
      </w:r>
      <w:r>
        <w:rPr>
          <w:rFonts w:ascii="Times New Roman" w:hAnsi="Times New Roman" w:cs="Times New Roman" w:eastAsia="Times New Roman" w:hint="default"/>
          <w:spacing w:val="-2"/>
        </w:rPr>
        <w:t>)</w:t>
      </w:r>
      <w:r>
        <w:rPr>
          <w:spacing w:val="-2"/>
        </w:rPr>
        <w:t>、广州邦建电力技术有限</w:t>
      </w:r>
      <w:r>
        <w:rPr>
          <w:spacing w:val="-103"/>
        </w:rPr>
        <w:t> </w:t>
      </w:r>
      <w:r>
        <w:rPr>
          <w:spacing w:val="-103"/>
        </w:rPr>
      </w:r>
      <w:r>
        <w:rPr>
          <w:spacing w:val="-2"/>
        </w:rPr>
        <w:t>公司</w:t>
      </w:r>
      <w:r>
        <w:rPr>
          <w:rFonts w:ascii="Times New Roman" w:hAnsi="Times New Roman" w:cs="Times New Roman" w:eastAsia="Times New Roman" w:hint="default"/>
          <w:spacing w:val="-2"/>
        </w:rPr>
        <w:t>(</w:t>
      </w:r>
      <w:r>
        <w:rPr>
          <w:spacing w:val="-2"/>
        </w:rPr>
        <w:t>以下简称广州邦建</w:t>
      </w:r>
      <w:r>
        <w:rPr>
          <w:rFonts w:ascii="Times New Roman" w:hAnsi="Times New Roman" w:cs="Times New Roman" w:eastAsia="Times New Roman" w:hint="default"/>
          <w:spacing w:val="-2"/>
        </w:rPr>
        <w:t>)</w:t>
      </w:r>
      <w:r>
        <w:rPr>
          <w:spacing w:val="-2"/>
        </w:rPr>
        <w:t>、北京荣信瑞科科技发展有限公司</w:t>
      </w:r>
      <w:r>
        <w:rPr>
          <w:rFonts w:ascii="Times New Roman" w:hAnsi="Times New Roman" w:cs="Times New Roman" w:eastAsia="Times New Roman" w:hint="default"/>
          <w:spacing w:val="-2"/>
        </w:rPr>
        <w:t>(</w:t>
      </w:r>
      <w:r>
        <w:rPr>
          <w:spacing w:val="-2"/>
        </w:rPr>
        <w:t>以下简称荣信瑞科</w:t>
      </w:r>
      <w:r>
        <w:rPr>
          <w:rFonts w:ascii="Times New Roman" w:hAnsi="Times New Roman" w:cs="Times New Roman" w:eastAsia="Times New Roman" w:hint="default"/>
          <w:spacing w:val="-2"/>
        </w:rPr>
        <w:t>)</w:t>
      </w:r>
      <w:r>
        <w:rPr>
          <w:spacing w:val="-2"/>
        </w:rPr>
        <w:t>、荣西电力传输技术有限公</w:t>
      </w:r>
      <w:r>
        <w:rPr>
          <w:spacing w:val="-103"/>
        </w:rPr>
        <w:t> </w:t>
      </w:r>
      <w:r>
        <w:rPr>
          <w:spacing w:val="-103"/>
        </w:rPr>
      </w:r>
      <w:r>
        <w:rPr>
          <w:spacing w:val="-1"/>
        </w:rPr>
        <w:t>司</w:t>
      </w:r>
      <w:r>
        <w:rPr>
          <w:rFonts w:ascii="Times New Roman" w:hAnsi="Times New Roman" w:cs="Times New Roman" w:eastAsia="Times New Roman" w:hint="default"/>
          <w:spacing w:val="-1"/>
        </w:rPr>
        <w:t>(</w:t>
      </w:r>
      <w:r>
        <w:rPr>
          <w:spacing w:val="-1"/>
        </w:rPr>
        <w:t>以下简称荣西电力</w:t>
      </w:r>
      <w:r>
        <w:rPr>
          <w:rFonts w:ascii="Times New Roman" w:hAnsi="Times New Roman" w:cs="Times New Roman" w:eastAsia="Times New Roman" w:hint="default"/>
          <w:spacing w:val="-1"/>
        </w:rPr>
        <w:t>)</w:t>
      </w:r>
      <w:r>
        <w:rPr>
          <w:spacing w:val="-1"/>
        </w:rPr>
        <w:t>、新疆荣信节能电气有限公司</w:t>
      </w:r>
      <w:r>
        <w:rPr>
          <w:rFonts w:ascii="Times New Roman" w:hAnsi="Times New Roman" w:cs="Times New Roman" w:eastAsia="Times New Roman" w:hint="default"/>
          <w:spacing w:val="-1"/>
        </w:rPr>
        <w:t>(</w:t>
      </w:r>
      <w:r>
        <w:rPr>
          <w:spacing w:val="-1"/>
        </w:rPr>
        <w:t>以下简称新疆荣信</w:t>
      </w:r>
      <w:r>
        <w:rPr>
          <w:rFonts w:ascii="Times New Roman" w:hAnsi="Times New Roman" w:cs="Times New Roman" w:eastAsia="Times New Roman" w:hint="default"/>
          <w:spacing w:val="-1"/>
        </w:rPr>
        <w:t>)</w:t>
      </w:r>
      <w:r>
        <w:rPr>
          <w:spacing w:val="-1"/>
        </w:rPr>
        <w:t>、荣信电力工程</w:t>
      </w:r>
      <w:r>
        <w:rPr>
          <w:rFonts w:ascii="Times New Roman" w:hAnsi="Times New Roman" w:cs="Times New Roman" w:eastAsia="Times New Roman" w:hint="default"/>
          <w:spacing w:val="-1"/>
        </w:rPr>
        <w:t>JLT</w:t>
      </w:r>
      <w:r>
        <w:rPr>
          <w:spacing w:val="-1"/>
        </w:rPr>
        <w:t>公司（以下简</w:t>
      </w:r>
      <w:r>
        <w:rPr>
          <w:spacing w:val="-72"/>
        </w:rPr>
        <w:t> </w:t>
      </w:r>
      <w:r>
        <w:rPr>
          <w:spacing w:val="-72"/>
        </w:rPr>
      </w:r>
      <w:r>
        <w:rPr/>
        <w:t>称荣信</w:t>
      </w:r>
      <w:r>
        <w:rPr>
          <w:rFonts w:ascii="Times New Roman" w:hAnsi="Times New Roman" w:cs="Times New Roman" w:eastAsia="Times New Roman" w:hint="default"/>
        </w:rPr>
        <w:t>JLT</w:t>
      </w:r>
      <w:r>
        <w:rPr/>
        <w:t>）、北京荣信中科电气设备有限公司</w:t>
      </w:r>
      <w:r>
        <w:rPr>
          <w:rFonts w:ascii="Times New Roman" w:hAnsi="Times New Roman" w:cs="Times New Roman" w:eastAsia="Times New Roman" w:hint="default"/>
        </w:rPr>
        <w:t>(</w:t>
      </w:r>
      <w:r>
        <w:rPr/>
        <w:t>以下简称荣信中科</w:t>
      </w:r>
      <w:r>
        <w:rPr>
          <w:rFonts w:ascii="Times New Roman" w:hAnsi="Times New Roman" w:cs="Times New Roman" w:eastAsia="Times New Roman" w:hint="default"/>
        </w:rPr>
        <w:t>)</w:t>
      </w:r>
      <w:r>
        <w:rPr/>
        <w:t>、西安荣信电气有限责任公司</w:t>
      </w:r>
      <w:r>
        <w:rPr>
          <w:rFonts w:ascii="Times New Roman" w:hAnsi="Times New Roman" w:cs="Times New Roman" w:eastAsia="Times New Roman" w:hint="default"/>
        </w:rPr>
        <w:t>(</w:t>
      </w:r>
      <w:r>
        <w:rPr/>
        <w:t>以下简</w:t>
      </w:r>
      <w:r>
        <w:rPr>
          <w:spacing w:val="-61"/>
        </w:rPr>
        <w:t> </w:t>
      </w:r>
      <w:r>
        <w:rPr>
          <w:spacing w:val="-61"/>
        </w:rPr>
      </w:r>
      <w:r>
        <w:rPr/>
        <w:t>称西安荣信</w:t>
      </w:r>
      <w:r>
        <w:rPr>
          <w:rFonts w:ascii="Times New Roman" w:hAnsi="Times New Roman" w:cs="Times New Roman" w:eastAsia="Times New Roman" w:hint="default"/>
        </w:rPr>
        <w:t>)</w:t>
      </w:r>
      <w:r>
        <w:rPr/>
        <w:t>、上海地澳自动化科技有限公司</w:t>
      </w:r>
      <w:r>
        <w:rPr>
          <w:rFonts w:ascii="Times New Roman" w:hAnsi="Times New Roman" w:cs="Times New Roman" w:eastAsia="Times New Roman" w:hint="default"/>
        </w:rPr>
        <w:t>(</w:t>
      </w:r>
      <w:r>
        <w:rPr/>
        <w:t>以下简称上海地澳</w:t>
      </w:r>
      <w:r>
        <w:rPr>
          <w:rFonts w:ascii="Times New Roman" w:hAnsi="Times New Roman" w:cs="Times New Roman" w:eastAsia="Times New Roman" w:hint="default"/>
        </w:rPr>
        <w:t>) </w:t>
      </w:r>
      <w:r>
        <w:rPr/>
        <w:t>等</w:t>
      </w:r>
      <w:r>
        <w:rPr>
          <w:rFonts w:ascii="Times New Roman" w:hAnsi="Times New Roman" w:cs="Times New Roman" w:eastAsia="Times New Roman" w:hint="default"/>
        </w:rPr>
        <w:t>21</w:t>
      </w:r>
      <w:r>
        <w:rPr/>
        <w:t>家子公司纳入本期合并财务报表范</w:t>
      </w:r>
      <w:r>
        <w:rPr>
          <w:spacing w:val="-91"/>
        </w:rPr>
        <w:t> </w:t>
      </w:r>
      <w:r>
        <w:rPr>
          <w:spacing w:val="-91"/>
        </w:rPr>
      </w:r>
      <w:r>
        <w:rPr/>
        <w:t>围，详见本财务报表附注合并范围的变更和在其他主体中的权益之说明。</w:t>
      </w:r>
    </w:p>
    <w:p>
      <w:pPr>
        <w:spacing w:line="240" w:lineRule="auto" w:before="12"/>
        <w:rPr>
          <w:rFonts w:ascii="宋体" w:hAnsi="宋体" w:cs="宋体" w:eastAsia="宋体" w:hint="default"/>
          <w:sz w:val="22"/>
          <w:szCs w:val="22"/>
        </w:rPr>
      </w:pPr>
    </w:p>
    <w:p>
      <w:pPr>
        <w:pStyle w:val="Heading2"/>
        <w:spacing w:line="240" w:lineRule="auto" w:before="0"/>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本公司财务报表以持续经营为编制基础。</w:t>
      </w:r>
    </w:p>
    <w:p>
      <w:pPr>
        <w:spacing w:line="240" w:lineRule="auto" w:before="11"/>
        <w:rPr>
          <w:rFonts w:ascii="宋体" w:hAnsi="宋体" w:cs="宋体" w:eastAsia="宋体" w:hint="default"/>
          <w:sz w:val="25"/>
          <w:szCs w:val="25"/>
        </w:rPr>
      </w:pPr>
    </w:p>
    <w:p>
      <w:pPr>
        <w:pStyle w:val="BodyText"/>
        <w:spacing w:line="506" w:lineRule="auto"/>
        <w:ind w:left="490" w:right="1454" w:hanging="336"/>
        <w:jc w:val="left"/>
      </w:pP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spacing w:val="1"/>
          <w:w w:val="99"/>
        </w:rPr>
        <w:t> </w:t>
      </w: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pStyle w:val="Heading2"/>
        <w:spacing w:line="240" w:lineRule="auto" w:before="41"/>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94" w:firstLine="336"/>
        <w:jc w:val="left"/>
      </w:pPr>
      <w:r>
        <w:rPr/>
        <w:t>本公司根据实际生产经营特点针对应收款项坏账准备计提、固定资产折旧、无形资产摊销、收入确认 等交易或事项制定了具体会计政策和会计估计。</w:t>
      </w:r>
    </w:p>
    <w:p>
      <w:pPr>
        <w:spacing w:line="590" w:lineRule="atLeast" w:before="9"/>
        <w:ind w:left="490" w:right="19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本公司所编制的财务报表符合企业会计准则的要求，真实、完整地反映了公司的财务状况、经营成果</w:t>
      </w:r>
    </w:p>
    <w:p>
      <w:pPr>
        <w:pStyle w:val="BodyText"/>
        <w:spacing w:line="240" w:lineRule="auto" w:before="37"/>
        <w:ind w:left="154" w:right="0"/>
        <w:jc w:val="left"/>
      </w:pPr>
      <w:r>
        <w:rPr/>
        <w:t>和现金流量等有关信息。</w:t>
      </w:r>
    </w:p>
    <w:p>
      <w:pPr>
        <w:spacing w:line="240" w:lineRule="auto" w:before="11"/>
        <w:rPr>
          <w:rFonts w:ascii="宋体" w:hAnsi="宋体" w:cs="宋体" w:eastAsia="宋体" w:hint="default"/>
          <w:sz w:val="25"/>
          <w:szCs w:val="25"/>
        </w:rPr>
      </w:pPr>
    </w:p>
    <w:p>
      <w:pPr>
        <w:spacing w:line="506" w:lineRule="auto" w:before="0"/>
        <w:ind w:left="490" w:right="565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506" w:lineRule="auto" w:before="64"/>
        <w:ind w:left="490" w:right="691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3"/>
        <w:spacing w:line="240" w:lineRule="auto" w:before="105"/>
        <w:ind w:right="0"/>
        <w:jc w:val="left"/>
        <w:rPr>
          <w:b w:val="0"/>
          <w:bCs w:val="0"/>
        </w:rPr>
      </w:pP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 </w:t>
      </w:r>
      <w:r>
        <w:rPr>
          <w:spacing w:val="-1"/>
        </w:rPr>
        <w:t>公司在企业合并中取得的资产和负债，按照合并日被合并方在最终控制方合并财务报表中的账面价值</w:t>
      </w:r>
    </w:p>
    <w:p>
      <w:pPr>
        <w:pStyle w:val="BodyText"/>
        <w:spacing w:line="240" w:lineRule="auto" w:before="22"/>
        <w:ind w:left="154" w:right="0"/>
        <w:jc w:val="left"/>
      </w:pPr>
      <w:r>
        <w:rPr/>
        <w:t>计量。公司按照被合并方所有者权益在最终控制方合并财务报表中的账面价值份额与支付的合并对价账面</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154" w:right="0"/>
        <w:jc w:val="both"/>
      </w:pPr>
      <w:r>
        <w:rPr/>
        <w:t>价值或发行股份面值总额的差额，调整资本公积；资本公积不足冲减的，调整留存收益。</w:t>
      </w:r>
    </w:p>
    <w:p>
      <w:pPr>
        <w:pStyle w:val="BodyText"/>
        <w:spacing w:line="256" w:lineRule="auto" w:before="37"/>
        <w:ind w:left="574" w:right="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273" w:lineRule="auto" w:before="22"/>
        <w:ind w:left="154" w:right="189"/>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590" w:lineRule="atLeast" w:before="9"/>
        <w:ind w:left="490" w:right="23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母公司将其控制的所有子公司纳入合并财务报表的合并范围。合并财务报表以母公司及其子公司的财</w:t>
      </w:r>
    </w:p>
    <w:p>
      <w:pPr>
        <w:pStyle w:val="BodyText"/>
        <w:spacing w:line="240" w:lineRule="auto" w:before="37"/>
        <w:ind w:left="154" w:right="0"/>
        <w:jc w:val="both"/>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8"/>
        <w:rPr>
          <w:rFonts w:ascii="宋体" w:hAnsi="宋体" w:cs="宋体" w:eastAsia="宋体" w:hint="default"/>
          <w:sz w:val="24"/>
          <w:szCs w:val="24"/>
        </w:rPr>
      </w:pPr>
    </w:p>
    <w:p>
      <w:pPr>
        <w:pStyle w:val="Heading3"/>
        <w:spacing w:line="240" w:lineRule="auto" w:before="0"/>
        <w:ind w:right="0"/>
        <w:jc w:val="both"/>
        <w:rPr>
          <w:b w:val="0"/>
          <w:bCs w:val="0"/>
        </w:rPr>
      </w:pP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合营安排分为共同经营和合营企业。</w:t>
      </w:r>
    </w:p>
    <w:p>
      <w:pPr>
        <w:pStyle w:val="BodyText"/>
        <w:spacing w:line="240" w:lineRule="auto" w:before="21"/>
        <w:ind w:left="574" w:right="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当公司为共同经营的合营方时，确认与共同经营中利益份额相关的下列项目：</w:t>
      </w:r>
    </w:p>
    <w:p>
      <w:pPr>
        <w:pStyle w:val="BodyText"/>
        <w:spacing w:line="240" w:lineRule="auto" w:before="21"/>
        <w:ind w:left="574" w:right="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确认单独所持有的资产，以及按持有份额确认共同持有的资产；</w:t>
      </w:r>
    </w:p>
    <w:p>
      <w:pPr>
        <w:pStyle w:val="BodyText"/>
        <w:spacing w:line="240" w:lineRule="auto" w:before="21"/>
        <w:ind w:left="574" w:right="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确认单独所承担的负债，以及按持有份额确认共同承担的负债；</w:t>
      </w:r>
    </w:p>
    <w:p>
      <w:pPr>
        <w:pStyle w:val="BodyText"/>
        <w:spacing w:line="240" w:lineRule="auto" w:before="21"/>
        <w:ind w:left="574" w:right="9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确认出售公司享有的共同经营产出份额所产生的收入；</w:t>
      </w:r>
    </w:p>
    <w:p>
      <w:pPr>
        <w:pStyle w:val="BodyText"/>
        <w:spacing w:line="240" w:lineRule="auto" w:before="21"/>
        <w:ind w:left="574" w:right="9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按公司持有份额确认共同经营因出售资产所产生的收入；</w:t>
      </w:r>
    </w:p>
    <w:p>
      <w:pPr>
        <w:pStyle w:val="BodyText"/>
        <w:spacing w:line="240" w:lineRule="auto" w:before="21"/>
        <w:ind w:left="574" w:right="9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确认单独所发生的费用，以及按公司持有份额确认共同经营发生的费用。</w:t>
      </w:r>
    </w:p>
    <w:p>
      <w:pPr>
        <w:spacing w:line="590" w:lineRule="atLeast" w:before="23"/>
        <w:ind w:left="574" w:right="9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BodyText"/>
        <w:spacing w:line="240" w:lineRule="auto" w:before="37"/>
        <w:ind w:left="154" w:right="0"/>
        <w:jc w:val="both"/>
      </w:pPr>
      <w:r>
        <w:rPr/>
        <w:t>期限短、流动性强、易于转换为已知金额现金、价值变动风险很小的投资。</w:t>
      </w:r>
    </w:p>
    <w:p>
      <w:pPr>
        <w:spacing w:line="590" w:lineRule="atLeast" w:before="39"/>
        <w:ind w:left="490" w:right="23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b/>
          <w:bCs/>
          <w:spacing w:val="1"/>
          <w:w w:val="99"/>
          <w:sz w:val="21"/>
          <w:szCs w:val="21"/>
        </w:rPr>
        <w:t> </w:t>
      </w:r>
      <w:r>
        <w:rPr>
          <w:rFonts w:ascii="宋体" w:hAnsi="宋体" w:cs="宋体" w:eastAsia="宋体" w:hint="default"/>
          <w:sz w:val="21"/>
          <w:szCs w:val="21"/>
        </w:rPr>
        <w:t>外币交易在初始确认时，采用交易发生日的即期汇率折算为人民币金额。资产负债表日，外币货币性</w:t>
      </w:r>
    </w:p>
    <w:p>
      <w:pPr>
        <w:pStyle w:val="BodyText"/>
        <w:spacing w:line="273" w:lineRule="auto" w:before="37"/>
        <w:ind w:left="154" w:right="189"/>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spacing w:line="240" w:lineRule="auto" w:before="8"/>
        <w:rPr>
          <w:rFonts w:ascii="宋体" w:hAnsi="宋体" w:cs="宋体" w:eastAsia="宋体" w:hint="default"/>
          <w:sz w:val="23"/>
          <w:szCs w:val="23"/>
        </w:rPr>
      </w:pPr>
    </w:p>
    <w:p>
      <w:pPr>
        <w:pStyle w:val="Heading3"/>
        <w:spacing w:line="240" w:lineRule="auto" w:before="0"/>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金融资产和金融负债的分类 </w:t>
      </w:r>
      <w:r>
        <w:rPr>
          <w:spacing w:val="-3"/>
        </w:rPr>
        <w:t>金融资产在初始确认时划分为以下四类：以公允价值计量且其变动计入当期损益的金融资产</w:t>
      </w:r>
      <w:r>
        <w:rPr>
          <w:rFonts w:ascii="Times New Roman" w:hAnsi="Times New Roman" w:cs="Times New Roman" w:eastAsia="Times New Roman" w:hint="default"/>
          <w:spacing w:val="-3"/>
        </w:rPr>
        <w:t>(</w:t>
      </w:r>
      <w:r>
        <w:rPr>
          <w:spacing w:val="-3"/>
        </w:rPr>
        <w:t>包括交易</w:t>
      </w:r>
    </w:p>
    <w:p>
      <w:pPr>
        <w:pStyle w:val="BodyText"/>
        <w:spacing w:line="256" w:lineRule="auto" w:before="5"/>
        <w:ind w:left="154" w:right="98"/>
        <w:jc w:val="both"/>
      </w:pPr>
      <w:r>
        <w:rPr/>
        <w:t>性金融资产和在初始确认时指定为以公允价值计量且其变动计入当期损益的金融资产</w:t>
      </w:r>
      <w:r>
        <w:rPr>
          <w:rFonts w:ascii="Times New Roman" w:hAnsi="Times New Roman" w:cs="Times New Roman" w:eastAsia="Times New Roman" w:hint="default"/>
        </w:rPr>
        <w:t>)</w:t>
      </w:r>
      <w:r>
        <w:rPr/>
        <w:t>、持有至到期投资、 贷款和应收款项、可供出售金融资产。</w:t>
      </w:r>
    </w:p>
    <w:p>
      <w:pPr>
        <w:pStyle w:val="BodyText"/>
        <w:spacing w:line="256" w:lineRule="auto" w:before="22"/>
        <w:ind w:left="154" w:right="90" w:firstLine="420"/>
        <w:jc w:val="left"/>
      </w:pPr>
      <w:r>
        <w:rPr>
          <w:spacing w:val="-3"/>
        </w:rPr>
        <w:t>金融负债在初始确认时划分为以下两类：以公允价值计量且其变动计入当期损益的金融负债</w:t>
      </w:r>
      <w:r>
        <w:rPr>
          <w:rFonts w:ascii="Times New Roman" w:hAnsi="Times New Roman" w:cs="Times New Roman" w:eastAsia="Times New Roman" w:hint="default"/>
          <w:spacing w:val="-3"/>
        </w:rPr>
        <w:t>(</w:t>
      </w:r>
      <w:r>
        <w:rPr>
          <w:spacing w:val="-3"/>
        </w:rPr>
        <w:t>包括交易</w:t>
      </w:r>
      <w:r>
        <w:rPr/>
        <w:t> 性金融负债和在初始确认时指定为以公允价值计量且其变动计入当期损益的金融负债</w:t>
      </w:r>
      <w:r>
        <w:rPr>
          <w:rFonts w:ascii="Times New Roman" w:hAnsi="Times New Roman" w:cs="Times New Roman" w:eastAsia="Times New Roman" w:hint="default"/>
        </w:rPr>
        <w:t>)</w:t>
      </w:r>
      <w:r>
        <w:rPr/>
        <w:t>、其他金融负债。</w:t>
      </w:r>
    </w:p>
    <w:p>
      <w:pPr>
        <w:pStyle w:val="BodyText"/>
        <w:spacing w:line="256" w:lineRule="auto" w:before="5"/>
        <w:ind w:left="574" w:right="1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金融资产和金融负债的确认依据、计量方法和终止确认条件 公司成为金融工具合同的一方时，确认一项金融资产或金融负债。初始确认金融资产或金融负债时，</w:t>
      </w:r>
    </w:p>
    <w:p>
      <w:pPr>
        <w:spacing w:after="0" w:line="256"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BodyText"/>
        <w:spacing w:line="273" w:lineRule="auto" w:before="35"/>
        <w:ind w:left="154" w:right="149"/>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8"/>
        <w:ind w:left="154" w:right="128"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4"/>
        <w:ind w:left="154" w:right="133" w:firstLine="420"/>
        <w:jc w:val="left"/>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与在活跃市场中没有报价、公允价值不能可靠计量的权益工具挂钩并须通过交付该权益工具结算 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不属于指定为以公允价值计量且其变动计入当期损益的金融负债的 财务担保合同，或没有指定为以公允价值计量且其变动计入当期损益并将以低于市场利率贷款的贷款承 </w:t>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2"/>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6" w:lineRule="auto" w:before="18"/>
        <w:ind w:left="154" w:right="149"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273" w:lineRule="auto" w:before="14"/>
        <w:ind w:left="154" w:right="0" w:firstLine="420"/>
        <w:jc w:val="left"/>
      </w:pPr>
      <w:r>
        <w:rPr/>
        <w:t>当收取某项金融资产现金流量的合同权利已终止或该金融资产所有权上几乎所有的风险和报酬已转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256" w:lineRule="auto" w:before="8"/>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61" w:lineRule="auto" w:before="22"/>
        <w:ind w:left="154" w:right="149"/>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7"/>
        </w:rPr>
        <w:t>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未放弃对该金融资产控制的，按照继续涉入所转 移金融资产的程度确认有关金融资产，并相应确认有关负债。</w:t>
      </w:r>
    </w:p>
    <w:p>
      <w:pPr>
        <w:pStyle w:val="BodyText"/>
        <w:spacing w:line="261" w:lineRule="auto" w:before="18"/>
        <w:ind w:left="154" w:right="0" w:firstLine="420"/>
        <w:jc w:val="left"/>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所转移金融资产 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终止确认部分的账 面价值；</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终止确认部分的对价，与原直接计入所有者权益的公允价值变动累计额中对应终止确认部分 的金额之和。</w:t>
      </w:r>
    </w:p>
    <w:p>
      <w:pPr>
        <w:pStyle w:val="BodyText"/>
        <w:spacing w:line="256" w:lineRule="auto" w:before="18"/>
        <w:ind w:left="574" w:right="3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金融资产和金融负债的公允价值确定方法 公司采用在当前情况下适用并且有足够可利用数据和其他信息支持的估值技术确定相关金融资产和</w:t>
      </w:r>
    </w:p>
    <w:p>
      <w:pPr>
        <w:pStyle w:val="BodyText"/>
        <w:spacing w:line="240" w:lineRule="auto" w:before="22"/>
        <w:ind w:left="154" w:right="0"/>
        <w:jc w:val="both"/>
      </w:pPr>
      <w:r>
        <w:rPr/>
        <w:t>金融负债的公允价值。公司将估值技术使用的输入值分以下层级，并依次使用：</w:t>
      </w:r>
    </w:p>
    <w:p>
      <w:pPr>
        <w:pStyle w:val="BodyText"/>
        <w:spacing w:line="240" w:lineRule="auto" w:before="37"/>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第一层次输入值是在计量日能够取得的相同资产或负债在活跃市场上未经调整的报价；</w:t>
      </w:r>
    </w:p>
    <w:p>
      <w:pPr>
        <w:pStyle w:val="BodyText"/>
        <w:spacing w:line="264" w:lineRule="auto" w:before="21"/>
        <w:ind w:left="154"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第二层次输入值是除第一层次输入值外相关资产或负债直接或间接可观察的输入值，包括：活跃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BodyText"/>
        <w:spacing w:line="240" w:lineRule="auto" w:before="16"/>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第三层次输入值是相关资产或负债的不可观察输入值，包括不能直接观察或无法由可观察市场数</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54" w:right="96"/>
        <w:jc w:val="left"/>
      </w:pPr>
      <w:r>
        <w:rPr>
          <w:spacing w:val="-1"/>
        </w:rPr>
        <w:t>据验证的利率、股票波动率、企业合并中承担的弃置义务的未来现金流量、使用自身数据做出的财务预测</w:t>
      </w:r>
      <w:r>
        <w:rPr>
          <w:spacing w:val="-83"/>
        </w:rPr>
        <w:t> </w:t>
      </w:r>
      <w:r>
        <w:rPr>
          <w:spacing w:val="-83"/>
        </w:rPr>
      </w:r>
      <w:r>
        <w:rPr/>
        <w:t>等。</w:t>
      </w:r>
    </w:p>
    <w:p>
      <w:pPr>
        <w:pStyle w:val="BodyText"/>
        <w:spacing w:line="240" w:lineRule="auto" w:before="8"/>
        <w:ind w:left="574" w:right="9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金融资产的减值测试和减值准备计提方法</w:t>
      </w:r>
    </w:p>
    <w:p>
      <w:pPr>
        <w:pStyle w:val="BodyText"/>
        <w:spacing w:line="256" w:lineRule="auto" w:before="21"/>
        <w:ind w:left="154" w:right="22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资产负债表日对以公允价值计量且其变动计入当期损益的金融资产以外的金融资产的账面价值进 行检查，如有客观证据表明该金融资产发生减值的，计提减值准备。</w:t>
      </w:r>
    </w:p>
    <w:p>
      <w:pPr>
        <w:pStyle w:val="BodyText"/>
        <w:spacing w:line="261" w:lineRule="auto" w:before="22"/>
        <w:ind w:right="9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对单项金额重大的金融资产单独进行减值测试；对单项金额不重大的金融资产，可以单独进行减 </w:t>
      </w:r>
      <w:r>
        <w:rPr>
          <w:spacing w:val="-1"/>
        </w:rPr>
        <w:t>值测试，或包括在具有类似信用风险特征的金融资产组合中进行减值测试；单独测试未发生减值的金融资</w:t>
      </w:r>
      <w:r>
        <w:rPr>
          <w:spacing w:val="-81"/>
        </w:rPr>
        <w:t> </w:t>
      </w:r>
      <w:r>
        <w:rPr>
          <w:spacing w:val="-81"/>
        </w:rPr>
      </w:r>
      <w:r>
        <w:rPr/>
        <w:t>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，包括在具有类似信用风险特征的金融资产组合中再进行减值 测试。</w:t>
      </w:r>
    </w:p>
    <w:p>
      <w:pPr>
        <w:pStyle w:val="BodyText"/>
        <w:spacing w:line="271" w:lineRule="auto" w:before="18"/>
        <w:ind w:right="96"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按摊余成本计量的金融资产，期末有客观证据表明其发生了减值的，根据其账面价值高于预计未 </w:t>
      </w:r>
      <w:r>
        <w:rPr>
          <w:spacing w:val="-1"/>
        </w:rPr>
        <w:t>来现金流量现值之间的差额确认减值损失。在活跃市场中没有报价且其公允价值不能可靠计量的权益工具</w:t>
      </w:r>
      <w:r>
        <w:rPr>
          <w:spacing w:val="-81"/>
        </w:rPr>
        <w:t> </w:t>
      </w:r>
      <w:r>
        <w:rPr>
          <w:spacing w:val="-81"/>
        </w:rPr>
      </w:r>
      <w:r>
        <w:rPr>
          <w:spacing w:val="-1"/>
        </w:rPr>
        <w:t>投资，或与该权益工具挂钩并须通过交付该权益工具结算的衍生金融资产发生减值时，将该权益工具投资</w:t>
      </w:r>
      <w:r>
        <w:rPr>
          <w:spacing w:val="-81"/>
        </w:rPr>
        <w:t> </w:t>
      </w:r>
      <w:r>
        <w:rPr>
          <w:spacing w:val="-81"/>
        </w:rPr>
      </w:r>
      <w:r>
        <w:rPr>
          <w:spacing w:val="-1"/>
        </w:rPr>
        <w:t>或衍生金融资产的账面价值，高于按照类似金融资产当时市场收益率对未来现金流量折现确定的现值之间</w:t>
      </w:r>
      <w:r>
        <w:rPr>
          <w:spacing w:val="-81"/>
        </w:rPr>
        <w:t> </w:t>
      </w:r>
      <w:r>
        <w:rPr>
          <w:spacing w:val="-81"/>
        </w:rPr>
      </w:r>
      <w:r>
        <w:rPr>
          <w:spacing w:val="-1"/>
        </w:rPr>
        <w:t>的差额，确认为减值损失。可供出售金融资产的公允价值发生较大幅度下降，或在综合考虑各种相关因素</w:t>
      </w:r>
      <w:r>
        <w:rPr>
          <w:spacing w:val="-83"/>
        </w:rPr>
        <w:t> </w:t>
      </w:r>
      <w:r>
        <w:rPr>
          <w:spacing w:val="-83"/>
        </w:rPr>
      </w:r>
      <w:r>
        <w:rPr>
          <w:spacing w:val="-1"/>
        </w:rPr>
        <w:t>后，预期这种下降趋势属于非暂时性的，确认其减值损失，并将原直接计入所有者权益的公允价值累计损</w:t>
      </w:r>
      <w:r>
        <w:rPr>
          <w:spacing w:val="-83"/>
        </w:rPr>
        <w:t> </w:t>
      </w:r>
      <w:r>
        <w:rPr>
          <w:spacing w:val="-83"/>
        </w:rPr>
      </w:r>
      <w:r>
        <w:rPr/>
        <w:t>失一并转出计入减值损失。</w:t>
      </w:r>
    </w:p>
    <w:p>
      <w:pPr>
        <w:pStyle w:val="BodyText"/>
        <w:spacing w:line="240" w:lineRule="auto" w:before="10"/>
        <w:ind w:left="573" w:right="9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可供出售金融资产减值的客观证据</w:t>
      </w:r>
    </w:p>
    <w:p>
      <w:pPr>
        <w:pStyle w:val="BodyText"/>
        <w:spacing w:line="240" w:lineRule="auto" w:before="21"/>
        <w:ind w:left="573" w:right="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BodyText"/>
        <w:spacing w:line="240" w:lineRule="auto" w:before="21"/>
        <w:ind w:left="573" w:right="96"/>
        <w:jc w:val="left"/>
      </w:pPr>
      <w:r>
        <w:rPr/>
        <w:t>①</w:t>
      </w:r>
      <w:r>
        <w:rPr>
          <w:spacing w:val="-21"/>
        </w:rPr>
        <w:t> </w:t>
      </w:r>
      <w:r>
        <w:rPr/>
        <w:t>债务人发生严重财务困难；</w:t>
      </w:r>
    </w:p>
    <w:p>
      <w:pPr>
        <w:pStyle w:val="BodyText"/>
        <w:spacing w:line="240" w:lineRule="auto" w:before="37"/>
        <w:ind w:left="573" w:right="96"/>
        <w:jc w:val="left"/>
      </w:pPr>
      <w:r>
        <w:rPr/>
        <w:t>②</w:t>
      </w:r>
      <w:r>
        <w:rPr>
          <w:spacing w:val="-21"/>
        </w:rPr>
        <w:t> </w:t>
      </w:r>
      <w:r>
        <w:rPr/>
        <w:t>债务人违反了合同条款，如偿付利息或本金发生违约或逾期；</w:t>
      </w:r>
    </w:p>
    <w:p>
      <w:pPr>
        <w:pStyle w:val="BodyText"/>
        <w:spacing w:line="240" w:lineRule="auto" w:before="37"/>
        <w:ind w:left="573" w:right="96"/>
        <w:jc w:val="left"/>
      </w:pPr>
      <w:r>
        <w:rPr/>
        <w:t>③</w:t>
      </w:r>
      <w:r>
        <w:rPr>
          <w:spacing w:val="-21"/>
        </w:rPr>
        <w:t> </w:t>
      </w:r>
      <w:r>
        <w:rPr/>
        <w:t>公司出于经济或法律等方面因素的考虑，对发生财务困难的债务人作出让步；</w:t>
      </w:r>
    </w:p>
    <w:p>
      <w:pPr>
        <w:pStyle w:val="BodyText"/>
        <w:spacing w:line="240" w:lineRule="auto" w:before="37"/>
        <w:ind w:left="573" w:right="96"/>
        <w:jc w:val="left"/>
      </w:pPr>
      <w:r>
        <w:rPr/>
        <w:t>④</w:t>
      </w:r>
      <w:r>
        <w:rPr>
          <w:spacing w:val="-21"/>
        </w:rPr>
        <w:t> </w:t>
      </w:r>
      <w:r>
        <w:rPr/>
        <w:t>债务人很可能倒闭或进行其他财务重组；</w:t>
      </w:r>
    </w:p>
    <w:p>
      <w:pPr>
        <w:pStyle w:val="BodyText"/>
        <w:spacing w:line="240" w:lineRule="auto" w:before="37"/>
        <w:ind w:left="573" w:right="96"/>
        <w:jc w:val="left"/>
      </w:pPr>
      <w:r>
        <w:rPr/>
        <w:t>⑤</w:t>
      </w:r>
      <w:r>
        <w:rPr>
          <w:spacing w:val="-21"/>
        </w:rPr>
        <w:t> </w:t>
      </w:r>
      <w:r>
        <w:rPr/>
        <w:t>因债务人发生重大财务困难，该债务工具无法在活跃市场继续交易；</w:t>
      </w:r>
    </w:p>
    <w:p>
      <w:pPr>
        <w:pStyle w:val="BodyText"/>
        <w:spacing w:line="240" w:lineRule="auto" w:before="37"/>
        <w:ind w:left="573" w:right="96"/>
        <w:jc w:val="left"/>
      </w:pPr>
      <w:r>
        <w:rPr/>
        <w:t>⑥</w:t>
      </w:r>
      <w:r>
        <w:rPr>
          <w:spacing w:val="-21"/>
        </w:rPr>
        <w:t> </w:t>
      </w:r>
      <w:r>
        <w:rPr/>
        <w:t>其他表明可供出售债务工具已经发生减值的情况。</w:t>
      </w:r>
    </w:p>
    <w:p>
      <w:pPr>
        <w:pStyle w:val="BodyText"/>
        <w:spacing w:line="261" w:lineRule="auto" w:before="37"/>
        <w:ind w:right="9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表明可供出售权益工具投资发生减值的客观证据包括权益工具投资的公允价值发生严重或非暂时 性下跌。本公司于资产负债表日对各项可供出售权益工具投资单独进行检查，若该权益工具投资于资产负 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的，则表明其 发生减值；若该权益工具投资于资产负债表日的公允价值低于其成本超过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 或低于其成本持续时间超过</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w:t>
      </w:r>
      <w:r>
        <w:rPr/>
        <w:t>含</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w:t>
      </w:r>
      <w:r>
        <w:rPr/>
        <w:t>但未超过</w:t>
      </w:r>
      <w:r>
        <w:rPr>
          <w:rFonts w:ascii="Times New Roman" w:hAnsi="Times New Roman" w:cs="Times New Roman" w:eastAsia="Times New Roman" w:hint="default"/>
        </w:rPr>
        <w:t>12</w:t>
      </w:r>
      <w:r>
        <w:rPr/>
        <w:t>个月的，本公司会综合考虑其他相关因素，诸如价 格波动率等，判断该权益工具投资是否发生减值。</w:t>
      </w:r>
    </w:p>
    <w:p>
      <w:pPr>
        <w:pStyle w:val="BodyText"/>
        <w:spacing w:line="273" w:lineRule="auto" w:before="18"/>
        <w:ind w:right="170" w:firstLine="420"/>
        <w:jc w:val="both"/>
      </w:pPr>
      <w:r>
        <w:rPr>
          <w:spacing w:val="-1"/>
        </w:rPr>
        <w:t>可供出售金融资产发生减值时，原直接计入所有者权益的因公允价值下降形成的累计损失予以转出并</w:t>
      </w:r>
      <w:r>
        <w:rPr/>
        <w:t> </w:t>
      </w:r>
      <w:r>
        <w:rPr>
          <w:spacing w:val="-1"/>
        </w:rPr>
        <w:t>计入减值损失。对已确认减值损失的可供出售债务工具投资，在期后公允价值上升且客观上与确认原减值</w:t>
      </w:r>
      <w:r>
        <w:rPr>
          <w:spacing w:val="-81"/>
        </w:rPr>
        <w:t> </w:t>
      </w:r>
      <w:r>
        <w:rPr>
          <w:spacing w:val="-81"/>
        </w:rPr>
      </w:r>
      <w:r>
        <w:rPr>
          <w:spacing w:val="-1"/>
        </w:rPr>
        <w:t>损失后发生的事项有关的，原确认的减值损失予以转回并计入当期损益。对已确认减值损失的可供出售权</w:t>
      </w:r>
      <w:r>
        <w:rPr>
          <w:spacing w:val="-81"/>
        </w:rPr>
        <w:t> </w:t>
      </w:r>
      <w:r>
        <w:rPr>
          <w:spacing w:val="-81"/>
        </w:rPr>
      </w:r>
      <w:r>
        <w:rPr/>
        <w:t>益工具投资，期后公允价值上升直接计入所有者权益。</w:t>
      </w:r>
    </w:p>
    <w:p>
      <w:pPr>
        <w:spacing w:line="240" w:lineRule="auto" w:before="8"/>
        <w:rPr>
          <w:rFonts w:ascii="宋体" w:hAnsi="宋体" w:cs="宋体" w:eastAsia="宋体" w:hint="default"/>
          <w:sz w:val="23"/>
          <w:szCs w:val="23"/>
        </w:rPr>
      </w:pPr>
    </w:p>
    <w:p>
      <w:pPr>
        <w:pStyle w:val="Heading3"/>
        <w:spacing w:line="240" w:lineRule="auto" w:before="0"/>
        <w:ind w:left="153" w:right="96"/>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96"/>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应收账款金额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万元以上且占应收账款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以上的款项、 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万以上且占其他应收款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60"/>
        </w:sectPr>
      </w:pP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bl>
    <w:p>
      <w:pPr>
        <w:pStyle w:val="Heading3"/>
        <w:spacing w:line="240" w:lineRule="auto" w:before="26"/>
        <w:ind w:left="553" w:right="102"/>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个别认定法</w:t>
      </w:r>
      <w:r>
        <w:rPr>
          <w:b w:val="0"/>
          <w:bCs w:val="0"/>
        </w:rPr>
      </w:r>
    </w:p>
    <w:p>
      <w:pPr>
        <w:spacing w:line="240" w:lineRule="auto" w:before="9"/>
        <w:rPr>
          <w:rFonts w:ascii="宋体" w:hAnsi="宋体" w:cs="宋体" w:eastAsia="宋体" w:hint="default"/>
          <w:b/>
          <w:bCs/>
          <w:sz w:val="5"/>
          <w:szCs w:val="5"/>
        </w:rPr>
      </w:pPr>
    </w:p>
    <w:tbl>
      <w:tblPr>
        <w:tblW w:w="0" w:type="auto"/>
        <w:jc w:val="left"/>
        <w:tblInd w:w="134" w:type="dxa"/>
        <w:tblLayout w:type="fixed"/>
        <w:tblCellMar>
          <w:top w:w="0" w:type="dxa"/>
          <w:left w:w="0" w:type="dxa"/>
          <w:bottom w:w="0" w:type="dxa"/>
          <w:right w:w="0" w:type="dxa"/>
        </w:tblCellMar>
        <w:tblLook w:val="01E0"/>
      </w:tblPr>
      <w:tblGrid>
        <w:gridCol w:w="3798"/>
        <w:gridCol w:w="5855"/>
      </w:tblGrid>
      <w:tr>
        <w:trPr>
          <w:trHeight w:val="379"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571"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4" w:right="0"/>
              <w:jc w:val="left"/>
              <w:rPr>
                <w:rFonts w:ascii="宋体" w:hAnsi="宋体" w:cs="宋体" w:eastAsia="宋体" w:hint="default"/>
                <w:sz w:val="18"/>
                <w:szCs w:val="18"/>
              </w:rPr>
            </w:pPr>
            <w:r>
              <w:rPr>
                <w:rFonts w:ascii="宋体" w:hAnsi="宋体" w:cs="宋体" w:eastAsia="宋体" w:hint="default"/>
                <w:sz w:val="18"/>
                <w:szCs w:val="18"/>
              </w:rPr>
              <w:t>个别认定法组合</w:t>
            </w:r>
          </w:p>
        </w:tc>
        <w:tc>
          <w:tcPr>
            <w:tcW w:w="585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7"/>
              <w:ind w:right="87"/>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 坏账准备。</w:t>
            </w:r>
          </w:p>
        </w:tc>
      </w:tr>
    </w:tbl>
    <w:p>
      <w:pPr>
        <w:spacing w:line="240" w:lineRule="auto" w:before="2"/>
        <w:rPr>
          <w:rFonts w:ascii="宋体" w:hAnsi="宋体" w:cs="宋体" w:eastAsia="宋体" w:hint="default"/>
          <w:b/>
          <w:bCs/>
          <w:sz w:val="19"/>
          <w:szCs w:val="19"/>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存货的分类 </w:t>
      </w:r>
      <w:r>
        <w:rPr>
          <w:spacing w:val="-1"/>
        </w:rPr>
        <w:t>存货包括在日常活动中持有以备出售的产成品或商品、处在生产过程中的在产品、在生产过程或提供</w:t>
      </w:r>
    </w:p>
    <w:p>
      <w:pPr>
        <w:pStyle w:val="BodyText"/>
        <w:spacing w:line="240" w:lineRule="auto" w:before="22"/>
        <w:ind w:left="154" w:right="102"/>
        <w:jc w:val="left"/>
      </w:pPr>
      <w:r>
        <w:rPr/>
        <w:t>劳务过程中耗用的材料和物料等。</w:t>
      </w:r>
    </w:p>
    <w:p>
      <w:pPr>
        <w:pStyle w:val="BodyText"/>
        <w:spacing w:line="264" w:lineRule="auto" w:before="37"/>
        <w:ind w:left="574" w:right="647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 发出存货采用移动加权平均法。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存货可变现净值的确定依据</w:t>
      </w:r>
    </w:p>
    <w:p>
      <w:pPr>
        <w:pStyle w:val="BodyText"/>
        <w:spacing w:line="273" w:lineRule="auto"/>
        <w:ind w:left="154" w:right="104" w:firstLine="420"/>
        <w:jc w:val="both"/>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p>
    <w:p>
      <w:pPr>
        <w:spacing w:after="0" w:line="273"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left="154" w:right="102"/>
        <w:jc w:val="left"/>
      </w:pPr>
      <w:r>
        <w:rPr/>
        <w:t>并与其对应的成本进行比较，分别确定存货跌价准备的计提或转回的金额。</w:t>
      </w:r>
    </w:p>
    <w:p>
      <w:pPr>
        <w:pStyle w:val="BodyText"/>
        <w:spacing w:line="256" w:lineRule="auto" w:before="37"/>
        <w:ind w:left="574" w:right="647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 存货的盘存制度为永续盘存制。</w:t>
      </w:r>
    </w:p>
    <w:p>
      <w:pPr>
        <w:pStyle w:val="BodyText"/>
        <w:spacing w:line="240" w:lineRule="auto" w:before="22"/>
        <w:ind w:left="574" w:right="10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低值易耗品和包装物的摊销方法</w:t>
      </w:r>
    </w:p>
    <w:p>
      <w:pPr>
        <w:pStyle w:val="BodyText"/>
        <w:spacing w:line="261" w:lineRule="auto" w:before="21"/>
        <w:ind w:left="574" w:right="68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 按照一次转销法进行摊销。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 按照一次转销法进行摊销。</w:t>
      </w:r>
    </w:p>
    <w:p>
      <w:pPr>
        <w:spacing w:line="240" w:lineRule="auto" w:before="5"/>
        <w:rPr>
          <w:rFonts w:ascii="宋体" w:hAnsi="宋体" w:cs="宋体" w:eastAsia="宋体" w:hint="default"/>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共同控制、重要影响的判断 </w:t>
      </w:r>
      <w:r>
        <w:rPr>
          <w:spacing w:val="-1"/>
        </w:rPr>
        <w:t>按照相关约定对某项安排所共有的控制，并且该安排的相关活动必须经过分享控制权的参与方一致同</w:t>
      </w:r>
    </w:p>
    <w:p>
      <w:pPr>
        <w:pStyle w:val="BodyText"/>
        <w:spacing w:line="273" w:lineRule="auto" w:before="22"/>
        <w:ind w:left="154" w:right="102"/>
        <w:jc w:val="left"/>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者与其他方一起共同控制这些政策的制定，认定为重大影响。</w:t>
      </w:r>
    </w:p>
    <w:p>
      <w:pPr>
        <w:pStyle w:val="BodyText"/>
        <w:spacing w:line="240" w:lineRule="auto" w:before="8"/>
        <w:ind w:left="574"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投资成本的确定</w:t>
      </w:r>
    </w:p>
    <w:p>
      <w:pPr>
        <w:pStyle w:val="BodyText"/>
        <w:spacing w:line="266" w:lineRule="auto" w:before="21"/>
        <w:ind w:left="154" w:right="102"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同一控制下的企业合并形成的，合并方以支付现金、转让非现金资产、承担债务或发行权益性证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240" w:lineRule="auto" w:before="14"/>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非同一控制下的企业合并形成的，在购买日按照支付的合并对价的公允价值作为其初始投资成本。</w:t>
      </w:r>
    </w:p>
    <w:p>
      <w:pPr>
        <w:pStyle w:val="BodyText"/>
        <w:spacing w:line="261" w:lineRule="auto" w:before="21"/>
        <w:ind w:left="154" w:right="17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除企业合并形成以外的：以支付现金取得的，按照实际支付的购买价款作为其初始投资成本；以 发行权益性证券取得的，按照发行权益性证券的公允价值作为其初始投资成本；以债务重组方式取得的，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3"/>
        </w:rPr>
        <w:t> </w:t>
      </w:r>
      <w:r>
        <w:rPr>
          <w:spacing w:val="-83"/>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ind w:left="574"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22"/>
        <w:ind w:left="154" w:right="102"/>
        <w:jc w:val="left"/>
      </w:pPr>
      <w:r>
        <w:rPr/>
        <w:t>用权益法核算。</w:t>
      </w:r>
    </w:p>
    <w:p>
      <w:pPr>
        <w:spacing w:line="240" w:lineRule="auto" w:before="11"/>
        <w:rPr>
          <w:rFonts w:ascii="宋体" w:hAnsi="宋体" w:cs="宋体" w:eastAsia="宋体" w:hint="default"/>
          <w:sz w:val="25"/>
          <w:szCs w:val="25"/>
        </w:rPr>
      </w:pPr>
    </w:p>
    <w:p>
      <w:pPr>
        <w:pStyle w:val="Heading3"/>
        <w:spacing w:line="240" w:lineRule="auto" w:before="0"/>
        <w:ind w:right="102"/>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24"/>
          <w:szCs w:val="24"/>
        </w:rPr>
      </w:pPr>
    </w:p>
    <w:p>
      <w:pPr>
        <w:pStyle w:val="BodyText"/>
        <w:spacing w:line="273" w:lineRule="auto"/>
        <w:ind w:right="246" w:firstLine="555"/>
        <w:jc w:val="left"/>
      </w:pPr>
      <w:r>
        <w:rPr/>
        <w:t>固定资产是指为生产商品、提供劳务、出租或经营管理而持有的，使用年限超过一个会计年度的有 形资产。固定资产在同时满足经济利益很可能流入、成本能够可靠计量时予以确认。</w:t>
      </w:r>
    </w:p>
    <w:p>
      <w:pPr>
        <w:spacing w:line="240" w:lineRule="auto" w:before="7"/>
        <w:rPr>
          <w:rFonts w:ascii="宋体" w:hAnsi="宋体" w:cs="宋体" w:eastAsia="宋体" w:hint="default"/>
          <w:sz w:val="23"/>
          <w:szCs w:val="23"/>
        </w:rPr>
      </w:pPr>
    </w:p>
    <w:p>
      <w:pPr>
        <w:pStyle w:val="Heading3"/>
        <w:spacing w:line="240" w:lineRule="auto" w:before="0"/>
        <w:ind w:left="153" w:right="10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59" w:lineRule="auto"/>
        <w:ind w:right="210" w:firstLine="556"/>
        <w:jc w:val="both"/>
      </w:pPr>
      <w:r>
        <w:rPr>
          <w:spacing w:val="-3"/>
        </w:rPr>
        <w:t>符合下列一项或数项标准的，认定为融资租赁：</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4"/>
        </w:rPr>
        <w:t> </w:t>
      </w:r>
      <w:r>
        <w:rPr/>
        <w:t>在租赁期届满时，租赁资产的所有权转移给承租 人；</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承租人有购买租赁资产的选择权，所订立的购买价款预计将远低于行使选择权时租赁资产的公允 价值，因而在租赁开始日就可以合理确定承租人将会行使这种选择权；</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即使资产的所有权不转移，但 租赁期占租赁资产使用寿命的大部分 </w:t>
      </w:r>
      <w:r>
        <w:rPr>
          <w:rFonts w:ascii="Times New Roman" w:hAnsi="Times New Roman" w:cs="Times New Roman" w:eastAsia="Times New Roman" w:hint="default"/>
        </w:rPr>
        <w:t>[ </w:t>
      </w:r>
      <w:r>
        <w:rPr/>
        <w:t>通常占租赁资产使用寿命的 </w:t>
      </w:r>
      <w:r>
        <w:rPr>
          <w:rFonts w:ascii="Times New Roman" w:hAnsi="Times New Roman" w:cs="Times New Roman" w:eastAsia="Times New Roman" w:hint="default"/>
        </w:rPr>
        <w:t>75%</w:t>
      </w:r>
      <w:r>
        <w:rPr/>
        <w:t>以上</w:t>
      </w:r>
      <w:r>
        <w:rPr>
          <w:rFonts w:ascii="Times New Roman" w:hAnsi="Times New Roman" w:cs="Times New Roman" w:eastAsia="Times New Roman" w:hint="default"/>
        </w:rPr>
        <w:t>(</w:t>
      </w:r>
      <w:r>
        <w:rPr/>
        <w:t>含 </w:t>
      </w:r>
      <w:r>
        <w:rPr>
          <w:rFonts w:ascii="Times New Roman" w:hAnsi="Times New Roman" w:cs="Times New Roman" w:eastAsia="Times New Roman" w:hint="default"/>
          <w:spacing w:val="-7"/>
        </w:rPr>
        <w:t>75%)]</w:t>
      </w:r>
      <w:r>
        <w:rPr>
          <w:spacing w:val="-7"/>
        </w:rPr>
        <w:t>；</w:t>
      </w:r>
      <w:r>
        <w:rPr>
          <w:rFonts w:ascii="Times New Roman" w:hAnsi="Times New Roman" w:cs="Times New Roman" w:eastAsia="Times New Roman" w:hint="default"/>
          <w:spacing w:val="-7"/>
        </w:rPr>
        <w:t>(4)</w:t>
      </w:r>
      <w:r>
        <w:rPr>
          <w:rFonts w:ascii="Times New Roman" w:hAnsi="Times New Roman" w:cs="Times New Roman" w:eastAsia="Times New Roman" w:hint="default"/>
          <w:spacing w:val="-3"/>
        </w:rPr>
        <w:t> </w:t>
      </w:r>
      <w:r>
        <w:rPr/>
        <w:t>承租人在租赁 开始日的最低租赁付款额现值，几乎相当于租赁开始日租赁资产公允价值 </w:t>
      </w:r>
      <w:r>
        <w:rPr>
          <w:rFonts w:ascii="Times New Roman" w:hAnsi="Times New Roman" w:cs="Times New Roman" w:eastAsia="Times New Roman" w:hint="default"/>
        </w:rPr>
        <w:t>[ 90%</w:t>
      </w:r>
      <w:r>
        <w:rPr/>
        <w:t>以上</w:t>
      </w:r>
      <w:r>
        <w:rPr>
          <w:rFonts w:ascii="Times New Roman" w:hAnsi="Times New Roman" w:cs="Times New Roman" w:eastAsia="Times New Roman" w:hint="default"/>
        </w:rPr>
        <w:t>(</w:t>
      </w:r>
      <w:r>
        <w:rPr/>
        <w:t>含</w:t>
      </w:r>
      <w:r>
        <w:rPr>
          <w:spacing w:val="-80"/>
        </w:rPr>
        <w:t> </w:t>
      </w:r>
      <w:r>
        <w:rPr>
          <w:rFonts w:ascii="Times New Roman" w:hAnsi="Times New Roman" w:cs="Times New Roman" w:eastAsia="Times New Roman" w:hint="default"/>
        </w:rPr>
        <w:t>90%)]</w:t>
      </w:r>
      <w:r>
        <w:rPr/>
        <w:t>；出租人在 </w:t>
      </w:r>
      <w:r>
        <w:rPr>
          <w:spacing w:val="-3"/>
        </w:rPr>
        <w:t>租赁开始日的最低租赁收款额现值，几乎相当于租赁开始日租赁资产公允价值 </w:t>
      </w:r>
      <w:r>
        <w:rPr>
          <w:rFonts w:ascii="Times New Roman" w:hAnsi="Times New Roman" w:cs="Times New Roman" w:eastAsia="Times New Roman" w:hint="default"/>
        </w:rPr>
        <w:t>[ 90%</w:t>
      </w:r>
      <w:r>
        <w:rPr/>
        <w:t>以上</w:t>
      </w:r>
      <w:r>
        <w:rPr>
          <w:rFonts w:ascii="Times New Roman" w:hAnsi="Times New Roman" w:cs="Times New Roman" w:eastAsia="Times New Roman" w:hint="default"/>
        </w:rPr>
        <w:t>(</w:t>
      </w:r>
      <w:r>
        <w:rPr/>
        <w:t>含 </w:t>
      </w:r>
      <w:r>
        <w:rPr>
          <w:rFonts w:ascii="Times New Roman" w:hAnsi="Times New Roman" w:cs="Times New Roman" w:eastAsia="Times New Roman" w:hint="default"/>
          <w:spacing w:val="-10"/>
        </w:rPr>
        <w:t>90%)]</w:t>
      </w:r>
      <w:r>
        <w:rPr>
          <w:spacing w:val="-10"/>
        </w:rPr>
        <w:t>；</w:t>
      </w:r>
      <w:r>
        <w:rPr>
          <w:rFonts w:ascii="Times New Roman" w:hAnsi="Times New Roman" w:cs="Times New Roman" w:eastAsia="Times New Roman" w:hint="default"/>
          <w:spacing w:val="-10"/>
        </w:rPr>
        <w:t>(5)</w:t>
      </w:r>
      <w:r>
        <w:rPr>
          <w:rFonts w:ascii="Times New Roman" w:hAnsi="Times New Roman" w:cs="Times New Roman" w:eastAsia="Times New Roman" w:hint="default"/>
          <w:spacing w:val="23"/>
        </w:rPr>
        <w:t> </w:t>
      </w:r>
      <w:r>
        <w:rPr/>
        <w:t>租 </w:t>
      </w:r>
      <w:r>
        <w:rPr>
          <w:spacing w:val="-1"/>
        </w:rPr>
        <w:t>赁资产性质特殊，如果不作较大改造，只有承租人才能使用。融资租入的固定资产，按租赁开始日租赁资</w:t>
      </w:r>
      <w:r>
        <w:rPr>
          <w:spacing w:val="-86"/>
        </w:rPr>
        <w:t> </w:t>
      </w:r>
      <w:r>
        <w:rPr>
          <w:spacing w:val="-86"/>
        </w:rPr>
      </w:r>
      <w:r>
        <w:rPr/>
        <w:t>产的公允价值与最低租赁付款额的现值中较低者入账，按自有固定资产的折旧政策计提折旧。</w:t>
      </w:r>
    </w:p>
    <w:p>
      <w:pPr>
        <w:spacing w:line="240" w:lineRule="auto" w:before="6"/>
        <w:rPr>
          <w:rFonts w:ascii="宋体" w:hAnsi="宋体" w:cs="宋体" w:eastAsia="宋体" w:hint="default"/>
          <w:sz w:val="24"/>
          <w:szCs w:val="24"/>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21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在建工程同时满足经济利益很可能流入、成本能够可靠计量则予以确认。在建工程按建造该项资产 达到预定可使用状态前所发生的实际成本计量。</w:t>
      </w:r>
    </w:p>
    <w:p>
      <w:pPr>
        <w:pStyle w:val="BodyText"/>
        <w:spacing w:line="264" w:lineRule="auto" w:before="22"/>
        <w:ind w:right="21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3"/>
        <w:rPr>
          <w:rFonts w:ascii="宋体" w:hAnsi="宋体" w:cs="宋体" w:eastAsia="宋体" w:hint="default"/>
          <w:sz w:val="24"/>
          <w:szCs w:val="24"/>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3"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22"/>
        <w:ind w:right="102"/>
        <w:jc w:val="left"/>
      </w:pPr>
      <w:r>
        <w:rPr/>
        <w:t>关资产成本；其他借款费用，在发生时确认为费用，计入当期损益。</w:t>
      </w:r>
    </w:p>
    <w:p>
      <w:pPr>
        <w:pStyle w:val="BodyText"/>
        <w:spacing w:line="240" w:lineRule="auto" w:before="37"/>
        <w:ind w:left="573" w:right="102"/>
        <w:jc w:val="left"/>
      </w:pPr>
      <w:r>
        <w:rPr>
          <w:rFonts w:ascii="Times New Roman" w:hAnsi="Times New Roman" w:cs="Times New Roman" w:eastAsia="Times New Roman" w:hint="default"/>
        </w:rPr>
        <w:t>2</w:t>
      </w:r>
      <w:r>
        <w:rPr/>
        <w:t>．借款费用资本化期间</w:t>
      </w:r>
    </w:p>
    <w:p>
      <w:pPr>
        <w:pStyle w:val="BodyText"/>
        <w:spacing w:line="256" w:lineRule="auto" w:before="21"/>
        <w:ind w:right="210"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16"/>
        </w:rPr>
        <w:t> </w:t>
      </w:r>
      <w:r>
        <w:rPr/>
        <w:t>为 使资产达到预定可使用或可销售状态所必要的购建或者生产活动已经开始。</w:t>
      </w:r>
    </w:p>
    <w:p>
      <w:pPr>
        <w:pStyle w:val="BodyText"/>
        <w:spacing w:line="264" w:lineRule="auto" w:before="22"/>
        <w:ind w:right="17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 暂停借款费用的资本化；中断期间发生的借款费用确认为当期费用，直至资产的购建或者生产活动重新开 始。</w:t>
      </w:r>
    </w:p>
    <w:p>
      <w:pPr>
        <w:pStyle w:val="BodyText"/>
        <w:spacing w:line="256" w:lineRule="auto" w:before="16"/>
        <w:ind w:left="573" w:right="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．借款费用资本化率以及资本化金额 </w:t>
      </w:r>
      <w:r>
        <w:rPr>
          <w:spacing w:val="-3"/>
        </w:rPr>
        <w:t>为购建或者生产符合资本化条件的资产而借入专门借款的，以专门借款当期实际发生的利息费用</w:t>
      </w:r>
      <w:r>
        <w:rPr>
          <w:rFonts w:ascii="Times New Roman" w:hAnsi="Times New Roman" w:cs="Times New Roman" w:eastAsia="Times New Roman" w:hint="default"/>
          <w:spacing w:val="-3"/>
        </w:rPr>
        <w:t>(</w:t>
      </w:r>
      <w:r>
        <w:rPr>
          <w:spacing w:val="-3"/>
        </w:rPr>
        <w:t>包括</w:t>
      </w:r>
    </w:p>
    <w:p>
      <w:pPr>
        <w:pStyle w:val="BodyText"/>
        <w:spacing w:line="266" w:lineRule="auto" w:before="5"/>
        <w:ind w:right="195"/>
        <w:jc w:val="left"/>
      </w:pPr>
      <w:r>
        <w:rPr>
          <w:spacing w:val="-2"/>
        </w:rPr>
        <w:t>按照实际利率法确定的折价或溢价的摊销</w:t>
      </w:r>
      <w:r>
        <w:rPr>
          <w:rFonts w:ascii="Times New Roman" w:hAnsi="Times New Roman" w:cs="Times New Roman" w:eastAsia="Times New Roman" w:hint="default"/>
          <w:spacing w:val="-2"/>
        </w:rPr>
        <w:t>)</w:t>
      </w:r>
      <w:r>
        <w:rPr>
          <w:spacing w:val="-2"/>
        </w:rPr>
        <w:t>，减去将尚未动用的借款资金存入银行取得的利息收入或进行暂</w:t>
      </w:r>
      <w:r>
        <w:rPr/>
        <w:t> </w:t>
      </w:r>
      <w:r>
        <w:rPr>
          <w:spacing w:val="-1"/>
        </w:rPr>
        <w:t>时性投资取得的投资收益后的金额，确定应予资本化的利息金额；为购建或者生产符合资本化条件的资产</w:t>
      </w:r>
      <w:r>
        <w:rPr>
          <w:spacing w:val="-81"/>
        </w:rPr>
        <w:t> </w:t>
      </w:r>
      <w:r>
        <w:rPr>
          <w:spacing w:val="-81"/>
        </w:rPr>
      </w:r>
      <w:r>
        <w:rPr/>
        <w:t>占用了一般借款的，根据累计资产支出超过专门借款的资产支出加权平均数乘以占用一般借款的资本化 率，计算确定一般借款应予资本化的利息金额。</w:t>
      </w:r>
    </w:p>
    <w:p>
      <w:pPr>
        <w:spacing w:after="0" w:line="266"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无形资产包括土地使用权、专利技术、非专利技术和软件等，按成本进行初始计量。</w:t>
      </w:r>
    </w:p>
    <w:p>
      <w:pPr>
        <w:pStyle w:val="BodyText"/>
        <w:spacing w:line="256" w:lineRule="auto" w:before="21"/>
        <w:ind w:left="154" w:right="23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153"/>
        <w:gridCol w:w="4153"/>
      </w:tblGrid>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153"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15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4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专利权、非专利技术、著作权</w:t>
            </w:r>
          </w:p>
        </w:tc>
        <w:tc>
          <w:tcPr>
            <w:tcW w:w="4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center"/>
              <w:rPr>
                <w:rFonts w:ascii="Times New Roman" w:hAnsi="Times New Roman" w:cs="Times New Roman" w:eastAsia="Times New Roman" w:hint="default"/>
                <w:sz w:val="21"/>
                <w:szCs w:val="21"/>
              </w:rPr>
            </w:pPr>
            <w:r>
              <w:rPr>
                <w:rFonts w:ascii="Times New Roman"/>
                <w:sz w:val="21"/>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left="154" w:right="149" w:firstLine="420"/>
        <w:jc w:val="both"/>
      </w:pPr>
      <w:r>
        <w:rPr>
          <w:spacing w:val="-1"/>
        </w:rPr>
        <w:t>内部研究开发项目研究阶段的支出，于发生时计入当期损益。内部研究开发项目开发阶段的支出，同</w:t>
      </w:r>
      <w:r>
        <w:rPr/>
        <w:t> 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完成该无形资产以使其能够使用或出售在技术上具有可行性；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具有完成该无形资产并使用或出售的意图；</w:t>
      </w:r>
      <w:r>
        <w:rPr>
          <w:rFonts w:ascii="Times New Roman" w:hAnsi="Times New Roman" w:cs="Times New Roman" w:eastAsia="Times New Roman" w:hint="default"/>
        </w:rPr>
        <w:t>(3)</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22"/>
        </w:rPr>
        <w:t> </w:t>
      </w:r>
      <w:r>
        <w:rPr/>
        <w:t>有</w:t>
      </w:r>
      <w:r>
        <w:rPr>
          <w:spacing w:val="-100"/>
        </w:rPr>
        <w:t>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7"/>
        </w:rPr>
        <w:t> </w:t>
      </w:r>
      <w:r>
        <w:rPr/>
        <w:t>归属于该无形资产开发阶段的支出能够可靠地计量。</w:t>
      </w:r>
    </w:p>
    <w:p>
      <w:pPr>
        <w:pStyle w:val="BodyText"/>
        <w:spacing w:line="273" w:lineRule="auto" w:before="18"/>
        <w:ind w:left="574" w:right="0"/>
        <w:jc w:val="left"/>
      </w:pPr>
      <w:r>
        <w:rPr/>
        <w:t>公司划分内部研究开发项目研究阶段支出和开发阶段支出的具体标准： </w:t>
      </w:r>
      <w:r>
        <w:rPr>
          <w:spacing w:val="-1"/>
        </w:rPr>
        <w:t>根据内部研究开发项目支出的性质以及研发活动最终形成无形资产是否具有较大不确定性，分为研究</w:t>
      </w:r>
    </w:p>
    <w:p>
      <w:pPr>
        <w:pStyle w:val="BodyText"/>
        <w:spacing w:line="240" w:lineRule="auto" w:before="8"/>
        <w:ind w:left="154" w:right="0"/>
        <w:jc w:val="left"/>
      </w:pPr>
      <w:r>
        <w:rPr/>
        <w:t>阶段支出和开发阶段支出。</w:t>
      </w:r>
    </w:p>
    <w:p>
      <w:pPr>
        <w:pStyle w:val="BodyText"/>
        <w:spacing w:line="610" w:lineRule="atLeast" w:before="19"/>
        <w:ind w:left="574" w:right="267" w:hanging="420"/>
        <w:jc w:val="left"/>
        <w:rPr>
          <w:rFonts w:ascii="Times New Roman" w:hAnsi="Times New Roman" w:cs="Times New Roman" w:eastAsia="Times New Roman" w:hint="default"/>
        </w:rPr>
      </w:pPr>
      <w:r>
        <w:rPr>
          <w:rFonts w:ascii="Times New Roman" w:hAnsi="Times New Roman" w:cs="Times New Roman" w:eastAsia="Times New Roman" w:hint="default"/>
          <w:b/>
          <w:bCs/>
        </w:rPr>
        <w:t>17</w:t>
      </w:r>
      <w:r>
        <w:rPr>
          <w:rFonts w:ascii="宋体" w:hAnsi="宋体" w:cs="宋体" w:eastAsia="宋体" w:hint="default"/>
          <w:b/>
          <w:bCs/>
        </w:rPr>
        <w:t>、长期资产减值</w:t>
      </w:r>
      <w:r>
        <w:rPr>
          <w:rFonts w:ascii="宋体" w:hAnsi="宋体" w:cs="宋体" w:eastAsia="宋体" w:hint="default"/>
          <w:b/>
          <w:bCs/>
          <w:spacing w:val="1"/>
          <w:w w:val="99"/>
        </w:rPr>
        <w:t> </w:t>
      </w:r>
      <w:r>
        <w:rPr/>
        <w:t>对长期股权投资、采用成本模式计量的固定资产、在建工程、使用寿命有限的无形资产等长期资产</w:t>
      </w:r>
      <w:r>
        <w:rPr>
          <w:rFonts w:ascii="Times New Roman" w:hAnsi="Times New Roman" w:cs="Times New Roman" w:eastAsia="Times New Roman" w:hint="default"/>
        </w:rPr>
        <w:t>,</w:t>
      </w:r>
    </w:p>
    <w:p>
      <w:pPr>
        <w:pStyle w:val="BodyText"/>
        <w:spacing w:line="273" w:lineRule="auto" w:before="21"/>
        <w:ind w:left="154" w:right="149"/>
        <w:jc w:val="both"/>
      </w:pPr>
      <w:r>
        <w:rPr>
          <w:spacing w:val="-1"/>
        </w:rPr>
        <w:t>在资产负债表日有迹象表明发生减值的，估计其可收回金额。对因企业合并所形成的商誉和使用寿命不确</w:t>
      </w:r>
      <w:r>
        <w:rPr>
          <w:spacing w:val="-81"/>
        </w:rPr>
        <w:t> </w:t>
      </w:r>
      <w:r>
        <w:rPr>
          <w:spacing w:val="-81"/>
        </w:rPr>
      </w:r>
      <w:r>
        <w:rPr>
          <w:spacing w:val="-1"/>
        </w:rPr>
        <w:t>定的无形资产，无论是否存在减值迹象，每年都进行减值测试。商誉结合与其相关的资产组或者资产组组</w:t>
      </w:r>
      <w:r>
        <w:rPr>
          <w:spacing w:val="-83"/>
        </w:rPr>
        <w:t> </w:t>
      </w:r>
      <w:r>
        <w:rPr>
          <w:spacing w:val="-83"/>
        </w:rPr>
      </w:r>
      <w:r>
        <w:rPr/>
        <w:t>合进行减值测试。</w:t>
      </w:r>
    </w:p>
    <w:p>
      <w:pPr>
        <w:pStyle w:val="BodyText"/>
        <w:spacing w:line="273" w:lineRule="auto" w:before="8"/>
        <w:ind w:left="154" w:right="149" w:firstLine="420"/>
        <w:jc w:val="both"/>
      </w:pPr>
      <w:r>
        <w:rPr>
          <w:spacing w:val="-1"/>
        </w:rPr>
        <w:t>可收回金额的计量结果表明，该等长期资产的可收回金额低于其账面价值的，将资产的账面价值减记</w:t>
      </w:r>
      <w:r>
        <w:rPr/>
        <w:t> 至可收回金额，减记的金额确认为资产减值损失，计入当期损益，同时计提相应的资产减值准备。</w:t>
      </w:r>
    </w:p>
    <w:p>
      <w:pPr>
        <w:pStyle w:val="BodyText"/>
        <w:spacing w:line="612" w:lineRule="exact" w:before="64"/>
        <w:ind w:left="490" w:right="148" w:hanging="336"/>
        <w:jc w:val="left"/>
      </w:pP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spacing w:val="1"/>
          <w:w w:val="99"/>
        </w:rPr>
        <w:t> </w:t>
      </w:r>
      <w:r>
        <w:rPr>
          <w:spacing w:val="-2"/>
        </w:rPr>
        <w:t>长期待摊费用核算已经支出，但摊销期限在</w:t>
      </w:r>
      <w:r>
        <w:rPr>
          <w:rFonts w:ascii="Times New Roman" w:hAnsi="Times New Roman" w:cs="Times New Roman" w:eastAsia="Times New Roman" w:hint="default"/>
          <w:spacing w:val="-2"/>
        </w:rPr>
        <w:t>1</w:t>
      </w:r>
      <w:r>
        <w:rPr>
          <w:spacing w:val="-2"/>
        </w:rPr>
        <w:t>年以上</w:t>
      </w:r>
      <w:r>
        <w:rPr>
          <w:rFonts w:ascii="Times New Roman" w:hAnsi="Times New Roman" w:cs="Times New Roman" w:eastAsia="Times New Roman" w:hint="default"/>
          <w:spacing w:val="-2"/>
        </w:rPr>
        <w:t>(</w:t>
      </w:r>
      <w:r>
        <w:rPr>
          <w:spacing w:val="-2"/>
        </w:rPr>
        <w:t>不含</w:t>
      </w:r>
      <w:r>
        <w:rPr>
          <w:rFonts w:ascii="Times New Roman" w:hAnsi="Times New Roman" w:cs="Times New Roman" w:eastAsia="Times New Roman" w:hint="default"/>
          <w:spacing w:val="-2"/>
        </w:rPr>
        <w:t>1</w:t>
      </w:r>
      <w:r>
        <w:rPr>
          <w:spacing w:val="-2"/>
        </w:rPr>
        <w:t>年</w:t>
      </w:r>
      <w:r>
        <w:rPr>
          <w:rFonts w:ascii="Times New Roman" w:hAnsi="Times New Roman" w:cs="Times New Roman" w:eastAsia="Times New Roman" w:hint="default"/>
          <w:spacing w:val="-2"/>
        </w:rPr>
        <w:t>)</w:t>
      </w:r>
      <w:r>
        <w:rPr>
          <w:spacing w:val="-2"/>
        </w:rPr>
        <w:t>的各项费用。长期待摊费用按实际发生额</w:t>
      </w:r>
    </w:p>
    <w:p>
      <w:pPr>
        <w:pStyle w:val="BodyText"/>
        <w:spacing w:line="219" w:lineRule="exact"/>
        <w:ind w:left="154" w:right="0"/>
        <w:jc w:val="left"/>
      </w:pPr>
      <w:r>
        <w:rPr/>
        <w:t>入账，在受益期或规定的期限内分期平均摊销。如果长期待摊的费用项目不能使以后会计期间受益则将尚</w:t>
      </w:r>
    </w:p>
    <w:p>
      <w:pPr>
        <w:pStyle w:val="BodyText"/>
        <w:spacing w:line="240" w:lineRule="auto" w:before="37"/>
        <w:ind w:left="154" w:right="0"/>
        <w:jc w:val="left"/>
      </w:pPr>
      <w:r>
        <w:rPr/>
        <w:t>未摊销的该项目的摊余价值全部转入当期损益。</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19</w:t>
      </w:r>
      <w:r>
        <w:rPr/>
        <w:t>、职工薪酬</w:t>
      </w:r>
      <w:r>
        <w:rPr>
          <w:b w:val="0"/>
          <w:bCs w:val="0"/>
        </w:rPr>
      </w:r>
    </w:p>
    <w:p>
      <w:pPr>
        <w:spacing w:line="590" w:lineRule="atLeast" w:before="23"/>
        <w:ind w:left="490" w:right="254"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在职工为公司提供服务的会计期间，将实际发生的短期薪酬确认为负债，并计入当期损益或相关资产</w:t>
      </w:r>
    </w:p>
    <w:p>
      <w:pPr>
        <w:pStyle w:val="BodyText"/>
        <w:spacing w:line="240" w:lineRule="auto" w:before="37"/>
        <w:ind w:right="102"/>
        <w:jc w:val="left"/>
      </w:pPr>
      <w:r>
        <w:rPr/>
        <w:t>成本。</w:t>
      </w:r>
    </w:p>
    <w:p>
      <w:pPr>
        <w:spacing w:line="590" w:lineRule="atLeast" w:before="39"/>
        <w:ind w:left="574" w:right="500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离职后福利分为设定提存计划和设定受益计划。</w:t>
      </w:r>
    </w:p>
    <w:p>
      <w:pPr>
        <w:pStyle w:val="BodyText"/>
        <w:spacing w:line="256" w:lineRule="auto" w:before="37"/>
        <w:ind w:left="154" w:right="27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在职工为公司提供服务的会计期间，根据设定提存计划计算的应缴存金额确认为负债，并计入当 期损益或相关资产成本。</w:t>
      </w:r>
    </w:p>
    <w:p>
      <w:pPr>
        <w:pStyle w:val="BodyText"/>
        <w:spacing w:line="240" w:lineRule="auto" w:before="22"/>
        <w:ind w:left="574"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BodyText"/>
        <w:spacing w:line="264" w:lineRule="auto" w:before="21"/>
        <w:ind w:left="154" w:right="2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t> </w:t>
      </w:r>
      <w:r>
        <w:rPr>
          <w:spacing w:val="-1"/>
        </w:rPr>
        <w:t>估计，计量设定受益计划所产生的义务，并确定相关义务的所属期间。同时，对设定受益计划所产生的义</w:t>
      </w:r>
      <w:r>
        <w:rPr>
          <w:spacing w:val="-86"/>
        </w:rPr>
        <w:t> </w:t>
      </w:r>
      <w:r>
        <w:rPr>
          <w:spacing w:val="-86"/>
        </w:rPr>
      </w:r>
      <w:r>
        <w:rPr/>
        <w:t>务予以折现，以确定设定受益计划义务的现值和当期服务成本；</w:t>
      </w:r>
    </w:p>
    <w:p>
      <w:pPr>
        <w:pStyle w:val="BodyText"/>
        <w:spacing w:line="264" w:lineRule="auto" w:before="16"/>
        <w:ind w:left="154" w:right="20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1"/>
        </w:rPr>
        <w:t> </w:t>
      </w:r>
      <w:r>
        <w:rPr>
          <w:spacing w:val="-81"/>
        </w:rPr>
      </w:r>
      <w:r>
        <w:rPr/>
        <w:t>产上限两项的孰低者计量设定受益计划净资产；</w:t>
      </w:r>
    </w:p>
    <w:p>
      <w:pPr>
        <w:pStyle w:val="BodyText"/>
        <w:spacing w:line="268" w:lineRule="auto" w:before="16"/>
        <w:ind w:left="154" w:right="20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2"/>
        </w:rPr>
        <w:t>期末，将设定受益计划产生的职工薪酬成本确认为服务成本、设定受益计划净负债或净资产的利息</w:t>
      </w:r>
      <w:r>
        <w:rPr/>
        <w:t> </w:t>
      </w:r>
      <w:r>
        <w:rPr>
          <w:spacing w:val="-1"/>
        </w:rPr>
        <w:t>净额以及重新计量设定受益计划净负债或净资产所产生的变动等三部分，其中服务成本和设定受益计划净</w:t>
      </w:r>
      <w:r>
        <w:rPr>
          <w:spacing w:val="-81"/>
        </w:rPr>
        <w:t> </w:t>
      </w:r>
      <w:r>
        <w:rPr>
          <w:spacing w:val="-81"/>
        </w:rPr>
      </w:r>
      <w:r>
        <w:rPr>
          <w:spacing w:val="-1"/>
        </w:rPr>
        <w:t>负债或净资产的利息净额计入当期损益或相关资产成本，重新计量设定受益计划净负债或净资产所产生的</w:t>
      </w:r>
      <w:r>
        <w:rPr>
          <w:spacing w:val="-81"/>
        </w:rPr>
        <w:t> </w:t>
      </w:r>
      <w:r>
        <w:rPr>
          <w:spacing w:val="-81"/>
        </w:rPr>
      </w:r>
      <w:r>
        <w:rPr>
          <w:spacing w:val="-1"/>
        </w:rPr>
        <w:t>变动计入其他综合收益，并且在后续会计期间不允许转回至损益，但可以在权益范围内转移这些在其他综</w:t>
      </w:r>
      <w:r>
        <w:rPr>
          <w:spacing w:val="-81"/>
        </w:rPr>
        <w:t> </w:t>
      </w:r>
      <w:r>
        <w:rPr>
          <w:spacing w:val="-81"/>
        </w:rPr>
      </w:r>
      <w:r>
        <w:rPr/>
        <w:t>合收益确认的金额。</w:t>
      </w:r>
    </w:p>
    <w:p>
      <w:pPr>
        <w:spacing w:line="612" w:lineRule="exact" w:before="69"/>
        <w:ind w:left="490" w:right="194"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6"/>
          <w:sz w:val="21"/>
          <w:szCs w:val="21"/>
        </w:rPr>
        <w:t>(1)</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公</w:t>
      </w:r>
    </w:p>
    <w:p>
      <w:pPr>
        <w:pStyle w:val="BodyText"/>
        <w:spacing w:line="235" w:lineRule="exact"/>
        <w:ind w:left="154" w:right="102"/>
        <w:jc w:val="left"/>
      </w:pPr>
      <w:r>
        <w:rPr/>
        <w:t>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公司确认与涉及支付辞退福</w:t>
      </w:r>
    </w:p>
    <w:p>
      <w:pPr>
        <w:pStyle w:val="BodyText"/>
        <w:spacing w:line="240" w:lineRule="auto" w:before="21"/>
        <w:ind w:left="154" w:right="102"/>
        <w:jc w:val="left"/>
      </w:pPr>
      <w:r>
        <w:rPr/>
        <w:t>利的重组相关的成本或费用时。</w:t>
      </w:r>
    </w:p>
    <w:p>
      <w:pPr>
        <w:spacing w:line="590" w:lineRule="atLeast" w:before="39"/>
        <w:ind w:left="490" w:right="89"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向职工提供的其他长期福利，符合设定提存计划条件的，按照设定提存计划的有关规定进行会计处理；</w:t>
      </w:r>
    </w:p>
    <w:p>
      <w:pPr>
        <w:pStyle w:val="BodyText"/>
        <w:spacing w:line="273" w:lineRule="auto" w:before="37"/>
        <w:ind w:left="154" w:right="209"/>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8"/>
        <w:rPr>
          <w:rFonts w:ascii="宋体" w:hAnsi="宋体" w:cs="宋体" w:eastAsia="宋体" w:hint="default"/>
          <w:sz w:val="23"/>
          <w:szCs w:val="23"/>
        </w:rPr>
      </w:pPr>
    </w:p>
    <w:p>
      <w:pPr>
        <w:pStyle w:val="Heading3"/>
        <w:spacing w:line="240" w:lineRule="auto" w:before="0"/>
        <w:ind w:right="102"/>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收入确认原则</w:t>
      </w:r>
    </w:p>
    <w:p>
      <w:pPr>
        <w:pStyle w:val="BodyText"/>
        <w:spacing w:line="240" w:lineRule="auto" w:before="21"/>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销售商品</w:t>
      </w:r>
    </w:p>
    <w:p>
      <w:pPr>
        <w:pStyle w:val="BodyText"/>
        <w:spacing w:line="256" w:lineRule="auto" w:before="21"/>
        <w:ind w:right="122"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收入的金 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相关的已发生或将发生的成本能够可靠地计量。</w:t>
      </w:r>
    </w:p>
    <w:p>
      <w:pPr>
        <w:spacing w:after="0" w:line="256"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574"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 </w:t>
      </w:r>
      <w:r>
        <w:rPr>
          <w:spacing w:val="-3"/>
        </w:rPr>
        <w:t>提供劳务交易的结果在资产负债表日能够可靠估计的</w:t>
      </w:r>
      <w:r>
        <w:rPr>
          <w:rFonts w:ascii="Times New Roman" w:hAnsi="Times New Roman" w:cs="Times New Roman" w:eastAsia="Times New Roman" w:hint="default"/>
          <w:spacing w:val="-3"/>
        </w:rPr>
        <w:t>(</w:t>
      </w:r>
      <w:r>
        <w:rPr>
          <w:spacing w:val="-3"/>
        </w:rPr>
        <w:t>同时满足收入的金额能够可靠地计量、相关经济</w:t>
      </w:r>
    </w:p>
    <w:p>
      <w:pPr>
        <w:pStyle w:val="BodyText"/>
        <w:spacing w:line="268" w:lineRule="auto" w:before="5"/>
        <w:ind w:right="188"/>
        <w:jc w:val="both"/>
      </w:pPr>
      <w:r>
        <w:rPr>
          <w:spacing w:val="-3"/>
        </w:rPr>
        <w:t>利益很可能流入、交易的完工进度能够可靠地确定、交易中已发生和将发生的成本能够可靠地计量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w:t>
      </w:r>
      <w:r>
        <w:rPr>
          <w:spacing w:val="-60"/>
        </w:rPr>
        <w:t> </w:t>
      </w:r>
      <w:r>
        <w:rPr>
          <w:spacing w:val="-60"/>
        </w:rPr>
      </w:r>
      <w:r>
        <w:rPr>
          <w:spacing w:val="-1"/>
        </w:rPr>
        <w:t>完工百分比法确认提供劳务的收入，并按已经发生的成本占估计总成本的比例确定提供劳务交易的完工进</w:t>
      </w:r>
      <w:r>
        <w:rPr>
          <w:spacing w:val="-81"/>
        </w:rPr>
        <w:t> </w:t>
      </w:r>
      <w:r>
        <w:rPr>
          <w:spacing w:val="-81"/>
        </w:rPr>
      </w:r>
      <w:r>
        <w:rPr/>
        <w:t>度。提供劳务交易的结果在资产负债表日不能够可靠估计的，若已经发生的劳务成本预计能够得到补偿， </w:t>
      </w:r>
      <w:r>
        <w:rPr>
          <w:spacing w:val="-1"/>
        </w:rPr>
        <w:t>按已经发生的劳务成本金额确认提供劳务收入，并按相同金额结转劳务成本；若已经发生的劳务成本预计</w:t>
      </w:r>
      <w:r>
        <w:rPr>
          <w:spacing w:val="-81"/>
        </w:rPr>
        <w:t> </w:t>
      </w:r>
      <w:r>
        <w:rPr>
          <w:spacing w:val="-81"/>
        </w:rPr>
      </w:r>
      <w:r>
        <w:rPr/>
        <w:t>不能够得到补偿，将已经发生的劳务成本计入当期损益，不确认劳务收入。</w:t>
      </w:r>
    </w:p>
    <w:p>
      <w:pPr>
        <w:pStyle w:val="BodyText"/>
        <w:spacing w:line="256" w:lineRule="auto" w:before="12"/>
        <w:ind w:left="573"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让渡资产使用权 </w:t>
      </w:r>
      <w:r>
        <w:rPr>
          <w:spacing w:val="-1"/>
        </w:rPr>
        <w:t>让渡资产使用权在同时满足相关的经济利益很可能流入、收入金额能够可靠计量时，确认让渡资产使</w:t>
      </w:r>
    </w:p>
    <w:p>
      <w:pPr>
        <w:pStyle w:val="BodyText"/>
        <w:spacing w:line="273" w:lineRule="auto" w:before="22"/>
        <w:ind w:right="102"/>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40" w:lineRule="auto" w:before="8"/>
        <w:ind w:left="573" w:right="10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建造合同</w:t>
      </w:r>
    </w:p>
    <w:p>
      <w:pPr>
        <w:pStyle w:val="BodyText"/>
        <w:spacing w:line="266" w:lineRule="auto" w:before="21"/>
        <w:ind w:right="2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2"/>
        </w:rPr>
        <w:t>建造合同的结果在资产负债表日能够可靠估计的，根据完工百分比法确认合同收入和合同费用。建</w:t>
      </w:r>
      <w:r>
        <w:rPr/>
        <w:t> </w:t>
      </w:r>
      <w:r>
        <w:rPr>
          <w:spacing w:val="-1"/>
        </w:rPr>
        <w:t>造合同的结果在资产负债表日不能够可靠估计的，若合同成本能够收回的，合同收入根据能够收回的实际</w:t>
      </w:r>
      <w:r>
        <w:rPr>
          <w:spacing w:val="-81"/>
        </w:rPr>
        <w:t> </w:t>
      </w:r>
      <w:r>
        <w:rPr>
          <w:spacing w:val="-81"/>
        </w:rPr>
      </w:r>
      <w:r>
        <w:rPr>
          <w:spacing w:val="-1"/>
        </w:rPr>
        <w:t>合同成本予以确认，合同成本在其发生的当期确认为合同费用；若合同成本不可能收回的，在发生时立即</w:t>
      </w:r>
      <w:r>
        <w:rPr>
          <w:spacing w:val="-83"/>
        </w:rPr>
        <w:t> </w:t>
      </w:r>
      <w:r>
        <w:rPr>
          <w:spacing w:val="-83"/>
        </w:rPr>
      </w:r>
      <w:r>
        <w:rPr/>
        <w:t>确认为合同费用，不确认合同收入。</w:t>
      </w:r>
    </w:p>
    <w:p>
      <w:pPr>
        <w:pStyle w:val="BodyText"/>
        <w:spacing w:line="266" w:lineRule="auto" w:before="14"/>
        <w:ind w:right="20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spacing w:val="-2"/>
        </w:rPr>
        <w:t>固定造价合同同时满足下列条件表明其结果能够可靠估计：合同总收入能够可靠计量、与合同相关</w:t>
      </w:r>
      <w:r>
        <w:rPr/>
        <w:t> </w:t>
      </w:r>
      <w:r>
        <w:rPr>
          <w:spacing w:val="-1"/>
        </w:rPr>
        <w:t>的经济利益很可能流入、实际发生的合同成本能够清楚地区分和可靠地计量、合同完工进度和为完成合同</w:t>
      </w:r>
      <w:r>
        <w:rPr>
          <w:spacing w:val="-81"/>
        </w:rPr>
        <w:t> </w:t>
      </w:r>
      <w:r>
        <w:rPr>
          <w:spacing w:val="-81"/>
        </w:rPr>
      </w:r>
      <w:r>
        <w:rPr>
          <w:spacing w:val="-1"/>
        </w:rPr>
        <w:t>尚需发生的成本能够可靠地计量。成本加成合同同时满足下列条件表明其结果能够可靠估计：与合同相关</w:t>
      </w:r>
      <w:r>
        <w:rPr>
          <w:spacing w:val="-81"/>
        </w:rPr>
        <w:t> </w:t>
      </w:r>
      <w:r>
        <w:rPr>
          <w:spacing w:val="-81"/>
        </w:rPr>
      </w:r>
      <w:r>
        <w:rPr/>
        <w:t>的经济利益很可能流入、实际发生的合同成本能够清楚地区分和可靠地计量。</w:t>
      </w:r>
    </w:p>
    <w:p>
      <w:pPr>
        <w:pStyle w:val="BodyText"/>
        <w:spacing w:line="240" w:lineRule="auto" w:before="14"/>
        <w:ind w:left="573"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确定合同完工进度的方法为累计实际发生的合同成本占合同预计总成本的比例。</w:t>
      </w:r>
    </w:p>
    <w:p>
      <w:pPr>
        <w:pStyle w:val="BodyText"/>
        <w:spacing w:line="256" w:lineRule="auto" w:before="21"/>
        <w:ind w:right="21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spacing w:val="-2"/>
        </w:rPr>
        <w:t>资产负债表日，合同预计总成本超过合同总收入的，将预计损失确认为当期费用。执行中的建造合</w:t>
      </w:r>
      <w:r>
        <w:rPr/>
        <w:t> 同，按其差额计提存货跌价准备；待执行的亏损合同，按其差额确认预计负债。</w:t>
      </w:r>
    </w:p>
    <w:p>
      <w:pPr>
        <w:pStyle w:val="BodyText"/>
        <w:spacing w:line="256" w:lineRule="auto" w:before="22"/>
        <w:ind w:left="573"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 主要销售高压动态无功补偿装置</w:t>
      </w:r>
      <w:r>
        <w:rPr>
          <w:rFonts w:ascii="Times New Roman" w:hAnsi="Times New Roman" w:cs="Times New Roman" w:eastAsia="Times New Roman" w:hint="default"/>
        </w:rPr>
        <w:t>(SVC)</w:t>
      </w:r>
      <w:r>
        <w:rPr/>
        <w:t>、智能瓦斯排放装置、电力滤波装置、高压变频调速装置等产</w:t>
      </w:r>
    </w:p>
    <w:p>
      <w:pPr>
        <w:pStyle w:val="BodyText"/>
        <w:spacing w:line="273" w:lineRule="auto" w:before="5"/>
        <w:ind w:right="102"/>
        <w:jc w:val="left"/>
      </w:pPr>
      <w:r>
        <w:rPr/>
        <w:t>品。内销产品收入确认需满足以下条件：公司已根据合同约定将产品交付给购货方，且产品销售收入金额 </w:t>
      </w:r>
      <w:r>
        <w:rPr>
          <w:spacing w:val="-3"/>
        </w:rPr>
        <w:t>已确定，已经收回货款或取得了收款凭证且相关的经济利益很可能流入，产品相关的成本能够可靠地计量。</w:t>
      </w:r>
      <w:r>
        <w:rPr>
          <w:spacing w:val="-92"/>
        </w:rPr>
        <w:t> </w:t>
      </w:r>
      <w:r>
        <w:rPr>
          <w:spacing w:val="-92"/>
        </w:rPr>
      </w:r>
      <w:r>
        <w:rPr/>
        <w:t>外销产品收入确认需满足以下条件：公司已根据合同约定将产品报关、离港，取得提单，且产品销售收入</w:t>
      </w:r>
      <w:r>
        <w:rPr/>
        <w:t> 金额已确定，已经收回货款或取得了收款凭证且相关的经济利益很可能流入，产品相关的成本能够可靠地 计量。</w:t>
      </w:r>
    </w:p>
    <w:p>
      <w:pPr>
        <w:spacing w:line="240" w:lineRule="auto" w:before="8"/>
        <w:rPr>
          <w:rFonts w:ascii="宋体" w:hAnsi="宋体" w:cs="宋体" w:eastAsia="宋体" w:hint="default"/>
          <w:sz w:val="23"/>
          <w:szCs w:val="23"/>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21</w:t>
      </w:r>
      <w:r>
        <w:rPr/>
        <w:t>、政府补助</w:t>
      </w:r>
      <w:r>
        <w:rPr>
          <w:b w:val="0"/>
          <w:bCs w:val="0"/>
        </w:rPr>
      </w:r>
    </w:p>
    <w:p>
      <w:pPr>
        <w:spacing w:line="590" w:lineRule="atLeast" w:before="23"/>
        <w:ind w:left="490" w:right="254"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取得的、用于购建或以其他方式形成长期资产的政府补助划分为与资产相关的政府补助。与资产相关</w:t>
      </w:r>
    </w:p>
    <w:p>
      <w:pPr>
        <w:pStyle w:val="BodyText"/>
        <w:spacing w:line="273" w:lineRule="auto" w:before="37"/>
        <w:ind w:left="154" w:right="102"/>
        <w:jc w:val="left"/>
      </w:pPr>
      <w:r>
        <w:rPr>
          <w:spacing w:val="-1"/>
        </w:rPr>
        <w:t>的政府补助，确认为递延收益，并在相关资产使用寿命内平均分配，计入当期损益。但是，按照名义金额</w:t>
      </w:r>
      <w:r>
        <w:rPr>
          <w:spacing w:val="-83"/>
        </w:rPr>
        <w:t> </w:t>
      </w:r>
      <w:r>
        <w:rPr>
          <w:spacing w:val="-83"/>
        </w:rPr>
      </w:r>
      <w:r>
        <w:rPr/>
        <w:t>计量的政府补助，直接计入当期损益。</w:t>
      </w:r>
    </w:p>
    <w:p>
      <w:pPr>
        <w:spacing w:line="590" w:lineRule="atLeast" w:before="9"/>
        <w:ind w:left="490" w:right="254"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除与资产相关的政府补助之外的政府补助划分为与收益相关的政府补助。与收益相关的政府补助，用</w:t>
      </w:r>
    </w:p>
    <w:p>
      <w:pPr>
        <w:pStyle w:val="BodyText"/>
        <w:spacing w:line="273" w:lineRule="auto" w:before="37"/>
        <w:ind w:left="154" w:right="102"/>
        <w:jc w:val="left"/>
      </w:pPr>
      <w:r>
        <w:rPr>
          <w:spacing w:val="-1"/>
        </w:rPr>
        <w:t>于补偿以后期间的相关费用或损失的，确认为递延收益，在确认相关费用的期间，计入当期损益；用于补</w:t>
      </w:r>
      <w:r>
        <w:rPr>
          <w:spacing w:val="-86"/>
        </w:rPr>
        <w:t> </w:t>
      </w:r>
      <w:r>
        <w:rPr>
          <w:spacing w:val="-86"/>
        </w:rPr>
      </w:r>
      <w:r>
        <w:rPr/>
        <w:t>偿已发生的相关费用或损失的，直接计入当期损益。</w:t>
      </w:r>
    </w:p>
    <w:p>
      <w:pPr>
        <w:spacing w:after="0" w:line="273"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35"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 </w:t>
      </w:r>
      <w:r>
        <w:rPr>
          <w:spacing w:val="-2"/>
        </w:rPr>
        <w:t>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，按照预期收回该资产或清偿该负债期间的适</w:t>
      </w:r>
      <w:r>
        <w:rPr/>
        <w:t> 用税率计算确认递延所得税资产或递延所得税负债。</w:t>
      </w:r>
    </w:p>
    <w:p>
      <w:pPr>
        <w:pStyle w:val="BodyText"/>
        <w:spacing w:line="264" w:lineRule="auto" w:before="22"/>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确认递延所得税资产以很可能取得用来抵扣可抵扣暂时性差异的应纳税所得额为限。资产负债表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264" w:lineRule="auto" w:before="16"/>
        <w:ind w:right="14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256" w:lineRule="auto" w:before="16"/>
        <w:ind w:right="236"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直接在所有者权益中确认的交易或者事项。</w:t>
      </w:r>
    </w:p>
    <w:p>
      <w:pPr>
        <w:spacing w:line="240" w:lineRule="auto" w:before="5"/>
        <w:rPr>
          <w:rFonts w:ascii="宋体" w:hAnsi="宋体" w:cs="宋体" w:eastAsia="宋体" w:hint="default"/>
          <w:sz w:val="23"/>
          <w:szCs w:val="23"/>
        </w:rPr>
      </w:pPr>
    </w:p>
    <w:p>
      <w:pPr>
        <w:pStyle w:val="Heading3"/>
        <w:spacing w:line="240" w:lineRule="auto" w:before="0"/>
        <w:ind w:right="0"/>
        <w:jc w:val="left"/>
        <w:rPr>
          <w:b w:val="0"/>
          <w:bCs w:val="0"/>
        </w:rPr>
      </w:pPr>
      <w:r>
        <w:rPr>
          <w:rFonts w:ascii="Times New Roman" w:hAnsi="Times New Roman" w:cs="Times New Roman" w:eastAsia="Times New Roman" w:hint="default"/>
        </w:rPr>
        <w:t>23</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273" w:lineRule="auto" w:before="37"/>
        <w:ind w:left="574"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8"/>
        <w:ind w:left="154" w:right="0"/>
        <w:jc w:val="left"/>
      </w:pPr>
      <w:r>
        <w:rPr/>
        <w:t>金额较大的予以资本化并分期计入损益外，均直接计入当期损益。或有租金在实际发生时计入当期损益。</w:t>
      </w:r>
    </w:p>
    <w:p>
      <w:pPr>
        <w:spacing w:line="240" w:lineRule="auto" w:before="10"/>
        <w:rPr>
          <w:rFonts w:ascii="宋体" w:hAnsi="宋体" w:cs="宋体" w:eastAsia="宋体" w:hint="default"/>
          <w:sz w:val="26"/>
          <w:szCs w:val="26"/>
        </w:rPr>
      </w:pPr>
    </w:p>
    <w:p>
      <w:pPr>
        <w:spacing w:line="590" w:lineRule="atLeast"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BodyText"/>
        <w:spacing w:line="273" w:lineRule="auto" w:before="37"/>
        <w:ind w:right="149"/>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6"/>
        </w:rPr>
        <w:t> </w:t>
      </w:r>
      <w:r>
        <w:rPr>
          <w:spacing w:val="-86"/>
        </w:rPr>
      </w:r>
      <w:r>
        <w:rPr/>
        <w:t>资费用。</w:t>
      </w:r>
    </w:p>
    <w:p>
      <w:pPr>
        <w:pStyle w:val="BodyText"/>
        <w:spacing w:line="273" w:lineRule="auto" w:before="8"/>
        <w:ind w:right="128"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0"/>
        <w:ind w:right="0"/>
        <w:jc w:val="left"/>
        <w:rPr>
          <w:b w:val="0"/>
          <w:bCs w:val="0"/>
        </w:rPr>
      </w:pPr>
      <w:r>
        <w:rPr>
          <w:rFonts w:ascii="Times New Roman" w:hAnsi="Times New Roman" w:cs="Times New Roman" w:eastAsia="Times New Roman" w:hint="default"/>
        </w:rPr>
        <w:t>24</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日起执行财政部</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年制定的《企业会计准则第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《企业会计准则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本次变更经公司第五届董事会第十一次 会议审议通过。</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32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合</w:t>
            </w:r>
            <w:r>
              <w:rPr>
                <w:rFonts w:ascii="宋体" w:hAnsi="宋体" w:cs="宋体" w:eastAsia="宋体" w:hint="default"/>
                <w:sz w:val="18"/>
                <w:szCs w:val="18"/>
              </w:rPr>
              <w:t>营安排</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业会计准则</w:t>
            </w:r>
          </w:p>
        </w:tc>
        <w:tc>
          <w:tcPr>
            <w:tcW w:w="3190" w:type="dxa"/>
            <w:vMerge w:val="restart"/>
            <w:tcBorders>
              <w:top w:val="single" w:sz="4" w:space="0" w:color="000000"/>
              <w:left w:val="single" w:sz="4" w:space="0" w:color="000000"/>
              <w:right w:val="single" w:sz="4" w:space="0" w:color="000000"/>
            </w:tcBorders>
          </w:tcPr>
          <w:p>
            <w:pPr>
              <w:pStyle w:val="TableParagraph"/>
              <w:spacing w:line="2848" w:lineRule="exact"/>
              <w:ind w:right="-49"/>
              <w:jc w:val="left"/>
              <w:rPr>
                <w:rFonts w:ascii="宋体" w:hAnsi="宋体" w:cs="宋体" w:eastAsia="宋体" w:hint="default"/>
                <w:sz w:val="20"/>
                <w:szCs w:val="20"/>
              </w:rPr>
            </w:pPr>
            <w:r>
              <w:rPr>
                <w:rFonts w:ascii="宋体" w:hAnsi="宋体" w:cs="宋体" w:eastAsia="宋体" w:hint="default"/>
                <w:position w:val="-56"/>
                <w:sz w:val="20"/>
                <w:szCs w:val="20"/>
              </w:rPr>
              <w:pict>
                <v:group style="width:158.950pt;height:142.450pt;mso-position-horizontal-relative:char;mso-position-vertical-relative:line" coordorigin="0,0" coordsize="3179,2849">
                  <v:group style="position:absolute;left:0;top:0;width:3179;height:2849" coordorigin="0,0" coordsize="3179,2849">
                    <v:shape style="position:absolute;left:0;top:0;width:3179;height:2849" coordorigin="0,0" coordsize="3179,2849" path="m0,2849l3179,2849,3179,0,0,0,0,2849xe" filled="true" fillcolor="#ffffff" stroked="false">
                      <v:path arrowok="t"/>
                      <v:fill type="solid"/>
                    </v:shape>
                  </v:group>
                </v:group>
              </w:pict>
            </w:r>
            <w:r>
              <w:rPr>
                <w:rFonts w:ascii="宋体" w:hAnsi="宋体" w:cs="宋体" w:eastAsia="宋体" w:hint="default"/>
                <w:position w:val="-56"/>
                <w:sz w:val="20"/>
                <w:szCs w:val="20"/>
              </w:rPr>
            </w:r>
          </w:p>
        </w:tc>
        <w:tc>
          <w:tcPr>
            <w:tcW w:w="3188"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和经修订的《企业会计准则第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同时在本财务</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13"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报表中采用财政部于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年修订的《企</w:t>
            </w:r>
          </w:p>
        </w:tc>
        <w:tc>
          <w:tcPr>
            <w:tcW w:w="3190"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90" w:type="dxa"/>
            <w:vMerge/>
            <w:tcBorders>
              <w:left w:val="single" w:sz="4" w:space="0" w:color="000000"/>
              <w:bottom w:val="single" w:sz="4" w:space="0" w:color="000000"/>
              <w:right w:val="single" w:sz="4" w:space="0" w:color="000000"/>
            </w:tcBorders>
          </w:tcPr>
          <w:p>
            <w:pPr/>
          </w:p>
        </w:tc>
        <w:tc>
          <w:tcPr>
            <w:tcW w:w="3188" w:type="dxa"/>
            <w:vMerge/>
            <w:tcBorders>
              <w:left w:val="single" w:sz="4" w:space="0" w:color="000000"/>
              <w:bottom w:val="single" w:sz="4" w:space="0" w:color="000000"/>
              <w:right w:val="single" w:sz="4" w:space="0" w:color="000000"/>
            </w:tcBorders>
          </w:tcPr>
          <w:p>
            <w:pPr/>
          </w:p>
        </w:tc>
      </w:tr>
    </w:tbl>
    <w:p>
      <w:pPr>
        <w:pStyle w:val="BodyText"/>
        <w:spacing w:line="260" w:lineRule="exact"/>
        <w:ind w:left="574" w:right="0"/>
        <w:jc w:val="left"/>
      </w:pPr>
      <w:r>
        <w:rPr/>
        <w:pict>
          <v:shape style="position:absolute;margin-left:210.306pt;margin-top:-142.919998pt;width:165.15pt;height:142.450pt;mso-position-horizontal-relative:page;mso-position-vertical-relative:paragraph;z-index:-798232" type="#_x0000_t202" filled="false" stroked="false">
            <v:textbox inset="0,0,0,0">
              <w:txbxContent>
                <w:p>
                  <w:pPr>
                    <w:spacing w:line="240" w:lineRule="auto" w:before="8"/>
                    <w:rPr>
                      <w:rFonts w:ascii="宋体" w:hAnsi="宋体" w:cs="宋体" w:eastAsia="宋体" w:hint="default"/>
                      <w:b/>
                      <w:bCs/>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受重要影响的报表项目和金额</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119"/>
        <w:gridCol w:w="1702"/>
        <w:gridCol w:w="4819"/>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01"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pacing w:val="63"/>
                <w:sz w:val="21"/>
                <w:szCs w:val="21"/>
              </w:rPr>
              <w:t> </w:t>
            </w:r>
            <w:r>
              <w:rPr>
                <w:rFonts w:ascii="宋体" w:hAnsi="宋体" w:cs="宋体" w:eastAsia="宋体" w:hint="default"/>
                <w:sz w:val="21"/>
                <w:szCs w:val="21"/>
              </w:rPr>
              <w:t>注</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日资产负债表项目</w:t>
            </w:r>
          </w:p>
        </w:tc>
        <w:tc>
          <w:tcPr>
            <w:tcW w:w="1702" w:type="dxa"/>
            <w:tcBorders>
              <w:top w:val="single" w:sz="6" w:space="0" w:color="000000"/>
              <w:left w:val="single" w:sz="6" w:space="0" w:color="000000"/>
              <w:bottom w:val="single" w:sz="6" w:space="0" w:color="000000"/>
              <w:right w:val="single" w:sz="6" w:space="0" w:color="000000"/>
            </w:tcBorders>
          </w:tcPr>
          <w:p>
            <w:pPr/>
          </w:p>
        </w:tc>
        <w:tc>
          <w:tcPr>
            <w:tcW w:w="4819" w:type="dxa"/>
            <w:tcBorders>
              <w:top w:val="single" w:sz="6" w:space="0" w:color="000000"/>
              <w:left w:val="single" w:sz="6" w:space="0" w:color="000000"/>
              <w:bottom w:val="nil" w:sz="6" w:space="0" w:color="auto"/>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根据修订的《企业会计准则第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-8,000,000.00</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28"/>
              <w:jc w:val="left"/>
              <w:rPr>
                <w:rFonts w:ascii="宋体" w:hAnsi="宋体" w:cs="宋体" w:eastAsia="宋体" w:hint="default"/>
                <w:sz w:val="21"/>
                <w:szCs w:val="21"/>
              </w:rPr>
            </w:pPr>
            <w:r>
              <w:rPr>
                <w:rFonts w:ascii="宋体" w:hAnsi="宋体" w:cs="宋体" w:eastAsia="宋体" w:hint="default"/>
                <w:sz w:val="21"/>
                <w:szCs w:val="21"/>
              </w:rPr>
              <w:t>资》，将原成本法核算的对被投资单位不具有控制、</w:t>
            </w:r>
          </w:p>
        </w:tc>
      </w:tr>
      <w:tr>
        <w:trPr>
          <w:trHeight w:val="259" w:hRule="exact"/>
        </w:trPr>
        <w:tc>
          <w:tcPr>
            <w:tcW w:w="3119"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5"/>
              <w:ind w:left="580" w:right="0"/>
              <w:jc w:val="left"/>
              <w:rPr>
                <w:rFonts w:ascii="Times New Roman" w:hAnsi="Times New Roman" w:cs="Times New Roman" w:eastAsia="Times New Roman" w:hint="default"/>
                <w:sz w:val="21"/>
                <w:szCs w:val="21"/>
              </w:rPr>
            </w:pPr>
            <w:r>
              <w:rPr>
                <w:rFonts w:ascii="Times New Roman"/>
                <w:sz w:val="21"/>
              </w:rPr>
              <w:t>8,000,000.00</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2" w:right="0"/>
              <w:jc w:val="left"/>
              <w:rPr>
                <w:rFonts w:ascii="宋体" w:hAnsi="宋体" w:cs="宋体" w:eastAsia="宋体" w:hint="default"/>
                <w:sz w:val="21"/>
                <w:szCs w:val="21"/>
              </w:rPr>
            </w:pPr>
            <w:r>
              <w:rPr>
                <w:rFonts w:ascii="宋体" w:hAnsi="宋体" w:cs="宋体" w:eastAsia="宋体" w:hint="default"/>
                <w:sz w:val="21"/>
                <w:szCs w:val="21"/>
              </w:rPr>
              <w:t>共同控制或重大影响的权益性投资纳入可供出售金</w:t>
            </w:r>
          </w:p>
        </w:tc>
      </w:tr>
      <w:tr>
        <w:trPr>
          <w:trHeight w:val="312" w:hRule="exact"/>
        </w:trPr>
        <w:tc>
          <w:tcPr>
            <w:tcW w:w="3119"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融资产核算，其中：在活跃市场中没有报价、公允价</w:t>
            </w:r>
          </w:p>
        </w:tc>
      </w:tr>
      <w:tr>
        <w:trPr>
          <w:trHeight w:val="330" w:hRule="exact"/>
        </w:trPr>
        <w:tc>
          <w:tcPr>
            <w:tcW w:w="31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81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28"/>
              <w:jc w:val="left"/>
              <w:rPr>
                <w:rFonts w:ascii="宋体" w:hAnsi="宋体" w:cs="宋体" w:eastAsia="宋体" w:hint="default"/>
                <w:sz w:val="21"/>
                <w:szCs w:val="21"/>
              </w:rPr>
            </w:pPr>
            <w:r>
              <w:rPr>
                <w:rFonts w:ascii="宋体" w:hAnsi="宋体" w:cs="宋体" w:eastAsia="宋体" w:hint="default"/>
                <w:sz w:val="21"/>
                <w:szCs w:val="21"/>
              </w:rPr>
              <w:t>值不能可靠计量的权益工具按照成本进行后续计量。</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日资产负债表项目</w:t>
            </w:r>
          </w:p>
        </w:tc>
        <w:tc>
          <w:tcPr>
            <w:tcW w:w="1702" w:type="dxa"/>
            <w:tcBorders>
              <w:top w:val="single" w:sz="6" w:space="0" w:color="000000"/>
              <w:left w:val="single" w:sz="6" w:space="0" w:color="000000"/>
              <w:bottom w:val="single" w:sz="6" w:space="0" w:color="000000"/>
              <w:right w:val="single" w:sz="6" w:space="0" w:color="000000"/>
            </w:tcBorders>
          </w:tcPr>
          <w:p>
            <w:pPr/>
          </w:p>
        </w:tc>
        <w:tc>
          <w:tcPr>
            <w:tcW w:w="4819" w:type="dxa"/>
            <w:tcBorders>
              <w:top w:val="single" w:sz="6" w:space="0" w:color="000000"/>
              <w:left w:val="single" w:sz="6" w:space="0" w:color="000000"/>
              <w:bottom w:val="nil" w:sz="6" w:space="0" w:color="auto"/>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根据修订的《企业会计准则第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-60,439,986.55</w:t>
            </w:r>
            <w:r>
              <w:rPr>
                <w:rFonts w:ascii="Times New Roman"/>
                <w:sz w:val="21"/>
              </w:rPr>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根据列报要求将递延收益单独列报，并对年初</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60,439,986.55</w:t>
            </w:r>
          </w:p>
        </w:tc>
        <w:tc>
          <w:tcPr>
            <w:tcW w:w="4819" w:type="dxa"/>
            <w:tcBorders>
              <w:top w:val="nil" w:sz="6" w:space="0" w:color="auto"/>
              <w:left w:val="single" w:sz="6" w:space="0" w:color="000000"/>
              <w:bottom w:val="single" w:sz="6" w:space="0" w:color="000000"/>
              <w:right w:val="single" w:sz="6" w:space="0" w:color="000000"/>
            </w:tcBorders>
          </w:tcPr>
          <w:p>
            <w:pPr>
              <w:pStyle w:val="TableParagraph"/>
              <w:spacing w:line="209" w:lineRule="exact"/>
              <w:ind w:left="2" w:right="0"/>
              <w:jc w:val="left"/>
              <w:rPr>
                <w:rFonts w:ascii="宋体" w:hAnsi="宋体" w:cs="宋体" w:eastAsia="宋体" w:hint="default"/>
                <w:sz w:val="21"/>
                <w:szCs w:val="21"/>
              </w:rPr>
            </w:pPr>
            <w:r>
              <w:rPr>
                <w:rFonts w:ascii="宋体" w:hAnsi="宋体" w:cs="宋体" w:eastAsia="宋体" w:hint="default"/>
                <w:sz w:val="21"/>
                <w:szCs w:val="21"/>
              </w:rPr>
              <w:t>数采用追溯调整法进行调整列报。</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日资产负债表项目</w:t>
            </w:r>
          </w:p>
        </w:tc>
        <w:tc>
          <w:tcPr>
            <w:tcW w:w="1702" w:type="dxa"/>
            <w:tcBorders>
              <w:top w:val="single" w:sz="6" w:space="0" w:color="000000"/>
              <w:left w:val="single" w:sz="6" w:space="0" w:color="000000"/>
              <w:bottom w:val="single" w:sz="6" w:space="0" w:color="000000"/>
              <w:right w:val="single" w:sz="6" w:space="0" w:color="000000"/>
            </w:tcBorders>
          </w:tcPr>
          <w:p>
            <w:pPr/>
          </w:p>
        </w:tc>
        <w:tc>
          <w:tcPr>
            <w:tcW w:w="4819" w:type="dxa"/>
            <w:tcBorders>
              <w:top w:val="single" w:sz="6" w:space="0" w:color="000000"/>
              <w:left w:val="single" w:sz="6" w:space="0" w:color="000000"/>
              <w:bottom w:val="nil" w:sz="6" w:space="0" w:color="auto"/>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根据修订的《企业会计准则第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-337,212,280.95</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表》，重新评估了合并财务报表的合并范围。北京信</w:t>
            </w:r>
          </w:p>
        </w:tc>
      </w:tr>
      <w:tr>
        <w:trPr>
          <w:trHeight w:val="259" w:hRule="exact"/>
        </w:trPr>
        <w:tc>
          <w:tcPr>
            <w:tcW w:w="3119"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5"/>
              <w:ind w:left="300" w:right="0"/>
              <w:jc w:val="left"/>
              <w:rPr>
                <w:rFonts w:ascii="Times New Roman" w:hAnsi="Times New Roman" w:cs="Times New Roman" w:eastAsia="Times New Roman" w:hint="default"/>
                <w:sz w:val="21"/>
                <w:szCs w:val="21"/>
              </w:rPr>
            </w:pPr>
            <w:r>
              <w:rPr>
                <w:rFonts w:ascii="Times New Roman"/>
                <w:sz w:val="21"/>
              </w:rPr>
              <w:t>-149,780,273.40</w:t>
            </w:r>
          </w:p>
        </w:tc>
        <w:tc>
          <w:tcPr>
            <w:tcW w:w="4819"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2" w:right="-28"/>
              <w:jc w:val="left"/>
              <w:rPr>
                <w:rFonts w:ascii="宋体" w:hAnsi="宋体" w:cs="宋体" w:eastAsia="宋体" w:hint="default"/>
                <w:sz w:val="21"/>
                <w:szCs w:val="21"/>
              </w:rPr>
            </w:pPr>
            <w:r>
              <w:rPr>
                <w:rFonts w:ascii="宋体" w:hAnsi="宋体" w:cs="宋体" w:eastAsia="宋体" w:hint="default"/>
                <w:sz w:val="21"/>
                <w:szCs w:val="21"/>
              </w:rPr>
              <w:t>力筑正新能源技术股份有限公司不再纳入合并范围，</w:t>
            </w:r>
          </w:p>
        </w:tc>
      </w:tr>
      <w:tr>
        <w:trPr>
          <w:trHeight w:val="87" w:hRule="exact"/>
        </w:trPr>
        <w:tc>
          <w:tcPr>
            <w:tcW w:w="31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819" w:type="dxa"/>
            <w:vMerge w:val="restart"/>
            <w:tcBorders>
              <w:top w:val="nil" w:sz="6" w:space="0" w:color="auto"/>
              <w:left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由成本法改为权益法核算，并对年初数采用追溯调整</w:t>
            </w:r>
          </w:p>
        </w:tc>
      </w:tr>
      <w:tr>
        <w:trPr>
          <w:trHeight w:val="225" w:hRule="exact"/>
        </w:trPr>
        <w:tc>
          <w:tcPr>
            <w:tcW w:w="3119"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5"/>
              <w:ind w:left="301" w:right="0"/>
              <w:jc w:val="left"/>
              <w:rPr>
                <w:rFonts w:ascii="Times New Roman" w:hAnsi="Times New Roman" w:cs="Times New Roman" w:eastAsia="Times New Roman" w:hint="default"/>
                <w:sz w:val="21"/>
                <w:szCs w:val="21"/>
              </w:rPr>
            </w:pPr>
            <w:r>
              <w:rPr>
                <w:rFonts w:ascii="Times New Roman"/>
                <w:sz w:val="21"/>
              </w:rPr>
              <w:t>-187,432,007.55</w:t>
            </w:r>
          </w:p>
        </w:tc>
        <w:tc>
          <w:tcPr>
            <w:tcW w:w="4819" w:type="dxa"/>
            <w:vMerge/>
            <w:tcBorders>
              <w:left w:val="single" w:sz="6" w:space="0" w:color="000000"/>
              <w:bottom w:val="nil" w:sz="6" w:space="0" w:color="auto"/>
              <w:right w:val="single" w:sz="6" w:space="0" w:color="000000"/>
            </w:tcBorders>
          </w:tcPr>
          <w:p>
            <w:pPr/>
          </w:p>
        </w:tc>
      </w:tr>
      <w:tr>
        <w:trPr>
          <w:trHeight w:val="330" w:hRule="exact"/>
        </w:trPr>
        <w:tc>
          <w:tcPr>
            <w:tcW w:w="31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481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法进行调整列报。</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spacing w:before="44"/>
        <w:ind w:left="153" w:right="102"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本公司、荣信电气、荣信光伏、荣信慧科、荣科恒阳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企业所得税</w:t>
      </w:r>
    </w:p>
    <w:p>
      <w:pPr>
        <w:pStyle w:val="BodyText"/>
        <w:spacing w:line="240" w:lineRule="auto" w:before="21"/>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本公司</w:t>
      </w:r>
    </w:p>
    <w:p>
      <w:pPr>
        <w:pStyle w:val="BodyText"/>
        <w:spacing w:line="256" w:lineRule="auto" w:before="21"/>
        <w:ind w:right="102"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日，本公司被辽宁省科学技术厅、辽宁省财政厅、辽宁省国家税务局、辽宁省地方税务</w:t>
      </w:r>
      <w:r>
        <w:rPr/>
        <w:t> 局联合认定为高新技术企业，证书编号：</w:t>
      </w:r>
      <w:r>
        <w:rPr>
          <w:rFonts w:ascii="Times New Roman" w:hAnsi="Times New Roman" w:cs="Times New Roman" w:eastAsia="Times New Roman" w:hint="default"/>
        </w:rPr>
        <w:t>GR201421000104</w:t>
      </w:r>
      <w:r>
        <w:rPr/>
        <w:t>，有效期三年。本公司自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02"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日，荣信电气被辽宁省科学技术厅、辽宁省财政局、辽宁省国家税务局、辽宁省地方税</w:t>
      </w:r>
      <w:r>
        <w:rPr/>
        <w:t> 务局联合认定为高新技术企业，证书编号：</w:t>
      </w:r>
      <w:r>
        <w:rPr>
          <w:rFonts w:ascii="Times New Roman" w:hAnsi="Times New Roman" w:cs="Times New Roman" w:eastAsia="Times New Roman" w:hint="default"/>
        </w:rPr>
        <w:t>GR201321000096</w:t>
      </w:r>
      <w:r>
        <w:rPr/>
        <w:t>，有效期三年。自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02"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日，荣信光伏被辽宁省科学技术厅、辽宁省财政局、辽宁省国家税务局、辽宁省地方税</w:t>
      </w:r>
      <w:r>
        <w:rPr/>
        <w:t> 务局联合认定为高新技术企业，证书编号：</w:t>
      </w:r>
      <w:r>
        <w:rPr>
          <w:rFonts w:ascii="Times New Roman" w:hAnsi="Times New Roman" w:cs="Times New Roman" w:eastAsia="Times New Roman" w:hint="default"/>
        </w:rPr>
        <w:t>GR201321000140</w:t>
      </w:r>
      <w:r>
        <w:rPr/>
        <w:t>，有效期三年。自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02"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日，荣信慧科被北京市科学技术委员会、北京市财政局、北京市国家税务局、北京市地</w:t>
      </w:r>
      <w:r>
        <w:rPr/>
        <w:t> 方税务局联合认定为高新技术企业，证书编号：</w:t>
      </w:r>
      <w:r>
        <w:rPr>
          <w:rFonts w:ascii="Times New Roman" w:hAnsi="Times New Roman" w:cs="Times New Roman" w:eastAsia="Times New Roman" w:hint="default"/>
        </w:rPr>
        <w:t>GR201311000399</w:t>
      </w:r>
      <w:r>
        <w:rPr/>
        <w:t>，有效期三年。自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4"/>
        <w:ind w:right="102"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12</w:t>
      </w:r>
      <w:r>
        <w:rPr>
          <w:spacing w:val="-1"/>
        </w:rPr>
        <w:t>日，荣科恒阳被北京市科学技术委员会、北京市财政局、北京市国家税务局、北京市地</w:t>
      </w:r>
      <w:r>
        <w:rPr/>
        <w:t> 方税务局联合认定为高新技术企业，证书编号：</w:t>
      </w:r>
      <w:r>
        <w:rPr>
          <w:rFonts w:ascii="Times New Roman" w:hAnsi="Times New Roman" w:cs="Times New Roman" w:eastAsia="Times New Roman" w:hint="default"/>
        </w:rPr>
        <w:t>GR201211000386</w:t>
      </w:r>
      <w:r>
        <w:rPr/>
        <w:t>，有效期三年。自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left="573"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荣信防爆 </w:t>
      </w:r>
      <w:r>
        <w:rPr>
          <w:spacing w:val="-2"/>
        </w:rPr>
        <w:t>根据国务院《进一步鼓励软件产业和集成电路产业发展的若干政策》国发</w:t>
      </w:r>
      <w:r>
        <w:rPr>
          <w:rFonts w:ascii="Times New Roman" w:hAnsi="Times New Roman" w:cs="Times New Roman" w:eastAsia="Times New Roman" w:hint="default"/>
          <w:spacing w:val="-2"/>
        </w:rPr>
        <w:t>[2011]4</w:t>
      </w:r>
      <w:r>
        <w:rPr>
          <w:spacing w:val="-2"/>
        </w:rPr>
        <w:t>号，对我国境内新办</w:t>
      </w:r>
    </w:p>
    <w:p>
      <w:pPr>
        <w:pStyle w:val="BodyText"/>
        <w:spacing w:line="256" w:lineRule="auto" w:before="5"/>
        <w:ind w:right="116"/>
        <w:jc w:val="left"/>
      </w:pPr>
      <w:r>
        <w:rPr/>
        <w:t>集成电路设计企业和符合条件的软件企业，经认定后，自获利年度起，享受企业所得税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 政策。</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日，荣信防爆被辽宁省软件认定办公室认定为软件企业，证书编号为：辽</w:t>
      </w:r>
      <w:r>
        <w:rPr>
          <w:rFonts w:ascii="Times New Roman" w:hAnsi="Times New Roman" w:cs="Times New Roman" w:eastAsia="Times New Roman" w:hint="default"/>
        </w:rPr>
        <w:t>R-2011-0010</w:t>
      </w:r>
      <w:r>
        <w:rPr/>
        <w:t>， 荣信防爆自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日止，免交企业所得税，自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r>
        <w:rPr>
          <w:spacing w:val="1"/>
        </w:rPr>
        <w:t> </w:t>
      </w:r>
      <w:r>
        <w:rPr/>
        <w:t>减半计缴企业所得税。</w:t>
      </w:r>
    </w:p>
    <w:p>
      <w:pPr>
        <w:pStyle w:val="BodyText"/>
        <w:spacing w:line="256" w:lineRule="auto" w:before="22"/>
        <w:ind w:left="573"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增值税 </w:t>
      </w:r>
      <w:r>
        <w:rPr>
          <w:spacing w:val="-2"/>
        </w:rPr>
        <w:t>根据财政部《关于软件产品增值税政策的通知》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w:t>
      </w:r>
      <w:r>
        <w:rPr>
          <w:rFonts w:ascii="Times New Roman" w:hAnsi="Times New Roman" w:cs="Times New Roman" w:eastAsia="Times New Roman" w:hint="default"/>
          <w:spacing w:val="-2"/>
        </w:rPr>
        <w:t>)</w:t>
      </w:r>
      <w:r>
        <w:rPr>
          <w:spacing w:val="-2"/>
        </w:rPr>
        <w:t>，增值税一般纳税人销售其自行</w:t>
      </w:r>
    </w:p>
    <w:p>
      <w:pPr>
        <w:pStyle w:val="BodyText"/>
        <w:spacing w:line="264" w:lineRule="auto" w:before="5"/>
        <w:ind w:right="154"/>
        <w:jc w:val="both"/>
      </w:pPr>
      <w:r>
        <w:rPr/>
        <w:t>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 本公司、诚和伟业、荣信嘉时、电气传动上海、荣信电气、荣信光伏、荣信防爆、荣信电机于以前年度被 认定为软件企业，销售自行开发生产的软件产品享受增值税实际税负超过</w:t>
      </w:r>
      <w:r>
        <w:rPr>
          <w:rFonts w:ascii="Times New Roman" w:hAnsi="Times New Roman" w:cs="Times New Roman" w:eastAsia="Times New Roman" w:hint="default"/>
        </w:rPr>
        <w:t>3%</w:t>
      </w:r>
      <w:r>
        <w:rPr/>
        <w:t>的部分即征即退政策。</w:t>
      </w:r>
    </w:p>
    <w:p>
      <w:pPr>
        <w:spacing w:after="0" w:line="264" w:lineRule="auto"/>
        <w:jc w:val="both"/>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507,987.33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507,716.08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487,592,915.08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664,890,967.99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49,513,501.25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86,408,266.28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537,614,403.66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751,806,950.35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1,508,152.27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3,038,250.27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4" w:right="215"/>
        <w:jc w:val="left"/>
      </w:pPr>
      <w:r>
        <w:rPr/>
        <w:t>期末银行存款包含按定期存款</w:t>
      </w:r>
      <w:r>
        <w:rPr>
          <w:rFonts w:ascii="Times New Roman" w:hAnsi="Times New Roman" w:cs="Times New Roman" w:eastAsia="Times New Roman" w:hint="default"/>
        </w:rPr>
        <w:t>98,295,756.00</w:t>
      </w:r>
      <w:r>
        <w:rPr/>
        <w:t>元，其他货币资金包含银行承兑汇票保证金</w:t>
      </w:r>
      <w:r>
        <w:rPr>
          <w:rFonts w:ascii="Times New Roman" w:hAnsi="Times New Roman" w:cs="Times New Roman" w:eastAsia="Times New Roman" w:hint="default"/>
        </w:rPr>
        <w:t>40,898,474.39</w:t>
      </w:r>
      <w:r>
        <w:rPr/>
        <w:t>元、 履约保函保证金</w:t>
      </w:r>
      <w:r>
        <w:rPr>
          <w:rFonts w:ascii="Times New Roman" w:hAnsi="Times New Roman" w:cs="Times New Roman" w:eastAsia="Times New Roman" w:hint="default"/>
        </w:rPr>
        <w:t>8,615,026.86</w:t>
      </w:r>
      <w:r>
        <w:rPr/>
        <w:t>元，共计</w:t>
      </w:r>
      <w:r>
        <w:rPr>
          <w:rFonts w:ascii="Times New Roman" w:hAnsi="Times New Roman" w:cs="Times New Roman" w:eastAsia="Times New Roman" w:hint="default"/>
        </w:rPr>
        <w:t>147,809,257.25</w:t>
      </w:r>
      <w:r>
        <w:rPr/>
        <w:t>为使用受限货币资金。</w:t>
      </w:r>
    </w:p>
    <w:p>
      <w:pPr>
        <w:spacing w:line="240" w:lineRule="auto" w:before="5"/>
        <w:rPr>
          <w:rFonts w:ascii="宋体" w:hAnsi="宋体" w:cs="宋体" w:eastAsia="宋体" w:hint="default"/>
          <w:sz w:val="23"/>
          <w:szCs w:val="23"/>
        </w:rPr>
      </w:pPr>
    </w:p>
    <w:p>
      <w:pPr>
        <w:pStyle w:val="Heading3"/>
        <w:spacing w:line="240" w:lineRule="auto" w:before="0"/>
        <w:ind w:left="153"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172,035,954.12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145,077,645.20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172,035,954.12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145,077,645.20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122,608,245.83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122,608,245.83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1,234,41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5,551.70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156,449,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176.61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1,077,966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,375.09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25,088.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160,315,4</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94.18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1,365,009,5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94.33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35,775,4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35,775,4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10,249,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556.49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10,249,55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1,270,19</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0,987.25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192,224,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612.16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1,077,966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,375.09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74,645.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170,565,0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50.67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1,365,009,5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94.33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540,324,748.39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27,016,237.42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540,324,748.39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27,016,237.42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267,068,438.81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26,706,843.88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253,806,140.35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50,761,228.07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173,216,224.15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51,964,867.24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122,645,491.21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36,793,647.35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25,266,252.17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7,579,875.65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25,304,480.77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7,591,344.23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1,234,415,551.70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156,449,176.61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338" w:lineRule="auto" w:before="44"/>
        <w:ind w:left="154" w:right="-13" w:hanging="1"/>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23,720,728.29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1,565,166.80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7173" w:space="1655"/>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江苏兴利来特钢有限公司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兖州亿金物资有限责任公司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邯郸矿业集团有限公司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北京首特冶金工程设计有限公司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山东冠洲股份有限公司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1,558,428.00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上述客户应收账款账期较长，公司预计无法收回，已</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计提坏账准备，报告期经公司努力催收，收回部分款项。</w:t>
      </w:r>
    </w:p>
    <w:p>
      <w:pPr>
        <w:spacing w:line="240" w:lineRule="auto" w:before="11"/>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天津服装进出口股份有限公司</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天津服装进出口股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无法获取可收回的 相关证据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995"/>
        <w:gridCol w:w="1481"/>
        <w:gridCol w:w="1417"/>
        <w:gridCol w:w="1370"/>
      </w:tblGrid>
      <w:tr>
        <w:trPr>
          <w:trHeight w:val="660"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3" w:right="69"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 额的比例</w:t>
            </w:r>
            <w:r>
              <w:rPr>
                <w:rFonts w:ascii="Times New Roman" w:hAnsi="Times New Roman" w:cs="Times New Roman" w:eastAsia="Times New Roman" w:hint="default"/>
                <w:sz w:val="21"/>
                <w:szCs w:val="21"/>
              </w:rPr>
              <w:t>(%)</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Electricidada da</w:t>
            </w:r>
            <w:r>
              <w:rPr>
                <w:rFonts w:ascii="Times New Roman"/>
                <w:spacing w:val="-9"/>
                <w:sz w:val="21"/>
              </w:rPr>
              <w:t> </w:t>
            </w:r>
            <w:r>
              <w:rPr>
                <w:rFonts w:ascii="Times New Roman"/>
                <w:sz w:val="21"/>
              </w:rPr>
              <w:t>Mocambique</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35,553,967.84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2.80</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1,777,698.39</w:t>
            </w:r>
          </w:p>
        </w:tc>
      </w:tr>
      <w:tr>
        <w:trPr>
          <w:trHeight w:val="659"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
              <w:jc w:val="left"/>
              <w:rPr>
                <w:rFonts w:ascii="宋体" w:hAnsi="宋体" w:cs="宋体" w:eastAsia="宋体" w:hint="default"/>
                <w:sz w:val="21"/>
                <w:szCs w:val="21"/>
              </w:rPr>
            </w:pPr>
            <w:r>
              <w:rPr>
                <w:rFonts w:ascii="宋体" w:hAnsi="宋体" w:cs="宋体" w:eastAsia="宋体" w:hint="default"/>
                <w:spacing w:val="11"/>
                <w:sz w:val="21"/>
                <w:szCs w:val="21"/>
              </w:rPr>
              <w:t>沈阳鼓风机集团自动控制系统工程有限公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33,383,520.22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2.63</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5,938,852.02</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大唐（通辽）霍林河新能源有限公司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29,340,000.00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2.31</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5,868,000.00</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振发新能源科技有限公司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23,467,632.00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1.85</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1,739,263.20</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北京能高自动化技术股份有限公司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18,240,000.00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1.44</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912,000.00</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139,985,120.06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11.03</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16,235,813.61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076"/>
        <w:gridCol w:w="2076"/>
        <w:gridCol w:w="2077"/>
        <w:gridCol w:w="2077"/>
      </w:tblGrid>
      <w:tr>
        <w:trPr>
          <w:trHeight w:val="659"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35"/>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99"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11" w:right="85" w:hanging="526"/>
              <w:jc w:val="left"/>
              <w:rPr>
                <w:rFonts w:ascii="宋体" w:hAnsi="宋体" w:cs="宋体" w:eastAsia="宋体" w:hint="default"/>
                <w:sz w:val="21"/>
                <w:szCs w:val="21"/>
              </w:rPr>
            </w:pPr>
            <w:r>
              <w:rPr>
                <w:rFonts w:ascii="宋体" w:hAnsi="宋体" w:cs="宋体" w:eastAsia="宋体" w:hint="default"/>
                <w:sz w:val="21"/>
                <w:szCs w:val="21"/>
              </w:rPr>
              <w:t>与终止确认相关的利 得或损失</w:t>
            </w:r>
          </w:p>
        </w:tc>
        <w:tc>
          <w:tcPr>
            <w:tcW w:w="207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191" w:right="0"/>
              <w:jc w:val="left"/>
              <w:rPr>
                <w:rFonts w:ascii="宋体" w:hAnsi="宋体" w:cs="宋体" w:eastAsia="宋体" w:hint="default"/>
                <w:sz w:val="21"/>
                <w:szCs w:val="21"/>
              </w:rPr>
            </w:pPr>
            <w:r>
              <w:rPr>
                <w:rFonts w:ascii="宋体" w:hAnsi="宋体" w:cs="宋体" w:eastAsia="宋体" w:hint="default"/>
                <w:sz w:val="21"/>
                <w:szCs w:val="21"/>
              </w:rPr>
              <w:t>金融资产转移方式</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97"/>
              <w:jc w:val="right"/>
              <w:rPr>
                <w:rFonts w:ascii="宋体" w:hAnsi="宋体" w:cs="宋体" w:eastAsia="宋体" w:hint="default"/>
                <w:sz w:val="21"/>
                <w:szCs w:val="21"/>
              </w:rPr>
            </w:pPr>
            <w:r>
              <w:rPr>
                <w:rFonts w:ascii="宋体" w:hAnsi="宋体" w:cs="宋体" w:eastAsia="宋体" w:hint="default"/>
                <w:sz w:val="21"/>
                <w:szCs w:val="21"/>
              </w:rPr>
              <w:t>无追索权保理</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70,008,201.00</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7,461,653.27</w:t>
            </w:r>
          </w:p>
        </w:tc>
        <w:tc>
          <w:tcPr>
            <w:tcW w:w="207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737"/>
              <w:jc w:val="righ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70,008,201.00</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7,461,653.27</w:t>
            </w:r>
          </w:p>
        </w:tc>
        <w:tc>
          <w:tcPr>
            <w:tcW w:w="2077"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47,371,439.73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45,369,054.30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6,979,972.29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11,780,163.30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868,417.67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6,241,567.00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1,377,215.14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1,416,038.30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56,597,044.83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64,806,822.90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544"/>
        <w:gridCol w:w="2555"/>
        <w:gridCol w:w="2208"/>
      </w:tblGrid>
      <w:tr>
        <w:trPr>
          <w:trHeight w:val="34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0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571"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上海中电罗莱电气有限公司</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2,639,106.70</w:t>
            </w:r>
          </w:p>
        </w:tc>
        <w:tc>
          <w:tcPr>
            <w:tcW w:w="220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采购材料尚未交付</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2,639,106.70</w:t>
            </w:r>
          </w:p>
        </w:tc>
        <w:tc>
          <w:tcPr>
            <w:tcW w:w="2208"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544"/>
        <w:gridCol w:w="2554"/>
        <w:gridCol w:w="2209"/>
      </w:tblGrid>
      <w:tr>
        <w:trPr>
          <w:trHeight w:val="659"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623" w:right="368"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 的比例</w:t>
            </w:r>
            <w:r>
              <w:rPr>
                <w:rFonts w:ascii="Times New Roman" w:hAnsi="Times New Roman" w:cs="Times New Roman" w:eastAsia="Times New Roman" w:hint="default"/>
                <w:sz w:val="21"/>
                <w:szCs w:val="21"/>
              </w:rPr>
              <w:t>(%)</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SAET</w:t>
            </w:r>
            <w:r>
              <w:rPr>
                <w:rFonts w:ascii="Times New Roman"/>
                <w:spacing w:val="-1"/>
                <w:sz w:val="21"/>
              </w:rPr>
              <w:t> </w:t>
            </w:r>
            <w:r>
              <w:rPr>
                <w:rFonts w:ascii="Times New Roman"/>
                <w:sz w:val="21"/>
              </w:rPr>
              <w:t>S.P.A</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15,921,416.36</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28.13</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东芝电子（中国）有限公司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5,932,253.95</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10.48</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上海中电罗莱电气有限公司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3,965,338.20</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7.01</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四川迪弗电工科技有限公司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2,161,368.08</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3.82</w:t>
            </w:r>
          </w:p>
        </w:tc>
      </w:tr>
      <w:tr>
        <w:trPr>
          <w:trHeight w:val="34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特变电工沈阳变压器集团有限公司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1,813,468.63</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3.20</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29,793,845.22</w:t>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52.64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center"/>
              <w:rPr>
                <w:rFonts w:ascii="Times New Roman" w:hAnsi="Times New Roman" w:cs="Times New Roman" w:eastAsia="Times New Roman" w:hint="default"/>
                <w:sz w:val="18"/>
                <w:szCs w:val="18"/>
              </w:rPr>
            </w:pPr>
            <w:r>
              <w:rPr>
                <w:rFonts w:ascii="Times New Roman"/>
                <w:sz w:val="18"/>
              </w:rPr>
              <w:t>50,166,2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center"/>
              <w:rPr>
                <w:rFonts w:ascii="Times New Roman" w:hAnsi="Times New Roman" w:cs="Times New Roman" w:eastAsia="Times New Roman" w:hint="default"/>
                <w:sz w:val="18"/>
                <w:szCs w:val="18"/>
              </w:rPr>
            </w:pPr>
            <w:r>
              <w:rPr>
                <w:rFonts w:ascii="Times New Roman"/>
                <w:sz w:val="18"/>
              </w:rPr>
              <w:t>4,868,69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9.71%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45,297,53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center"/>
              <w:rPr>
                <w:rFonts w:ascii="Times New Roman" w:hAnsi="Times New Roman" w:cs="Times New Roman" w:eastAsia="Times New Roman" w:hint="default"/>
                <w:sz w:val="18"/>
                <w:szCs w:val="18"/>
              </w:rPr>
            </w:pPr>
            <w:r>
              <w:rPr>
                <w:rFonts w:ascii="Times New Roman"/>
                <w:sz w:val="18"/>
              </w:rPr>
              <w:t>35,400,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3,767,711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10.64%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31,632,836.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30.28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6.94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3.34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548.64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50,166,2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4,868,69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45,297,53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35,400,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548.64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31,632,836.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34,606,352.10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1,730,317.62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34,606,352.10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1,730,317.62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6,113,518.14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611,351.81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3,068,805.04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613,761.01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6,377,555.00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1,913,266.50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2,158,950.00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647,685.00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898,877.00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269,663.10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3,319,728.00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995,918.40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50,166,230.28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4,868,696.94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9.71%</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1,100,984.96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29,929,369.56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25,461,421.88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2,252,583.00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980,537.00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3,151,470.50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5,837,339.14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3,867,993.73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9,589,813.49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3,121,250.62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50,166,230.28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35,400,548.64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鞍山市开发区国家 税务局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税收返还款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3,867,993.73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193,399.69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中国电能成套设备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1,639,587.00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90,478.95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应收股权转让款</w:t>
            </w:r>
            <w:r>
              <w:rPr>
                <w:rFonts w:ascii="Times New Roman" w:hAnsi="Times New Roman" w:cs="Times New Roman" w:eastAsia="Times New Roman" w:hint="default"/>
                <w:sz w:val="18"/>
                <w:szCs w:val="18"/>
              </w:rPr>
              <w:t>-</w:t>
            </w:r>
            <w:r>
              <w:rPr>
                <w:rFonts w:ascii="宋体" w:hAnsi="宋体" w:cs="宋体" w:eastAsia="宋体" w:hint="default"/>
                <w:sz w:val="18"/>
                <w:szCs w:val="18"/>
              </w:rPr>
              <w:t>陈 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68,750.00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广铁集团焦柳铁路 洛张电改工程建设 指挥部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269,700.00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中国神华国际工程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861,890.00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43,094.50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8,643,470.73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665,423.14</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63" w:hRule="exact"/>
        </w:trPr>
        <w:tc>
          <w:tcPr>
            <w:tcW w:w="1912"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年上半年可以</w:t>
            </w:r>
          </w:p>
        </w:tc>
      </w:tr>
      <w:tr>
        <w:trPr>
          <w:trHeight w:val="625"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77"/>
              <w:jc w:val="left"/>
              <w:rPr>
                <w:rFonts w:ascii="宋体" w:hAnsi="宋体" w:cs="宋体" w:eastAsia="宋体" w:hint="default"/>
                <w:sz w:val="18"/>
                <w:szCs w:val="18"/>
              </w:rPr>
            </w:pPr>
            <w:r>
              <w:rPr>
                <w:rFonts w:ascii="宋体" w:hAnsi="宋体" w:cs="宋体" w:eastAsia="宋体" w:hint="default"/>
                <w:sz w:val="18"/>
                <w:szCs w:val="18"/>
              </w:rPr>
              <w:t>鞍山市开发区国家税务 局</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3,867,993.73</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全部回收，主要依据财 </w:t>
            </w:r>
            <w:r>
              <w:rPr>
                <w:rFonts w:ascii="宋体" w:hAnsi="宋体" w:cs="宋体" w:eastAsia="宋体" w:hint="default"/>
                <w:spacing w:val="-8"/>
                <w:sz w:val="18"/>
                <w:szCs w:val="18"/>
              </w:rPr>
              <w:t>税〔</w:t>
            </w:r>
            <w:r>
              <w:rPr>
                <w:rFonts w:ascii="Times New Roman" w:hAnsi="Times New Roman" w:cs="Times New Roman" w:eastAsia="Times New Roman" w:hint="default"/>
                <w:spacing w:val="-8"/>
                <w:sz w:val="18"/>
                <w:szCs w:val="18"/>
              </w:rPr>
              <w:t>2011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号文件进</w:t>
            </w:r>
          </w:p>
        </w:tc>
      </w:tr>
      <w:tr>
        <w:trPr>
          <w:trHeight w:val="351" w:hRule="exact"/>
        </w:trPr>
        <w:tc>
          <w:tcPr>
            <w:tcW w:w="1912"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行确认</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3,867,993.73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193,479,290.47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193,479,290.47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199,499,262.84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199,499,262.84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307,296,036.92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307,296,036.92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375,774,066.92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375,774,066.92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44,020,253.44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44,020,253.44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62,690,699.24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62,690,699.24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2,565,187.39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2,565,187.39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2,451,019.09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2,451,019.09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547,360,768.22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547,360,768.22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640,415,048.09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640,415,048.09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19,494,099.80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33,433,208.85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19,494,099.80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33,433,208.85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65,488,232.14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57,558,476.03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多交企业所得税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2,081,602.11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4,431.66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多交其他税费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44,084.78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86,613,919.03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57,562,907.69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理财产品</w:t>
      </w:r>
      <w:r>
        <w:rPr>
          <w:rFonts w:ascii="Times New Roman" w:hAnsi="Times New Roman" w:cs="Times New Roman" w:eastAsia="Times New Roman" w:hint="default"/>
        </w:rPr>
        <w:t>1900</w:t>
      </w:r>
      <w:r>
        <w:rPr/>
        <w:t>万元系本公司使用自有资金购买平安银行</w:t>
      </w:r>
      <w:r>
        <w:rPr>
          <w:rFonts w:ascii="Times New Roman" w:hAnsi="Times New Roman" w:cs="Times New Roman" w:eastAsia="Times New Roman" w:hint="default"/>
        </w:rPr>
        <w:t>“</w:t>
      </w:r>
      <w:r>
        <w:rPr/>
        <w:t>卓越计划滚动保本人民币公司理财产品</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3"/>
        <w:spacing w:line="240" w:lineRule="auto" w:before="0"/>
        <w:ind w:left="153"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广州高澜</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节能技术 股份有限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4.00%</w:t>
            </w:r>
          </w:p>
        </w:tc>
        <w:tc>
          <w:tcPr>
            <w:tcW w:w="870" w:type="dxa"/>
            <w:vMerge/>
            <w:tcBorders>
              <w:left w:val="single" w:sz="4" w:space="0" w:color="000000"/>
              <w:right w:val="single" w:sz="4" w:space="0" w:color="000000"/>
            </w:tcBorders>
          </w:tcPr>
          <w:p>
            <w:pPr/>
          </w:p>
        </w:tc>
      </w:tr>
      <w:tr>
        <w:trPr>
          <w:trHeight w:val="351"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山东荣信</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汇盛机电</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10,830,53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-2,058,13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8,772,395</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5.14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9.23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.91</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27,686,76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146,983.6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27,833,75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38,517,30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-1,911,15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36,606,14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哈密荣信 新能源有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15,715,30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18,530,15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北京信力</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筑正新能 源技术股 份有限公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112,939,7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99.41</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-5,797,71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107,142,0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85.39</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128,655,1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03.44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-2,982,86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125,672,2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167,172,4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06.87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-4,894,02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162,278,3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86.65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416,588,272.62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269,841,415.53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25,982,155.65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22,460,002.08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58,398,448.51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793,270,294.39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35,043,041.12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20,991,659.00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3,903,097.71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2,073,151.93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16,122,244.42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78,133,194.18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754,796.35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3,903,097.71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2,073,151.93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2,376,586.62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9,107,632.61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35,043,041.12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20,236,862.65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13,745,657.80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69,025,561.57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3,860,034.45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5,711,414.61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5,911,341.04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4,166,322.43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19,649,112.53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3,860,034.45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5,415,909.60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5,911,341.04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4,166,322.43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19,353,607.52</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295,505.01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295,505.01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451,631,313.74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286,973,040.08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24,173,838.75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18,621,812.97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70,354,370.50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851,754,376.04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35,422,190.95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27,873,150.41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15,785,634.08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15,072,035.97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37,613,131.76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131,766,143.17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10,150,241.64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17,976,318.68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4,176,888.62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2,197,137.31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7,502,867.72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42,003,453.97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10,150,241.64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17,976,318.68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4,176,888.62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2,197,137.31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7,502,867.72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42,003,453.97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2,562,295.74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4,633,097.82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3,924,820.50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3,460,113.80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14,580,327.86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2,562,295.74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4,494,242.21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3,924,820.50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3,460,113.80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14,441,472.25</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138,855.61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138,855.61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45,572,432.59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43,287,173.35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15,329,424.88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13,344,352.78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41,655,885.68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159,189,269.28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406,058,881.15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243,685,866.73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 w:right="0"/>
              <w:jc w:val="center"/>
              <w:rPr>
                <w:rFonts w:ascii="Times New Roman" w:hAnsi="Times New Roman" w:cs="Times New Roman" w:eastAsia="Times New Roman" w:hint="default"/>
                <w:sz w:val="18"/>
                <w:szCs w:val="18"/>
              </w:rPr>
            </w:pPr>
            <w:r>
              <w:rPr>
                <w:rFonts w:ascii="Times New Roman"/>
                <w:sz w:val="18"/>
              </w:rPr>
              <w:t>8,844,413.87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5,277,460.19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28,698,484.82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692,565,106.76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381,166,081.67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241,968,265.12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10,196,521.57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7,387,966.11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20,785,316.75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661,504,151.22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15,487,807.21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整体未验收。</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14,621,058.85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14,621,058.85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5,338,011.78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5,338,011.78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5,117,091.59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5,117,091.59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16,780,998.79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16,780,998.79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3,063,742.54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3,063,742.54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522,237.66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522,237.66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期厂房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26,765,146.64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26,765,146.64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实验设备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15,632,947.80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15,632,947.80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22,801,892.98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22,801,892.98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65,039,342.67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65,039,342.67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验设备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15,632,9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5,312,14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20,945,0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设备安 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5,338,01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10,123,6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14,621,0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32,200,0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26,765,1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1,026,03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27,791,1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新疆厂 房工程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17,550,0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16,780,9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98.79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4,168,58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15,832,4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93.79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5,117,09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119.37%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6,157,73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3,616,22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3,063,74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49,750,0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65,039,3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42.67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26,788,1</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11.88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69,025,5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61.57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22,801,8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92.98</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37,054,174.92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11,840,542.60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20,640,044.43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5,306,848.36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74,841,610.31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138,900.00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6,228,900.00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138,900.00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2,438,900.00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）无形资产入股</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8,446,500.00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8,511,500.00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8,446,500.00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8,446,500.00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）合并范围减少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37,854,174.92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11,840,542.60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17,483,544.43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5,380,748.36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72,559,010.31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3,806,100.86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1,349,935.75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8,458,612.69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3,498,484.71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17,113,134.01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894,558.84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1,137,208.84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746,223.95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666,149.72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3,444,141.35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894,558.84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1,137,208.84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746,223.95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666,149.72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3,444,141.35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1,581,766.72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62,183.72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1,643,950.44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1,581,766.72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1,581,766.72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）合并范围减少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62,183.72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62,183.72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4,700,659.70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2,487,144.59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7,623,069.92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4,102,450.71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18,913,324.92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33,153,515.22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9,353,398.01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9,860,474.51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1,278,297.65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53,645,685.39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33,248,074.06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10,490,606.85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12,181,431.74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1,808,363.65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57,728,476.30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568,767.40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291,814.28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276,953.12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568,767.40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291,814.28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276,953.12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194,044,641.81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29,136,960.87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172,585,146.95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25,837,395.90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194,044,641.81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29,136,960.87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172,585,146.95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25,837,395.90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3,164,870.55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1,554,605.00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337,214,636.20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117,738,761.30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340,379,506.75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119,293,366.30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5,652,792.90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7,111,581.73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21,858,138.50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26,510,766.59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32,736,680.08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52,080,551.00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57,491,149.82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251,511,736.88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337,214,636.20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117,738,761.30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20,565,098.50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214,565,098.50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163,817,791.24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346,231,584.07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163,817,791.24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346,231,584.07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339,745,612.23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435,497,629.54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1,511,815.90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8,391,067.54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38,543.00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9,163,345.93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341,295,971.13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453,052,043.01</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北京科佳信电容器研究所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12,578,527.33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新华都特种电气股份有限公司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2,481,000.00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鞍山众鑫电器制造有限公司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2,115,039.82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鞍山市宏源自动化工程有限公司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1,744,883.45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北京奥智四方科技有限公司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鞍山睿智达信息科技有限公司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1,230,769.23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21,440,719.83</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158,972,805.15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184,811,117.47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158,972,805.15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184,811,117.47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SAFA </w:t>
            </w:r>
            <w:r>
              <w:rPr>
                <w:rFonts w:ascii="Times New Roman"/>
                <w:sz w:val="18"/>
              </w:rPr>
              <w:t>FOULAD</w:t>
            </w:r>
            <w:r>
              <w:rPr>
                <w:rFonts w:ascii="Times New Roman"/>
                <w:spacing w:val="-11"/>
                <w:sz w:val="18"/>
              </w:rPr>
              <w:t> </w:t>
            </w:r>
            <w:r>
              <w:rPr>
                <w:rFonts w:ascii="Times New Roman"/>
                <w:sz w:val="18"/>
              </w:rPr>
              <w:t>CO.</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5,237,001.00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未实现销售收入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5,237,001.00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3,254,411.15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101,014,488.16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100,750,812.71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3,518,086.60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20,062,783.77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20,398,438.56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474,370.22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4,064,436.16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121,077,271.93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121,149,251.27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3,992,456.82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1,108,415.56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80,985,929.27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81,281,899.44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812,445.39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883,608.63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168,088.63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186,021.57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7,839,984.64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7,391,154.94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634,851.27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136,337.82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6,655,600.53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6,647,190.38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144,747.97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369,132.78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367,944.69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8,081.86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42,789.98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815,251.33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376,019.87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482,021.44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675,885.00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8,385,895.00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8,549,217.00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512,563.00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1,284,089.02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2,919,070.62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2,813,021.33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1,390,138.31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3,254,411.15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101,014,488.16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100,750,812.71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3,518,086.60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739,317.35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18,867,637.25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19,177,438.55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429,516.05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70,707.66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1,195,146.52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1,221,000.01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44,854.17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20,062,783.77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20,398,438.56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474,370.22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2,018,713.69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1,503,024.20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79,985.40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1,128,905.35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1,425,159.82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8,110,343.50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210,517.14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227,959.46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577,117.01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755,906.56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213,844.63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134,158.74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189,076.60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189,076.60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247,204.81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328,922.44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165,021.60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211,869.83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45,439.71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183,024.48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5,172,080.41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12,773,191.16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33,751,232.88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33,751,232.88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3,724,888.89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1,014,904.11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37,476,121.77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34,766,136.99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171,919.13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1,828,877.00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8,905,962.06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6,255,275.00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4,095,316.42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2,088,667.09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1,294,110.30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15,261,864.70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9,378,262.30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6"/>
          <w:pgSz w:w="11910" w:h="16840"/>
          <w:pgMar w:footer="982" w:header="747"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27</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荣信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8"/>
        <w:gridCol w:w="797"/>
      </w:tblGrid>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3" w:right="31"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荣信</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[2012]1736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号文核准，公司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日发行</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万元公司债券，债券的期限</w:t>
      </w:r>
    </w:p>
    <w:p>
      <w:pPr>
        <w:spacing w:before="62"/>
        <w:ind w:left="153"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年末发行人上调票面利率选择权和投资者回售选择权，票面利率为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52,420,100.64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2,705,439.64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49,940,961.00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见其他说明</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52,420,100.64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2,705,439.64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49,940,961.00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82" w:header="747" w:top="1060" w:bottom="1180" w:left="980" w:right="980"/>
          <w:pgNumType w:start="101"/>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w:t>
            </w:r>
            <w:r>
              <w:rPr>
                <w:rFonts w:ascii="宋体" w:hAnsi="宋体" w:cs="宋体" w:eastAsia="宋体" w:hint="default"/>
                <w:sz w:val="18"/>
                <w:szCs w:val="18"/>
              </w:rPr>
              <w:t>国家发改 委</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9,879,185.99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684,210.52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9,194,975.47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大功率变 频装置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16,820,175.47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666,666.68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16,153,508.79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w:t>
            </w:r>
            <w:r>
              <w:rPr>
                <w:rFonts w:ascii="宋体" w:hAnsi="宋体" w:cs="宋体" w:eastAsia="宋体" w:hint="default"/>
                <w:sz w:val="18"/>
                <w:szCs w:val="18"/>
              </w:rPr>
              <w:t>省信息产 业厅</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1,519,905.52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105,263.16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1,414,642.36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升级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7,599,527.63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526,315.80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7,073,211.83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套新型 电抗器项目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11,642,806.03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672,983.48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10,969,822.55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辽宁省电力电子 节能装备工程实 验室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特大功率变频装 置产业升级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基于柔性直流的 智能配电关键技 术研究与应用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52,420,100.64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2,705,439.64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49,940,961.00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0"/>
        <w:ind w:right="13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根据发改高技</w:t>
      </w:r>
      <w:r>
        <w:rPr>
          <w:rFonts w:ascii="Times New Roman" w:hAnsi="Times New Roman" w:cs="Times New Roman" w:eastAsia="Times New Roman" w:hint="default"/>
        </w:rPr>
        <w:t>[2004]2653</w:t>
      </w:r>
      <w:r>
        <w:rPr/>
        <w:t>号文及发改高技</w:t>
      </w:r>
      <w:r>
        <w:rPr>
          <w:rFonts w:ascii="Times New Roman" w:hAnsi="Times New Roman" w:cs="Times New Roman" w:eastAsia="Times New Roman" w:hint="default"/>
        </w:rPr>
        <w:t>[2005]912</w:t>
      </w:r>
      <w:r>
        <w:rPr/>
        <w:t>号文，公司研发的大型煤矿瓦斯安全监控与排放 自动化成套系统产业化项目获得国家发改委立项的第一批国家高科技产业发展项目和产业技术研究与开 发资金支持，取得拨款共计</w:t>
      </w:r>
      <w:r>
        <w:rPr>
          <w:rFonts w:ascii="Times New Roman" w:hAnsi="Times New Roman" w:cs="Times New Roman" w:eastAsia="Times New Roman" w:hint="default"/>
        </w:rPr>
        <w:t>1,300</w:t>
      </w:r>
      <w:r>
        <w:rPr/>
        <w:t>万元。</w:t>
      </w:r>
    </w:p>
    <w:p>
      <w:pPr>
        <w:pStyle w:val="BodyText"/>
        <w:spacing w:line="256" w:lineRule="auto"/>
        <w:ind w:right="19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根据发改办能源〔</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1126</w:t>
      </w:r>
      <w:r>
        <w:rPr/>
        <w:t>号文及发改投资〔</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1416</w:t>
      </w:r>
      <w:r>
        <w:rPr/>
        <w:t>号文，公司</w:t>
      </w:r>
      <w:r>
        <w:rPr>
          <w:rFonts w:ascii="Times New Roman" w:hAnsi="Times New Roman" w:cs="Times New Roman" w:eastAsia="Times New Roman" w:hint="default"/>
        </w:rPr>
        <w:t>10KV</w:t>
      </w:r>
      <w:r>
        <w:rPr/>
        <w:t>大功率变频装置项目 被列入</w:t>
      </w:r>
      <w:r>
        <w:rPr>
          <w:rFonts w:ascii="Times New Roman" w:hAnsi="Times New Roman" w:cs="Times New Roman" w:eastAsia="Times New Roman" w:hint="default"/>
        </w:rPr>
        <w:t>2009</w:t>
      </w:r>
      <w:r>
        <w:rPr/>
        <w:t>年核电风电装备自主化和能源装备专项，并获得中央项目预算内投资补助拨款</w:t>
      </w:r>
      <w:r>
        <w:rPr>
          <w:rFonts w:ascii="Times New Roman" w:hAnsi="Times New Roman" w:cs="Times New Roman" w:eastAsia="Times New Roman" w:hint="default"/>
        </w:rPr>
        <w:t>1,800</w:t>
      </w:r>
      <w:r>
        <w:rPr/>
        <w:t>万元；</w:t>
      </w:r>
    </w:p>
    <w:p>
      <w:pPr>
        <w:pStyle w:val="BodyText"/>
        <w:spacing w:line="256" w:lineRule="auto" w:before="5"/>
        <w:ind w:right="138"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根据辽信息产字</w:t>
      </w:r>
      <w:r>
        <w:rPr>
          <w:rFonts w:ascii="Times New Roman" w:hAnsi="Times New Roman" w:cs="Times New Roman" w:eastAsia="Times New Roman" w:hint="default"/>
        </w:rPr>
        <w:t>[2004]62</w:t>
      </w:r>
      <w:r>
        <w:rPr/>
        <w:t>号文，公司的大型煤矿瓦斯安全监控与排放自动化成套系统获得辽宁省信 息产业厅立项的</w:t>
      </w:r>
      <w:r>
        <w:rPr>
          <w:rFonts w:ascii="Times New Roman" w:hAnsi="Times New Roman" w:cs="Times New Roman" w:eastAsia="Times New Roman" w:hint="default"/>
        </w:rPr>
        <w:t>2004</w:t>
      </w:r>
      <w:r>
        <w:rPr/>
        <w:t>年度省信息产品制造专业专项资金支持，取得拨款</w:t>
      </w:r>
      <w:r>
        <w:rPr>
          <w:rFonts w:ascii="Times New Roman" w:hAnsi="Times New Roman" w:cs="Times New Roman" w:eastAsia="Times New Roman" w:hint="default"/>
        </w:rPr>
        <w:t>200</w:t>
      </w:r>
      <w:r>
        <w:rPr/>
        <w:t>万元。</w:t>
      </w:r>
    </w:p>
    <w:p>
      <w:pPr>
        <w:pStyle w:val="BodyText"/>
        <w:spacing w:line="256" w:lineRule="auto" w:before="5"/>
        <w:ind w:right="210"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根据鞍山市财政局鞍发改发</w:t>
      </w:r>
      <w:r>
        <w:rPr>
          <w:rFonts w:ascii="Times New Roman" w:hAnsi="Times New Roman" w:cs="Times New Roman" w:eastAsia="Times New Roman" w:hint="default"/>
        </w:rPr>
        <w:t>[2008]3</w:t>
      </w:r>
      <w:r>
        <w:rPr/>
        <w:t>号文及鞍山市财政局鞍财指经</w:t>
      </w:r>
      <w:r>
        <w:rPr>
          <w:rFonts w:ascii="Times New Roman" w:hAnsi="Times New Roman" w:cs="Times New Roman" w:eastAsia="Times New Roman" w:hint="default"/>
        </w:rPr>
        <w:t>(2007)597</w:t>
      </w:r>
      <w:r>
        <w:rPr/>
        <w:t>号文，本公司取得拨款 共计</w:t>
      </w:r>
      <w:r>
        <w:rPr>
          <w:rFonts w:ascii="Times New Roman" w:hAnsi="Times New Roman" w:cs="Times New Roman" w:eastAsia="Times New Roman" w:hint="default"/>
        </w:rPr>
        <w:t>1,000</w:t>
      </w:r>
      <w:r>
        <w:rPr/>
        <w:t>万元，专项用于提高自主创新能力及高技术产业发展项目建设。</w:t>
      </w:r>
    </w:p>
    <w:p>
      <w:pPr>
        <w:pStyle w:val="BodyText"/>
        <w:spacing w:line="256" w:lineRule="auto" w:before="5"/>
        <w:ind w:right="150"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spacing w:val="-2"/>
        </w:rPr>
        <w:t>根据辽宁省财政厅辽财指经〔</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8051</w:t>
      </w:r>
      <w:r>
        <w:rPr>
          <w:spacing w:val="-2"/>
        </w:rPr>
        <w:t>号文、辽宁省发改委辽发改投资〔</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1141</w:t>
      </w:r>
      <w:r>
        <w:rPr>
          <w:spacing w:val="-2"/>
        </w:rPr>
        <w:t>号文及鞍山</w:t>
      </w:r>
      <w:r>
        <w:rPr/>
        <w:t> </w:t>
      </w:r>
      <w:r>
        <w:rPr>
          <w:spacing w:val="-1"/>
        </w:rPr>
        <w:t>市发改委鞍发改发〔</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204</w:t>
      </w:r>
      <w:r>
        <w:rPr>
          <w:spacing w:val="-1"/>
        </w:rPr>
        <w:t>号文，本公司取得拨款</w:t>
      </w:r>
      <w:r>
        <w:rPr>
          <w:rFonts w:ascii="Times New Roman" w:hAnsi="Times New Roman" w:cs="Times New Roman" w:eastAsia="Times New Roman" w:hint="default"/>
          <w:spacing w:val="-1"/>
        </w:rPr>
        <w:t>1,300</w:t>
      </w:r>
      <w:r>
        <w:rPr>
          <w:spacing w:val="-1"/>
        </w:rPr>
        <w:t>万元，专项用于年产</w:t>
      </w:r>
      <w:r>
        <w:rPr>
          <w:rFonts w:ascii="Times New Roman" w:hAnsi="Times New Roman" w:cs="Times New Roman" w:eastAsia="Times New Roman" w:hint="default"/>
          <w:spacing w:val="-1"/>
        </w:rPr>
        <w:t>5000</w:t>
      </w:r>
      <w:r>
        <w:rPr>
          <w:spacing w:val="-1"/>
        </w:rPr>
        <w:t>台</w:t>
      </w:r>
      <w:r>
        <w:rPr>
          <w:rFonts w:ascii="Times New Roman" w:hAnsi="Times New Roman" w:cs="Times New Roman" w:eastAsia="Times New Roman" w:hint="default"/>
          <w:spacing w:val="-1"/>
        </w:rPr>
        <w:t>/</w:t>
      </w:r>
      <w:r>
        <w:rPr>
          <w:spacing w:val="-1"/>
        </w:rPr>
        <w:t>套新型电抗器产业</w:t>
      </w:r>
      <w:r>
        <w:rPr>
          <w:spacing w:val="-92"/>
        </w:rPr>
        <w:t> </w:t>
      </w:r>
      <w:r>
        <w:rPr>
          <w:spacing w:val="-92"/>
        </w:rPr>
      </w:r>
      <w:r>
        <w:rPr/>
        <w:t>化项目建设。</w:t>
      </w:r>
    </w:p>
    <w:p>
      <w:pPr>
        <w:pStyle w:val="BodyText"/>
        <w:spacing w:line="256" w:lineRule="auto" w:before="22"/>
        <w:ind w:left="152" w:right="246"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4"/>
        </w:rPr>
        <w:t> </w:t>
      </w:r>
      <w:r>
        <w:rPr/>
        <w:t>根据鞍财指经</w:t>
      </w:r>
      <w:r>
        <w:rPr>
          <w:rFonts w:ascii="Times New Roman" w:hAnsi="Times New Roman" w:cs="Times New Roman" w:eastAsia="Times New Roman" w:hint="default"/>
        </w:rPr>
        <w:t>[2011]374</w:t>
      </w:r>
      <w:r>
        <w:rPr/>
        <w:t>号文，本公司取得拨款</w:t>
      </w:r>
      <w:r>
        <w:rPr>
          <w:rFonts w:ascii="Times New Roman" w:hAnsi="Times New Roman" w:cs="Times New Roman" w:eastAsia="Times New Roman" w:hint="default"/>
        </w:rPr>
        <w:t>50</w:t>
      </w:r>
      <w:r>
        <w:rPr/>
        <w:t>万元，专项用于辽宁省电力电子节能装备工程实 验室的建设。</w:t>
      </w:r>
    </w:p>
    <w:p>
      <w:pPr>
        <w:pStyle w:val="BodyText"/>
        <w:spacing w:line="256" w:lineRule="auto" w:before="22"/>
        <w:ind w:left="152" w:right="0"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7"/>
        </w:rPr>
        <w:t> </w:t>
      </w:r>
      <w:r>
        <w:rPr/>
        <w:t>根据辽宁省财政厅辽财指经</w:t>
      </w:r>
      <w:r>
        <w:rPr>
          <w:rFonts w:ascii="Times New Roman" w:hAnsi="Times New Roman" w:cs="Times New Roman" w:eastAsia="Times New Roman" w:hint="default"/>
        </w:rPr>
        <w:t>[2013]8026</w:t>
      </w:r>
      <w:r>
        <w:rPr/>
        <w:t>号文、鞍山市财政局鞍财指经〔</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611</w:t>
      </w:r>
      <w:r>
        <w:rPr/>
        <w:t>号文，本公司取</w:t>
      </w:r>
      <w:r>
        <w:rPr>
          <w:spacing w:val="2"/>
        </w:rPr>
        <w:t> </w:t>
      </w:r>
      <w:r>
        <w:rPr/>
        <w:t>得拨款</w:t>
      </w:r>
      <w:r>
        <w:rPr>
          <w:rFonts w:ascii="Times New Roman" w:hAnsi="Times New Roman" w:cs="Times New Roman" w:eastAsia="Times New Roman" w:hint="default"/>
        </w:rPr>
        <w:t>428</w:t>
      </w:r>
      <w:r>
        <w:rPr/>
        <w:t>万元，专项用于大功率变频装置产业升级项目的资金支出。</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right="150" w:firstLine="42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根据深圳供电局有限公司</w:t>
      </w:r>
      <w:r>
        <w:rPr>
          <w:rFonts w:ascii="Times New Roman" w:hAnsi="Times New Roman" w:cs="Times New Roman" w:eastAsia="Times New Roman" w:hint="default"/>
        </w:rPr>
        <w:t>(</w:t>
      </w:r>
      <w:r>
        <w:rPr/>
        <w:t>以下简称深圳供电局</w:t>
      </w:r>
      <w:r>
        <w:rPr>
          <w:rFonts w:ascii="Times New Roman" w:hAnsi="Times New Roman" w:cs="Times New Roman" w:eastAsia="Times New Roman" w:hint="default"/>
        </w:rPr>
        <w:t>)</w:t>
      </w:r>
      <w:r>
        <w:rPr/>
        <w:t>与本公司签订的技术开发合同，深圳供电局委托本 公司承担</w:t>
      </w:r>
      <w:r>
        <w:rPr>
          <w:rFonts w:ascii="Times New Roman" w:hAnsi="Times New Roman" w:cs="Times New Roman" w:eastAsia="Times New Roman" w:hint="default"/>
        </w:rPr>
        <w:t>863</w:t>
      </w:r>
      <w:r>
        <w:rPr/>
        <w:t>项目课题</w:t>
      </w:r>
      <w:r>
        <w:rPr>
          <w:rFonts w:ascii="Times New Roman" w:hAnsi="Times New Roman" w:cs="Times New Roman" w:eastAsia="Times New Roman" w:hint="default"/>
        </w:rPr>
        <w:t>4</w:t>
      </w:r>
      <w:r>
        <w:rPr/>
        <w:t>中的</w:t>
      </w:r>
      <w:r>
        <w:rPr>
          <w:rFonts w:ascii="Times New Roman" w:hAnsi="Times New Roman" w:cs="Times New Roman" w:eastAsia="Times New Roman" w:hint="default"/>
        </w:rPr>
        <w:t>“</w:t>
      </w:r>
      <w:r>
        <w:rPr/>
        <w:t>直流断路器和直流变压器理论研究和工程样机研制</w:t>
      </w:r>
      <w:r>
        <w:rPr>
          <w:rFonts w:ascii="Times New Roman" w:hAnsi="Times New Roman" w:cs="Times New Roman" w:eastAsia="Times New Roman" w:hint="default"/>
        </w:rPr>
        <w:t>”</w:t>
      </w:r>
      <w:r>
        <w:rPr/>
        <w:t>任务，转拨给本公司专项 资金</w:t>
      </w:r>
      <w:r>
        <w:rPr>
          <w:rFonts w:ascii="Times New Roman" w:hAnsi="Times New Roman" w:cs="Times New Roman" w:eastAsia="Times New Roman" w:hint="default"/>
        </w:rPr>
        <w:t>27.85</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504,000,000.00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504,000,000.00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397,222,775.18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4,995,746.11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5,152,030.31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397,066,490.98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1,163,307.14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1,163,307.14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398,386,082.32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4,995,746.11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5,152,030.31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398,229,798.12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100"/>
        <w:ind w:left="154" w:right="0" w:firstLine="0"/>
        <w:jc w:val="left"/>
        <w:rPr>
          <w:rFonts w:ascii="宋体" w:hAnsi="宋体" w:cs="宋体" w:eastAsia="宋体" w:hint="default"/>
          <w:sz w:val="20"/>
          <w:szCs w:val="20"/>
        </w:rPr>
      </w:pPr>
      <w:r>
        <w:rPr>
          <w:rFonts w:ascii="宋体" w:hAnsi="宋体" w:cs="宋体" w:eastAsia="宋体" w:hint="default"/>
          <w:sz w:val="20"/>
          <w:szCs w:val="20"/>
        </w:rPr>
        <w:t>本期股本溢价的变动系子公司少数股东退股及增资引起的资本公积变动，详见附注七</w:t>
      </w: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宋体" w:hAnsi="宋体" w:cs="宋体" w:eastAsia="宋体" w:hint="default"/>
          <w:sz w:val="20"/>
          <w:szCs w:val="20"/>
        </w:rPr>
        <w:t>说明</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1,021,241,057.41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994,158,841.42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-35,516,927.29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1,021,241,057.41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958,641,914.13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-257,683,938.81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75,843,521.47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13,083,485.04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10,079,999.99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-160,893.15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753,477,118.61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1,021,241,057.41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、由于会计政策变更，影响期初未分配利润</w:t>
      </w:r>
      <w:r>
        <w:rPr>
          <w:rFonts w:ascii="Times New Roman" w:hAnsi="Times New Roman" w:cs="Times New Roman" w:eastAsia="Times New Roman" w:hint="default"/>
          <w:sz w:val="18"/>
          <w:szCs w:val="18"/>
        </w:rPr>
        <w:t>-35,516,927.29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t>927,799,821.68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564,912,029.53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1,320,321,732.22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759,271,077.78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t>927,799,821.68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564,912,029.53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1,320,321,732.22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759,271,077.78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34</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262,795.77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2,544,708.27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5,003,539.20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5,309,182.86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2,182,279.48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2,023,240.66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1,446,849.80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1,569,760.36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1,884.82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8,895,986.62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11,448,776.97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17,379,606.22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14,403,303.63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7,505,219.73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4,821,037.43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24,329,261.73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14,627,008.40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59,093,302.21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66,979,378.00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95,560,162.99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85,511,233.12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24,900,332.82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36,171,242.74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29,458,210.18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30,458,650.36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258,226,095.88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252,971,853.68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57,424,343.73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48,351,031.29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4,679,180.74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6,194,439.48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1,246,320.13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5,296,167.62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23,612,651.47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23,416,217.54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939,576.54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1,686,152.29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58,322,072.16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51,154,064.29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14,874,807.60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13,103,641.94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125,332,097.80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130,274,596.81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6,964,464.20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9,299,046.56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25,624,576.92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24,115,461.91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319,020,091.29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312,890,819.73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57,540,431.93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51,688,090.50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11,620,855.64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6,758,946.21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2,461,104.59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3,309,164.71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13,654,597.94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26,486,480.62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62,035,278.82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74,724,789.62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24,252,810.56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40,769,288.53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24,252,810.56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40,769,288.53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-4,894,020.22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-1,226,123.78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334,906.61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-1,737,065.43</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-1,721,740.92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156,058,022.79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-6,280,854.53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156,094,833.58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788,442.65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371,413.89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788,442.65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788,442.65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371,413.89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788,442.65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53,017,841.00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64,486,809.84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16,085,904.64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6,609,030.15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2,170,193.07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6,609,030.15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60,415,313.80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67,028,416.80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23,483,377.44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鞍山市财政局</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年首台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 </w:t>
            </w:r>
            <w:r>
              <w:rPr>
                <w:rFonts w:ascii="宋体" w:hAnsi="宋体" w:cs="宋体" w:eastAsia="宋体" w:hint="default"/>
                <w:sz w:val="18"/>
                <w:szCs w:val="18"/>
              </w:rPr>
              <w:t>重大技术装备首次销售价格 专项补助资金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ITER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工程的激光控制超大容 量无功补偿装置经费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柔性直流输电关键技术联合 开发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科技专项补助资金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辽宁省创新型中小企业认定 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高压大功率电子设备制造项 目专项资金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百兆伏安级链式静止无功补 偿器经费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鞍山市财政局柔性直流输电 关键技术联合研发经费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百兆伏安级链式静止无功补 偿器经费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轻型直流输电专项资金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多端柔性直流输电海外研发 团队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鞍山市长质量奖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年工业企业结构调整专 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储能逆变器开发经费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both"/>
              <w:rPr>
                <w:rFonts w:ascii="宋体" w:hAnsi="宋体" w:cs="宋体" w:eastAsia="宋体" w:hint="default"/>
                <w:sz w:val="18"/>
                <w:szCs w:val="18"/>
              </w:rPr>
            </w:pPr>
            <w:r>
              <w:rPr>
                <w:rFonts w:ascii="宋体" w:hAnsi="宋体" w:cs="宋体" w:eastAsia="宋体" w:hint="default"/>
                <w:sz w:val="18"/>
                <w:szCs w:val="18"/>
              </w:rPr>
              <w:t>大电流整流器设备的熔断器 状态监测技术的研发及产业 化项目科技经费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市财政科技经费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150,665.00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年鞍山市科技计划项目 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移动式高低压穿越测试装置 科技经费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外经贸专项发展基金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中小企业国际市场开拓拨款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软件产品即征即退增值税返 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36,931,936.36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2,705,439.64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2,705,439.64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年首台</w:t>
            </w:r>
          </w:p>
          <w:p>
            <w:pPr>
              <w:pStyle w:val="TableParagraph"/>
              <w:spacing w:line="31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（套）重大技术装备首次销售 价格专项补助资金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鞍山市财政局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年度进口 产品贴息</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both"/>
              <w:rPr>
                <w:rFonts w:ascii="宋体" w:hAnsi="宋体" w:cs="宋体" w:eastAsia="宋体" w:hint="default"/>
                <w:sz w:val="18"/>
                <w:szCs w:val="18"/>
              </w:rPr>
            </w:pPr>
            <w:r>
              <w:rPr>
                <w:rFonts w:ascii="宋体" w:hAnsi="宋体" w:cs="宋体" w:eastAsia="宋体" w:hint="default"/>
                <w:sz w:val="18"/>
                <w:szCs w:val="18"/>
              </w:rPr>
              <w:t>鞍山市财政局高压轻型直流 输电装置海外研发结题项目 配套资金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鞍山市财政局外贸出口增长 奖励资金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鞍山市财政局柔性直流输电 关键技术联合研发经费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鞍山市财政局涉外发展补助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辽宁省外经贸厅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年德国 汉诺威工业博览会展位费补 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上海市科学技术委员会研究 平台及环境建设款项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上海市科技企业中心国家创 新基金项目经费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软件产品即征即退增值税返 还</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43,017,370.20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53,017,841.00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64,486,809.84</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7,492,255.87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244,680.37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7,492,255.87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244,680.37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1,901,785.09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5,590,470.78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5,590,470.78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3,573,049.25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290,126.52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3,573,049.25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11,065,305.12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634,806.89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11,065,305.12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9,687,852.12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34,391,467.53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-3,299,564.97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-5,306,580.07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6,388,287.15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29,084,887.46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-266,473,316.87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-39,947,908.58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1,561,067.82</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-472,363.28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6,425,146.23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2,234,710.55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-5,879,169.52</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42,156,454.23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6,388,287.15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13,380,465.00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18,764,000.00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活期存款利息收入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7,555,415.43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3,432,531.61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750,734.76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4,261,409.98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21,686,615.19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26,457,941.59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234,601,241.36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213,131,348.75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248,969,005.63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206,642,837.86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40,898,474.39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38,888,244.91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支付履约保函保证金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8,615,026.86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7,228,873.11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1,244,725.00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540,312,621.35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459,907,156.52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初存目的为投资的定期存款及利息收入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96,285,756.00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25,358,778.06</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丧失控制权日诚和龙盛持有的现金及现 金等价物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2,808,733.39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99,094,489.39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25,358,778.06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r>
        <w:rPr/>
        <w:pict>
          <v:shape style="position:absolute;margin-left:190.145996pt;margin-top:692.039978pt;width:185.55pt;height:19.650pt;mso-position-horizontal-relative:page;mso-position-vertical-relative:page;z-index:-79820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1,297,000.00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解除用作质押的定期存款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126,278,456.00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2,956,250.00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黄金租赁融资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30,040,540.20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32,996,790.20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127,575,456.00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黄金租赁融资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31,282,750.70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31,282,750.70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-272,861,604.02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61,648,681.94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24,252,810.56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40,769,288.53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42,003,453.97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32,937,455.55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3,444,141.35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3,682,880.72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291,814.28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536,084.43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6,703,813.22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-126,733.52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58,661,764.99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51,692,638.17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6,280,854.53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-156,094,833.58</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-3,299,564.97</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-5,206,372.99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90,614,655.94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-92,580,773.01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27,954,534.80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14,000,774.69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-96,529,181.95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-41,947,394.63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-112,482,507.30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-90,688,303.70</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389,805,146.41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640,039,906.01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640,039,906.01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448,147,039.25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-250,234,759.60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191,892,866.76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北京诚和龙盛工程技术有限公司</w:t>
            </w:r>
          </w:p>
        </w:tc>
        <w:tc>
          <w:tcPr>
            <w:tcW w:w="4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2,808,733.39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北京诚和龙盛工程技术有限公司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2,808,733.39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-2,808,733.39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389,805,146.41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640,039,906.01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507,987.33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388,279.98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339,783,657.83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639,651,626.03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49,513,501.25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389,805,146.41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640,039,906.01</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147,809,257.25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sz w:val="18"/>
                <w:szCs w:val="18"/>
              </w:rPr>
              <w:t>期末银行存款包含按照定期存款利率计</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322" w:hRule="exact"/>
        </w:trPr>
        <w:tc>
          <w:tcPr>
            <w:tcW w:w="3328" w:type="dxa"/>
            <w:vMerge w:val="restart"/>
            <w:tcBorders>
              <w:top w:val="single" w:sz="4" w:space="0" w:color="000000"/>
              <w:left w:val="single" w:sz="4" w:space="0" w:color="000000"/>
              <w:right w:val="single" w:sz="4" w:space="0" w:color="000000"/>
            </w:tcBorders>
            <w:shd w:val="clear" w:color="auto" w:fill="D3D3D3"/>
          </w:tcPr>
          <w:p>
            <w:pPr/>
          </w:p>
        </w:tc>
        <w:tc>
          <w:tcPr>
            <w:tcW w:w="3056" w:type="dxa"/>
            <w:vMerge w:val="restart"/>
            <w:tcBorders>
              <w:top w:val="single" w:sz="4" w:space="0" w:color="000000"/>
              <w:left w:val="single" w:sz="4" w:space="0" w:color="000000"/>
              <w:right w:val="single" w:sz="4" w:space="0" w:color="000000"/>
            </w:tcBorders>
          </w:tcPr>
          <w:p>
            <w:pPr/>
          </w:p>
        </w:tc>
        <w:tc>
          <w:tcPr>
            <w:tcW w:w="3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提存款利息的定期存款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98,295,756.00</w:t>
            </w:r>
          </w:p>
        </w:tc>
      </w:tr>
      <w:tr>
        <w:trPr>
          <w:trHeight w:val="307" w:hRule="exact"/>
        </w:trPr>
        <w:tc>
          <w:tcPr>
            <w:tcW w:w="3328" w:type="dxa"/>
            <w:vMerge/>
            <w:tcBorders>
              <w:left w:val="single" w:sz="4" w:space="0" w:color="000000"/>
              <w:right w:val="single" w:sz="4" w:space="0" w:color="000000"/>
            </w:tcBorders>
            <w:shd w:val="clear" w:color="auto" w:fill="D3D3D3"/>
          </w:tcPr>
          <w:p>
            <w:pPr/>
          </w:p>
        </w:tc>
        <w:tc>
          <w:tcPr>
            <w:tcW w:w="3056" w:type="dxa"/>
            <w:vMerge/>
            <w:tcBorders>
              <w:left w:val="single" w:sz="4" w:space="0" w:color="000000"/>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元，其他货币资金包含银行承兑汇票保</w:t>
            </w:r>
          </w:p>
        </w:tc>
      </w:tr>
      <w:tr>
        <w:trPr>
          <w:trHeight w:val="317" w:hRule="exact"/>
        </w:trPr>
        <w:tc>
          <w:tcPr>
            <w:tcW w:w="3328" w:type="dxa"/>
            <w:vMerge/>
            <w:tcBorders>
              <w:left w:val="single" w:sz="4" w:space="0" w:color="000000"/>
              <w:right w:val="single" w:sz="4" w:space="0" w:color="000000"/>
            </w:tcBorders>
            <w:shd w:val="clear" w:color="auto" w:fill="D3D3D3"/>
          </w:tcPr>
          <w:p>
            <w:pPr/>
          </w:p>
        </w:tc>
        <w:tc>
          <w:tcPr>
            <w:tcW w:w="3056" w:type="dxa"/>
            <w:vMerge/>
            <w:tcBorders>
              <w:left w:val="single" w:sz="4" w:space="0" w:color="000000"/>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40,898,474.39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元、履约保函保证金</w:t>
            </w:r>
          </w:p>
        </w:tc>
      </w:tr>
      <w:tr>
        <w:trPr>
          <w:trHeight w:val="313" w:hRule="exact"/>
        </w:trPr>
        <w:tc>
          <w:tcPr>
            <w:tcW w:w="3328" w:type="dxa"/>
            <w:vMerge/>
            <w:tcBorders>
              <w:left w:val="single" w:sz="4" w:space="0" w:color="000000"/>
              <w:right w:val="single" w:sz="4" w:space="0" w:color="000000"/>
            </w:tcBorders>
            <w:shd w:val="clear" w:color="auto" w:fill="D3D3D3"/>
          </w:tcPr>
          <w:p>
            <w:pPr/>
          </w:p>
        </w:tc>
        <w:tc>
          <w:tcPr>
            <w:tcW w:w="3056" w:type="dxa"/>
            <w:vMerge/>
            <w:tcBorders>
              <w:left w:val="single" w:sz="4" w:space="0" w:color="000000"/>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8,615,026.86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147,809,257.25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52"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vMerge/>
            <w:tcBorders>
              <w:left w:val="single" w:sz="4" w:space="0" w:color="000000"/>
              <w:bottom w:val="single" w:sz="4" w:space="0" w:color="000000"/>
              <w:right w:val="single" w:sz="4" w:space="0" w:color="000000"/>
            </w:tcBorders>
          </w:tcPr>
          <w:p>
            <w:pPr/>
          </w:p>
        </w:tc>
        <w:tc>
          <w:tcPr>
            <w:tcW w:w="3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为使用受限货币资金。</w:t>
            </w:r>
          </w:p>
        </w:tc>
      </w:tr>
      <w:tr>
        <w:trPr>
          <w:trHeight w:val="362" w:hRule="exact"/>
        </w:trPr>
        <w:tc>
          <w:tcPr>
            <w:tcW w:w="3328" w:type="dxa"/>
            <w:tcBorders>
              <w:top w:val="single" w:sz="4" w:space="0" w:color="000000"/>
              <w:left w:val="single" w:sz="4" w:space="0" w:color="000000"/>
              <w:bottom w:val="nil" w:sz="6" w:space="0" w:color="auto"/>
              <w:right w:val="single" w:sz="4" w:space="0" w:color="000000"/>
            </w:tcBorders>
          </w:tcPr>
          <w:p>
            <w:pPr/>
          </w:p>
        </w:tc>
        <w:tc>
          <w:tcPr>
            <w:tcW w:w="3056" w:type="dxa"/>
            <w:tcBorders>
              <w:top w:val="single" w:sz="4" w:space="0" w:color="000000"/>
              <w:left w:val="single" w:sz="4" w:space="0" w:color="000000"/>
              <w:bottom w:val="nil" w:sz="6" w:space="0" w:color="auto"/>
              <w:right w:val="single" w:sz="4" w:space="0" w:color="000000"/>
            </w:tcBorders>
          </w:tcPr>
          <w:p>
            <w:pPr/>
          </w:p>
        </w:tc>
        <w:tc>
          <w:tcPr>
            <w:tcW w:w="3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日，本公司与中江国际信</w:t>
            </w:r>
          </w:p>
        </w:tc>
      </w:tr>
      <w:tr>
        <w:trPr>
          <w:trHeight w:val="311" w:hRule="exact"/>
        </w:trPr>
        <w:tc>
          <w:tcPr>
            <w:tcW w:w="3328" w:type="dxa"/>
            <w:tcBorders>
              <w:top w:val="nil" w:sz="6" w:space="0" w:color="auto"/>
              <w:left w:val="single" w:sz="4" w:space="0" w:color="000000"/>
              <w:bottom w:val="nil" w:sz="6" w:space="0" w:color="auto"/>
              <w:right w:val="single" w:sz="4" w:space="0" w:color="000000"/>
            </w:tcBorders>
          </w:tcPr>
          <w:p>
            <w:pPr/>
          </w:p>
        </w:tc>
        <w:tc>
          <w:tcPr>
            <w:tcW w:w="3056"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托股份有限公司签订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亿元短期借款</w:t>
            </w:r>
          </w:p>
        </w:tc>
      </w:tr>
      <w:tr>
        <w:trPr>
          <w:trHeight w:val="619" w:hRule="exact"/>
        </w:trPr>
        <w:tc>
          <w:tcPr>
            <w:tcW w:w="33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32,917,138.56</w:t>
            </w: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89"/>
              <w:jc w:val="left"/>
              <w:rPr>
                <w:rFonts w:ascii="宋体" w:hAnsi="宋体" w:cs="宋体" w:eastAsia="宋体" w:hint="default"/>
                <w:sz w:val="18"/>
                <w:szCs w:val="18"/>
              </w:rPr>
            </w:pPr>
            <w:r>
              <w:rPr>
                <w:rFonts w:ascii="宋体" w:hAnsi="宋体" w:cs="宋体" w:eastAsia="宋体" w:hint="default"/>
                <w:sz w:val="18"/>
                <w:szCs w:val="18"/>
              </w:rPr>
              <w:t>合同，借款期限为一年，其中应收账款 质押涉及销售合同总金额为</w:t>
            </w:r>
          </w:p>
        </w:tc>
      </w:tr>
      <w:tr>
        <w:trPr>
          <w:trHeight w:val="318" w:hRule="exact"/>
        </w:trPr>
        <w:tc>
          <w:tcPr>
            <w:tcW w:w="3328" w:type="dxa"/>
            <w:tcBorders>
              <w:top w:val="nil" w:sz="6" w:space="0" w:color="auto"/>
              <w:left w:val="single" w:sz="4" w:space="0" w:color="000000"/>
              <w:bottom w:val="nil" w:sz="6" w:space="0" w:color="auto"/>
              <w:right w:val="single" w:sz="4" w:space="0" w:color="000000"/>
            </w:tcBorders>
          </w:tcPr>
          <w:p>
            <w:pPr/>
          </w:p>
        </w:tc>
        <w:tc>
          <w:tcPr>
            <w:tcW w:w="3056"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217,607,595.60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元，相关的应收账款账面</w:t>
            </w:r>
          </w:p>
        </w:tc>
      </w:tr>
      <w:tr>
        <w:trPr>
          <w:trHeight w:val="352" w:hRule="exact"/>
        </w:trPr>
        <w:tc>
          <w:tcPr>
            <w:tcW w:w="3328" w:type="dxa"/>
            <w:tcBorders>
              <w:top w:val="nil" w:sz="6" w:space="0" w:color="auto"/>
              <w:left w:val="single" w:sz="4" w:space="0" w:color="000000"/>
              <w:bottom w:val="single" w:sz="4" w:space="0" w:color="000000"/>
              <w:right w:val="single" w:sz="4" w:space="0" w:color="000000"/>
            </w:tcBorders>
          </w:tcPr>
          <w:p>
            <w:pPr/>
          </w:p>
        </w:tc>
        <w:tc>
          <w:tcPr>
            <w:tcW w:w="3056" w:type="dxa"/>
            <w:tcBorders>
              <w:top w:val="nil" w:sz="6" w:space="0" w:color="auto"/>
              <w:left w:val="single" w:sz="4" w:space="0" w:color="000000"/>
              <w:bottom w:val="single" w:sz="4" w:space="0" w:color="000000"/>
              <w:right w:val="single" w:sz="4" w:space="0" w:color="000000"/>
            </w:tcBorders>
          </w:tcPr>
          <w:p>
            <w:pPr/>
          </w:p>
        </w:tc>
        <w:tc>
          <w:tcPr>
            <w:tcW w:w="3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价值为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32,917,138.56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180,726,395.81</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34,483.00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211,001.48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1,197,450.10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8,927,708.97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696,719.72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549,642.19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37,035.00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353,450.93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迪拉姆</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233,412.74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394,070.73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0"/>
              <w:jc w:val="right"/>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0.8243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2,019,050.42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12,354,569.52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996,742.68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7,431,314.73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0"/>
              <w:jc w:val="right"/>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34,668,927.40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28,962,421.95</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2" w:right="91"/>
              <w:jc w:val="both"/>
              <w:rPr>
                <w:rFonts w:ascii="宋体" w:hAnsi="宋体" w:cs="宋体" w:eastAsia="宋体" w:hint="default"/>
                <w:sz w:val="18"/>
                <w:szCs w:val="18"/>
              </w:rPr>
            </w:pPr>
            <w:r>
              <w:rPr>
                <w:rFonts w:ascii="宋体" w:hAnsi="宋体" w:cs="宋体" w:eastAsia="宋体" w:hint="default"/>
                <w:sz w:val="18"/>
                <w:szCs w:val="18"/>
              </w:rPr>
              <w:t>按照公 允价值 重新计 量剩余</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股权公</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w:t>
            </w:r>
          </w:p>
        </w:tc>
      </w:tr>
    </w:tbl>
    <w:p>
      <w:pPr>
        <w:spacing w:after="0" w:line="316"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8" w:hRule="exact"/>
        </w:trPr>
        <w:tc>
          <w:tcPr>
            <w:tcW w:w="736" w:type="dxa"/>
            <w:vMerge w:val="restart"/>
            <w:tcBorders>
              <w:top w:val="single" w:sz="4" w:space="0" w:color="000000"/>
              <w:left w:val="single" w:sz="4" w:space="0" w:color="000000"/>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6" w:type="dxa"/>
            <w:vMerge w:val="restart"/>
            <w:tcBorders>
              <w:top w:val="single" w:sz="4" w:space="0" w:color="000000"/>
              <w:left w:val="single" w:sz="4" w:space="0" w:color="000000"/>
              <w:right w:val="single" w:sz="4" w:space="0" w:color="000000"/>
            </w:tcBorders>
            <w:shd w:val="clear" w:color="auto" w:fill="D3D3D3"/>
          </w:tcPr>
          <w:p>
            <w:pPr/>
          </w:p>
        </w:tc>
        <w:tc>
          <w:tcPr>
            <w:tcW w:w="736" w:type="dxa"/>
            <w:vMerge w:val="restart"/>
            <w:tcBorders>
              <w:top w:val="single" w:sz="4" w:space="0" w:color="000000"/>
              <w:left w:val="single" w:sz="4" w:space="0" w:color="000000"/>
              <w:right w:val="single" w:sz="4" w:space="0" w:color="000000"/>
            </w:tcBorders>
            <w:shd w:val="clear" w:color="auto" w:fill="D3D3D3"/>
          </w:tcPr>
          <w:p>
            <w:pPr/>
          </w:p>
        </w:tc>
        <w:tc>
          <w:tcPr>
            <w:tcW w:w="734" w:type="dxa"/>
            <w:vMerge w:val="restart"/>
            <w:tcBorders>
              <w:top w:val="single" w:sz="4" w:space="0" w:color="000000"/>
              <w:left w:val="single" w:sz="4" w:space="0" w:color="000000"/>
              <w:right w:val="single" w:sz="4" w:space="0" w:color="000000"/>
            </w:tcBorders>
            <w:shd w:val="clear" w:color="auto" w:fill="D3D3D3"/>
          </w:tcPr>
          <w:p>
            <w:pPr/>
          </w:p>
        </w:tc>
        <w:tc>
          <w:tcPr>
            <w:tcW w:w="736" w:type="dxa"/>
            <w:vMerge w:val="restart"/>
            <w:tcBorders>
              <w:top w:val="single" w:sz="4" w:space="0" w:color="000000"/>
              <w:left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合并财</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股权产</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允价值</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其他综</w:t>
            </w:r>
          </w:p>
        </w:tc>
      </w:tr>
      <w:tr>
        <w:trPr>
          <w:trHeight w:val="312" w:hRule="exact"/>
        </w:trPr>
        <w:tc>
          <w:tcPr>
            <w:tcW w:w="736"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务报表</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生的利</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的确定</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合收益</w:t>
            </w:r>
          </w:p>
        </w:tc>
      </w:tr>
      <w:tr>
        <w:trPr>
          <w:trHeight w:val="311" w:hRule="exact"/>
        </w:trPr>
        <w:tc>
          <w:tcPr>
            <w:tcW w:w="736"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层面享</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得或损</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方法及</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转入投</w:t>
            </w:r>
          </w:p>
        </w:tc>
      </w:tr>
      <w:tr>
        <w:trPr>
          <w:trHeight w:val="313" w:hRule="exact"/>
        </w:trPr>
        <w:tc>
          <w:tcPr>
            <w:tcW w:w="736"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有该子</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主要假</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资损益</w:t>
            </w:r>
          </w:p>
        </w:tc>
      </w:tr>
      <w:tr>
        <w:trPr>
          <w:trHeight w:val="312" w:hRule="exact"/>
        </w:trPr>
        <w:tc>
          <w:tcPr>
            <w:tcW w:w="736"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公司净</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的金额</w:t>
            </w:r>
          </w:p>
        </w:tc>
      </w:tr>
      <w:tr>
        <w:trPr>
          <w:trHeight w:val="311" w:hRule="exact"/>
        </w:trPr>
        <w:tc>
          <w:tcPr>
            <w:tcW w:w="736"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资产份</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3" w:hRule="exact"/>
        </w:trPr>
        <w:tc>
          <w:tcPr>
            <w:tcW w:w="736"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额的差</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vMerge/>
            <w:tcBorders>
              <w:left w:val="single" w:sz="4" w:space="0" w:color="000000"/>
              <w:bottom w:val="single" w:sz="4" w:space="0" w:color="000000"/>
              <w:right w:val="single" w:sz="4" w:space="0" w:color="000000"/>
            </w:tcBorders>
            <w:shd w:val="clear" w:color="auto" w:fill="D3D3D3"/>
          </w:tcPr>
          <w:p>
            <w:pPr/>
          </w:p>
        </w:tc>
        <w:tc>
          <w:tcPr>
            <w:tcW w:w="734" w:type="dxa"/>
            <w:vMerge/>
            <w:tcBorders>
              <w:left w:val="single" w:sz="4" w:space="0" w:color="000000"/>
              <w:bottom w:val="single" w:sz="4" w:space="0" w:color="000000"/>
              <w:right w:val="single" w:sz="4" w:space="0" w:color="000000"/>
            </w:tcBorders>
            <w:shd w:val="clear" w:color="auto" w:fill="D3D3D3"/>
          </w:tcPr>
          <w:p>
            <w:pPr/>
          </w:p>
        </w:tc>
        <w:tc>
          <w:tcPr>
            <w:tcW w:w="736"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北京诚</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和龙盛 工程技 术有限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1,375,00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51.02%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工商变 更完成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整流设备、变流 设备等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井下防爆电气设 备的研发生产与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电机控制装置、 启动装置及其他 电力电子装置的 设计、制造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太阳能光伏技术 应用、风能技术 的研发、生产、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电气传动与控制 系列变频器相关 产品的研发、生 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高压连续电容器 </w:t>
            </w:r>
            <w:r>
              <w:rPr>
                <w:rFonts w:ascii="Times New Roman" w:hAnsi="Times New Roman" w:cs="Times New Roman" w:eastAsia="Times New Roman" w:hint="default"/>
                <w:spacing w:val="-2"/>
                <w:sz w:val="18"/>
                <w:szCs w:val="18"/>
              </w:rPr>
              <w:t>(HVSC)</w:t>
            </w:r>
            <w:r>
              <w:rPr>
                <w:rFonts w:ascii="宋体" w:hAnsi="宋体" w:cs="宋体" w:eastAsia="宋体" w:hint="default"/>
                <w:spacing w:val="-2"/>
                <w:sz w:val="18"/>
                <w:szCs w:val="18"/>
              </w:rPr>
              <w:t>、静态无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功补偿器</w:t>
            </w:r>
            <w:r>
              <w:rPr>
                <w:rFonts w:ascii="Times New Roman" w:hAnsi="Times New Roman" w:cs="Times New Roman" w:eastAsia="Times New Roman" w:hint="default"/>
                <w:sz w:val="18"/>
                <w:szCs w:val="18"/>
              </w:rPr>
              <w:t>(FSC)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井下防爆变频设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荣华恒信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开关技术研发与 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荣信众腾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电力电子技术开 发、技术服务及 技术推广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输配电及控制设 备研发、制造、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服务、技术推广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广州邦建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电力技术的研 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荣信瑞科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荣信中科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西安荣信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输变电设备销售 及安装、技术咨 询与技术服务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-93,082.96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17,965,503.63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-2,386,357.78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12,710,258.56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-1,763,749.27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372,016.61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9,675,242.76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-3,367,645.97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3,964,158.48</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361,402.12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1,509,550.38</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624,309.56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968,119.23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-1,032,294.43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611,313.96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1,013,261.15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-1,112,932.64</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荣信电 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207,789,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12,414,3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220,203,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416.53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128,729,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365.47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128,729,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365.47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252,149,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4,100,74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256,250,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133.73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172,819,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783.34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172,819,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783.34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荣西电 力</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25,903,3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4,939,66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30,843,0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5,422,48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5,422,48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44,279,7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5,600,63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49,880,4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19,687,1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82.53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19,687,1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82.53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上海地 澳</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40,274,2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3,266,15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43,540,3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21,585,1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21,585,1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55,378,4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3,735,86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59,114,3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32,867,6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61.93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32,867,6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61.93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荣科恒 阳</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11,266,5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72.08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11,210,9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22,477,5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14,387,4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14,387,4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12,884,0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12,762,0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25,646,1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10,683,2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62.44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10,683,2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62.44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荣信电 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26,061,3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48.72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26,636,6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11,541,1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15.99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11,541,1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35,390,9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224,952.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35,615,9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22,534,4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29.44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22,534,4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29.44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荣信慧 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6,494,54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6,972,53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518,411.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518,411.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2,335,39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2,827,02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荣信光 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37,292,3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37,626,2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31,510,9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98.40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31,510,9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47,574,5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48,124,9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31,687,3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31,687,3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53.99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荣科博 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2,369,78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2,410,29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9,829,84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9,829,84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2,871,64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2,898,24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17,072,8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66.99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17,072,8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66.99</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8"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181,923,413.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4,239,950.67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4,239,950.67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38,862,262.1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center"/>
              <w:rPr>
                <w:rFonts w:ascii="Times New Roman" w:hAnsi="Times New Roman" w:cs="Times New Roman" w:eastAsia="Times New Roman" w:hint="default"/>
                <w:sz w:val="18"/>
                <w:szCs w:val="18"/>
              </w:rPr>
            </w:pPr>
            <w:r>
              <w:rPr>
                <w:rFonts w:ascii="Times New Roman"/>
                <w:sz w:val="18"/>
              </w:rPr>
              <w:t>122,428,923.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748,874.04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748,874.04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-5,668,377.61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1,360,314.00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-4,772,715.57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-4,772,715.57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-19,346,429.0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37,736,153.6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-4,342,859.21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-4,342,859.21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2,792,934.21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15,668,575.0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-3,919,442.83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-3,919,442.83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6,976,968.94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30,437,921.2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397,009.53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397,009.53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-2,850,605.16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1,266,235.03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-6,872,746.88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-6,872,746.88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-641,075.64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27,861,965.9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107,967.93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107,967.93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427,765.63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51,483,830.5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3,614,021.16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3,614,021.16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-3,736,266.41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44,393,114.1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3,483,556.02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3,483,556.02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1,675,186.80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27,785,997.4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4,162,063.71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4,162,063.71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-938,840.12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28,288,461.5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1,237,936.58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1,237,936.58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1,501,406.41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21,497,214.8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-10,322,944.3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-10,322,944.3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3,219,423.37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23,007,324.8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1,312,818.10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1,312,818.10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-6,150,939.60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51,139,252.1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6,755,074.32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6,755,074.32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295,432.07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18,979,657.9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-11,837,305.9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-11,837,305.9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-3,219,389.18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在子公司的所有者权益份额发生变化的情况说明</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341"/>
        <w:gridCol w:w="2132"/>
        <w:gridCol w:w="1913"/>
        <w:gridCol w:w="1914"/>
      </w:tblGrid>
      <w:tr>
        <w:trPr>
          <w:trHeight w:val="347"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8"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7"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荣信电气</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90.00%</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96.77%</w:t>
            </w:r>
          </w:p>
        </w:tc>
      </w:tr>
      <w:tr>
        <w:trPr>
          <w:trHeight w:val="348"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荣信电气</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96.77%</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80.36%</w:t>
            </w:r>
          </w:p>
        </w:tc>
      </w:tr>
      <w:tr>
        <w:trPr>
          <w:trHeight w:val="347"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荣信防爆</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90.00%</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76" w:lineRule="exact"/>
        <w:ind w:right="0" w:firstLine="420"/>
        <w:jc w:val="left"/>
        <w:rPr>
          <w:rFonts w:ascii="Times New Roman" w:hAnsi="Times New Roman" w:cs="Times New Roman" w:eastAsia="Times New Roman" w:hint="default"/>
        </w:rPr>
      </w:pP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日，根据股东会决议，荣信电气以</w:t>
      </w:r>
      <w:r>
        <w:rPr>
          <w:rFonts w:ascii="Times New Roman" w:hAnsi="Times New Roman" w:cs="Times New Roman" w:eastAsia="Times New Roman" w:hint="default"/>
          <w:spacing w:val="-3"/>
        </w:rPr>
        <w:t>94.625</w:t>
      </w:r>
      <w:r>
        <w:rPr>
          <w:spacing w:val="-3"/>
        </w:rPr>
        <w:t>万元购买少数股东葛月、王振等</w:t>
      </w:r>
      <w:r>
        <w:rPr>
          <w:rFonts w:ascii="Times New Roman" w:hAnsi="Times New Roman" w:cs="Times New Roman" w:eastAsia="Times New Roman" w:hint="default"/>
          <w:spacing w:val="-3"/>
        </w:rPr>
        <w:t>4</w:t>
      </w:r>
      <w:r>
        <w:rPr>
          <w:spacing w:val="-3"/>
        </w:rPr>
        <w:t>人所持</w:t>
      </w:r>
      <w:r>
        <w:rPr>
          <w:rFonts w:ascii="Times New Roman" w:hAnsi="Times New Roman" w:cs="Times New Roman" w:eastAsia="Times New Roman" w:hint="default"/>
          <w:spacing w:val="-3"/>
        </w:rPr>
        <w:t>7%</w:t>
      </w:r>
    </w:p>
    <w:p>
      <w:pPr>
        <w:pStyle w:val="BodyText"/>
        <w:spacing w:line="240" w:lineRule="auto" w:before="21"/>
        <w:ind w:right="0"/>
        <w:jc w:val="left"/>
      </w:pPr>
      <w:r>
        <w:rPr/>
        <w:t>的股权，同时，荣信电气的注册资本由</w:t>
      </w:r>
      <w:r>
        <w:rPr>
          <w:rFonts w:ascii="Times New Roman" w:hAnsi="Times New Roman" w:cs="Times New Roman" w:eastAsia="Times New Roman" w:hint="default"/>
        </w:rPr>
        <w:t>2,500</w:t>
      </w:r>
      <w:r>
        <w:rPr/>
        <w:t>万元变更为</w:t>
      </w:r>
      <w:r>
        <w:rPr>
          <w:rFonts w:ascii="Times New Roman" w:hAnsi="Times New Roman" w:cs="Times New Roman" w:eastAsia="Times New Roman" w:hint="default"/>
        </w:rPr>
        <w:t>2,325</w:t>
      </w:r>
      <w:r>
        <w:rPr/>
        <w:t>万元。本公司原持股</w:t>
      </w:r>
      <w:r>
        <w:rPr>
          <w:rFonts w:ascii="Times New Roman" w:hAnsi="Times New Roman" w:cs="Times New Roman" w:eastAsia="Times New Roman" w:hint="default"/>
        </w:rPr>
        <w:t>2,250</w:t>
      </w:r>
      <w:r>
        <w:rPr/>
        <w:t>万元，持股比例由</w:t>
      </w:r>
    </w:p>
    <w:p>
      <w:pPr>
        <w:pStyle w:val="BodyText"/>
        <w:spacing w:line="256" w:lineRule="auto" w:before="21"/>
        <w:ind w:left="573" w:right="0" w:hanging="420"/>
        <w:jc w:val="left"/>
        <w:rPr>
          <w:rFonts w:ascii="Times New Roman" w:hAnsi="Times New Roman" w:cs="Times New Roman" w:eastAsia="Times New Roman" w:hint="default"/>
        </w:rPr>
      </w:pPr>
      <w:r>
        <w:rPr>
          <w:rFonts w:ascii="Times New Roman" w:hAnsi="Times New Roman" w:cs="Times New Roman" w:eastAsia="Times New Roman" w:hint="default"/>
        </w:rPr>
        <w:t>90%</w:t>
      </w:r>
      <w:r>
        <w:rPr/>
        <w:t>增加至</w:t>
      </w:r>
      <w:r>
        <w:rPr>
          <w:rFonts w:ascii="Times New Roman" w:hAnsi="Times New Roman" w:cs="Times New Roman" w:eastAsia="Times New Roman" w:hint="default"/>
        </w:rPr>
        <w:t>96.77%</w:t>
      </w:r>
      <w:r>
        <w:rPr/>
        <w:t>。 </w:t>
      </w: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9</w:t>
      </w:r>
      <w:r>
        <w:rPr>
          <w:spacing w:val="-1"/>
        </w:rPr>
        <w:t>日，靳勇、陈旭光等</w:t>
      </w:r>
      <w:r>
        <w:rPr>
          <w:rFonts w:ascii="Times New Roman" w:hAnsi="Times New Roman" w:cs="Times New Roman" w:eastAsia="Times New Roman" w:hint="default"/>
          <w:spacing w:val="-1"/>
        </w:rPr>
        <w:t>4</w:t>
      </w:r>
      <w:r>
        <w:rPr>
          <w:spacing w:val="-1"/>
        </w:rPr>
        <w:t>人增资</w:t>
      </w:r>
      <w:r>
        <w:rPr>
          <w:rFonts w:ascii="Times New Roman" w:hAnsi="Times New Roman" w:cs="Times New Roman" w:eastAsia="Times New Roman" w:hint="default"/>
          <w:spacing w:val="-1"/>
        </w:rPr>
        <w:t>475</w:t>
      </w:r>
      <w:r>
        <w:rPr>
          <w:spacing w:val="-1"/>
        </w:rPr>
        <w:t>万元，荣信电气的注册资本由</w:t>
      </w:r>
      <w:r>
        <w:rPr>
          <w:rFonts w:ascii="Times New Roman" w:hAnsi="Times New Roman" w:cs="Times New Roman" w:eastAsia="Times New Roman" w:hint="default"/>
          <w:spacing w:val="-1"/>
        </w:rPr>
        <w:t>2,325</w:t>
      </w:r>
      <w:r>
        <w:rPr>
          <w:spacing w:val="-1"/>
        </w:rPr>
        <w:t>万元变更为</w:t>
      </w:r>
      <w:r>
        <w:rPr>
          <w:rFonts w:ascii="Times New Roman" w:hAnsi="Times New Roman" w:cs="Times New Roman" w:eastAsia="Times New Roman" w:hint="default"/>
          <w:spacing w:val="-1"/>
        </w:rPr>
        <w:t>2,800</w:t>
      </w:r>
    </w:p>
    <w:p>
      <w:pPr>
        <w:pStyle w:val="BodyText"/>
        <w:spacing w:line="240" w:lineRule="auto" w:before="5"/>
        <w:ind w:right="0"/>
        <w:jc w:val="left"/>
      </w:pPr>
      <w:r>
        <w:rPr/>
        <w:t>万元，本公司的持股比例由</w:t>
      </w:r>
      <w:r>
        <w:rPr>
          <w:rFonts w:ascii="Times New Roman" w:hAnsi="Times New Roman" w:cs="Times New Roman" w:eastAsia="Times New Roman" w:hint="default"/>
        </w:rPr>
        <w:t>96.77%</w:t>
      </w:r>
      <w:r>
        <w:rPr/>
        <w:t>减少至</w:t>
      </w:r>
      <w:r>
        <w:rPr>
          <w:rFonts w:ascii="Times New Roman" w:hAnsi="Times New Roman" w:cs="Times New Roman" w:eastAsia="Times New Roman" w:hint="default"/>
        </w:rPr>
        <w:t>80.36%</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74"/>
        <w:gridCol w:w="1842"/>
        <w:gridCol w:w="1681"/>
        <w:gridCol w:w="1804"/>
      </w:tblGrid>
      <w:tr>
        <w:trPr>
          <w:trHeight w:val="348" w:hRule="exact"/>
        </w:trPr>
        <w:tc>
          <w:tcPr>
            <w:tcW w:w="2974"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3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荣信电气</w:t>
            </w: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475" w:right="0"/>
              <w:jc w:val="left"/>
              <w:rPr>
                <w:rFonts w:ascii="宋体" w:hAnsi="宋体" w:cs="宋体" w:eastAsia="宋体" w:hint="default"/>
                <w:sz w:val="21"/>
                <w:szCs w:val="21"/>
              </w:rPr>
            </w:pPr>
            <w:r>
              <w:rPr>
                <w:rFonts w:ascii="宋体" w:hAnsi="宋体" w:cs="宋体" w:eastAsia="宋体" w:hint="default"/>
                <w:sz w:val="21"/>
                <w:szCs w:val="21"/>
              </w:rPr>
              <w:t>荣信防爆</w:t>
            </w:r>
          </w:p>
        </w:tc>
      </w:tr>
      <w:tr>
        <w:trPr>
          <w:trHeight w:val="347" w:hRule="exact"/>
        </w:trPr>
        <w:tc>
          <w:tcPr>
            <w:tcW w:w="2974"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946,250.00</w:t>
            </w:r>
            <w:r>
              <w:rPr>
                <w:rFonts w:ascii="Times New Roman"/>
                <w:sz w:val="21"/>
              </w:rPr>
            </w: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2,010,000.00</w:t>
            </w: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8"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946,250.00</w:t>
            </w:r>
            <w:r>
              <w:rPr>
                <w:rFonts w:ascii="Times New Roman"/>
                <w:sz w:val="21"/>
              </w:rPr>
            </w: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2,010,000.00</w:t>
            </w:r>
          </w:p>
        </w:tc>
      </w:tr>
      <w:tr>
        <w:trPr>
          <w:trHeight w:val="348"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处置的股权比例计算</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5,138,175.01</w:t>
            </w: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-2,985,746.11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974"/>
        <w:gridCol w:w="1842"/>
        <w:gridCol w:w="1681"/>
        <w:gridCol w:w="1804"/>
      </w:tblGrid>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的子公司净资产份额</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-4,191,925.01</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-960,105.30</w:t>
            </w: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pacing w:val="-1"/>
                <w:sz w:val="21"/>
              </w:rPr>
              <w:t>4,995,746.11</w:t>
            </w:r>
          </w:p>
        </w:tc>
      </w:tr>
      <w:tr>
        <w:trPr>
          <w:trHeight w:val="348"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8"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-4,191,925.01</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-960,105.30</w:t>
            </w:r>
          </w:p>
        </w:tc>
        <w:tc>
          <w:tcPr>
            <w:tcW w:w="18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pacing w:val="-1"/>
                <w:sz w:val="21"/>
              </w:rPr>
              <w:t>4,995,746.11</w:t>
            </w: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4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4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北京信力筑正新</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能源技术股份有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余热发电</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80" w:right="0"/>
              <w:jc w:val="left"/>
              <w:rPr>
                <w:rFonts w:ascii="Times New Roman" w:hAnsi="Times New Roman" w:cs="Times New Roman" w:eastAsia="Times New Roman" w:hint="default"/>
                <w:sz w:val="18"/>
                <w:szCs w:val="18"/>
              </w:rPr>
            </w:pPr>
            <w:r>
              <w:rPr>
                <w:rFonts w:ascii="Times New Roman"/>
                <w:sz w:val="18"/>
              </w:rPr>
              <w:t>37.60%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86"/>
        <w:gridCol w:w="2268"/>
        <w:gridCol w:w="2358"/>
      </w:tblGrid>
      <w:tr>
        <w:trPr>
          <w:trHeight w:val="347" w:hRule="exact"/>
        </w:trPr>
        <w:tc>
          <w:tcPr>
            <w:tcW w:w="3686" w:type="dxa"/>
            <w:vMerge w:val="restart"/>
            <w:tcBorders>
              <w:top w:val="single" w:sz="6" w:space="0" w:color="000000"/>
              <w:left w:val="single" w:sz="6" w:space="0" w:color="000000"/>
              <w:right w:val="single" w:sz="6" w:space="0" w:color="000000"/>
            </w:tcBorders>
          </w:tcPr>
          <w:p>
            <w:pPr>
              <w:pStyle w:val="TableParagraph"/>
              <w:spacing w:line="271" w:lineRule="exact"/>
              <w:ind w:left="417"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59" w:hRule="exact"/>
        </w:trPr>
        <w:tc>
          <w:tcPr>
            <w:tcW w:w="3686"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91" w:right="77" w:hanging="316"/>
              <w:jc w:val="left"/>
              <w:rPr>
                <w:rFonts w:ascii="宋体" w:hAnsi="宋体" w:cs="宋体" w:eastAsia="宋体" w:hint="default"/>
                <w:sz w:val="21"/>
                <w:szCs w:val="21"/>
              </w:rPr>
            </w:pPr>
            <w:r>
              <w:rPr>
                <w:rFonts w:ascii="宋体" w:hAnsi="宋体" w:cs="宋体" w:eastAsia="宋体" w:hint="default"/>
                <w:sz w:val="21"/>
                <w:szCs w:val="21"/>
              </w:rPr>
              <w:t>北京信力筑正新能源技 术股份有限公司</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541" w:right="23" w:hanging="526"/>
              <w:jc w:val="left"/>
              <w:rPr>
                <w:rFonts w:ascii="宋体" w:hAnsi="宋体" w:cs="宋体" w:eastAsia="宋体" w:hint="default"/>
                <w:sz w:val="21"/>
                <w:szCs w:val="21"/>
              </w:rPr>
            </w:pPr>
            <w:r>
              <w:rPr>
                <w:rFonts w:ascii="宋体" w:hAnsi="宋体" w:cs="宋体" w:eastAsia="宋体" w:hint="default"/>
                <w:sz w:val="21"/>
                <w:szCs w:val="21"/>
              </w:rPr>
              <w:t>北京信力筑正新能源技术 股份有限公司</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382,224,222.10</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369,809,587.22</w:t>
            </w: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95,077,346.02</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73,286,688.64</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477,301,568.12</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pacing w:val="-1"/>
                <w:sz w:val="21"/>
              </w:rPr>
              <w:t>443,096,275.86</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184,450,455.67</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124,872,798.23</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12,632,664.00</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22,585,577.00</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197,083,119.67</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147,458,375.23</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1,441,354.77</w:t>
            </w: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278,777,093.68</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294,196,545.86</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104,820,187.22</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pacing w:val="-1"/>
                <w:sz w:val="21"/>
              </w:rPr>
              <w:t>110,617,901.24</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9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90"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104,820,187.22</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110,617,901.24</w:t>
            </w:r>
          </w:p>
        </w:tc>
      </w:tr>
      <w:tr>
        <w:trPr>
          <w:trHeight w:val="65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7"/>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 允价值</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59,687,460.55</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177,209,178.25</w:t>
            </w: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7,112,554.99</w:t>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5,894,922.35</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686"/>
        <w:gridCol w:w="2268"/>
        <w:gridCol w:w="2358"/>
      </w:tblGrid>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-15,419,452.18</w:t>
            </w:r>
            <w:r>
              <w:rPr>
                <w:rFonts w:ascii="Times New Roman"/>
                <w:sz w:val="21"/>
              </w:rPr>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1"/>
              <w:jc w:val="right"/>
              <w:rPr>
                <w:rFonts w:ascii="Times New Roman" w:hAnsi="Times New Roman" w:cs="Times New Roman" w:eastAsia="Times New Roman" w:hint="default"/>
                <w:sz w:val="21"/>
                <w:szCs w:val="21"/>
              </w:rPr>
            </w:pPr>
            <w:r>
              <w:rPr>
                <w:rFonts w:ascii="Times New Roman"/>
                <w:spacing w:val="-1"/>
                <w:sz w:val="21"/>
              </w:rPr>
              <w:t>7,422,962.32</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2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-15,419,452.18</w:t>
            </w:r>
            <w:r>
              <w:rPr>
                <w:rFonts w:ascii="Times New Roman"/>
                <w:sz w:val="21"/>
              </w:rPr>
            </w:r>
          </w:p>
        </w:tc>
        <w:tc>
          <w:tcPr>
            <w:tcW w:w="23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1"/>
              <w:jc w:val="right"/>
              <w:rPr>
                <w:rFonts w:ascii="Times New Roman" w:hAnsi="Times New Roman" w:cs="Times New Roman" w:eastAsia="Times New Roman" w:hint="default"/>
                <w:sz w:val="21"/>
                <w:szCs w:val="21"/>
              </w:rPr>
            </w:pPr>
            <w:r>
              <w:rPr>
                <w:rFonts w:ascii="Times New Roman"/>
                <w:spacing w:val="-1"/>
                <w:sz w:val="21"/>
              </w:rPr>
              <w:t>7,422,962.32</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本期收到的来自联营企业的股利</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58"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66,344,214.76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38,517,303.44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-1,911,155.62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-2,310,664.47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-1,911,155.62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-2,310,664.47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92,650,767.22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15,715,304.03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2,814,849.41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-600,021.18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2,814,849.41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-600,021.18</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49"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273" w:lineRule="auto" w:before="8"/>
        <w:ind w:left="154" w:right="149" w:firstLine="420"/>
        <w:jc w:val="both"/>
      </w:pPr>
      <w:r>
        <w:rPr>
          <w:spacing w:val="-1"/>
        </w:rPr>
        <w:t>本公司的金融工具导致的主要风险是信用风险、流动风险及市场风险。管理层已审议并批准管理这些</w:t>
      </w:r>
      <w:r>
        <w:rPr/>
        <w:t> 风险的政策，概括如下。</w:t>
      </w:r>
    </w:p>
    <w:p>
      <w:pPr>
        <w:pStyle w:val="BodyText"/>
        <w:spacing w:line="266" w:lineRule="auto" w:before="8"/>
        <w:ind w:left="573" w:right="116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 信用风险，是指金融工具的一方不能履行义务，造成另一方发生财务损失的风险。 本公司的信用风险主要与应收款项有关。为控制该项风险，本公司分别采取了以下措施。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应收账款、应收票据</w:t>
      </w:r>
    </w:p>
    <w:p>
      <w:pPr>
        <w:pStyle w:val="BodyText"/>
        <w:spacing w:line="273" w:lineRule="auto"/>
        <w:ind w:right="150" w:firstLine="420"/>
        <w:jc w:val="both"/>
      </w:pPr>
      <w:r>
        <w:rPr>
          <w:spacing w:val="-1"/>
        </w:rPr>
        <w:t>本公司仅与经认可的、信誉良好的第三方进行交易。按照本公司的政策，需对所有要求采用信用方式</w:t>
      </w:r>
      <w:r>
        <w:rPr/>
        <w:t> </w:t>
      </w:r>
      <w:r>
        <w:rPr>
          <w:spacing w:val="-1"/>
        </w:rPr>
        <w:t>进行交易的客户进行信用审核。另外，本公司对应收账款余额进行持续监控，以确保本公司不致面临重大</w:t>
      </w:r>
      <w:r>
        <w:rPr>
          <w:spacing w:val="-83"/>
        </w:rPr>
        <w:t> </w:t>
      </w:r>
      <w:r>
        <w:rPr>
          <w:spacing w:val="-83"/>
        </w:rPr>
      </w:r>
      <w:r>
        <w:rPr/>
        <w:t>坏账风险。</w:t>
      </w:r>
    </w:p>
    <w:p>
      <w:pPr>
        <w:pStyle w:val="BodyText"/>
        <w:spacing w:line="240" w:lineRule="auto" w:before="8"/>
        <w:ind w:left="573" w:right="0"/>
        <w:jc w:val="left"/>
      </w:pPr>
      <w:r>
        <w:rPr/>
        <w:t>由于本公司的应收账款风险点分布多个合作方和多个客户，截至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w:t>
      </w:r>
    </w:p>
    <w:p>
      <w:pPr>
        <w:pStyle w:val="BodyText"/>
        <w:spacing w:line="240" w:lineRule="auto" w:before="21"/>
        <w:ind w:right="0"/>
        <w:jc w:val="left"/>
      </w:pPr>
      <w:r>
        <w:rPr>
          <w:rFonts w:ascii="Times New Roman" w:hAnsi="Times New Roman" w:cs="Times New Roman" w:eastAsia="Times New Roman" w:hint="default"/>
        </w:rPr>
        <w:t>11.03%(2013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13.38%)</w:t>
      </w:r>
      <w:r>
        <w:rPr/>
        <w:t>源于前五大客户，本公司不存在重大的信用集中风险。</w:t>
      </w:r>
    </w:p>
    <w:p>
      <w:pPr>
        <w:pStyle w:val="BodyText"/>
        <w:spacing w:line="256" w:lineRule="auto" w:before="21"/>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其他应收款 </w:t>
      </w:r>
      <w:r>
        <w:rPr>
          <w:spacing w:val="-1"/>
        </w:rPr>
        <w:t>本公司的其他应收款主要系应收出口退税款、保证金等，公司对此等款项与相关经济业务一并管理并</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574" w:right="320" w:hanging="420"/>
        <w:jc w:val="left"/>
      </w:pPr>
      <w:r>
        <w:rPr/>
        <w:t>持续监控，以确保本公司不致面临重大坏账风险。 本公司的应收款项中尚未逾期和发生减值的金额，以及虽已逾期但未减值的金融资产的期限分析如</w:t>
      </w:r>
    </w:p>
    <w:p>
      <w:pPr>
        <w:pStyle w:val="BodyText"/>
        <w:spacing w:line="240" w:lineRule="auto" w:before="8"/>
        <w:ind w:left="154" w:right="0"/>
        <w:jc w:val="left"/>
      </w:pPr>
      <w:r>
        <w:rPr/>
        <w:t>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840"/>
        <w:gridCol w:w="1560"/>
        <w:gridCol w:w="991"/>
        <w:gridCol w:w="1274"/>
        <w:gridCol w:w="1166"/>
        <w:gridCol w:w="1475"/>
      </w:tblGrid>
      <w:tr>
        <w:trPr>
          <w:trHeight w:val="347" w:hRule="exact"/>
        </w:trPr>
        <w:tc>
          <w:tcPr>
            <w:tcW w:w="1840"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6467"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840"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475" w:type="dxa"/>
            <w:vMerge w:val="restart"/>
            <w:tcBorders>
              <w:top w:val="single" w:sz="6" w:space="0" w:color="000000"/>
              <w:left w:val="single" w:sz="6" w:space="0" w:color="000000"/>
              <w:right w:val="nil" w:sz="6" w:space="0" w:color="auto"/>
            </w:tcBorders>
          </w:tcPr>
          <w:p>
            <w:pPr>
              <w:pStyle w:val="TableParagraph"/>
              <w:spacing w:line="271" w:lineRule="exact"/>
              <w:ind w:left="47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7" w:hRule="exact"/>
        </w:trPr>
        <w:tc>
          <w:tcPr>
            <w:tcW w:w="184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475" w:type="dxa"/>
            <w:vMerge/>
            <w:tcBorders>
              <w:left w:val="single" w:sz="6" w:space="0" w:color="000000"/>
              <w:bottom w:val="single" w:sz="6" w:space="0" w:color="000000"/>
              <w:right w:val="nil" w:sz="6" w:space="0" w:color="auto"/>
            </w:tcBorders>
          </w:tcPr>
          <w:p>
            <w:pPr/>
          </w:p>
        </w:tc>
      </w:tr>
      <w:tr>
        <w:trPr>
          <w:trHeight w:val="34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149,284,254.12</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149,284,254.12</w:t>
            </w:r>
            <w:r>
              <w:rPr>
                <w:rFonts w:ascii="Times New Roman"/>
                <w:sz w:val="21"/>
              </w:rPr>
            </w:r>
          </w:p>
        </w:tc>
      </w:tr>
      <w:tr>
        <w:trPr>
          <w:trHeight w:val="347"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149,284,254.12</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149,284,254.12</w:t>
            </w:r>
            <w:r>
              <w:rPr>
                <w:rFonts w:ascii="Times New Roman"/>
                <w:sz w:val="21"/>
              </w:rPr>
            </w:r>
          </w:p>
        </w:tc>
      </w:tr>
    </w:tbl>
    <w:p>
      <w:pPr>
        <w:pStyle w:val="BodyText"/>
        <w:spacing w:line="276" w:lineRule="exact"/>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843"/>
        <w:gridCol w:w="1889"/>
        <w:gridCol w:w="887"/>
        <w:gridCol w:w="1049"/>
        <w:gridCol w:w="954"/>
        <w:gridCol w:w="1685"/>
      </w:tblGrid>
      <w:tr>
        <w:trPr>
          <w:trHeight w:val="348" w:hRule="exact"/>
        </w:trPr>
        <w:tc>
          <w:tcPr>
            <w:tcW w:w="1843"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6463"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843" w:type="dxa"/>
            <w:vMerge/>
            <w:tcBorders>
              <w:left w:val="single" w:sz="6" w:space="0" w:color="000000"/>
              <w:right w:val="single" w:sz="6" w:space="0" w:color="000000"/>
            </w:tcBorders>
          </w:tcPr>
          <w:p>
            <w:pPr/>
          </w:p>
        </w:tc>
        <w:tc>
          <w:tcPr>
            <w:tcW w:w="1889" w:type="dxa"/>
            <w:vMerge w:val="restart"/>
            <w:tcBorders>
              <w:top w:val="single" w:sz="6" w:space="0" w:color="000000"/>
              <w:left w:val="single" w:sz="6" w:space="0" w:color="000000"/>
              <w:right w:val="single" w:sz="6" w:space="0" w:color="000000"/>
            </w:tcBorders>
          </w:tcPr>
          <w:p>
            <w:pPr>
              <w:pStyle w:val="TableParagraph"/>
              <w:spacing w:line="270" w:lineRule="exact"/>
              <w:ind w:left="30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28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0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685" w:type="dxa"/>
            <w:vMerge w:val="restart"/>
            <w:tcBorders>
              <w:top w:val="single" w:sz="6" w:space="0" w:color="000000"/>
              <w:left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7" w:hRule="exact"/>
        </w:trPr>
        <w:tc>
          <w:tcPr>
            <w:tcW w:w="1843" w:type="dxa"/>
            <w:vMerge/>
            <w:tcBorders>
              <w:left w:val="single" w:sz="6" w:space="0" w:color="000000"/>
              <w:bottom w:val="single" w:sz="6" w:space="0" w:color="000000"/>
              <w:right w:val="single" w:sz="6" w:space="0" w:color="000000"/>
            </w:tcBorders>
          </w:tcPr>
          <w:p>
            <w:pPr/>
          </w:p>
        </w:tc>
        <w:tc>
          <w:tcPr>
            <w:tcW w:w="1889" w:type="dxa"/>
            <w:vMerge/>
            <w:tcBorders>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685" w:type="dxa"/>
            <w:vMerge/>
            <w:tcBorders>
              <w:left w:val="single" w:sz="6" w:space="0" w:color="000000"/>
              <w:bottom w:val="single" w:sz="6" w:space="0" w:color="000000"/>
              <w:right w:val="nil" w:sz="6" w:space="0" w:color="auto"/>
            </w:tcBorders>
          </w:tcPr>
          <w:p>
            <w:pP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145,077,645.20</w:t>
            </w:r>
            <w:r>
              <w:rPr>
                <w:rFonts w:ascii="Times New Roman"/>
                <w:sz w:val="21"/>
              </w:rPr>
            </w:r>
          </w:p>
        </w:tc>
        <w:tc>
          <w:tcPr>
            <w:tcW w:w="887"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145,077,645.20</w:t>
            </w:r>
            <w:r>
              <w:rPr>
                <w:rFonts w:ascii="Times New Roman"/>
                <w:sz w:val="21"/>
              </w:rPr>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145,077,645.20</w:t>
            </w:r>
            <w:r>
              <w:rPr>
                <w:rFonts w:ascii="Times New Roman"/>
                <w:sz w:val="21"/>
              </w:rPr>
            </w:r>
          </w:p>
        </w:tc>
        <w:tc>
          <w:tcPr>
            <w:tcW w:w="887"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145,077,645.20</w:t>
            </w:r>
            <w:r>
              <w:rPr>
                <w:rFonts w:ascii="Times New Roman"/>
                <w:sz w:val="21"/>
              </w:rPr>
            </w:r>
          </w:p>
        </w:tc>
      </w:tr>
    </w:tbl>
    <w:p>
      <w:pPr>
        <w:pStyle w:val="BodyText"/>
        <w:spacing w:line="276" w:lineRule="exact"/>
        <w:ind w:left="57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p>
    <w:p>
      <w:pPr>
        <w:pStyle w:val="BodyText"/>
        <w:spacing w:line="273" w:lineRule="auto" w:before="21"/>
        <w:ind w:right="150" w:firstLine="420"/>
        <w:jc w:val="both"/>
      </w:pPr>
      <w:r>
        <w:rPr>
          <w:spacing w:val="-1"/>
        </w:rPr>
        <w:t>流动风险，是指企业在履行与金融负债有关的义务时遇到资金短缺的风险，其可能源于无法尽快以公</w:t>
      </w:r>
      <w:r>
        <w:rPr/>
        <w:t> </w:t>
      </w:r>
      <w:r>
        <w:rPr>
          <w:spacing w:val="-1"/>
        </w:rPr>
        <w:t>允价值售出金融资产；或者源于对方无法偿还其合同债务；或者源于提前到期的债务；或者源于无法产生</w:t>
      </w:r>
      <w:r>
        <w:rPr>
          <w:spacing w:val="-83"/>
        </w:rPr>
        <w:t> </w:t>
      </w:r>
      <w:r>
        <w:rPr>
          <w:spacing w:val="-83"/>
        </w:rPr>
      </w:r>
      <w:r>
        <w:rPr/>
        <w:t>预期的现金流量。</w:t>
      </w:r>
    </w:p>
    <w:p>
      <w:pPr>
        <w:pStyle w:val="BodyText"/>
        <w:spacing w:line="273" w:lineRule="auto" w:before="8"/>
        <w:ind w:right="150" w:firstLine="420"/>
        <w:jc w:val="both"/>
      </w:pPr>
      <w:r>
        <w:rPr>
          <w:spacing w:val="-1"/>
        </w:rPr>
        <w:t>为控制该项风险，本公司综合运用票据结算、银行借款等多种融资手段，并采取长、短期融资方式适</w:t>
      </w:r>
      <w:r>
        <w:rPr/>
        <w:t> </w:t>
      </w: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w:t>
      </w:r>
    </w:p>
    <w:p>
      <w:pPr>
        <w:pStyle w:val="BodyText"/>
        <w:spacing w:line="240" w:lineRule="auto" w:before="8"/>
        <w:ind w:left="573" w:right="0"/>
        <w:jc w:val="left"/>
      </w:pPr>
      <w:r>
        <w:rPr/>
        <w:t>金融工具按剩余到期日分类</w:t>
      </w:r>
    </w:p>
    <w:p>
      <w:pPr>
        <w:spacing w:line="240" w:lineRule="auto" w:before="1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994"/>
        <w:gridCol w:w="1559"/>
        <w:gridCol w:w="1559"/>
        <w:gridCol w:w="1418"/>
        <w:gridCol w:w="1416"/>
        <w:gridCol w:w="1361"/>
      </w:tblGrid>
      <w:tr>
        <w:trPr>
          <w:trHeight w:val="347"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2"/>
              <w:ind w:left="221" w:right="0"/>
              <w:jc w:val="left"/>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57"/>
                <w:sz w:val="19"/>
                <w:szCs w:val="19"/>
              </w:rPr>
              <w:t> </w:t>
            </w:r>
            <w:r>
              <w:rPr>
                <w:rFonts w:ascii="宋体" w:hAnsi="宋体" w:cs="宋体" w:eastAsia="宋体" w:hint="default"/>
                <w:sz w:val="19"/>
                <w:szCs w:val="19"/>
              </w:rPr>
              <w:t>目</w:t>
            </w:r>
          </w:p>
        </w:tc>
        <w:tc>
          <w:tcPr>
            <w:tcW w:w="731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宋体" w:hAnsi="宋体" w:cs="宋体" w:eastAsia="宋体" w:hint="default"/>
                <w:sz w:val="19"/>
                <w:szCs w:val="19"/>
              </w:rPr>
            </w:pPr>
            <w:r>
              <w:rPr>
                <w:rFonts w:ascii="宋体" w:hAnsi="宋体" w:cs="宋体" w:eastAsia="宋体" w:hint="default"/>
                <w:sz w:val="19"/>
                <w:szCs w:val="19"/>
              </w:rPr>
              <w:t>期末数</w:t>
            </w:r>
          </w:p>
        </w:tc>
      </w:tr>
      <w:tr>
        <w:trPr>
          <w:trHeight w:val="347" w:hRule="exact"/>
        </w:trPr>
        <w:tc>
          <w:tcPr>
            <w:tcW w:w="994"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91" w:right="0"/>
              <w:jc w:val="left"/>
              <w:rPr>
                <w:rFonts w:ascii="宋体" w:hAnsi="宋体" w:cs="宋体" w:eastAsia="宋体" w:hint="default"/>
                <w:sz w:val="19"/>
                <w:szCs w:val="19"/>
              </w:rPr>
            </w:pPr>
            <w:r>
              <w:rPr>
                <w:rFonts w:ascii="宋体" w:hAnsi="宋体" w:cs="宋体" w:eastAsia="宋体" w:hint="default"/>
                <w:sz w:val="19"/>
                <w:szCs w:val="19"/>
              </w:rPr>
              <w:t>账面价值</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6" w:right="0"/>
              <w:jc w:val="left"/>
              <w:rPr>
                <w:rFonts w:ascii="宋体" w:hAnsi="宋体" w:cs="宋体" w:eastAsia="宋体" w:hint="default"/>
                <w:sz w:val="19"/>
                <w:szCs w:val="19"/>
              </w:rPr>
            </w:pPr>
            <w:r>
              <w:rPr>
                <w:rFonts w:ascii="宋体" w:hAnsi="宋体" w:cs="宋体" w:eastAsia="宋体" w:hint="default"/>
                <w:sz w:val="19"/>
                <w:szCs w:val="19"/>
              </w:rPr>
              <w:t>未折现合同金额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6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sz w:val="19"/>
                <w:szCs w:val="19"/>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Times New Roman" w:hAnsi="Times New Roman" w:cs="Times New Roman" w:eastAsia="Times New Roman" w:hint="default"/>
                <w:sz w:val="19"/>
                <w:szCs w:val="19"/>
              </w:rPr>
              <w:t>1-3</w:t>
            </w:r>
            <w:r>
              <w:rPr>
                <w:rFonts w:ascii="宋体" w:hAnsi="宋体" w:cs="宋体" w:eastAsia="宋体" w:hint="default"/>
                <w:sz w:val="19"/>
                <w:szCs w:val="19"/>
              </w:rPr>
              <w:t>年</w:t>
            </w:r>
          </w:p>
        </w:tc>
        <w:tc>
          <w:tcPr>
            <w:tcW w:w="13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left="34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3</w:t>
            </w:r>
            <w:r>
              <w:rPr>
                <w:rFonts w:ascii="宋体" w:hAnsi="宋体" w:cs="宋体" w:eastAsia="宋体" w:hint="default"/>
                <w:sz w:val="19"/>
                <w:szCs w:val="19"/>
              </w:rPr>
              <w:t>年以上</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9"/>
                <w:szCs w:val="19"/>
              </w:rPr>
            </w:pPr>
            <w:r>
              <w:rPr>
                <w:rFonts w:ascii="宋体" w:hAnsi="宋体" w:cs="宋体" w:eastAsia="宋体" w:hint="default"/>
                <w:sz w:val="19"/>
                <w:szCs w:val="19"/>
              </w:rPr>
              <w:t>金融负债</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62"/>
              <w:jc w:val="right"/>
              <w:rPr>
                <w:rFonts w:ascii="宋体" w:hAnsi="宋体" w:cs="宋体" w:eastAsia="宋体" w:hint="default"/>
                <w:sz w:val="19"/>
                <w:szCs w:val="19"/>
              </w:rPr>
            </w:pPr>
            <w:r>
              <w:rPr>
                <w:rFonts w:ascii="宋体" w:hAnsi="宋体" w:cs="宋体" w:eastAsia="宋体" w:hint="default"/>
                <w:w w:val="95"/>
                <w:sz w:val="19"/>
                <w:szCs w:val="19"/>
              </w:rPr>
              <w:t>银行借款</w:t>
            </w:r>
            <w:r>
              <w:rPr>
                <w:rFonts w:ascii="宋体" w:hAnsi="宋体" w:cs="宋体" w:eastAsia="宋体" w:hint="default"/>
                <w:sz w:val="19"/>
                <w:szCs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314,565,098.50</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right"/>
              <w:rPr>
                <w:rFonts w:ascii="Times New Roman" w:hAnsi="Times New Roman" w:cs="Times New Roman" w:eastAsia="Times New Roman" w:hint="default"/>
                <w:sz w:val="19"/>
                <w:szCs w:val="19"/>
              </w:rPr>
            </w:pPr>
            <w:r>
              <w:rPr>
                <w:rFonts w:ascii="Times New Roman"/>
                <w:w w:val="95"/>
                <w:sz w:val="19"/>
              </w:rPr>
              <w:t>330,207,715.91</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225,704,382.58</w:t>
            </w:r>
            <w:r>
              <w:rPr>
                <w:rFonts w:ascii="Times New Roman"/>
                <w:sz w:val="19"/>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104,503,333.33</w:t>
            </w:r>
            <w:r>
              <w:rPr>
                <w:rFonts w:ascii="Times New Roman"/>
                <w:sz w:val="19"/>
              </w:rPr>
            </w:r>
          </w:p>
        </w:tc>
        <w:tc>
          <w:tcPr>
            <w:tcW w:w="136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62"/>
              <w:jc w:val="right"/>
              <w:rPr>
                <w:rFonts w:ascii="宋体" w:hAnsi="宋体" w:cs="宋体" w:eastAsia="宋体" w:hint="default"/>
                <w:sz w:val="19"/>
                <w:szCs w:val="19"/>
              </w:rPr>
            </w:pPr>
            <w:r>
              <w:rPr>
                <w:rFonts w:ascii="宋体" w:hAnsi="宋体" w:cs="宋体" w:eastAsia="宋体" w:hint="default"/>
                <w:w w:val="95"/>
                <w:sz w:val="19"/>
                <w:szCs w:val="19"/>
              </w:rPr>
              <w:t>应付票据</w:t>
            </w:r>
            <w:r>
              <w:rPr>
                <w:rFonts w:ascii="宋体" w:hAnsi="宋体" w:cs="宋体" w:eastAsia="宋体" w:hint="default"/>
                <w:sz w:val="19"/>
                <w:szCs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163,817,791.24</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163,817,791.24</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163,817,791.24</w:t>
            </w:r>
            <w:r>
              <w:rPr>
                <w:rFonts w:ascii="Times New Roman"/>
                <w:sz w:val="19"/>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62"/>
              <w:jc w:val="right"/>
              <w:rPr>
                <w:rFonts w:ascii="宋体" w:hAnsi="宋体" w:cs="宋体" w:eastAsia="宋体" w:hint="default"/>
                <w:sz w:val="19"/>
                <w:szCs w:val="19"/>
              </w:rPr>
            </w:pPr>
            <w:r>
              <w:rPr>
                <w:rFonts w:ascii="宋体" w:hAnsi="宋体" w:cs="宋体" w:eastAsia="宋体" w:hint="default"/>
                <w:w w:val="95"/>
                <w:sz w:val="19"/>
                <w:szCs w:val="19"/>
              </w:rPr>
              <w:t>应付债券</w:t>
            </w:r>
            <w:r>
              <w:rPr>
                <w:rFonts w:ascii="宋体" w:hAnsi="宋体" w:cs="宋体" w:eastAsia="宋体" w:hint="default"/>
                <w:sz w:val="19"/>
                <w:szCs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600,000,000.00</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708,560,000.00</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9"/>
                <w:szCs w:val="19"/>
              </w:rPr>
            </w:pPr>
            <w:r>
              <w:rPr>
                <w:rFonts w:ascii="Times New Roman"/>
                <w:w w:val="95"/>
                <w:sz w:val="19"/>
              </w:rPr>
              <w:t>708,560,000.00</w:t>
            </w:r>
            <w:r>
              <w:rPr>
                <w:rFonts w:ascii="Times New Roman"/>
                <w:sz w:val="19"/>
              </w:rPr>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2"/>
              <w:jc w:val="right"/>
              <w:rPr>
                <w:rFonts w:ascii="宋体" w:hAnsi="宋体" w:cs="宋体" w:eastAsia="宋体" w:hint="default"/>
                <w:sz w:val="19"/>
                <w:szCs w:val="19"/>
              </w:rPr>
            </w:pPr>
            <w:r>
              <w:rPr>
                <w:rFonts w:ascii="宋体" w:hAnsi="宋体" w:cs="宋体" w:eastAsia="宋体" w:hint="default"/>
                <w:w w:val="95"/>
                <w:sz w:val="19"/>
                <w:szCs w:val="19"/>
              </w:rPr>
              <w:t>应付账款</w:t>
            </w:r>
            <w:r>
              <w:rPr>
                <w:rFonts w:ascii="宋体" w:hAnsi="宋体" w:cs="宋体" w:eastAsia="宋体" w:hint="default"/>
                <w:sz w:val="19"/>
                <w:szCs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9"/>
                <w:szCs w:val="19"/>
              </w:rPr>
            </w:pPr>
            <w:r>
              <w:rPr>
                <w:rFonts w:ascii="Times New Roman"/>
                <w:w w:val="95"/>
                <w:sz w:val="19"/>
              </w:rPr>
              <w:t>342,255,071.13</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9"/>
                <w:szCs w:val="19"/>
              </w:rPr>
            </w:pPr>
            <w:r>
              <w:rPr>
                <w:rFonts w:ascii="Times New Roman"/>
                <w:w w:val="95"/>
                <w:sz w:val="19"/>
              </w:rPr>
              <w:t>342,255,071.13</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9"/>
                <w:szCs w:val="19"/>
              </w:rPr>
            </w:pPr>
            <w:r>
              <w:rPr>
                <w:rFonts w:ascii="Times New Roman"/>
                <w:w w:val="95"/>
                <w:sz w:val="19"/>
              </w:rPr>
              <w:t>342,255,071.13</w:t>
            </w:r>
            <w:r>
              <w:rPr>
                <w:rFonts w:ascii="Times New Roman"/>
                <w:sz w:val="19"/>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62"/>
              <w:jc w:val="right"/>
              <w:rPr>
                <w:rFonts w:ascii="宋体" w:hAnsi="宋体" w:cs="宋体" w:eastAsia="宋体" w:hint="default"/>
                <w:sz w:val="19"/>
                <w:szCs w:val="19"/>
              </w:rPr>
            </w:pPr>
            <w:r>
              <w:rPr>
                <w:rFonts w:ascii="宋体" w:hAnsi="宋体" w:cs="宋体" w:eastAsia="宋体" w:hint="default"/>
                <w:w w:val="95"/>
                <w:sz w:val="19"/>
                <w:szCs w:val="19"/>
              </w:rPr>
              <w:t>应付利息</w:t>
            </w:r>
            <w:r>
              <w:rPr>
                <w:rFonts w:ascii="宋体" w:hAnsi="宋体" w:cs="宋体" w:eastAsia="宋体" w:hint="default"/>
                <w:sz w:val="19"/>
                <w:szCs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37,476,121.77</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37,476,121.77</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37,476,121.77</w:t>
            </w:r>
            <w:r>
              <w:rPr>
                <w:rFonts w:ascii="Times New Roman"/>
                <w:sz w:val="19"/>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3"/>
              <w:ind w:left="2" w:right="62" w:firstLine="153"/>
              <w:jc w:val="left"/>
              <w:rPr>
                <w:rFonts w:ascii="宋体" w:hAnsi="宋体" w:cs="宋体" w:eastAsia="宋体" w:hint="default"/>
                <w:sz w:val="19"/>
                <w:szCs w:val="19"/>
              </w:rPr>
            </w:pPr>
            <w:r>
              <w:rPr>
                <w:rFonts w:ascii="宋体" w:hAnsi="宋体" w:cs="宋体" w:eastAsia="宋体" w:hint="default"/>
                <w:sz w:val="19"/>
                <w:szCs w:val="19"/>
              </w:rPr>
              <w:t>其他应付</w:t>
            </w:r>
            <w:r>
              <w:rPr>
                <w:rFonts w:ascii="宋体" w:hAnsi="宋体" w:cs="宋体" w:eastAsia="宋体" w:hint="default"/>
                <w:w w:val="99"/>
                <w:sz w:val="19"/>
                <w:szCs w:val="19"/>
              </w:rPr>
              <w:t> </w:t>
            </w:r>
            <w:r>
              <w:rPr>
                <w:rFonts w:ascii="宋体" w:hAnsi="宋体" w:cs="宋体" w:eastAsia="宋体" w:hint="default"/>
                <w:sz w:val="19"/>
                <w:szCs w:val="19"/>
              </w:rPr>
              <w:t>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15,209,630.46</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15,209,630.46</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15,209,630.46</w:t>
            </w:r>
            <w:r>
              <w:rPr>
                <w:rFonts w:ascii="Times New Roman"/>
                <w:sz w:val="19"/>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21" w:right="0"/>
              <w:jc w:val="left"/>
              <w:rPr>
                <w:rFonts w:ascii="宋体" w:hAnsi="宋体" w:cs="宋体" w:eastAsia="宋体" w:hint="default"/>
                <w:sz w:val="19"/>
                <w:szCs w:val="19"/>
              </w:rPr>
            </w:pPr>
            <w:r>
              <w:rPr>
                <w:rFonts w:ascii="宋体" w:hAnsi="宋体" w:cs="宋体" w:eastAsia="宋体" w:hint="default"/>
                <w:sz w:val="19"/>
                <w:szCs w:val="19"/>
              </w:rPr>
              <w:t>小</w:t>
            </w:r>
            <w:r>
              <w:rPr>
                <w:rFonts w:ascii="宋体" w:hAnsi="宋体" w:cs="宋体" w:eastAsia="宋体" w:hint="default"/>
                <w:spacing w:val="57"/>
                <w:sz w:val="19"/>
                <w:szCs w:val="19"/>
              </w:rPr>
              <w:t> </w:t>
            </w:r>
            <w:r>
              <w:rPr>
                <w:rFonts w:ascii="宋体" w:hAnsi="宋体" w:cs="宋体" w:eastAsia="宋体" w:hint="default"/>
                <w:sz w:val="19"/>
                <w:szCs w:val="19"/>
              </w:rPr>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1,473,323,713.10</w:t>
            </w:r>
            <w:r>
              <w:rPr>
                <w:rFonts w:ascii="Times New Roman"/>
                <w:sz w:val="19"/>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1,597,526,330.51</w:t>
            </w:r>
            <w:r>
              <w:rPr>
                <w:rFonts w:ascii="Times New Roman"/>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9"/>
                <w:szCs w:val="19"/>
              </w:rPr>
            </w:pPr>
            <w:r>
              <w:rPr>
                <w:rFonts w:ascii="Times New Roman"/>
                <w:w w:val="95"/>
                <w:sz w:val="19"/>
              </w:rPr>
              <w:t>784,462,997.18</w:t>
            </w:r>
            <w:r>
              <w:rPr>
                <w:rFonts w:ascii="Times New Roman"/>
                <w:sz w:val="19"/>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9"/>
                <w:szCs w:val="19"/>
              </w:rPr>
            </w:pPr>
            <w:r>
              <w:rPr>
                <w:rFonts w:ascii="Times New Roman"/>
                <w:w w:val="95"/>
                <w:sz w:val="19"/>
              </w:rPr>
              <w:t>104,503,333.33</w:t>
            </w:r>
            <w:r>
              <w:rPr>
                <w:rFonts w:ascii="Times New Roman"/>
                <w:sz w:val="19"/>
              </w:rPr>
            </w:r>
          </w:p>
        </w:tc>
        <w:tc>
          <w:tcPr>
            <w:tcW w:w="13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9"/>
                <w:szCs w:val="19"/>
              </w:rPr>
            </w:pPr>
            <w:r>
              <w:rPr>
                <w:rFonts w:ascii="Times New Roman"/>
                <w:w w:val="95"/>
                <w:sz w:val="19"/>
              </w:rPr>
              <w:t>708,560,000.00</w:t>
            </w:r>
            <w:r>
              <w:rPr>
                <w:rFonts w:ascii="Times New Roman"/>
                <w:sz w:val="19"/>
              </w:rPr>
            </w:r>
          </w:p>
        </w:tc>
      </w:tr>
    </w:tbl>
    <w:p>
      <w:pPr>
        <w:pStyle w:val="BodyText"/>
        <w:spacing w:line="276" w:lineRule="exact"/>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35"/>
        <w:gridCol w:w="1700"/>
        <w:gridCol w:w="1699"/>
        <w:gridCol w:w="1703"/>
        <w:gridCol w:w="592"/>
        <w:gridCol w:w="1477"/>
      </w:tblGrid>
      <w:tr>
        <w:trPr>
          <w:trHeight w:val="347" w:hRule="exact"/>
        </w:trPr>
        <w:tc>
          <w:tcPr>
            <w:tcW w:w="1135" w:type="dxa"/>
            <w:vMerge w:val="restart"/>
            <w:tcBorders>
              <w:top w:val="single" w:sz="6" w:space="0" w:color="000000"/>
              <w:left w:val="single" w:sz="6" w:space="0" w:color="000000"/>
              <w:right w:val="single" w:sz="6" w:space="0" w:color="000000"/>
            </w:tcBorders>
          </w:tcPr>
          <w:p>
            <w:pPr>
              <w:pStyle w:val="TableParagraph"/>
              <w:spacing w:line="271" w:lineRule="exact"/>
              <w:ind w:left="26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71"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135"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477"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3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08"/>
              <w:jc w:val="right"/>
              <w:rPr>
                <w:rFonts w:ascii="宋体" w:hAnsi="宋体" w:cs="宋体" w:eastAsia="宋体" w:hint="default"/>
                <w:sz w:val="21"/>
                <w:szCs w:val="21"/>
              </w:rPr>
            </w:pPr>
            <w:r>
              <w:rPr>
                <w:rFonts w:ascii="宋体" w:hAnsi="宋体" w:cs="宋体" w:eastAsia="宋体" w:hint="default"/>
                <w:sz w:val="21"/>
                <w:szCs w:val="21"/>
              </w:rPr>
              <w:t>银行借款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1" w:right="0"/>
              <w:jc w:val="left"/>
              <w:rPr>
                <w:rFonts w:ascii="Times New Roman" w:hAnsi="Times New Roman" w:cs="Times New Roman" w:eastAsia="Times New Roman" w:hint="default"/>
                <w:sz w:val="21"/>
                <w:szCs w:val="21"/>
              </w:rPr>
            </w:pPr>
            <w:r>
              <w:rPr>
                <w:rFonts w:ascii="Times New Roman"/>
                <w:sz w:val="21"/>
              </w:rPr>
              <w:t>275,030,000.00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288,766,592.18</w:t>
            </w:r>
            <w:r>
              <w:rPr>
                <w:rFonts w:ascii="Times New Roman"/>
                <w:sz w:val="21"/>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288,766,592.18</w:t>
            </w:r>
            <w:r>
              <w:rPr>
                <w:rFonts w:ascii="Times New Roman"/>
                <w:sz w:val="21"/>
              </w:rPr>
            </w: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8"/>
              <w:jc w:val="right"/>
              <w:rPr>
                <w:rFonts w:ascii="宋体" w:hAnsi="宋体" w:cs="宋体" w:eastAsia="宋体" w:hint="default"/>
                <w:sz w:val="21"/>
                <w:szCs w:val="21"/>
              </w:rPr>
            </w:pPr>
            <w:r>
              <w:rPr>
                <w:rFonts w:ascii="宋体" w:hAnsi="宋体" w:cs="宋体" w:eastAsia="宋体" w:hint="default"/>
                <w:sz w:val="21"/>
                <w:szCs w:val="21"/>
              </w:rPr>
              <w:t>应付票据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1" w:right="0"/>
              <w:jc w:val="left"/>
              <w:rPr>
                <w:rFonts w:ascii="Times New Roman" w:hAnsi="Times New Roman" w:cs="Times New Roman" w:eastAsia="Times New Roman" w:hint="default"/>
                <w:sz w:val="21"/>
                <w:szCs w:val="21"/>
              </w:rPr>
            </w:pPr>
            <w:r>
              <w:rPr>
                <w:rFonts w:ascii="Times New Roman"/>
                <w:sz w:val="21"/>
              </w:rPr>
              <w:t>346,231,584.07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346,231,584.07</w:t>
            </w:r>
            <w:r>
              <w:rPr>
                <w:rFonts w:ascii="Times New Roman"/>
                <w:sz w:val="21"/>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346,231,584.07</w:t>
            </w:r>
            <w:r>
              <w:rPr>
                <w:rFonts w:ascii="Times New Roman"/>
                <w:sz w:val="21"/>
              </w:rPr>
            </w: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08"/>
              <w:jc w:val="right"/>
              <w:rPr>
                <w:rFonts w:ascii="宋体" w:hAnsi="宋体" w:cs="宋体" w:eastAsia="宋体" w:hint="default"/>
                <w:sz w:val="21"/>
                <w:szCs w:val="21"/>
              </w:rPr>
            </w:pPr>
            <w:r>
              <w:rPr>
                <w:rFonts w:ascii="宋体" w:hAnsi="宋体" w:cs="宋体" w:eastAsia="宋体" w:hint="default"/>
                <w:sz w:val="21"/>
                <w:szCs w:val="21"/>
              </w:rPr>
              <w:t>应付债券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1" w:right="0"/>
              <w:jc w:val="left"/>
              <w:rPr>
                <w:rFonts w:ascii="Times New Roman" w:hAnsi="Times New Roman" w:cs="Times New Roman" w:eastAsia="Times New Roman" w:hint="default"/>
                <w:sz w:val="21"/>
                <w:szCs w:val="21"/>
              </w:rPr>
            </w:pPr>
            <w:r>
              <w:rPr>
                <w:rFonts w:ascii="Times New Roman"/>
                <w:sz w:val="21"/>
              </w:rPr>
              <w:t>600,000,000.00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745,533,333.33</w:t>
            </w:r>
            <w:r>
              <w:rPr>
                <w:rFonts w:ascii="Times New Roman"/>
                <w:sz w:val="21"/>
              </w:rPr>
            </w:r>
          </w:p>
        </w:tc>
        <w:tc>
          <w:tcPr>
            <w:tcW w:w="1703" w:type="dxa"/>
            <w:tcBorders>
              <w:top w:val="single" w:sz="6" w:space="0" w:color="000000"/>
              <w:left w:val="single" w:sz="6" w:space="0" w:color="000000"/>
              <w:bottom w:val="single" w:sz="6" w:space="0" w:color="000000"/>
              <w:right w:val="single" w:sz="6" w:space="0" w:color="000000"/>
            </w:tcBorders>
          </w:tcPr>
          <w:p>
            <w:pP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1" w:right="0"/>
              <w:jc w:val="left"/>
              <w:rPr>
                <w:rFonts w:ascii="Times New Roman" w:hAnsi="Times New Roman" w:cs="Times New Roman" w:eastAsia="Times New Roman" w:hint="default"/>
                <w:sz w:val="21"/>
                <w:szCs w:val="21"/>
              </w:rPr>
            </w:pPr>
            <w:r>
              <w:rPr>
                <w:rFonts w:ascii="Times New Roman"/>
                <w:sz w:val="21"/>
              </w:rPr>
              <w:t>745,533,333.33</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6"/>
              <w:jc w:val="right"/>
              <w:rPr>
                <w:rFonts w:ascii="宋体" w:hAnsi="宋体" w:cs="宋体" w:eastAsia="宋体" w:hint="default"/>
                <w:sz w:val="21"/>
                <w:szCs w:val="21"/>
              </w:rPr>
            </w:pPr>
            <w:r>
              <w:rPr>
                <w:rFonts w:ascii="宋体" w:hAnsi="宋体" w:cs="宋体" w:eastAsia="宋体" w:hint="default"/>
                <w:sz w:val="21"/>
                <w:szCs w:val="21"/>
              </w:rPr>
              <w:t>应付账款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1" w:right="0"/>
              <w:jc w:val="left"/>
              <w:rPr>
                <w:rFonts w:ascii="Times New Roman" w:hAnsi="Times New Roman" w:cs="Times New Roman" w:eastAsia="Times New Roman" w:hint="default"/>
                <w:sz w:val="21"/>
                <w:szCs w:val="21"/>
              </w:rPr>
            </w:pPr>
            <w:r>
              <w:rPr>
                <w:rFonts w:ascii="Times New Roman"/>
                <w:sz w:val="21"/>
              </w:rPr>
              <w:t>453,052,043.01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453,052,043.01</w:t>
            </w:r>
            <w:r>
              <w:rPr>
                <w:rFonts w:ascii="Times New Roman"/>
                <w:sz w:val="21"/>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453,052,043.01</w:t>
            </w:r>
            <w:r>
              <w:rPr>
                <w:rFonts w:ascii="Times New Roman"/>
                <w:sz w:val="21"/>
              </w:rPr>
            </w: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135"/>
        <w:gridCol w:w="1700"/>
        <w:gridCol w:w="1699"/>
        <w:gridCol w:w="1703"/>
        <w:gridCol w:w="592"/>
        <w:gridCol w:w="1477"/>
      </w:tblGrid>
      <w:tr>
        <w:trPr>
          <w:trHeight w:val="34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6"/>
              <w:jc w:val="right"/>
              <w:rPr>
                <w:rFonts w:ascii="宋体" w:hAnsi="宋体" w:cs="宋体" w:eastAsia="宋体" w:hint="default"/>
                <w:sz w:val="21"/>
                <w:szCs w:val="21"/>
              </w:rPr>
            </w:pPr>
            <w:r>
              <w:rPr>
                <w:rFonts w:ascii="宋体" w:hAnsi="宋体" w:cs="宋体" w:eastAsia="宋体" w:hint="default"/>
                <w:sz w:val="21"/>
                <w:szCs w:val="21"/>
              </w:rPr>
              <w:t>应付利息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34,766,136.99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34,766,136.99</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34,766,136.99</w:t>
            </w: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6"/>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9,378,262.30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9,378,262.30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9,378,262.30</w:t>
            </w: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4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1,718,458,026.37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1,877,727,951.88</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1,132,194,618.55</w:t>
            </w:r>
          </w:p>
        </w:tc>
        <w:tc>
          <w:tcPr>
            <w:tcW w:w="59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147" w:right="0"/>
              <w:jc w:val="left"/>
              <w:rPr>
                <w:rFonts w:ascii="Times New Roman" w:hAnsi="Times New Roman" w:cs="Times New Roman" w:eastAsia="Times New Roman" w:hint="default"/>
                <w:sz w:val="21"/>
                <w:szCs w:val="21"/>
              </w:rPr>
            </w:pPr>
            <w:r>
              <w:rPr>
                <w:rFonts w:ascii="Times New Roman"/>
                <w:sz w:val="21"/>
              </w:rPr>
              <w:t>745,533,333.33</w:t>
            </w:r>
          </w:p>
        </w:tc>
      </w:tr>
    </w:tbl>
    <w:p>
      <w:pPr>
        <w:pStyle w:val="BodyText"/>
        <w:spacing w:line="276" w:lineRule="exact"/>
        <w:ind w:left="57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p>
    <w:p>
      <w:pPr>
        <w:pStyle w:val="BodyText"/>
        <w:spacing w:line="273" w:lineRule="auto" w:before="21"/>
        <w:ind w:right="0" w:firstLine="420"/>
        <w:jc w:val="left"/>
      </w:pPr>
      <w:r>
        <w:rPr>
          <w:spacing w:val="-1"/>
        </w:rPr>
        <w:t>市场风险，是指金融工具的公允价值或未来现金流量因市场价格变动而发生波动的风险。市场风险主</w:t>
      </w:r>
      <w:r>
        <w:rPr/>
        <w:t> 要包括利率风险和外汇风险。</w:t>
      </w:r>
    </w:p>
    <w:p>
      <w:pPr>
        <w:pStyle w:val="BodyText"/>
        <w:spacing w:line="256" w:lineRule="auto" w:before="8"/>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利率风险 </w:t>
      </w:r>
      <w:r>
        <w:rPr>
          <w:spacing w:val="-1"/>
        </w:rPr>
        <w:t>利率风险，是指金融工具的公允价值或未来现金流量因市场利率变动而发生波动的风险。本公司面临</w:t>
      </w:r>
    </w:p>
    <w:p>
      <w:pPr>
        <w:pStyle w:val="BodyText"/>
        <w:spacing w:line="273" w:lineRule="auto" w:before="22"/>
        <w:ind w:left="573" w:right="531" w:hanging="420"/>
        <w:jc w:val="left"/>
      </w:pPr>
      <w:r>
        <w:rPr/>
        <w:t>的市场利率变动的风险主要与本公司以浮动利率计息的借款有关。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日，本公司以同期同档次国家基准利率上浮一定百分比的利率计息的银行借款</w:t>
      </w:r>
    </w:p>
    <w:p>
      <w:pPr>
        <w:pStyle w:val="BodyText"/>
        <w:spacing w:line="280" w:lineRule="exact"/>
        <w:ind w:right="0"/>
        <w:jc w:val="left"/>
      </w:pPr>
      <w:r>
        <w:rPr>
          <w:rFonts w:ascii="Times New Roman" w:hAnsi="Times New Roman" w:cs="Times New Roman" w:eastAsia="Times New Roman" w:hint="default"/>
        </w:rPr>
        <w:t>314,565,098.50</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275,030,000.00</w:t>
      </w:r>
      <w:r>
        <w:rPr/>
        <w:t>元</w:t>
      </w:r>
      <w:r>
        <w:rPr>
          <w:rFonts w:ascii="Times New Roman" w:hAnsi="Times New Roman" w:cs="Times New Roman" w:eastAsia="Times New Roman" w:hint="default"/>
        </w:rPr>
        <w:t>)</w:t>
      </w:r>
      <w:r>
        <w:rPr/>
        <w:t>，在其他变量不变的假设下，利率发生合理、可能的</w:t>
      </w:r>
    </w:p>
    <w:p>
      <w:pPr>
        <w:pStyle w:val="BodyText"/>
        <w:spacing w:line="240" w:lineRule="auto" w:before="21"/>
        <w:ind w:right="0"/>
        <w:jc w:val="left"/>
      </w:pPr>
      <w:r>
        <w:rPr>
          <w:rFonts w:ascii="Times New Roman" w:hAnsi="Times New Roman" w:cs="Times New Roman" w:eastAsia="Times New Roman" w:hint="default"/>
        </w:rPr>
        <w:t>50%</w:t>
      </w:r>
      <w:r>
        <w:rPr/>
        <w:t>基准点的变动时，将不会对本公司的利润总额和股东权益产生重大的影响。</w:t>
      </w:r>
    </w:p>
    <w:p>
      <w:pPr>
        <w:spacing w:line="487" w:lineRule="auto" w:before="21"/>
        <w:ind w:left="154" w:right="608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外汇风险 </w:t>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、本企业的控股股东及实际控制人情况</w:t>
      </w:r>
      <w:r>
        <w:rPr>
          <w:rFonts w:ascii="宋体" w:hAnsi="宋体" w:cs="宋体" w:eastAsia="宋体" w:hint="default"/>
          <w:sz w:val="21"/>
          <w:szCs w:val="21"/>
        </w:rPr>
      </w:r>
    </w:p>
    <w:p>
      <w:pPr>
        <w:pStyle w:val="BodyText"/>
        <w:spacing w:line="256" w:lineRule="auto" w:before="81"/>
        <w:ind w:right="140" w:firstLine="420"/>
        <w:jc w:val="left"/>
      </w:pPr>
      <w:r>
        <w:rPr>
          <w:spacing w:val="-1"/>
        </w:rPr>
        <w:t>本公司的实际控制人为左强、崔京涛、厉伟，其中左强直接持股</w:t>
      </w:r>
      <w:r>
        <w:rPr>
          <w:rFonts w:ascii="Times New Roman" w:hAnsi="Times New Roman" w:cs="Times New Roman" w:eastAsia="Times New Roman" w:hint="default"/>
          <w:spacing w:val="-1"/>
        </w:rPr>
        <w:t>11.62%</w:t>
      </w:r>
      <w:r>
        <w:rPr>
          <w:spacing w:val="-1"/>
        </w:rPr>
        <w:t>、崔京涛、厉伟通过深圳市深</w:t>
      </w:r>
      <w:r>
        <w:rPr/>
        <w:t> 港产学研创业投资有限公司间接持股</w:t>
      </w:r>
      <w:r>
        <w:rPr>
          <w:rFonts w:ascii="Times New Roman" w:hAnsi="Times New Roman" w:cs="Times New Roman" w:eastAsia="Times New Roman" w:hint="default"/>
        </w:rPr>
        <w:t>14.70%</w:t>
      </w:r>
      <w:r>
        <w:rPr/>
        <w:t>。</w:t>
      </w:r>
    </w:p>
    <w:p>
      <w:pPr>
        <w:spacing w:line="240" w:lineRule="auto" w:before="5"/>
        <w:rPr>
          <w:rFonts w:ascii="宋体" w:hAnsi="宋体" w:cs="宋体" w:eastAsia="宋体" w:hint="default"/>
          <w:sz w:val="23"/>
          <w:szCs w:val="23"/>
        </w:rPr>
      </w:pPr>
    </w:p>
    <w:p>
      <w:pPr>
        <w:spacing w:line="506" w:lineRule="auto" w:before="0"/>
        <w:ind w:left="154" w:right="5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64"/>
        <w:ind w:left="154" w:right="0"/>
        <w:jc w:val="left"/>
      </w:pPr>
      <w:r>
        <w:rPr/>
        <w:t>本企业重要的合营或联营企业详见附注</w:t>
      </w:r>
      <w:r>
        <w:rPr>
          <w:spacing w:val="-54"/>
        </w:rPr>
        <w:t> </w:t>
      </w:r>
      <w:r>
        <w:rPr>
          <w:rFonts w:ascii="Times New Roman" w:hAnsi="Times New Roman" w:cs="Times New Roman" w:eastAsia="Times New Roman" w:hint="default"/>
        </w:rPr>
        <w:t>9.3</w:t>
      </w:r>
      <w:r>
        <w:rPr/>
        <w:t>。</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山东荣信汇盛机电科技有限公司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1,537,200.00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3,586,800.00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1" w:right="0"/>
              <w:jc w:val="left"/>
              <w:rPr>
                <w:rFonts w:ascii="Times New Roman" w:hAnsi="Times New Roman" w:cs="Times New Roman" w:eastAsia="Times New Roman" w:hint="default"/>
                <w:sz w:val="18"/>
                <w:szCs w:val="18"/>
              </w:rPr>
            </w:pPr>
            <w:r>
              <w:rPr>
                <w:rFonts w:ascii="Times New Roman"/>
                <w:sz w:val="18"/>
              </w:rPr>
              <w:t>16,925,513.89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7,380,598.29</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山东荣信汇盛机电科技有限公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电能质量与电力安全产品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564,102.56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本公司关键管理人员报酬总额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1,798,850.00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20,460,576.57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1,023,028.83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5,712,052.52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285,602.63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山东荣信汇盛机电 科技有限公司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15,828.00</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十二、承诺及或有事项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368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截至资产负债表日，本公司不存在需要披露的重大承诺事项。</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08" w:lineRule="auto" w:before="35"/>
        <w:ind w:left="154" w:right="4665"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pStyle w:val="Heading3"/>
        <w:spacing w:line="240" w:lineRule="auto" w:before="54"/>
        <w:ind w:right="102"/>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vMerge/>
            <w:tcBorders>
              <w:left w:val="single" w:sz="4" w:space="0" w:color="000000"/>
              <w:right w:val="single" w:sz="4" w:space="0" w:color="000000"/>
            </w:tcBorders>
            <w:shd w:val="clear" w:color="auto" w:fill="D3D3D3"/>
          </w:tcPr>
          <w:p>
            <w:pPr/>
          </w:p>
        </w:tc>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2494" w:type="dxa"/>
            <w:vMerge w:val="restart"/>
            <w:tcBorders>
              <w:top w:val="single" w:sz="4" w:space="0" w:color="000000"/>
              <w:left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37"/>
              <w:jc w:val="center"/>
              <w:rPr>
                <w:rFonts w:ascii="Times New Roman" w:hAnsi="Times New Roman" w:cs="Times New Roman" w:eastAsia="Times New Roman" w:hint="default"/>
                <w:sz w:val="18"/>
                <w:szCs w:val="18"/>
              </w:rPr>
            </w:pPr>
            <w:r>
              <w:rPr>
                <w:rFonts w:ascii="宋体" w:hAnsi="宋体" w:cs="宋体" w:eastAsia="宋体" w:hint="default"/>
                <w:sz w:val="18"/>
                <w:szCs w:val="18"/>
              </w:rPr>
              <w:t>根据本公司与西门子</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p>
        </w:tc>
        <w:tc>
          <w:tcPr>
            <w:tcW w:w="2390" w:type="dxa"/>
            <w:vMerge w:val="restart"/>
            <w:tcBorders>
              <w:top w:val="single" w:sz="4" w:space="0" w:color="000000"/>
              <w:left w:val="single" w:sz="4" w:space="0" w:color="000000"/>
              <w:right w:val="single" w:sz="4" w:space="0" w:color="000000"/>
            </w:tcBorders>
          </w:tcPr>
          <w:p>
            <w:pPr/>
          </w:p>
        </w:tc>
        <w:tc>
          <w:tcPr>
            <w:tcW w:w="238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有限公司于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月签订</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 w:right="0"/>
              <w:jc w:val="center"/>
              <w:rPr>
                <w:rFonts w:ascii="宋体" w:hAnsi="宋体" w:cs="宋体" w:eastAsia="宋体" w:hint="default"/>
                <w:sz w:val="18"/>
                <w:szCs w:val="18"/>
              </w:rPr>
            </w:pPr>
            <w:r>
              <w:rPr>
                <w:rFonts w:ascii="宋体" w:hAnsi="宋体" w:cs="宋体" w:eastAsia="宋体" w:hint="default"/>
                <w:sz w:val="18"/>
                <w:szCs w:val="18"/>
              </w:rPr>
              <w:t>的《股权购买与转让协议</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1"/>
              <w:jc w:val="center"/>
              <w:rPr>
                <w:rFonts w:ascii="宋体" w:hAnsi="宋体" w:cs="宋体" w:eastAsia="宋体" w:hint="default"/>
                <w:sz w:val="18"/>
                <w:szCs w:val="18"/>
              </w:rPr>
            </w:pPr>
            <w:r>
              <w:rPr>
                <w:rFonts w:ascii="宋体" w:hAnsi="宋体" w:cs="宋体" w:eastAsia="宋体" w:hint="default"/>
                <w:sz w:val="18"/>
                <w:szCs w:val="18"/>
              </w:rPr>
              <w:t>本公司以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13,204,158.12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元受</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37"/>
              <w:jc w:val="center"/>
              <w:rPr>
                <w:rFonts w:ascii="宋体" w:hAnsi="宋体" w:cs="宋体" w:eastAsia="宋体" w:hint="default"/>
                <w:sz w:val="18"/>
                <w:szCs w:val="18"/>
              </w:rPr>
            </w:pPr>
            <w:r>
              <w:rPr>
                <w:rFonts w:ascii="宋体" w:hAnsi="宋体" w:cs="宋体" w:eastAsia="宋体" w:hint="default"/>
                <w:sz w:val="18"/>
                <w:szCs w:val="18"/>
              </w:rPr>
              <w:t>让西门子</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有限公司持</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2"/>
              <w:jc w:val="center"/>
              <w:rPr>
                <w:rFonts w:ascii="宋体" w:hAnsi="宋体" w:cs="宋体" w:eastAsia="宋体" w:hint="default"/>
                <w:sz w:val="18"/>
                <w:szCs w:val="18"/>
              </w:rPr>
            </w:pPr>
            <w:r>
              <w:rPr>
                <w:rFonts w:ascii="宋体" w:hAnsi="宋体" w:cs="宋体" w:eastAsia="宋体" w:hint="default"/>
                <w:sz w:val="18"/>
                <w:szCs w:val="18"/>
              </w:rPr>
              <w:t>有的荣西电力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股权。本</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111"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4" w:space="0" w:color="000000"/>
              <w:right w:val="single" w:sz="4" w:space="0" w:color="000000"/>
            </w:tcBorders>
          </w:tcPr>
          <w:p>
            <w:pPr>
              <w:pStyle w:val="TableParagraph"/>
              <w:spacing w:line="300"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支付股权转让款</w:t>
            </w:r>
          </w:p>
        </w:tc>
        <w:tc>
          <w:tcPr>
            <w:tcW w:w="2390" w:type="dxa"/>
            <w:vMerge/>
            <w:tcBorders>
              <w:left w:val="single" w:sz="4" w:space="0" w:color="000000"/>
              <w:right w:val="single" w:sz="4" w:space="0" w:color="000000"/>
            </w:tcBorders>
          </w:tcPr>
          <w:p>
            <w:pPr/>
          </w:p>
        </w:tc>
        <w:tc>
          <w:tcPr>
            <w:tcW w:w="2389" w:type="dxa"/>
            <w:vMerge w:val="restart"/>
            <w:tcBorders>
              <w:top w:val="nil" w:sz="6" w:space="0" w:color="auto"/>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基本无影响。</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4"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15" w:hRule="exact"/>
        </w:trPr>
        <w:tc>
          <w:tcPr>
            <w:tcW w:w="2494" w:type="dxa"/>
            <w:vMerge w:val="restart"/>
            <w:tcBorders>
              <w:top w:val="nil" w:sz="6" w:space="0" w:color="auto"/>
              <w:left w:val="single" w:sz="4" w:space="0" w:color="000000"/>
              <w:right w:val="single" w:sz="4" w:space="0" w:color="000000"/>
            </w:tcBorders>
            <w:shd w:val="clear" w:color="auto" w:fill="D3D3D3"/>
          </w:tcPr>
          <w:p>
            <w:pPr/>
          </w:p>
        </w:tc>
        <w:tc>
          <w:tcPr>
            <w:tcW w:w="2294" w:type="dxa"/>
            <w:vMerge/>
            <w:tcBorders>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bottom w:val="nil" w:sz="6" w:space="0" w:color="auto"/>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13,204,158.12 </w:t>
            </w:r>
            <w:r>
              <w:rPr>
                <w:rFonts w:ascii="宋体" w:hAnsi="宋体" w:cs="宋体" w:eastAsia="宋体" w:hint="default"/>
                <w:sz w:val="18"/>
                <w:szCs w:val="18"/>
              </w:rPr>
              <w:t>元，并于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日办理完毕工商变</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7"/>
              <w:jc w:val="center"/>
              <w:rPr>
                <w:rFonts w:ascii="宋体" w:hAnsi="宋体" w:cs="宋体" w:eastAsia="宋体" w:hint="default"/>
                <w:sz w:val="18"/>
                <w:szCs w:val="18"/>
              </w:rPr>
            </w:pPr>
            <w:r>
              <w:rPr>
                <w:rFonts w:ascii="宋体" w:hAnsi="宋体" w:cs="宋体" w:eastAsia="宋体" w:hint="default"/>
                <w:sz w:val="18"/>
                <w:szCs w:val="18"/>
              </w:rPr>
              <w:t>更手续，本次受让后，本公</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2"/>
              <w:jc w:val="center"/>
              <w:rPr>
                <w:rFonts w:ascii="宋体" w:hAnsi="宋体" w:cs="宋体" w:eastAsia="宋体" w:hint="default"/>
                <w:sz w:val="18"/>
                <w:szCs w:val="18"/>
              </w:rPr>
            </w:pPr>
            <w:r>
              <w:rPr>
                <w:rFonts w:ascii="宋体" w:hAnsi="宋体" w:cs="宋体" w:eastAsia="宋体" w:hint="default"/>
                <w:sz w:val="18"/>
                <w:szCs w:val="18"/>
              </w:rPr>
              <w:t>司持有荣西电力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3"/>
                <w:sz w:val="18"/>
                <w:szCs w:val="18"/>
              </w:rPr>
              <w:t>权，故自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月起将其</w:t>
            </w:r>
          </w:p>
        </w:tc>
        <w:tc>
          <w:tcPr>
            <w:tcW w:w="2390" w:type="dxa"/>
            <w:vMerge/>
            <w:tcBorders>
              <w:left w:val="single" w:sz="4" w:space="0" w:color="000000"/>
              <w:right w:val="single" w:sz="4" w:space="0" w:color="000000"/>
            </w:tcBorders>
          </w:tcPr>
          <w:p>
            <w:pPr/>
          </w:p>
        </w:tc>
        <w:tc>
          <w:tcPr>
            <w:tcW w:w="238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77"/>
              <w:jc w:val="center"/>
              <w:rPr>
                <w:rFonts w:ascii="宋体" w:hAnsi="宋体" w:cs="宋体" w:eastAsia="宋体" w:hint="default"/>
                <w:sz w:val="18"/>
                <w:szCs w:val="18"/>
              </w:rPr>
            </w:pPr>
            <w:r>
              <w:rPr>
                <w:rFonts w:ascii="宋体" w:hAnsi="宋体" w:cs="宋体" w:eastAsia="宋体" w:hint="default"/>
                <w:sz w:val="18"/>
                <w:szCs w:val="18"/>
              </w:rPr>
              <w:t>作为本公司的全资子公司。</w:t>
            </w:r>
          </w:p>
        </w:tc>
        <w:tc>
          <w:tcPr>
            <w:tcW w:w="2390" w:type="dxa"/>
            <w:vMerge/>
            <w:tcBorders>
              <w:left w:val="single" w:sz="4" w:space="0" w:color="000000"/>
              <w:bottom w:val="single" w:sz="4" w:space="0" w:color="000000"/>
              <w:right w:val="single" w:sz="4" w:space="0" w:color="000000"/>
            </w:tcBorders>
          </w:tcPr>
          <w:p>
            <w:pPr/>
          </w:p>
        </w:tc>
        <w:tc>
          <w:tcPr>
            <w:tcW w:w="2389"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102"/>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w:t>
      </w:r>
      <w:r>
        <w:rPr/>
        <w:t>、分部信息</w:t>
      </w:r>
      <w:r>
        <w:rPr>
          <w:b w:val="0"/>
          <w:bCs w:val="0"/>
        </w:rPr>
      </w:r>
    </w:p>
    <w:p>
      <w:pPr>
        <w:spacing w:line="590" w:lineRule="atLeast" w:before="23"/>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99"/>
          <w:sz w:val="21"/>
          <w:szCs w:val="21"/>
        </w:rPr>
        <w:t> </w:t>
      </w:r>
      <w:r>
        <w:rPr>
          <w:rFonts w:ascii="宋体" w:hAnsi="宋体" w:cs="宋体" w:eastAsia="宋体" w:hint="default"/>
          <w:spacing w:val="-1"/>
          <w:sz w:val="21"/>
          <w:szCs w:val="21"/>
        </w:rPr>
        <w:t>公司属节能大功率电力电子设备制造业，主要产品为节能大功率设备，生产经营的主体在国内，因此</w:t>
      </w:r>
    </w:p>
    <w:p>
      <w:pPr>
        <w:pStyle w:val="BodyText"/>
        <w:spacing w:line="240" w:lineRule="auto" w:before="37"/>
        <w:ind w:right="102"/>
        <w:jc w:val="left"/>
      </w:pPr>
      <w:r>
        <w:rPr/>
        <w:t>无分部报告。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before="0"/>
        <w:ind w:right="102"/>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4" w:right="9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日，公司召开第五届董事会第十四次会议，审议通过了《发行股份及支付现金购买资产 并募集配套资金暨关联交易》的相关议案，本公司拟通过发行股份和支付现金方式购买余文胜等</w:t>
      </w:r>
      <w:r>
        <w:rPr>
          <w:rFonts w:ascii="Times New Roman" w:hAnsi="Times New Roman" w:cs="Times New Roman" w:eastAsia="Times New Roman" w:hint="default"/>
        </w:rPr>
        <w:t>21</w:t>
      </w:r>
      <w:r>
        <w:rPr/>
        <w:t>名自然 </w:t>
      </w:r>
      <w:r>
        <w:rPr>
          <w:spacing w:val="-2"/>
        </w:rPr>
        <w:t>人及公司股东持有的深圳市梦网科技股份有限公司</w:t>
      </w:r>
      <w:r>
        <w:rPr>
          <w:rFonts w:ascii="Times New Roman" w:hAnsi="Times New Roman" w:cs="Times New Roman" w:eastAsia="Times New Roman" w:hint="default"/>
          <w:spacing w:val="-2"/>
        </w:rPr>
        <w:t>100%</w:t>
      </w:r>
      <w:r>
        <w:rPr>
          <w:spacing w:val="-2"/>
        </w:rPr>
        <w:t>股权，并向特定对象募集配套资金用于支付现金</w:t>
      </w:r>
      <w:r>
        <w:rPr>
          <w:spacing w:val="-1"/>
        </w:rPr>
        <w:t> </w:t>
      </w:r>
      <w:r>
        <w:rPr/>
        <w:t>。</w:t>
      </w:r>
    </w:p>
    <w:p>
      <w:pPr>
        <w:spacing w:after="0" w:line="256" w:lineRule="auto"/>
        <w:jc w:val="left"/>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1,130,39</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0,380.77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141,504,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415.89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988,885,9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149,503,9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1,413,028,7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64.58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35,775,4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35,775,4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10,249,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556.49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10,249,55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1,166,16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5,816.32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177,279,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851.44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988,885,9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82,261.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159,753,4</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97.05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1,413,028,7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64.58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432,113,738.60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21,605,686.93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432,113,738.60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21,605,686.93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227,956,847.14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22,795,684.71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233,405,536.95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46,681,107.39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168,073,122.87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50,421,936.86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117,502,389.93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35,250,716.98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25,266,252.17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7,579,875.65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25,304,480.77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7,591,344.23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1,061,549,245.56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141,504,415.89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38" w:lineRule="auto" w:before="44"/>
        <w:ind w:left="154" w:right="-13" w:hanging="1"/>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19,371,344.92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1,565,166.80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7173" w:space="1655"/>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江苏兴利来特钢有限公司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238,428.00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现款</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兖州亿金物资有限责任公司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现款</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邯郸矿业集团有限公司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北京首特冶金工程设计有限公司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现款</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山东冠洲股份有限公司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1,558,428.00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上述客户应收账款账期较长，公司预计无法收回，已</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计提坏账准备，报告期经公司努力催收，收回部分款项。</w:t>
      </w:r>
    </w:p>
    <w:p>
      <w:pPr>
        <w:spacing w:line="240" w:lineRule="auto" w:before="11"/>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天津服装进出口股份有限公司</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天津服装进出口股份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无法获取可收回的 相关证据</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496,000.00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995"/>
        <w:gridCol w:w="1481"/>
        <w:gridCol w:w="1417"/>
        <w:gridCol w:w="1370"/>
      </w:tblGrid>
      <w:tr>
        <w:trPr>
          <w:trHeight w:val="659"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3" w:right="69"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 额的比例</w:t>
            </w:r>
            <w:r>
              <w:rPr>
                <w:rFonts w:ascii="Times New Roman" w:hAnsi="Times New Roman" w:cs="Times New Roman" w:eastAsia="Times New Roman" w:hint="default"/>
                <w:sz w:val="21"/>
                <w:szCs w:val="21"/>
              </w:rPr>
              <w:t>(%)</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69"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Electricidada da</w:t>
            </w:r>
            <w:r>
              <w:rPr>
                <w:rFonts w:ascii="Times New Roman"/>
                <w:spacing w:val="-9"/>
                <w:sz w:val="21"/>
              </w:rPr>
              <w:t> </w:t>
            </w:r>
            <w:r>
              <w:rPr>
                <w:rFonts w:ascii="Times New Roman"/>
                <w:sz w:val="21"/>
              </w:rPr>
              <w:t>Mocambique</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35,553,967.84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3.05</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1,777,698.39</w:t>
            </w:r>
          </w:p>
        </w:tc>
      </w:tr>
      <w:tr>
        <w:trPr>
          <w:trHeight w:val="659"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
              <w:jc w:val="left"/>
              <w:rPr>
                <w:rFonts w:ascii="宋体" w:hAnsi="宋体" w:cs="宋体" w:eastAsia="宋体" w:hint="default"/>
                <w:sz w:val="21"/>
                <w:szCs w:val="21"/>
              </w:rPr>
            </w:pPr>
            <w:r>
              <w:rPr>
                <w:rFonts w:ascii="宋体" w:hAnsi="宋体" w:cs="宋体" w:eastAsia="宋体" w:hint="default"/>
                <w:spacing w:val="11"/>
                <w:sz w:val="21"/>
                <w:szCs w:val="21"/>
              </w:rPr>
              <w:t>沈阳鼓风机集团自动控制系统工程有限公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33,383,520.22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2.86</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5,938,852.02</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大唐（通辽）霍林河新能源有限公司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29,340,000.00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2.52</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5,868,000.00</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振发新能源科技有限公司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23,467,632.00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2.01</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1,739,263.20</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北京能高自动化技术股份有限公司</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18,240,000.00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1.56</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912,000.00</w:t>
            </w:r>
          </w:p>
        </w:tc>
      </w:tr>
      <w:tr>
        <w:trPr>
          <w:trHeight w:val="347"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139,985,120.06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12.00</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16,235,813.61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076"/>
        <w:gridCol w:w="2076"/>
        <w:gridCol w:w="2077"/>
        <w:gridCol w:w="2077"/>
      </w:tblGrid>
      <w:tr>
        <w:trPr>
          <w:trHeight w:val="659"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35"/>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99"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11" w:right="85" w:hanging="526"/>
              <w:jc w:val="left"/>
              <w:rPr>
                <w:rFonts w:ascii="宋体" w:hAnsi="宋体" w:cs="宋体" w:eastAsia="宋体" w:hint="default"/>
                <w:sz w:val="21"/>
                <w:szCs w:val="21"/>
              </w:rPr>
            </w:pPr>
            <w:r>
              <w:rPr>
                <w:rFonts w:ascii="宋体" w:hAnsi="宋体" w:cs="宋体" w:eastAsia="宋体" w:hint="default"/>
                <w:sz w:val="21"/>
                <w:szCs w:val="21"/>
              </w:rPr>
              <w:t>与终止确认相关的利 得或损失</w:t>
            </w:r>
          </w:p>
        </w:tc>
        <w:tc>
          <w:tcPr>
            <w:tcW w:w="207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191" w:right="0"/>
              <w:jc w:val="left"/>
              <w:rPr>
                <w:rFonts w:ascii="宋体" w:hAnsi="宋体" w:cs="宋体" w:eastAsia="宋体" w:hint="default"/>
                <w:sz w:val="21"/>
                <w:szCs w:val="21"/>
              </w:rPr>
            </w:pPr>
            <w:r>
              <w:rPr>
                <w:rFonts w:ascii="宋体" w:hAnsi="宋体" w:cs="宋体" w:eastAsia="宋体" w:hint="default"/>
                <w:sz w:val="21"/>
                <w:szCs w:val="21"/>
              </w:rPr>
              <w:t>金融资产转移方式</w:t>
            </w:r>
          </w:p>
        </w:tc>
      </w:tr>
      <w:tr>
        <w:trPr>
          <w:trHeight w:val="347"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97"/>
              <w:jc w:val="right"/>
              <w:rPr>
                <w:rFonts w:ascii="宋体" w:hAnsi="宋体" w:cs="宋体" w:eastAsia="宋体" w:hint="default"/>
                <w:sz w:val="21"/>
                <w:szCs w:val="21"/>
              </w:rPr>
            </w:pPr>
            <w:r>
              <w:rPr>
                <w:rFonts w:ascii="宋体" w:hAnsi="宋体" w:cs="宋体" w:eastAsia="宋体" w:hint="default"/>
                <w:sz w:val="21"/>
                <w:szCs w:val="21"/>
              </w:rPr>
              <w:t>无追索权保理</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70,008,201.00</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7,461,653.27</w:t>
            </w:r>
          </w:p>
        </w:tc>
        <w:tc>
          <w:tcPr>
            <w:tcW w:w="2077"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37"/>
              <w:jc w:val="righ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70,008,201.00</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7,461,653.27</w:t>
            </w:r>
          </w:p>
        </w:tc>
        <w:tc>
          <w:tcPr>
            <w:tcW w:w="2077"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31,990,8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08.45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3,758,22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28,232,58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25,745,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560.15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3,118,943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22,626,617.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31,990,8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08.45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3,758,22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28,232,58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25,745,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560.15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3,118,943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22,626,617.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20,050,751.24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1,002,537.56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20,050,751.24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1,002,537.56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2,665,038.24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266,503.82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2,933,253.97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586,650.79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6,341,765.00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1,902,529.51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2,123,160.00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636,948.01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898,877.00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269,663.10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3,319,728.00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995,918.40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31,990,808.45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3,758,221.68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spacing w:line="506" w:lineRule="auto" w:before="35"/>
        <w:ind w:left="154" w:right="566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spacing w:val="1"/>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639,278.58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pStyle w:val="Heading3"/>
        <w:spacing w:line="240" w:lineRule="auto" w:before="62"/>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25,222,506.52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23,988,346.88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794,623.60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613,496.38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3,867,993.73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1,375,000.00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730,684.60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1,143,716.89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31,990,808.45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25,745,560.15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鞍山市开发区国家税 务局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税收返还款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3,867,993.73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193,399.69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中国电能成套设备有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1,639,587.00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90,478.95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陈申</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68,750.00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广铁集团焦柳铁路洛 张电改工程建设指挥 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269,700.00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中国神华国际工程有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861,890.00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43,094.50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8,643,470.73</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665,423.14</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98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鞍山市开发区国家税务 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89" w:right="0"/>
              <w:jc w:val="left"/>
              <w:rPr>
                <w:rFonts w:ascii="Times New Roman" w:hAnsi="Times New Roman" w:cs="Times New Roman" w:eastAsia="Times New Roman" w:hint="default"/>
                <w:sz w:val="18"/>
                <w:szCs w:val="18"/>
              </w:rPr>
            </w:pPr>
            <w:r>
              <w:rPr>
                <w:rFonts w:ascii="Times New Roman"/>
                <w:sz w:val="18"/>
              </w:rPr>
              <w:t>3,867,993.73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年上半年可以 全部回收，主要依据财 </w:t>
            </w:r>
            <w:r>
              <w:rPr>
                <w:rFonts w:ascii="宋体" w:hAnsi="宋体" w:cs="宋体" w:eastAsia="宋体" w:hint="default"/>
                <w:spacing w:val="-5"/>
                <w:sz w:val="18"/>
                <w:szCs w:val="18"/>
              </w:rPr>
              <w:t>税〔</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100</w:t>
            </w:r>
            <w:r>
              <w:rPr>
                <w:rFonts w:ascii="Times New Roman" w:hAnsi="Times New Roman" w:cs="Times New Roman" w:eastAsia="Times New Roman" w:hint="default"/>
                <w:sz w:val="18"/>
                <w:szCs w:val="18"/>
              </w:rPr>
              <w:t> </w:t>
            </w:r>
            <w:r>
              <w:rPr>
                <w:rFonts w:ascii="宋体" w:hAnsi="宋体" w:cs="宋体" w:eastAsia="宋体" w:hint="default"/>
                <w:sz w:val="18"/>
                <w:szCs w:val="18"/>
              </w:rPr>
              <w:t>号文件进</w:t>
            </w:r>
          </w:p>
        </w:tc>
      </w:tr>
    </w:tbl>
    <w:p>
      <w:pPr>
        <w:spacing w:after="0" w:line="30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362" w:hRule="exact"/>
        </w:trPr>
        <w:tc>
          <w:tcPr>
            <w:tcW w:w="202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行确认。</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9" w:right="0"/>
              <w:jc w:val="left"/>
              <w:rPr>
                <w:rFonts w:ascii="Times New Roman" w:hAnsi="Times New Roman" w:cs="Times New Roman" w:eastAsia="Times New Roman" w:hint="default"/>
                <w:sz w:val="18"/>
                <w:szCs w:val="18"/>
              </w:rPr>
            </w:pPr>
            <w:r>
              <w:rPr>
                <w:rFonts w:ascii="Times New Roman"/>
                <w:sz w:val="18"/>
              </w:rPr>
              <w:t>3,867,993.73</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240,548,237.80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240,548,237.80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249,048,237.80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249,048,237.80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158,506,065.28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158,506,065.28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163,400,085.50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163,400,085.50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399,054,303.08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399,054,303.08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412,448,323.30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412,448,323.30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6,400,000.00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6,800,000.00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诚和龙盛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17,000,000.00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7,650,000.00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7,650,000.00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荣华恒信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18,092,866.00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18,092,866.00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7,200,000.00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7,200,000.00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荣信众腾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4,250,000.00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4,250,000.00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9,008,004.00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9,008,004.00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22,509,735.00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22,509,735.00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3,500,000.00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3,500,000.00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4,250,000.00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4,250,000.00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6,800,000.00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27,893,700.00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27,893,700.00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广州邦建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6,800,000.00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荣信瑞科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6,800,000.00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荣信中科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15,293,932.80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15,293,932.80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西安荣信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249,048,237.80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3,500,000.00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240,548,237.80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山东荣信</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汇盛机电</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10,830,53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-2,058,13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8,772,395</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5.14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9.23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.91</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23,914,44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146,983.6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24,061,43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34,744,98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-1,911,15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32,833,82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哈密荣信 新能源有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15,715,30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18,530,15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北京信力</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筑正新能 源技术股 份有限公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112,939,7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99.41</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-5,797,71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107,142,0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85.39</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128,655,1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03.44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-2,982,86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125,672,2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163,400,0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85.50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-4,894,02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158,506,0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65.28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774,188,496.16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519,391,037.59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1,144,141,834.47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735,142,459.00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774,188,496.16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519,391,037.59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1,144,141,834.47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735,142,459.00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-4,894,020.22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-4,322,914.36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-6,895,696.76</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-1,721,740.92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156,058,022.79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-13,991,761.14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150,152,411.67</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0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2" w:right="0"/>
              <w:jc w:val="left"/>
              <w:rPr>
                <w:rFonts w:ascii="Times New Roman" w:hAnsi="Times New Roman" w:cs="Times New Roman" w:eastAsia="Times New Roman" w:hint="default"/>
                <w:sz w:val="18"/>
                <w:szCs w:val="18"/>
              </w:rPr>
            </w:pPr>
            <w:r>
              <w:rPr>
                <w:rFonts w:ascii="Times New Roman"/>
                <w:sz w:val="18"/>
              </w:rPr>
              <w:t>-6,368,906.61</w:t>
            </w:r>
          </w:p>
        </w:tc>
        <w:tc>
          <w:tcPr>
            <w:tcW w:w="3186"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固定资产、无形资产、长期股权投资处 置净损益</w:t>
            </w:r>
          </w:p>
        </w:tc>
      </w:tr>
      <w:tr>
        <w:trPr>
          <w:trHeight w:val="392"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0" w:type="dxa"/>
            <w:vMerge/>
            <w:tcBorders>
              <w:left w:val="single" w:sz="4" w:space="0" w:color="000000"/>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01" w:type="dxa"/>
            <w:tcBorders>
              <w:top w:val="nil" w:sz="6" w:space="0" w:color="auto"/>
              <w:left w:val="single" w:sz="4" w:space="0" w:color="000000"/>
              <w:bottom w:val="single" w:sz="4" w:space="0" w:color="000000"/>
              <w:right w:val="single" w:sz="4" w:space="0" w:color="000000"/>
            </w:tcBorders>
            <w:shd w:val="clear" w:color="auto" w:fill="D3D3D3"/>
          </w:tcPr>
          <w:p>
            <w:pPr/>
          </w:p>
        </w:tc>
        <w:tc>
          <w:tcPr>
            <w:tcW w:w="3070" w:type="dxa"/>
            <w:vMerge/>
            <w:tcBorders>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16,085,904.64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1"/>
              <w:jc w:val="left"/>
              <w:rPr>
                <w:rFonts w:ascii="宋体" w:hAnsi="宋体" w:cs="宋体" w:eastAsia="宋体" w:hint="default"/>
                <w:sz w:val="18"/>
                <w:szCs w:val="18"/>
              </w:rPr>
            </w:pPr>
            <w:r>
              <w:rPr>
                <w:rFonts w:ascii="宋体" w:hAnsi="宋体" w:cs="宋体" w:eastAsia="宋体" w:hint="default"/>
                <w:sz w:val="18"/>
                <w:szCs w:val="18"/>
              </w:rPr>
              <w:t>除软件产品即征即退增值税返还外的政 府补助</w:t>
            </w:r>
          </w:p>
        </w:tc>
      </w:tr>
      <w:tr>
        <w:trPr>
          <w:trHeight w:val="1650"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-1,721,740.92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1,565,166.80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3,035,980.90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465,139.76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-2,247,161.52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14,378,426.57</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2"/>
        <w:ind w:left="154" w:right="138" w:hanging="1"/>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2"/>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701,045,683.58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751,806,950.35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537,614,403.66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118,265,182.05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145,077,645.20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172,035,954.12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1,259,174,205.28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1,365,009,594.33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1,077,966,375.09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92,390,001.28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64,806,822.90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56,597,044.83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1,225,284.72</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40,836,427.03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31,632,836.66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45,297,533.34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547,834,275.08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640,415,048.09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547,360,768.22</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42,874,293.07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33,433,208.85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19,494,099.80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64,888,411.63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57,562,907.69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86,613,919.03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2,868,533,763.72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3,089,745,014.07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2,542,980,098.09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144,516,433.29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167,172,406.87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162,278,386.65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508,227,366.68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661,504,151.22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692,565,106.76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60,719,432.10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65,039,342.67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22,801,892.98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50,372,469.11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57,728,476.30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53,645,685.39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80,747,524.70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3,993,764.63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731,357.83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568,767.40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276,953.12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752,956.41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25,837,395.90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29,136,960.87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1,071,061,304.75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989,844,304.99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972,698,750.40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3,939,595,068.47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4,079,589,319.06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3,515,678,848.49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175,030,000.00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214,565,098.50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208,782,112.93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346,231,584.07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163,817,791.24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492,751,859.62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453,052,043.01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341,295,971.13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149,604,143.18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184,811,117.47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158,972,805.15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4,054,358.25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4,064,436.16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3,992,456.82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8,416,700.44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12,773,191.16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5,172,080.41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24,315,573.77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34,766,136.99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37,476,121.77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9,932,403.27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9,378,262.30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15,261,864.70</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1,607,857,151.46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1,320,106,771.16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940,554,189.72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50,567,040.28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52,420,100.64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49,940,961.00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6,244,433.50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156,811,473.78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652,420,100.64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749,940,961.00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1,764,668,625.24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1,972,526,871.80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1,690,495,150.72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389,572,637.26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398,386,082.32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398,229,798.12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148,027,500.00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119,900,000.29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958,641,914.13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1,021,241,057.41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753,477,118.61</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2,120,142,051.68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2,056,610,625.06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1,788,690,402.06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54,784,391.55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50,451,822.20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36,493,295.71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2,174,926,443.23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2,107,062,447.26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1,825,183,697.77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3,939,595,068.47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4,079,589,319.06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3,515,678,848.49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7"/>
        <w:rPr>
          <w:rFonts w:ascii="宋体" w:hAnsi="宋体" w:cs="宋体" w:eastAsia="宋体" w:hint="default"/>
          <w:b/>
          <w:bCs/>
          <w:sz w:val="46"/>
          <w:szCs w:val="46"/>
        </w:rPr>
      </w:pPr>
    </w:p>
    <w:p>
      <w:pPr>
        <w:pStyle w:val="BodyText"/>
        <w:spacing w:line="386" w:lineRule="auto"/>
        <w:ind w:left="636" w:right="136"/>
        <w:jc w:val="left"/>
      </w:pPr>
      <w:r>
        <w:rPr/>
        <w:t>一、载有公司董事、高管人员签名并加盖公司公章的</w:t>
      </w:r>
      <w:r>
        <w:rPr>
          <w:rFonts w:ascii="Times New Roman" w:hAnsi="Times New Roman" w:cs="Times New Roman" w:eastAsia="Times New Roman" w:hint="default"/>
        </w:rPr>
        <w:t>2014</w:t>
      </w:r>
      <w:r>
        <w:rPr/>
        <w:t>年年度报告全文及摘要。 </w:t>
      </w:r>
      <w:r>
        <w:rPr>
          <w:spacing w:val="-2"/>
        </w:rPr>
        <w:t>二、载有法定代表人左强先生、主管会计工作的负责人戴东先生、会计机构负责人陈宏先生签名并盖</w:t>
      </w:r>
    </w:p>
    <w:p>
      <w:pPr>
        <w:pStyle w:val="BodyText"/>
        <w:spacing w:line="408" w:lineRule="auto" w:before="65"/>
        <w:ind w:left="636" w:right="2778" w:hanging="483"/>
        <w:jc w:val="left"/>
      </w:pPr>
      <w:r>
        <w:rPr/>
        <w:t>章的财务报告文本。 三、载有会计师事务所盖章、注册会计师签名并盖章的审计报告原件。</w:t>
      </w:r>
    </w:p>
    <w:p>
      <w:pPr>
        <w:pStyle w:val="BodyText"/>
        <w:spacing w:line="408" w:lineRule="auto" w:before="46"/>
        <w:ind w:left="154" w:right="136" w:firstLine="482"/>
        <w:jc w:val="left"/>
      </w:pPr>
      <w:r>
        <w:rPr>
          <w:spacing w:val="-2"/>
        </w:rPr>
        <w:t>四、报告期内在《证券时报》、《中国证券报》及巨潮资讯网上公开披露过的所有公司文件的正本及</w:t>
      </w:r>
      <w:r>
        <w:rPr/>
        <w:t> 公告的原稿。</w:t>
      </w:r>
    </w:p>
    <w:p>
      <w:pPr>
        <w:pStyle w:val="BodyText"/>
        <w:spacing w:line="408" w:lineRule="auto" w:before="46"/>
        <w:ind w:left="636" w:right="5298"/>
        <w:jc w:val="left"/>
      </w:pPr>
      <w:r>
        <w:rPr/>
        <w:t>五、其他相关资料。 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51"/>
        <w:jc w:val="right"/>
      </w:pPr>
      <w:r>
        <w:rPr/>
        <w:t>荣信电力电子股份有限公司</w:t>
      </w:r>
    </w:p>
    <w:p>
      <w:pPr>
        <w:spacing w:line="240" w:lineRule="auto" w:before="10"/>
        <w:rPr>
          <w:rFonts w:ascii="宋体" w:hAnsi="宋体" w:cs="宋体" w:eastAsia="宋体" w:hint="default"/>
          <w:sz w:val="14"/>
          <w:szCs w:val="14"/>
        </w:rPr>
      </w:pPr>
    </w:p>
    <w:p>
      <w:pPr>
        <w:pStyle w:val="BodyText"/>
        <w:spacing w:line="240" w:lineRule="auto"/>
        <w:ind w:left="0" w:right="151"/>
        <w:jc w:val="right"/>
      </w:pPr>
      <w:r>
        <w:rPr/>
        <w:t>法定代表人：左强</w:t>
      </w:r>
    </w:p>
    <w:p>
      <w:pPr>
        <w:spacing w:line="240" w:lineRule="auto" w:before="10"/>
        <w:rPr>
          <w:rFonts w:ascii="宋体" w:hAnsi="宋体" w:cs="宋体" w:eastAsia="宋体" w:hint="default"/>
          <w:sz w:val="14"/>
          <w:szCs w:val="14"/>
        </w:rPr>
      </w:pPr>
    </w:p>
    <w:p>
      <w:pPr>
        <w:pStyle w:val="BodyText"/>
        <w:spacing w:line="240" w:lineRule="auto"/>
        <w:ind w:left="0" w:right="149"/>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798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98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798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798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798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375"/>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spacing w:before="35"/>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rxpe.com/" TargetMode="External"/><Relationship Id="rId9" Type="http://schemas.openxmlformats.org/officeDocument/2006/relationships/hyperlink" Target="mailto:zqb@rxpe.com" TargetMode="External"/><Relationship Id="rId10" Type="http://schemas.openxmlformats.org/officeDocument/2006/relationships/hyperlink" Target="mailto:zdb@rxpe.com" TargetMode="External"/><Relationship Id="rId11" Type="http://schemas.openxmlformats.org/officeDocument/2006/relationships/hyperlink" Target="mailto:sz@rxpe.com" TargetMode="External"/><Relationship Id="rId12" Type="http://schemas.openxmlformats.org/officeDocument/2006/relationships/hyperlink" Target="http://www.cninfo.com.cn/"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&lt;4D6963726F736F667420576F7264202D2032303134C4EAC4EAB6C8B1A8B8E6C8ABCEC4&gt;</dc:title>
  <dcterms:created xsi:type="dcterms:W3CDTF">2020-05-06T15:58:01Z</dcterms:created>
  <dcterms:modified xsi:type="dcterms:W3CDTF">2020-05-06T15:58:01Z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PScript5.dll Version 5.2</vt:lpwstr>
  </property>
  <property fmtid="{D5CDD505-2E9C-101B-9397-08002B2CF9AE}" pid="4" name="LastSaved">
    <vt:filetime>2020-05-06T00:00:00Z</vt:filetime>
  </property>
</Properties>
</file>